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宋体" w:cs="Times New Roman"/>
          <w:b/>
          <w:color w:val="000000" w:themeColor="text1"/>
          <w:sz w:val="56"/>
          <w:szCs w:val="48"/>
          <w14:textFill>
            <w14:solidFill>
              <w14:schemeClr w14:val="tx1"/>
            </w14:solidFill>
          </w14:textFill>
        </w:rPr>
      </w:pPr>
    </w:p>
    <w:p>
      <w:pPr>
        <w:jc w:val="center"/>
        <w:rPr>
          <w:rFonts w:ascii="Times New Roman" w:hAnsi="Times New Roman" w:eastAsia="宋体" w:cs="Times New Roman"/>
          <w:b/>
          <w:color w:val="000000" w:themeColor="text1"/>
          <w:sz w:val="52"/>
          <w:szCs w:val="52"/>
          <w14:textFill>
            <w14:solidFill>
              <w14:schemeClr w14:val="tx1"/>
            </w14:solidFill>
          </w14:textFill>
        </w:rPr>
      </w:pPr>
      <w:r>
        <w:rPr>
          <w:rFonts w:hint="eastAsia" w:ascii="Times New Roman" w:hAnsi="Times New Roman" w:eastAsia="宋体" w:cs="Times New Roman"/>
          <w:b/>
          <w:color w:val="000000" w:themeColor="text1"/>
          <w:sz w:val="52"/>
          <w:szCs w:val="52"/>
          <w14:textFill>
            <w14:solidFill>
              <w14:schemeClr w14:val="tx1"/>
            </w14:solidFill>
          </w14:textFill>
        </w:rPr>
        <w:t>光大环保能源（乐山）有限公司</w:t>
      </w:r>
    </w:p>
    <w:p>
      <w:pPr>
        <w:jc w:val="center"/>
        <w:rPr>
          <w:color w:val="000000" w:themeColor="text1"/>
          <w14:textFill>
            <w14:solidFill>
              <w14:schemeClr w14:val="tx1"/>
            </w14:solidFill>
          </w14:textFill>
        </w:rPr>
      </w:pPr>
      <w:r>
        <w:rPr>
          <w:rFonts w:ascii="Times New Roman" w:hAnsi="Times New Roman" w:eastAsia="宋体" w:cs="Times New Roman"/>
          <w:b/>
          <w:color w:val="000000" w:themeColor="text1"/>
          <w:sz w:val="52"/>
          <w:szCs w:val="52"/>
          <w14:textFill>
            <w14:solidFill>
              <w14:schemeClr w14:val="tx1"/>
            </w14:solidFill>
          </w14:textFill>
        </w:rPr>
        <w:t>2021</w:t>
      </w:r>
      <w:r>
        <w:rPr>
          <w:rFonts w:hint="eastAsia" w:ascii="Times New Roman" w:hAnsi="Times New Roman" w:eastAsia="宋体" w:cs="Times New Roman"/>
          <w:b/>
          <w:color w:val="000000" w:themeColor="text1"/>
          <w:sz w:val="52"/>
          <w:szCs w:val="52"/>
          <w14:textFill>
            <w14:solidFill>
              <w14:schemeClr w14:val="tx1"/>
            </w14:solidFill>
          </w14:textFill>
        </w:rPr>
        <w:t>年度</w:t>
      </w:r>
      <w:r>
        <w:rPr>
          <w:rFonts w:ascii="Times New Roman" w:hAnsi="Times New Roman" w:eastAsia="宋体" w:cs="Times New Roman"/>
          <w:b/>
          <w:color w:val="000000" w:themeColor="text1"/>
          <w:sz w:val="52"/>
          <w:szCs w:val="52"/>
          <w14:textFill>
            <w14:solidFill>
              <w14:schemeClr w14:val="tx1"/>
            </w14:solidFill>
          </w14:textFill>
        </w:rPr>
        <w:t>土壤环境自行监测报告</w:t>
      </w:r>
    </w:p>
    <w:p>
      <w:pPr>
        <w:rPr>
          <w:rFonts w:ascii="Times New Roman" w:hAnsi="Times New Roman" w:eastAsia="宋体" w:cs="Times New Roman"/>
          <w:color w:val="000000" w:themeColor="text1"/>
          <w14:textFill>
            <w14:solidFill>
              <w14:schemeClr w14:val="tx1"/>
            </w14:solidFill>
          </w14:textFill>
        </w:rPr>
      </w:pPr>
    </w:p>
    <w:p>
      <w:pPr>
        <w:pStyle w:val="2"/>
      </w:pPr>
    </w:p>
    <w:p/>
    <w:p>
      <w:pPr>
        <w:pStyle w:val="2"/>
      </w:pPr>
    </w:p>
    <w:p/>
    <w:p>
      <w:pPr>
        <w:pStyle w:val="2"/>
      </w:pPr>
    </w:p>
    <w:p>
      <w:pPr>
        <w:pStyle w:val="2"/>
      </w:pPr>
    </w:p>
    <w:p/>
    <w:p>
      <w:pPr>
        <w:pStyle w:val="2"/>
      </w:pPr>
    </w:p>
    <w:p>
      <w:pPr>
        <w:rPr>
          <w:rFonts w:ascii="Times New Roman" w:hAnsi="Times New Roman" w:eastAsia="宋体" w:cs="Times New Roman"/>
          <w:color w:val="000000" w:themeColor="text1"/>
          <w14:textFill>
            <w14:solidFill>
              <w14:schemeClr w14:val="tx1"/>
            </w14:solidFill>
          </w14:textFill>
        </w:rPr>
      </w:pPr>
    </w:p>
    <w:tbl>
      <w:tblPr>
        <w:tblStyle w:val="15"/>
        <w:tblpPr w:leftFromText="180" w:rightFromText="180" w:vertAnchor="text" w:horzAnchor="page" w:tblpX="1949" w:tblpY="5796"/>
        <w:tblOverlap w:val="never"/>
        <w:tblW w:w="8236" w:type="dxa"/>
        <w:tblInd w:w="0" w:type="dxa"/>
        <w:tblLayout w:type="fixed"/>
        <w:tblCellMar>
          <w:top w:w="0" w:type="dxa"/>
          <w:left w:w="108" w:type="dxa"/>
          <w:bottom w:w="0" w:type="dxa"/>
          <w:right w:w="108" w:type="dxa"/>
        </w:tblCellMar>
      </w:tblPr>
      <w:tblGrid>
        <w:gridCol w:w="2309"/>
        <w:gridCol w:w="5927"/>
      </w:tblGrid>
      <w:tr>
        <w:tblPrEx>
          <w:tblCellMar>
            <w:top w:w="0" w:type="dxa"/>
            <w:left w:w="108" w:type="dxa"/>
            <w:bottom w:w="0" w:type="dxa"/>
            <w:right w:w="108" w:type="dxa"/>
          </w:tblCellMar>
        </w:tblPrEx>
        <w:trPr>
          <w:trHeight w:val="850" w:hRule="atLeast"/>
        </w:trPr>
        <w:tc>
          <w:tcPr>
            <w:tcW w:w="2309" w:type="dxa"/>
            <w:shd w:val="clear" w:color="auto" w:fill="auto"/>
            <w:vAlign w:val="center"/>
          </w:tcPr>
          <w:p>
            <w:pPr>
              <w:spacing w:line="276" w:lineRule="auto"/>
              <w:jc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宋体" w:cs="Times New Roman"/>
                <w:b/>
                <w:color w:val="000000" w:themeColor="text1"/>
                <w:sz w:val="32"/>
                <w:szCs w:val="32"/>
                <w14:textFill>
                  <w14:solidFill>
                    <w14:schemeClr w14:val="tx1"/>
                  </w14:solidFill>
                </w14:textFill>
              </w:rPr>
              <w:t>编制单位：</w:t>
            </w:r>
          </w:p>
        </w:tc>
        <w:tc>
          <w:tcPr>
            <w:tcW w:w="5927" w:type="dxa"/>
            <w:shd w:val="clear" w:color="auto" w:fill="auto"/>
            <w:vAlign w:val="center"/>
          </w:tcPr>
          <w:p>
            <w:pPr>
              <w:spacing w:line="276" w:lineRule="auto"/>
              <w:jc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宋体" w:cs="Times New Roman"/>
                <w:b/>
                <w:color w:val="000000" w:themeColor="text1"/>
                <w:sz w:val="32"/>
                <w:szCs w:val="32"/>
                <w14:textFill>
                  <w14:solidFill>
                    <w14:schemeClr w14:val="tx1"/>
                  </w14:solidFill>
                </w14:textFill>
              </w:rPr>
              <w:t>成都市华测检测技术有限公司</w:t>
            </w:r>
          </w:p>
        </w:tc>
      </w:tr>
      <w:tr>
        <w:tblPrEx>
          <w:tblCellMar>
            <w:top w:w="0" w:type="dxa"/>
            <w:left w:w="108" w:type="dxa"/>
            <w:bottom w:w="0" w:type="dxa"/>
            <w:right w:w="108" w:type="dxa"/>
          </w:tblCellMar>
        </w:tblPrEx>
        <w:trPr>
          <w:trHeight w:val="850" w:hRule="atLeast"/>
        </w:trPr>
        <w:tc>
          <w:tcPr>
            <w:tcW w:w="2309" w:type="dxa"/>
            <w:shd w:val="clear" w:color="auto" w:fill="auto"/>
            <w:vAlign w:val="center"/>
          </w:tcPr>
          <w:p>
            <w:pPr>
              <w:spacing w:line="276" w:lineRule="auto"/>
              <w:jc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宋体" w:cs="Times New Roman"/>
                <w:b/>
                <w:color w:val="000000" w:themeColor="text1"/>
                <w:sz w:val="32"/>
                <w:szCs w:val="32"/>
                <w14:textFill>
                  <w14:solidFill>
                    <w14:schemeClr w14:val="tx1"/>
                  </w14:solidFill>
                </w14:textFill>
              </w:rPr>
              <w:t>编制日期：</w:t>
            </w:r>
          </w:p>
        </w:tc>
        <w:tc>
          <w:tcPr>
            <w:tcW w:w="5927" w:type="dxa"/>
            <w:shd w:val="clear" w:color="auto" w:fill="auto"/>
            <w:vAlign w:val="center"/>
          </w:tcPr>
          <w:p>
            <w:pPr>
              <w:spacing w:line="276" w:lineRule="auto"/>
              <w:jc w:val="center"/>
              <w:rPr>
                <w:rFonts w:ascii="Times New Roman" w:hAnsi="Times New Roman" w:eastAsia="宋体" w:cs="Times New Roman"/>
                <w:b/>
                <w:color w:val="000000" w:themeColor="text1"/>
                <w:sz w:val="32"/>
                <w:szCs w:val="32"/>
                <w14:textFill>
                  <w14:solidFill>
                    <w14:schemeClr w14:val="tx1"/>
                  </w14:solidFill>
                </w14:textFill>
              </w:rPr>
            </w:pPr>
            <w:r>
              <w:rPr>
                <w:rFonts w:ascii="Times New Roman" w:hAnsi="Times New Roman" w:eastAsia="宋体" w:cs="Times New Roman"/>
                <w:b/>
                <w:color w:val="000000" w:themeColor="text1"/>
                <w:sz w:val="32"/>
                <w:szCs w:val="32"/>
                <w14:textFill>
                  <w14:solidFill>
                    <w14:schemeClr w14:val="tx1"/>
                  </w14:solidFill>
                </w14:textFill>
              </w:rPr>
              <w:t>2021年12月</w:t>
            </w:r>
          </w:p>
        </w:tc>
      </w:tr>
    </w:tbl>
    <w:p>
      <w:pPr>
        <w:rPr>
          <w:rFonts w:ascii="Times New Roman" w:hAnsi="Times New Roman" w:eastAsia="宋体" w:cs="Times New Roman"/>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jc w:val="center"/>
        <w:rPr>
          <w:rFonts w:ascii="Times New Roman" w:hAnsi="Times New Roman" w:eastAsia="宋体" w:cs="Times New Roman"/>
          <w:color w:val="000000" w:themeColor="text1"/>
          <w:sz w:val="32"/>
          <w:szCs w:val="32"/>
          <w14:textFill>
            <w14:solidFill>
              <w14:schemeClr w14:val="tx1"/>
            </w14:solidFill>
          </w14:textFill>
        </w:rPr>
      </w:pPr>
      <w:r>
        <w:rPr>
          <w:rFonts w:ascii="Times New Roman" w:hAnsi="Times New Roman" w:eastAsia="宋体" w:cs="Times New Roman"/>
          <w:color w:val="000000" w:themeColor="text1"/>
          <w:sz w:val="32"/>
          <w:szCs w:val="32"/>
          <w14:textFill>
            <w14:solidFill>
              <w14:schemeClr w14:val="tx1"/>
            </w14:solidFill>
          </w14:textFill>
        </w:rPr>
        <w:t>目  录</w:t>
      </w:r>
    </w:p>
    <w:p>
      <w:pPr>
        <w:pStyle w:val="13"/>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color w:val="000000" w:themeColor="text1"/>
          <w:sz w:val="24"/>
          <w:szCs w:val="24"/>
          <w:highlight w:val="yellow"/>
          <w14:textFill>
            <w14:solidFill>
              <w14:schemeClr w14:val="tx1"/>
            </w14:solidFill>
          </w14:textFill>
        </w:rPr>
        <w:instrText xml:space="preserve">TOC \o "1-3" \h \u </w:instrText>
      </w:r>
      <w:r>
        <w:rPr>
          <w:rFonts w:ascii="Times New Roman" w:hAnsi="Times New Roman" w:eastAsia="宋体" w:cs="Times New Roman"/>
          <w:color w:val="000000" w:themeColor="text1"/>
          <w:sz w:val="24"/>
          <w:szCs w:val="24"/>
          <w:highlight w:val="yellow"/>
          <w14:textFill>
            <w14:solidFill>
              <w14:schemeClr w14:val="tx1"/>
            </w14:solidFill>
          </w14:textFill>
        </w:rPr>
        <w:fldChar w:fldCharType="separate"/>
      </w: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_Toc15206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1 项目简介</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_Toc15206 \h </w:instrText>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14"/>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_Toc10128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1.1 开展自行监测企业名称</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_Toc10128 \h </w:instrText>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14"/>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_Toc6867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1.2 报告编制单位及检测单位</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_Toc6867 \h </w:instrText>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14"/>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_Toc1271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1.3 报告编制依据</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_Toc1271 \h </w:instrText>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8"/>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_Toc31029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1.3.1 法律、法规及政策依据</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_Toc31029 \h </w:instrText>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8"/>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_Toc18735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1.3.2 技术标准与规范</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_Toc18735 \h </w:instrText>
      </w:r>
      <w:r>
        <w:rPr>
          <w:rFonts w:ascii="Times New Roman" w:hAnsi="Times New Roman"/>
          <w:sz w:val="24"/>
          <w:szCs w:val="24"/>
        </w:rPr>
        <w:fldChar w:fldCharType="separate"/>
      </w:r>
      <w:r>
        <w:rPr>
          <w:rFonts w:ascii="Times New Roman" w:hAnsi="Times New Roman"/>
          <w:sz w:val="24"/>
          <w:szCs w:val="24"/>
        </w:rPr>
        <w:t>2</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8"/>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_Toc17684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1.3.3 其他相关资料</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_Toc17684 \h </w:instrText>
      </w:r>
      <w:r>
        <w:rPr>
          <w:rFonts w:ascii="Times New Roman" w:hAnsi="Times New Roman"/>
          <w:sz w:val="24"/>
          <w:szCs w:val="24"/>
        </w:rPr>
        <w:fldChar w:fldCharType="separate"/>
      </w:r>
      <w:r>
        <w:rPr>
          <w:rFonts w:ascii="Times New Roman" w:hAnsi="Times New Roman"/>
          <w:sz w:val="24"/>
          <w:szCs w:val="24"/>
        </w:rPr>
        <w:t>2</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13"/>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_Toc30742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2 重点区域及设施识别</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_Toc30742 \h </w:instrText>
      </w:r>
      <w:r>
        <w:rPr>
          <w:rFonts w:ascii="Times New Roman" w:hAnsi="Times New Roman"/>
          <w:sz w:val="24"/>
          <w:szCs w:val="24"/>
        </w:rPr>
        <w:fldChar w:fldCharType="separate"/>
      </w:r>
      <w:r>
        <w:rPr>
          <w:rFonts w:ascii="Times New Roman" w:hAnsi="Times New Roman"/>
          <w:sz w:val="24"/>
          <w:szCs w:val="24"/>
        </w:rPr>
        <w:t>3</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14"/>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_Toc27757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2.1 企业基本情况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_Toc27757 \h </w:instrText>
      </w:r>
      <w:r>
        <w:rPr>
          <w:rFonts w:ascii="Times New Roman" w:hAnsi="Times New Roman"/>
          <w:sz w:val="24"/>
          <w:szCs w:val="24"/>
        </w:rPr>
        <w:fldChar w:fldCharType="separate"/>
      </w:r>
      <w:r>
        <w:rPr>
          <w:rFonts w:ascii="Times New Roman" w:hAnsi="Times New Roman"/>
          <w:sz w:val="24"/>
          <w:szCs w:val="24"/>
        </w:rPr>
        <w:t>3</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14"/>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_Toc8966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 xml:space="preserve">2.2 </w:t>
      </w:r>
      <w:r>
        <w:rPr>
          <w:rFonts w:hint="eastAsia" w:ascii="Times New Roman" w:hAnsi="Times New Roman" w:cs="Times New Roman"/>
          <w:sz w:val="24"/>
          <w:szCs w:val="24"/>
        </w:rPr>
        <w:t>地块</w:t>
      </w:r>
      <w:r>
        <w:rPr>
          <w:rFonts w:ascii="Times New Roman" w:hAnsi="Times New Roman" w:cs="Times New Roman"/>
          <w:sz w:val="24"/>
          <w:szCs w:val="24"/>
        </w:rPr>
        <w:t>现状及历史</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_Toc8966 \h </w:instrText>
      </w:r>
      <w:r>
        <w:rPr>
          <w:rFonts w:ascii="Times New Roman" w:hAnsi="Times New Roman"/>
          <w:sz w:val="24"/>
          <w:szCs w:val="24"/>
        </w:rPr>
        <w:fldChar w:fldCharType="separate"/>
      </w:r>
      <w:r>
        <w:rPr>
          <w:rFonts w:ascii="Times New Roman" w:hAnsi="Times New Roman"/>
          <w:sz w:val="24"/>
          <w:szCs w:val="24"/>
        </w:rPr>
        <w:t>3</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14"/>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_Toc20814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2.3 厂区平面布置</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_Toc20814 \h </w:instrText>
      </w:r>
      <w:r>
        <w:rPr>
          <w:rFonts w:ascii="Times New Roman" w:hAnsi="Times New Roman"/>
          <w:sz w:val="24"/>
          <w:szCs w:val="24"/>
        </w:rPr>
        <w:fldChar w:fldCharType="separate"/>
      </w:r>
      <w:r>
        <w:rPr>
          <w:rFonts w:ascii="Times New Roman" w:hAnsi="Times New Roman"/>
          <w:sz w:val="24"/>
          <w:szCs w:val="24"/>
        </w:rPr>
        <w:t>3</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14"/>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_Toc26985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 xml:space="preserve">2.4 </w:t>
      </w:r>
      <w:r>
        <w:rPr>
          <w:rFonts w:hint="eastAsia" w:ascii="Times New Roman" w:hAnsi="Times New Roman" w:cs="Times New Roman"/>
          <w:sz w:val="24"/>
          <w:szCs w:val="24"/>
        </w:rPr>
        <w:t>主</w:t>
      </w:r>
      <w:r>
        <w:rPr>
          <w:rFonts w:ascii="Times New Roman" w:hAnsi="Times New Roman" w:cs="Times New Roman"/>
          <w:sz w:val="24"/>
          <w:szCs w:val="24"/>
        </w:rPr>
        <w:t>要辅料</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_Toc26985 \h </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14"/>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_Toc11443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 xml:space="preserve">2.5 </w:t>
      </w:r>
      <w:r>
        <w:rPr>
          <w:rFonts w:hint="eastAsia" w:ascii="Times New Roman" w:hAnsi="Times New Roman" w:cs="Times New Roman"/>
          <w:sz w:val="24"/>
          <w:szCs w:val="24"/>
        </w:rPr>
        <w:t>生</w:t>
      </w:r>
      <w:r>
        <w:rPr>
          <w:rFonts w:ascii="Times New Roman" w:hAnsi="Times New Roman" w:cs="Times New Roman"/>
          <w:sz w:val="24"/>
          <w:szCs w:val="24"/>
        </w:rPr>
        <w:t>产工艺</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_Toc11443 \h </w:instrText>
      </w:r>
      <w:r>
        <w:rPr>
          <w:rFonts w:ascii="Times New Roman" w:hAnsi="Times New Roman"/>
          <w:sz w:val="24"/>
          <w:szCs w:val="24"/>
        </w:rPr>
        <w:fldChar w:fldCharType="separate"/>
      </w:r>
      <w:r>
        <w:rPr>
          <w:rFonts w:ascii="Times New Roman" w:hAnsi="Times New Roman"/>
          <w:sz w:val="24"/>
          <w:szCs w:val="24"/>
        </w:rPr>
        <w:t>6</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14"/>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_Toc8890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2.6 产污分析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_Toc8890 \h </w:instrText>
      </w:r>
      <w:r>
        <w:rPr>
          <w:rFonts w:ascii="Times New Roman" w:hAnsi="Times New Roman"/>
          <w:sz w:val="24"/>
          <w:szCs w:val="24"/>
        </w:rPr>
        <w:fldChar w:fldCharType="separate"/>
      </w:r>
      <w:r>
        <w:rPr>
          <w:rFonts w:ascii="Times New Roman" w:hAnsi="Times New Roman"/>
          <w:sz w:val="24"/>
          <w:szCs w:val="24"/>
        </w:rPr>
        <w:t>8</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8"/>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_Toc6372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2.6.1 废水</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_Toc6372 \h </w:instrText>
      </w:r>
      <w:r>
        <w:rPr>
          <w:rFonts w:ascii="Times New Roman" w:hAnsi="Times New Roman"/>
          <w:sz w:val="24"/>
          <w:szCs w:val="24"/>
        </w:rPr>
        <w:fldChar w:fldCharType="separate"/>
      </w:r>
      <w:r>
        <w:rPr>
          <w:rFonts w:ascii="Times New Roman" w:hAnsi="Times New Roman"/>
          <w:sz w:val="24"/>
          <w:szCs w:val="24"/>
        </w:rPr>
        <w:t>8</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8"/>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_Toc9686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2.6.2 废气</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_Toc9686 \h </w:instrText>
      </w:r>
      <w:r>
        <w:rPr>
          <w:rFonts w:ascii="Times New Roman" w:hAnsi="Times New Roman"/>
          <w:sz w:val="24"/>
          <w:szCs w:val="24"/>
        </w:rPr>
        <w:fldChar w:fldCharType="separate"/>
      </w:r>
      <w:r>
        <w:rPr>
          <w:rFonts w:ascii="Times New Roman" w:hAnsi="Times New Roman"/>
          <w:sz w:val="24"/>
          <w:szCs w:val="24"/>
        </w:rPr>
        <w:t>9</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8"/>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_Toc2081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2.6.3 固废</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_Toc2081 \h </w:instrText>
      </w:r>
      <w:r>
        <w:rPr>
          <w:rFonts w:ascii="Times New Roman" w:hAnsi="Times New Roman"/>
          <w:sz w:val="24"/>
          <w:szCs w:val="24"/>
        </w:rPr>
        <w:fldChar w:fldCharType="separate"/>
      </w:r>
      <w:r>
        <w:rPr>
          <w:rFonts w:ascii="Times New Roman" w:hAnsi="Times New Roman"/>
          <w:sz w:val="24"/>
          <w:szCs w:val="24"/>
        </w:rPr>
        <w:t>11</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14"/>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_Toc32649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2.7 重点区域及设施识别</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_Toc32649 \h </w:instrText>
      </w:r>
      <w:r>
        <w:rPr>
          <w:rFonts w:ascii="Times New Roman" w:hAnsi="Times New Roman"/>
          <w:sz w:val="24"/>
          <w:szCs w:val="24"/>
        </w:rPr>
        <w:fldChar w:fldCharType="separate"/>
      </w:r>
      <w:r>
        <w:rPr>
          <w:rFonts w:ascii="Times New Roman" w:hAnsi="Times New Roman"/>
          <w:sz w:val="24"/>
          <w:szCs w:val="24"/>
        </w:rPr>
        <w:t>12</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13"/>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_Toc15026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3 现场采样</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_Toc15026 \h </w:instrText>
      </w:r>
      <w:r>
        <w:rPr>
          <w:rFonts w:ascii="Times New Roman" w:hAnsi="Times New Roman"/>
          <w:sz w:val="24"/>
          <w:szCs w:val="24"/>
        </w:rPr>
        <w:fldChar w:fldCharType="separate"/>
      </w:r>
      <w:r>
        <w:rPr>
          <w:rFonts w:ascii="Times New Roman" w:hAnsi="Times New Roman"/>
          <w:sz w:val="24"/>
          <w:szCs w:val="24"/>
        </w:rPr>
        <w:t>14</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14"/>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_Toc3214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3.1 监测点布设情况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_Toc3214 \h </w:instrText>
      </w:r>
      <w:r>
        <w:rPr>
          <w:rFonts w:ascii="Times New Roman" w:hAnsi="Times New Roman"/>
          <w:sz w:val="24"/>
          <w:szCs w:val="24"/>
        </w:rPr>
        <w:fldChar w:fldCharType="separate"/>
      </w:r>
      <w:r>
        <w:rPr>
          <w:rFonts w:ascii="Times New Roman" w:hAnsi="Times New Roman"/>
          <w:sz w:val="24"/>
          <w:szCs w:val="24"/>
        </w:rPr>
        <w:t>14</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8"/>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_Toc11904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3.1.1 自行监测方案点位布设情况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_Toc11904 \h </w:instrText>
      </w:r>
      <w:r>
        <w:rPr>
          <w:rFonts w:ascii="Times New Roman" w:hAnsi="Times New Roman"/>
          <w:sz w:val="24"/>
          <w:szCs w:val="24"/>
        </w:rPr>
        <w:fldChar w:fldCharType="separate"/>
      </w:r>
      <w:r>
        <w:rPr>
          <w:rFonts w:ascii="Times New Roman" w:hAnsi="Times New Roman"/>
          <w:sz w:val="24"/>
          <w:szCs w:val="24"/>
        </w:rPr>
        <w:t>14</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8"/>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_Toc7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3.1.2 本次监测工作的点位布设情况</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 \h </w:instrText>
      </w:r>
      <w:r>
        <w:rPr>
          <w:rFonts w:ascii="Times New Roman" w:hAnsi="Times New Roman"/>
          <w:sz w:val="24"/>
          <w:szCs w:val="24"/>
        </w:rPr>
        <w:fldChar w:fldCharType="separate"/>
      </w:r>
      <w:r>
        <w:rPr>
          <w:rFonts w:ascii="Times New Roman" w:hAnsi="Times New Roman"/>
          <w:sz w:val="24"/>
          <w:szCs w:val="24"/>
        </w:rPr>
        <w:t>18</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8"/>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_Toc11151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3.1.3 监测点情况说明</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_Toc11151 \h </w:instrText>
      </w:r>
      <w:r>
        <w:rPr>
          <w:rFonts w:ascii="Times New Roman" w:hAnsi="Times New Roman"/>
          <w:sz w:val="24"/>
          <w:szCs w:val="24"/>
        </w:rPr>
        <w:fldChar w:fldCharType="separate"/>
      </w:r>
      <w:r>
        <w:rPr>
          <w:rFonts w:ascii="Times New Roman" w:hAnsi="Times New Roman"/>
          <w:sz w:val="24"/>
          <w:szCs w:val="24"/>
        </w:rPr>
        <w:t>19</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14"/>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_Toc13840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3.2 土壤样品采集、保存与流转</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_Toc13840 \h </w:instrText>
      </w:r>
      <w:r>
        <w:rPr>
          <w:rFonts w:ascii="Times New Roman" w:hAnsi="Times New Roman"/>
          <w:sz w:val="24"/>
          <w:szCs w:val="24"/>
        </w:rPr>
        <w:fldChar w:fldCharType="separate"/>
      </w:r>
      <w:r>
        <w:rPr>
          <w:rFonts w:ascii="Times New Roman" w:hAnsi="Times New Roman"/>
          <w:sz w:val="24"/>
          <w:szCs w:val="24"/>
        </w:rPr>
        <w:t>21</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8"/>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_Toc26350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3.2.1 土壤样品采集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_Toc26350 \h </w:instrText>
      </w:r>
      <w:r>
        <w:rPr>
          <w:rFonts w:ascii="Times New Roman" w:hAnsi="Times New Roman"/>
          <w:sz w:val="24"/>
          <w:szCs w:val="24"/>
        </w:rPr>
        <w:fldChar w:fldCharType="separate"/>
      </w:r>
      <w:r>
        <w:rPr>
          <w:rFonts w:ascii="Times New Roman" w:hAnsi="Times New Roman"/>
          <w:sz w:val="24"/>
          <w:szCs w:val="24"/>
        </w:rPr>
        <w:t>21</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8"/>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_Toc15393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3.2.2 土壤样品保存与流转</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_Toc15393 \h </w:instrText>
      </w:r>
      <w:r>
        <w:rPr>
          <w:rFonts w:ascii="Times New Roman" w:hAnsi="Times New Roman"/>
          <w:sz w:val="24"/>
          <w:szCs w:val="24"/>
        </w:rPr>
        <w:fldChar w:fldCharType="separate"/>
      </w:r>
      <w:r>
        <w:rPr>
          <w:rFonts w:ascii="Times New Roman" w:hAnsi="Times New Roman"/>
          <w:sz w:val="24"/>
          <w:szCs w:val="24"/>
        </w:rPr>
        <w:t>22</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14"/>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_Toc14933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3.3 地下水样品采集、保存与流转</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_Toc14933 \h </w:instrText>
      </w:r>
      <w:r>
        <w:rPr>
          <w:rFonts w:ascii="Times New Roman" w:hAnsi="Times New Roman"/>
          <w:sz w:val="24"/>
          <w:szCs w:val="24"/>
        </w:rPr>
        <w:fldChar w:fldCharType="separate"/>
      </w:r>
      <w:r>
        <w:rPr>
          <w:rFonts w:ascii="Times New Roman" w:hAnsi="Times New Roman"/>
          <w:sz w:val="24"/>
          <w:szCs w:val="24"/>
        </w:rPr>
        <w:t>22</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13"/>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_Toc26304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4 样品分析测试</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_Toc26304 \h </w:instrText>
      </w:r>
      <w:r>
        <w:rPr>
          <w:rFonts w:ascii="Times New Roman" w:hAnsi="Times New Roman"/>
          <w:sz w:val="24"/>
          <w:szCs w:val="24"/>
        </w:rPr>
        <w:fldChar w:fldCharType="separate"/>
      </w:r>
      <w:r>
        <w:rPr>
          <w:rFonts w:ascii="Times New Roman" w:hAnsi="Times New Roman"/>
          <w:sz w:val="24"/>
          <w:szCs w:val="24"/>
        </w:rPr>
        <w:t>23</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14"/>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_Toc19224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4.1 各点位选取的特征污染物</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_Toc19224 \h </w:instrText>
      </w:r>
      <w:r>
        <w:rPr>
          <w:rFonts w:ascii="Times New Roman" w:hAnsi="Times New Roman"/>
          <w:sz w:val="24"/>
          <w:szCs w:val="24"/>
        </w:rPr>
        <w:fldChar w:fldCharType="separate"/>
      </w:r>
      <w:r>
        <w:rPr>
          <w:rFonts w:ascii="Times New Roman" w:hAnsi="Times New Roman"/>
          <w:sz w:val="24"/>
          <w:szCs w:val="24"/>
        </w:rPr>
        <w:t>23</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14"/>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_Toc1335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4.2 检测项目分析方法</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_Toc1335 \h </w:instrText>
      </w:r>
      <w:r>
        <w:rPr>
          <w:rFonts w:ascii="Times New Roman" w:hAnsi="Times New Roman"/>
          <w:sz w:val="24"/>
          <w:szCs w:val="24"/>
        </w:rPr>
        <w:fldChar w:fldCharType="separate"/>
      </w:r>
      <w:r>
        <w:rPr>
          <w:rFonts w:ascii="Times New Roman" w:hAnsi="Times New Roman"/>
          <w:sz w:val="24"/>
          <w:szCs w:val="24"/>
        </w:rPr>
        <w:t>23</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14"/>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_Toc30101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4.3 实验室质量保证及质量控制</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_Toc30101 \h </w:instrText>
      </w:r>
      <w:r>
        <w:rPr>
          <w:rFonts w:ascii="Times New Roman" w:hAnsi="Times New Roman"/>
          <w:sz w:val="24"/>
          <w:szCs w:val="24"/>
        </w:rPr>
        <w:fldChar w:fldCharType="separate"/>
      </w:r>
      <w:r>
        <w:rPr>
          <w:rFonts w:ascii="Times New Roman" w:hAnsi="Times New Roman"/>
          <w:sz w:val="24"/>
          <w:szCs w:val="24"/>
        </w:rPr>
        <w:t>29</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8"/>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_Toc3005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4.3.1 土壤</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_Toc3005 \h </w:instrText>
      </w:r>
      <w:r>
        <w:rPr>
          <w:rFonts w:ascii="Times New Roman" w:hAnsi="Times New Roman"/>
          <w:sz w:val="24"/>
          <w:szCs w:val="24"/>
        </w:rPr>
        <w:fldChar w:fldCharType="separate"/>
      </w:r>
      <w:r>
        <w:rPr>
          <w:rFonts w:ascii="Times New Roman" w:hAnsi="Times New Roman"/>
          <w:sz w:val="24"/>
          <w:szCs w:val="24"/>
        </w:rPr>
        <w:t>30</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8"/>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_Toc2350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4.3.2 地下水</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_Toc2350 \h </w:instrText>
      </w:r>
      <w:r>
        <w:rPr>
          <w:rFonts w:ascii="Times New Roman" w:hAnsi="Times New Roman"/>
          <w:sz w:val="24"/>
          <w:szCs w:val="24"/>
        </w:rPr>
        <w:fldChar w:fldCharType="separate"/>
      </w:r>
      <w:r>
        <w:rPr>
          <w:rFonts w:ascii="Times New Roman" w:hAnsi="Times New Roman"/>
          <w:sz w:val="24"/>
          <w:szCs w:val="24"/>
        </w:rPr>
        <w:t>31</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13"/>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_Toc12298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5 监测结果分析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_Toc12298 \h </w:instrText>
      </w:r>
      <w:r>
        <w:rPr>
          <w:rFonts w:ascii="Times New Roman" w:hAnsi="Times New Roman"/>
          <w:sz w:val="24"/>
          <w:szCs w:val="24"/>
        </w:rPr>
        <w:fldChar w:fldCharType="separate"/>
      </w:r>
      <w:r>
        <w:rPr>
          <w:rFonts w:ascii="Times New Roman" w:hAnsi="Times New Roman"/>
          <w:sz w:val="24"/>
          <w:szCs w:val="24"/>
        </w:rPr>
        <w:t>33</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14"/>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_Toc281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5.1 评价标准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_Toc281 \h </w:instrText>
      </w:r>
      <w:r>
        <w:rPr>
          <w:rFonts w:ascii="Times New Roman" w:hAnsi="Times New Roman"/>
          <w:sz w:val="24"/>
          <w:szCs w:val="24"/>
        </w:rPr>
        <w:fldChar w:fldCharType="separate"/>
      </w:r>
      <w:r>
        <w:rPr>
          <w:rFonts w:ascii="Times New Roman" w:hAnsi="Times New Roman"/>
          <w:sz w:val="24"/>
          <w:szCs w:val="24"/>
        </w:rPr>
        <w:t>33</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14"/>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_Toc4980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5.2 检测结果</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_Toc4980 \h </w:instrText>
      </w:r>
      <w:r>
        <w:rPr>
          <w:rFonts w:ascii="Times New Roman" w:hAnsi="Times New Roman"/>
          <w:sz w:val="24"/>
          <w:szCs w:val="24"/>
        </w:rPr>
        <w:fldChar w:fldCharType="separate"/>
      </w:r>
      <w:r>
        <w:rPr>
          <w:rFonts w:ascii="Times New Roman" w:hAnsi="Times New Roman"/>
          <w:sz w:val="24"/>
          <w:szCs w:val="24"/>
        </w:rPr>
        <w:t>33</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14"/>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_Toc2174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5.3 结果评价</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_Toc2174 \h </w:instrText>
      </w:r>
      <w:r>
        <w:rPr>
          <w:rFonts w:ascii="Times New Roman" w:hAnsi="Times New Roman"/>
          <w:sz w:val="24"/>
          <w:szCs w:val="24"/>
        </w:rPr>
        <w:fldChar w:fldCharType="separate"/>
      </w:r>
      <w:r>
        <w:rPr>
          <w:rFonts w:ascii="Times New Roman" w:hAnsi="Times New Roman"/>
          <w:sz w:val="24"/>
          <w:szCs w:val="24"/>
        </w:rPr>
        <w:t>36</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14"/>
        <w:tabs>
          <w:tab w:val="right" w:leader="hyphen" w:pos="8306"/>
        </w:tabs>
        <w:spacing w:line="360" w:lineRule="auto"/>
        <w:rPr>
          <w:rFonts w:ascii="Times New Roman" w:hAnsi="Times New Roman"/>
          <w:sz w:val="24"/>
          <w:szCs w:val="24"/>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begin"/>
      </w:r>
      <w:r>
        <w:rPr>
          <w:rFonts w:ascii="Times New Roman" w:hAnsi="Times New Roman" w:eastAsia="宋体" w:cs="Times New Roman"/>
          <w:sz w:val="24"/>
          <w:szCs w:val="24"/>
          <w:highlight w:val="yellow"/>
        </w:rPr>
        <w:instrText xml:space="preserve"> HYPERLINK \l _Toc12033 </w:instrText>
      </w:r>
      <w:r>
        <w:rPr>
          <w:rFonts w:ascii="Times New Roman" w:hAnsi="Times New Roman" w:eastAsia="宋体" w:cs="Times New Roman"/>
          <w:sz w:val="24"/>
          <w:szCs w:val="24"/>
          <w:highlight w:val="yellow"/>
        </w:rPr>
        <w:fldChar w:fldCharType="separate"/>
      </w:r>
      <w:r>
        <w:rPr>
          <w:rFonts w:ascii="Times New Roman" w:hAnsi="Times New Roman" w:cs="Times New Roman"/>
          <w:sz w:val="24"/>
          <w:szCs w:val="24"/>
        </w:rPr>
        <w:t>5.4 企业针对监测结果拟采取的措施</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_Toc12033 \h </w:instrText>
      </w:r>
      <w:r>
        <w:rPr>
          <w:rFonts w:ascii="Times New Roman" w:hAnsi="Times New Roman"/>
          <w:sz w:val="24"/>
          <w:szCs w:val="24"/>
        </w:rPr>
        <w:fldChar w:fldCharType="separate"/>
      </w:r>
      <w:r>
        <w:rPr>
          <w:rFonts w:ascii="Times New Roman" w:hAnsi="Times New Roman"/>
          <w:sz w:val="24"/>
          <w:szCs w:val="24"/>
        </w:rPr>
        <w:t>37</w:t>
      </w:r>
      <w:r>
        <w:rPr>
          <w:rFonts w:ascii="Times New Roman" w:hAnsi="Times New Roman"/>
          <w:sz w:val="24"/>
          <w:szCs w:val="24"/>
        </w:rPr>
        <w:fldChar w:fldCharType="end"/>
      </w: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2"/>
        <w:spacing w:line="360" w:lineRule="auto"/>
        <w:rPr>
          <w:rFonts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highlight w:val="yellow"/>
          <w14:textFill>
            <w14:solidFill>
              <w14:schemeClr w14:val="tx1"/>
            </w14:solidFill>
          </w14:textFill>
        </w:rPr>
        <w:fldChar w:fldCharType="end"/>
      </w:r>
    </w:p>
    <w:p>
      <w:pPr>
        <w:pStyle w:val="2"/>
        <w:spacing w:line="336" w:lineRule="auto"/>
        <w:rPr>
          <w:rFonts w:eastAsia="宋体" w:cs="Times New Roman"/>
          <w:color w:val="000000" w:themeColor="text1"/>
          <w:kern w:val="2"/>
          <w:sz w:val="24"/>
          <w:szCs w:val="36"/>
          <w14:textFill>
            <w14:solidFill>
              <w14:schemeClr w14:val="tx1"/>
            </w14:solidFill>
          </w14:textFill>
        </w:rPr>
      </w:pPr>
      <w:r>
        <w:rPr>
          <w:rFonts w:eastAsia="宋体" w:cs="Times New Roman"/>
          <w:color w:val="000000" w:themeColor="text1"/>
          <w:kern w:val="2"/>
          <w:sz w:val="24"/>
          <w:szCs w:val="36"/>
          <w14:textFill>
            <w14:solidFill>
              <w14:schemeClr w14:val="tx1"/>
            </w14:solidFill>
          </w14:textFill>
        </w:rPr>
        <w:t>附图1 采样现场照片</w:t>
      </w:r>
    </w:p>
    <w:p>
      <w:pPr>
        <w:spacing w:line="336" w:lineRule="auto"/>
        <w:rPr>
          <w:rFonts w:ascii="Times New Roman" w:hAnsi="Times New Roman" w:eastAsia="宋体" w:cs="Times New Roman"/>
          <w:color w:val="000000" w:themeColor="text1"/>
          <w:sz w:val="24"/>
          <w:szCs w:val="36"/>
          <w14:textFill>
            <w14:solidFill>
              <w14:schemeClr w14:val="tx1"/>
            </w14:solidFill>
          </w14:textFill>
        </w:rPr>
      </w:pPr>
      <w:r>
        <w:rPr>
          <w:rFonts w:ascii="Times New Roman" w:hAnsi="Times New Roman" w:eastAsia="宋体" w:cs="Times New Roman"/>
          <w:color w:val="000000" w:themeColor="text1"/>
          <w:sz w:val="24"/>
          <w:szCs w:val="36"/>
          <w14:textFill>
            <w14:solidFill>
              <w14:schemeClr w14:val="tx1"/>
            </w14:solidFill>
          </w14:textFill>
        </w:rPr>
        <w:t xml:space="preserve">附件1 </w:t>
      </w:r>
      <w:r>
        <w:rPr>
          <w:rFonts w:hint="eastAsia" w:ascii="Times New Roman" w:hAnsi="Times New Roman" w:eastAsia="宋体" w:cs="Times New Roman"/>
          <w:color w:val="000000" w:themeColor="text1"/>
          <w:sz w:val="24"/>
          <w:szCs w:val="36"/>
          <w14:textFill>
            <w14:solidFill>
              <w14:schemeClr w14:val="tx1"/>
            </w14:solidFill>
          </w14:textFill>
        </w:rPr>
        <w:t>采样原始</w:t>
      </w:r>
      <w:r>
        <w:rPr>
          <w:rFonts w:ascii="Times New Roman" w:hAnsi="Times New Roman" w:eastAsia="宋体" w:cs="Times New Roman"/>
          <w:color w:val="000000" w:themeColor="text1"/>
          <w:sz w:val="24"/>
          <w:szCs w:val="36"/>
          <w14:textFill>
            <w14:solidFill>
              <w14:schemeClr w14:val="tx1"/>
            </w14:solidFill>
          </w14:textFill>
        </w:rPr>
        <w:t>记录</w:t>
      </w:r>
    </w:p>
    <w:p>
      <w:pPr>
        <w:spacing w:line="336" w:lineRule="auto"/>
        <w:rPr>
          <w:rFonts w:ascii="Times New Roman" w:hAnsi="Times New Roman" w:eastAsia="宋体" w:cs="Times New Roman"/>
          <w:color w:val="000000" w:themeColor="text1"/>
          <w:sz w:val="24"/>
          <w:szCs w:val="36"/>
          <w14:textFill>
            <w14:solidFill>
              <w14:schemeClr w14:val="tx1"/>
            </w14:solidFill>
          </w14:textFill>
        </w:rPr>
      </w:pPr>
      <w:r>
        <w:rPr>
          <w:rFonts w:ascii="Times New Roman" w:hAnsi="Times New Roman" w:eastAsia="宋体" w:cs="Times New Roman"/>
          <w:color w:val="000000" w:themeColor="text1"/>
          <w:sz w:val="24"/>
          <w:szCs w:val="36"/>
          <w14:textFill>
            <w14:solidFill>
              <w14:schemeClr w14:val="tx1"/>
            </w14:solidFill>
          </w14:textFill>
        </w:rPr>
        <w:t>附件2 检测单位CMA资质证书</w:t>
      </w:r>
    </w:p>
    <w:p>
      <w:pPr>
        <w:spacing w:line="336" w:lineRule="auto"/>
        <w:rPr>
          <w:rFonts w:ascii="Times New Roman" w:hAnsi="Times New Roman" w:eastAsia="宋体" w:cs="Times New Roman"/>
          <w:color w:val="000000" w:themeColor="text1"/>
          <w:sz w:val="24"/>
          <w:szCs w:val="36"/>
          <w14:textFill>
            <w14:solidFill>
              <w14:schemeClr w14:val="tx1"/>
            </w14:solidFill>
          </w14:textFill>
        </w:rPr>
      </w:pPr>
      <w:r>
        <w:rPr>
          <w:rFonts w:ascii="Times New Roman" w:hAnsi="Times New Roman" w:eastAsia="宋体" w:cs="Times New Roman"/>
          <w:color w:val="000000" w:themeColor="text1"/>
          <w:sz w:val="24"/>
          <w:szCs w:val="36"/>
          <w14:textFill>
            <w14:solidFill>
              <w14:schemeClr w14:val="tx1"/>
            </w14:solidFill>
          </w14:textFill>
        </w:rPr>
        <w:t>附件3 检测报告</w:t>
      </w:r>
    </w:p>
    <w:p>
      <w:pPr>
        <w:pStyle w:val="2"/>
        <w:rPr>
          <w:rFonts w:eastAsia="宋体" w:cs="Times New Roman"/>
          <w:color w:val="FF0000"/>
        </w:rPr>
      </w:pPr>
    </w:p>
    <w:p>
      <w:pPr>
        <w:rPr>
          <w:rFonts w:ascii="Times New Roman" w:hAnsi="Times New Roman" w:eastAsia="宋体" w:cs="Times New Roman"/>
          <w:color w:val="FF0000"/>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9"/>
        <w:numPr>
          <w:ilvl w:val="0"/>
          <w:numId w:val="2"/>
        </w:numPr>
        <w:ind w:firstLineChars="0"/>
        <w:jc w:val="center"/>
        <w:outlineLvl w:val="0"/>
        <w:rPr>
          <w:rFonts w:cs="Times New Roman"/>
          <w:b/>
          <w:color w:val="000000" w:themeColor="text1"/>
          <w:sz w:val="32"/>
          <w14:textFill>
            <w14:solidFill>
              <w14:schemeClr w14:val="tx1"/>
            </w14:solidFill>
          </w14:textFill>
        </w:rPr>
      </w:pPr>
      <w:bookmarkStart w:id="0" w:name="_Toc87451698"/>
      <w:bookmarkStart w:id="1" w:name="_Toc15206"/>
      <w:bookmarkStart w:id="2" w:name="_Toc88838033"/>
      <w:bookmarkStart w:id="3" w:name="_Toc87451699"/>
      <w:r>
        <w:rPr>
          <w:rFonts w:cs="Times New Roman"/>
          <w:b/>
          <w:color w:val="000000" w:themeColor="text1"/>
          <w:sz w:val="32"/>
          <w14:textFill>
            <w14:solidFill>
              <w14:schemeClr w14:val="tx1"/>
            </w14:solidFill>
          </w14:textFill>
        </w:rPr>
        <w:t>项目简介</w:t>
      </w:r>
      <w:bookmarkEnd w:id="0"/>
      <w:bookmarkEnd w:id="1"/>
      <w:bookmarkEnd w:id="2"/>
    </w:p>
    <w:p>
      <w:pPr>
        <w:pStyle w:val="39"/>
        <w:numPr>
          <w:ilvl w:val="1"/>
          <w:numId w:val="2"/>
        </w:numPr>
        <w:ind w:left="0" w:firstLine="0" w:firstLineChars="0"/>
        <w:outlineLvl w:val="1"/>
        <w:rPr>
          <w:rFonts w:cs="Times New Roman"/>
          <w:b/>
          <w:color w:val="000000" w:themeColor="text1"/>
          <w:sz w:val="28"/>
          <w14:textFill>
            <w14:solidFill>
              <w14:schemeClr w14:val="tx1"/>
            </w14:solidFill>
          </w14:textFill>
        </w:rPr>
      </w:pPr>
      <w:bookmarkStart w:id="4" w:name="_Toc88838034"/>
      <w:bookmarkStart w:id="5" w:name="_Toc10128"/>
      <w:r>
        <w:rPr>
          <w:rFonts w:cs="Times New Roman"/>
          <w:b/>
          <w:color w:val="000000" w:themeColor="text1"/>
          <w:sz w:val="28"/>
          <w14:textFill>
            <w14:solidFill>
              <w14:schemeClr w14:val="tx1"/>
            </w14:solidFill>
          </w14:textFill>
        </w:rPr>
        <w:t>开展自行监测企业名称</w:t>
      </w:r>
      <w:bookmarkEnd w:id="3"/>
      <w:bookmarkEnd w:id="4"/>
      <w:bookmarkEnd w:id="5"/>
    </w:p>
    <w:p>
      <w:pPr>
        <w:pStyle w:val="39"/>
        <w:ind w:firstLine="480"/>
        <w:rPr>
          <w:rFonts w:cs="Times New Roman"/>
          <w:b/>
          <w:color w:val="000000" w:themeColor="text1"/>
          <w:sz w:val="28"/>
          <w14:textFill>
            <w14:solidFill>
              <w14:schemeClr w14:val="tx1"/>
            </w14:solidFill>
          </w14:textFill>
        </w:rPr>
      </w:pPr>
      <w:r>
        <w:rPr>
          <w:rFonts w:hint="eastAsia" w:cs="Times New Roman"/>
          <w:color w:val="000000" w:themeColor="text1"/>
          <w14:textFill>
            <w14:solidFill>
              <w14:schemeClr w14:val="tx1"/>
            </w14:solidFill>
          </w14:textFill>
        </w:rPr>
        <w:t>光大环保能源（乐山）有限公司</w:t>
      </w:r>
    </w:p>
    <w:p>
      <w:pPr>
        <w:pStyle w:val="39"/>
        <w:numPr>
          <w:ilvl w:val="1"/>
          <w:numId w:val="2"/>
        </w:numPr>
        <w:ind w:left="0" w:firstLine="0" w:firstLineChars="0"/>
        <w:outlineLvl w:val="1"/>
        <w:rPr>
          <w:rFonts w:cs="Times New Roman"/>
          <w:b/>
          <w:color w:val="000000" w:themeColor="text1"/>
          <w:sz w:val="28"/>
          <w14:textFill>
            <w14:solidFill>
              <w14:schemeClr w14:val="tx1"/>
            </w14:solidFill>
          </w14:textFill>
        </w:rPr>
      </w:pPr>
      <w:bookmarkStart w:id="6" w:name="_Toc87451700"/>
      <w:bookmarkStart w:id="7" w:name="_Toc6867"/>
      <w:bookmarkStart w:id="8" w:name="_Toc88838035"/>
      <w:r>
        <w:rPr>
          <w:rFonts w:cs="Times New Roman"/>
          <w:b/>
          <w:color w:val="000000" w:themeColor="text1"/>
          <w:sz w:val="28"/>
          <w14:textFill>
            <w14:solidFill>
              <w14:schemeClr w14:val="tx1"/>
            </w14:solidFill>
          </w14:textFill>
        </w:rPr>
        <w:t>报告编制单位及检测单位</w:t>
      </w:r>
      <w:bookmarkEnd w:id="6"/>
      <w:bookmarkEnd w:id="7"/>
      <w:bookmarkEnd w:id="8"/>
    </w:p>
    <w:p>
      <w:pPr>
        <w:numPr>
          <w:ilvl w:val="0"/>
          <w:numId w:val="3"/>
        </w:numPr>
        <w:spacing w:line="360" w:lineRule="auto"/>
        <w:ind w:left="0" w:firstLine="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报告编制单位名称：成都市华测检测技术有限公司</w:t>
      </w:r>
    </w:p>
    <w:p>
      <w:pPr>
        <w:numPr>
          <w:ilvl w:val="0"/>
          <w:numId w:val="3"/>
        </w:numPr>
        <w:spacing w:line="360" w:lineRule="auto"/>
        <w:ind w:left="0" w:firstLine="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检测单位名称：</w:t>
      </w:r>
      <w:r>
        <w:rPr>
          <w:rFonts w:ascii="Times New Roman" w:hAnsi="Times New Roman" w:eastAsia="宋体" w:cs="Times New Roman"/>
          <w:iCs/>
          <w:color w:val="000000" w:themeColor="text1"/>
          <w:sz w:val="24"/>
          <w:szCs w:val="24"/>
          <w14:textFill>
            <w14:solidFill>
              <w14:schemeClr w14:val="tx1"/>
            </w14:solidFill>
          </w14:textFill>
        </w:rPr>
        <w:t>成都市华测检测技术有限公司</w:t>
      </w:r>
    </w:p>
    <w:p>
      <w:pPr>
        <w:numPr>
          <w:ilvl w:val="0"/>
          <w:numId w:val="3"/>
        </w:numPr>
        <w:spacing w:line="360" w:lineRule="auto"/>
        <w:ind w:left="0" w:firstLine="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项目负责人：刘阳</w:t>
      </w:r>
    </w:p>
    <w:p>
      <w:pPr>
        <w:numPr>
          <w:ilvl w:val="0"/>
          <w:numId w:val="3"/>
        </w:numPr>
        <w:spacing w:line="360" w:lineRule="auto"/>
        <w:ind w:left="0" w:firstLine="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报告编制人员：</w:t>
      </w:r>
      <w:r>
        <w:rPr>
          <w:rFonts w:hint="eastAsia" w:ascii="Times New Roman" w:hAnsi="Times New Roman" w:eastAsia="宋体" w:cs="Times New Roman"/>
          <w:color w:val="000000" w:themeColor="text1"/>
          <w:sz w:val="24"/>
          <w:szCs w:val="24"/>
          <w14:textFill>
            <w14:solidFill>
              <w14:schemeClr w14:val="tx1"/>
            </w14:solidFill>
          </w14:textFill>
        </w:rPr>
        <w:t>刘佳旻</w:t>
      </w:r>
    </w:p>
    <w:p>
      <w:pPr>
        <w:numPr>
          <w:ilvl w:val="0"/>
          <w:numId w:val="3"/>
        </w:numPr>
        <w:spacing w:line="360" w:lineRule="auto"/>
        <w:ind w:left="0" w:firstLine="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检测报告编制人员：陈吕</w:t>
      </w:r>
    </w:p>
    <w:p>
      <w:pPr>
        <w:pStyle w:val="39"/>
        <w:numPr>
          <w:ilvl w:val="1"/>
          <w:numId w:val="2"/>
        </w:numPr>
        <w:ind w:left="0" w:firstLine="0" w:firstLineChars="0"/>
        <w:outlineLvl w:val="1"/>
        <w:rPr>
          <w:rFonts w:cs="Times New Roman"/>
          <w:b/>
          <w:color w:val="000000" w:themeColor="text1"/>
          <w:sz w:val="28"/>
          <w14:textFill>
            <w14:solidFill>
              <w14:schemeClr w14:val="tx1"/>
            </w14:solidFill>
          </w14:textFill>
        </w:rPr>
      </w:pPr>
      <w:bookmarkStart w:id="9" w:name="_Toc1271"/>
      <w:bookmarkStart w:id="10" w:name="_Toc88838036"/>
      <w:bookmarkStart w:id="11" w:name="_Toc87451701"/>
      <w:r>
        <w:rPr>
          <w:rFonts w:cs="Times New Roman"/>
          <w:b/>
          <w:color w:val="000000" w:themeColor="text1"/>
          <w:sz w:val="28"/>
          <w14:textFill>
            <w14:solidFill>
              <w14:schemeClr w14:val="tx1"/>
            </w14:solidFill>
          </w14:textFill>
        </w:rPr>
        <w:t>报告编制依据</w:t>
      </w:r>
      <w:bookmarkEnd w:id="9"/>
      <w:bookmarkEnd w:id="10"/>
      <w:bookmarkEnd w:id="11"/>
    </w:p>
    <w:p>
      <w:pPr>
        <w:pStyle w:val="39"/>
        <w:numPr>
          <w:ilvl w:val="2"/>
          <w:numId w:val="2"/>
        </w:numPr>
        <w:ind w:left="0" w:firstLine="0" w:firstLineChars="0"/>
        <w:outlineLvl w:val="2"/>
        <w:rPr>
          <w:rFonts w:cs="Times New Roman"/>
          <w:b/>
          <w:color w:val="000000" w:themeColor="text1"/>
          <w14:textFill>
            <w14:solidFill>
              <w14:schemeClr w14:val="tx1"/>
            </w14:solidFill>
          </w14:textFill>
        </w:rPr>
      </w:pPr>
      <w:bookmarkStart w:id="12" w:name="_Toc87451702"/>
      <w:bookmarkStart w:id="13" w:name="_Toc88838037"/>
      <w:bookmarkStart w:id="14" w:name="_Toc31029"/>
      <w:r>
        <w:rPr>
          <w:rFonts w:cs="Times New Roman"/>
          <w:b/>
          <w:color w:val="000000" w:themeColor="text1"/>
          <w14:textFill>
            <w14:solidFill>
              <w14:schemeClr w14:val="tx1"/>
            </w14:solidFill>
          </w14:textFill>
        </w:rPr>
        <w:t>法律、法规及政策依据</w:t>
      </w:r>
      <w:bookmarkEnd w:id="12"/>
      <w:bookmarkEnd w:id="13"/>
      <w:bookmarkEnd w:id="14"/>
    </w:p>
    <w:p>
      <w:pPr>
        <w:pStyle w:val="39"/>
        <w:numPr>
          <w:ilvl w:val="0"/>
          <w:numId w:val="4"/>
        </w:num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《中华人民共和国环境保护法》（2015.1.1）；</w:t>
      </w:r>
    </w:p>
    <w:p>
      <w:pPr>
        <w:pStyle w:val="39"/>
        <w:numPr>
          <w:ilvl w:val="0"/>
          <w:numId w:val="4"/>
        </w:num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《中华人民共和国土壤污染防治法》（2019.1.1）；</w:t>
      </w:r>
    </w:p>
    <w:p>
      <w:pPr>
        <w:pStyle w:val="39"/>
        <w:numPr>
          <w:ilvl w:val="0"/>
          <w:numId w:val="4"/>
        </w:num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《中华人民共和国水污染防治法》（2018.1.1）；</w:t>
      </w:r>
    </w:p>
    <w:p>
      <w:pPr>
        <w:pStyle w:val="39"/>
        <w:numPr>
          <w:ilvl w:val="0"/>
          <w:numId w:val="4"/>
        </w:num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《土壤污染防治行动计划》（国发〔2016〕31号）；</w:t>
      </w:r>
    </w:p>
    <w:p>
      <w:pPr>
        <w:pStyle w:val="39"/>
        <w:numPr>
          <w:ilvl w:val="0"/>
          <w:numId w:val="4"/>
        </w:num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《土壤污染防治行动计划四川省工作方案》（川府发〔2016〕63号）；</w:t>
      </w:r>
    </w:p>
    <w:p>
      <w:pPr>
        <w:pStyle w:val="39"/>
        <w:numPr>
          <w:ilvl w:val="0"/>
          <w:numId w:val="4"/>
        </w:num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《污染地块土壤环境管理办法（试行）》（环境保护部令第42号）；</w:t>
      </w:r>
    </w:p>
    <w:p>
      <w:pPr>
        <w:pStyle w:val="39"/>
        <w:numPr>
          <w:ilvl w:val="0"/>
          <w:numId w:val="4"/>
        </w:num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《工矿用地土壤环境管理办法（试行）》（生态环境部令第3号）；</w:t>
      </w:r>
    </w:p>
    <w:p>
      <w:pPr>
        <w:pStyle w:val="39"/>
        <w:numPr>
          <w:ilvl w:val="0"/>
          <w:numId w:val="4"/>
        </w:num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《四川省污染地块土壤环境管理办法》（川环发〔2018〕90号）；</w:t>
      </w:r>
    </w:p>
    <w:p>
      <w:pPr>
        <w:pStyle w:val="39"/>
        <w:numPr>
          <w:ilvl w:val="0"/>
          <w:numId w:val="4"/>
        </w:num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《四川省工矿用地土壤环境管理办法》（川环发〔2018〕88号）；</w:t>
      </w:r>
    </w:p>
    <w:p>
      <w:pPr>
        <w:pStyle w:val="39"/>
        <w:numPr>
          <w:ilvl w:val="0"/>
          <w:numId w:val="4"/>
        </w:numPr>
        <w:ind w:firstLine="480"/>
        <w:rPr>
          <w:rFonts w:cs="Times New Roman"/>
          <w:color w:val="000000" w:themeColor="text1"/>
          <w14:textFill>
            <w14:solidFill>
              <w14:schemeClr w14:val="tx1"/>
            </w14:solidFill>
          </w14:textFill>
        </w:rPr>
      </w:pPr>
      <w:r>
        <w:rPr>
          <w:rFonts w:cs="Times New Roman"/>
        </w:rPr>
        <w:t>《关于加强涉重金属行业污染防控的意见》（环土壤〔2018〕22号）；</w:t>
      </w:r>
    </w:p>
    <w:p>
      <w:pPr>
        <w:pStyle w:val="39"/>
        <w:numPr>
          <w:ilvl w:val="0"/>
          <w:numId w:val="4"/>
        </w:numPr>
        <w:ind w:firstLine="480"/>
        <w:rPr>
          <w:rFonts w:cs="Times New Roman"/>
          <w:color w:val="000000" w:themeColor="text1"/>
          <w14:textFill>
            <w14:solidFill>
              <w14:schemeClr w14:val="tx1"/>
            </w14:solidFill>
          </w14:textFill>
        </w:rPr>
      </w:pPr>
      <w:r>
        <w:rPr>
          <w:rFonts w:cs="Times New Roman"/>
        </w:rPr>
        <w:t>《关于做好企业土壤污染防治责任书签订工作的函》（川环函〔2017〕2069号）；</w:t>
      </w:r>
    </w:p>
    <w:p>
      <w:pPr>
        <w:pStyle w:val="39"/>
        <w:numPr>
          <w:ilvl w:val="0"/>
          <w:numId w:val="4"/>
        </w:numPr>
        <w:ind w:firstLine="480"/>
        <w:rPr>
          <w:rFonts w:cs="Times New Roman"/>
          <w:color w:val="000000" w:themeColor="text1"/>
          <w14:textFill>
            <w14:solidFill>
              <w14:schemeClr w14:val="tx1"/>
            </w14:solidFill>
          </w14:textFill>
        </w:rPr>
      </w:pPr>
      <w:r>
        <w:rPr>
          <w:rFonts w:cs="Times New Roman"/>
        </w:rPr>
        <w:t>《关于做好土壤污染重点监管单位土壤环境自行监测工作的通知》（川环办函〔2018〕446号）</w:t>
      </w:r>
      <w:r>
        <w:rPr>
          <w:rFonts w:hint="eastAsia" w:cs="Times New Roman"/>
        </w:rPr>
        <w:t>；</w:t>
      </w:r>
    </w:p>
    <w:p>
      <w:pPr>
        <w:pStyle w:val="39"/>
        <w:numPr>
          <w:ilvl w:val="0"/>
          <w:numId w:val="4"/>
        </w:num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《关于做好土壤污染重点监管单位环境监督管理工作的通知》（川环办函〔2021〕83号）</w:t>
      </w:r>
      <w:r>
        <w:rPr>
          <w:rFonts w:hint="eastAsia" w:cs="Times New Roman"/>
          <w:color w:val="000000" w:themeColor="text1"/>
          <w14:textFill>
            <w14:solidFill>
              <w14:schemeClr w14:val="tx1"/>
            </w14:solidFill>
          </w14:textFill>
        </w:rPr>
        <w:t>；</w:t>
      </w:r>
    </w:p>
    <w:p>
      <w:pPr>
        <w:pStyle w:val="39"/>
        <w:numPr>
          <w:ilvl w:val="0"/>
          <w:numId w:val="4"/>
        </w:numPr>
        <w:ind w:firstLine="480"/>
        <w:rPr>
          <w:rFonts w:cs="Times New Roman"/>
          <w:color w:val="000000" w:themeColor="text1"/>
          <w14:textFill>
            <w14:solidFill>
              <w14:schemeClr w14:val="tx1"/>
            </w14:solidFill>
          </w14:textFill>
        </w:rPr>
      </w:pPr>
      <w:r>
        <w:rPr>
          <w:rFonts w:hint="eastAsia" w:cs="Times New Roman"/>
        </w:rPr>
        <w:t>《乐山市2021年土壤环境污染重点监管单位名录》。</w:t>
      </w:r>
    </w:p>
    <w:p>
      <w:pPr>
        <w:pStyle w:val="39"/>
        <w:numPr>
          <w:ilvl w:val="2"/>
          <w:numId w:val="2"/>
        </w:numPr>
        <w:ind w:left="0" w:firstLine="0" w:firstLineChars="0"/>
        <w:outlineLvl w:val="2"/>
        <w:rPr>
          <w:rFonts w:cs="Times New Roman"/>
          <w:b/>
          <w:color w:val="000000" w:themeColor="text1"/>
          <w14:textFill>
            <w14:solidFill>
              <w14:schemeClr w14:val="tx1"/>
            </w14:solidFill>
          </w14:textFill>
        </w:rPr>
      </w:pPr>
      <w:bookmarkStart w:id="15" w:name="_Toc87451703"/>
      <w:bookmarkStart w:id="16" w:name="_Toc3895385"/>
      <w:bookmarkStart w:id="17" w:name="_Toc10034635"/>
      <w:bookmarkStart w:id="18" w:name="_Toc88838038"/>
      <w:bookmarkStart w:id="19" w:name="_Toc18735"/>
      <w:r>
        <w:rPr>
          <w:rFonts w:cs="Times New Roman"/>
          <w:b/>
          <w:color w:val="000000" w:themeColor="text1"/>
          <w14:textFill>
            <w14:solidFill>
              <w14:schemeClr w14:val="tx1"/>
            </w14:solidFill>
          </w14:textFill>
        </w:rPr>
        <w:t>技术标准与规范</w:t>
      </w:r>
      <w:bookmarkEnd w:id="15"/>
      <w:bookmarkEnd w:id="16"/>
      <w:bookmarkEnd w:id="17"/>
      <w:bookmarkEnd w:id="18"/>
      <w:bookmarkEnd w:id="19"/>
    </w:p>
    <w:p>
      <w:pPr>
        <w:pStyle w:val="39"/>
        <w:numPr>
          <w:ilvl w:val="0"/>
          <w:numId w:val="5"/>
        </w:numPr>
        <w:ind w:left="0" w:firstLine="480"/>
        <w:rPr>
          <w:rFonts w:cs="Times New Roman"/>
          <w:color w:val="000000" w:themeColor="text1"/>
          <w14:textFill>
            <w14:solidFill>
              <w14:schemeClr w14:val="tx1"/>
            </w14:solidFill>
          </w14:textFill>
        </w:rPr>
      </w:pPr>
      <w:r>
        <w:rPr>
          <w:rFonts w:cs="Times New Roman"/>
        </w:rPr>
        <w:t>《北京市重点企业土壤环境自行监测技术指南（暂行）》（京环办〔2018〕101号）</w:t>
      </w:r>
      <w:r>
        <w:rPr>
          <w:rFonts w:hint="eastAsia" w:cs="Times New Roman"/>
        </w:rPr>
        <w:t>；</w:t>
      </w:r>
    </w:p>
    <w:p>
      <w:pPr>
        <w:pStyle w:val="39"/>
        <w:numPr>
          <w:ilvl w:val="0"/>
          <w:numId w:val="5"/>
        </w:numPr>
        <w:ind w:left="0" w:firstLine="480"/>
        <w:rPr>
          <w:rFonts w:cs="Times New Roman"/>
          <w:color w:val="000000" w:themeColor="text1"/>
          <w14:textFill>
            <w14:solidFill>
              <w14:schemeClr w14:val="tx1"/>
            </w14:solidFill>
          </w14:textFill>
        </w:rPr>
      </w:pPr>
      <w:r>
        <w:rPr>
          <w:rFonts w:cs="Times New Roman"/>
        </w:rPr>
        <w:t>《在产企业土壤及地下水自行监测技术指南》（征求意见稿）</w:t>
      </w:r>
      <w:r>
        <w:rPr>
          <w:rFonts w:hint="eastAsia" w:cs="Times New Roman"/>
        </w:rPr>
        <w:t>；</w:t>
      </w:r>
    </w:p>
    <w:p>
      <w:pPr>
        <w:pStyle w:val="39"/>
        <w:numPr>
          <w:ilvl w:val="0"/>
          <w:numId w:val="5"/>
        </w:numPr>
        <w:ind w:left="0" w:firstLine="480"/>
        <w:rPr>
          <w:rFonts w:cs="Times New Roman"/>
          <w:color w:val="000000" w:themeColor="text1"/>
          <w14:textFill>
            <w14:solidFill>
              <w14:schemeClr w14:val="tx1"/>
            </w14:solidFill>
          </w14:textFill>
        </w:rPr>
      </w:pPr>
      <w:r>
        <w:rPr>
          <w:rFonts w:cs="Times New Roman"/>
        </w:rPr>
        <w:t>《</w:t>
      </w:r>
      <w:r>
        <w:rPr>
          <w:rFonts w:hint="eastAsia" w:cs="Times New Roman"/>
        </w:rPr>
        <w:t>建设用地土壤污染状况调查技术导则</w:t>
      </w:r>
      <w:r>
        <w:rPr>
          <w:rFonts w:cs="Times New Roman"/>
        </w:rPr>
        <w:t>》（HJ 25.1-201</w:t>
      </w:r>
      <w:r>
        <w:rPr>
          <w:rFonts w:hint="eastAsia" w:cs="Times New Roman"/>
        </w:rPr>
        <w:t>9</w:t>
      </w:r>
      <w:r>
        <w:rPr>
          <w:rFonts w:cs="Times New Roman"/>
        </w:rPr>
        <w:t>）；</w:t>
      </w:r>
    </w:p>
    <w:p>
      <w:pPr>
        <w:pStyle w:val="39"/>
        <w:numPr>
          <w:ilvl w:val="0"/>
          <w:numId w:val="5"/>
        </w:numPr>
        <w:ind w:left="0" w:firstLine="480"/>
        <w:rPr>
          <w:rFonts w:cs="Times New Roman"/>
          <w:color w:val="000000" w:themeColor="text1"/>
          <w14:textFill>
            <w14:solidFill>
              <w14:schemeClr w14:val="tx1"/>
            </w14:solidFill>
          </w14:textFill>
        </w:rPr>
      </w:pPr>
      <w:r>
        <w:rPr>
          <w:rFonts w:cs="Times New Roman"/>
        </w:rPr>
        <w:t>《</w:t>
      </w:r>
      <w:r>
        <w:rPr>
          <w:rFonts w:hint="eastAsia" w:cs="Times New Roman"/>
        </w:rPr>
        <w:t>建设用地土壤污染风险管控和修复监测技术导则</w:t>
      </w:r>
      <w:r>
        <w:rPr>
          <w:rFonts w:cs="Times New Roman"/>
        </w:rPr>
        <w:t>》（HJ 25.2-201</w:t>
      </w:r>
      <w:r>
        <w:rPr>
          <w:rFonts w:hint="eastAsia" w:cs="Times New Roman"/>
        </w:rPr>
        <w:t>9</w:t>
      </w:r>
      <w:r>
        <w:rPr>
          <w:rFonts w:cs="Times New Roman"/>
        </w:rPr>
        <w:t>）；</w:t>
      </w:r>
    </w:p>
    <w:p>
      <w:pPr>
        <w:pStyle w:val="39"/>
        <w:numPr>
          <w:ilvl w:val="0"/>
          <w:numId w:val="5"/>
        </w:numPr>
        <w:ind w:left="0" w:firstLine="480"/>
        <w:rPr>
          <w:rFonts w:cs="Times New Roman"/>
          <w:color w:val="000000" w:themeColor="text1"/>
          <w14:textFill>
            <w14:solidFill>
              <w14:schemeClr w14:val="tx1"/>
            </w14:solidFill>
          </w14:textFill>
        </w:rPr>
      </w:pPr>
      <w:r>
        <w:rPr>
          <w:rFonts w:cs="Times New Roman"/>
        </w:rPr>
        <w:t>《工业企业场地环境调查评估与修复工作指南（试行）》（</w:t>
      </w:r>
      <w:r>
        <w:rPr>
          <w:rFonts w:hint="eastAsia" w:cs="Times New Roman"/>
        </w:rPr>
        <w:t>原</w:t>
      </w:r>
      <w:r>
        <w:rPr>
          <w:rFonts w:cs="Times New Roman"/>
        </w:rPr>
        <w:t>环境保护部公告2014年第78号）</w:t>
      </w:r>
      <w:r>
        <w:rPr>
          <w:rFonts w:cs="Times New Roman"/>
          <w:color w:val="000000" w:themeColor="text1"/>
          <w14:textFill>
            <w14:solidFill>
              <w14:schemeClr w14:val="tx1"/>
            </w14:solidFill>
          </w14:textFill>
        </w:rPr>
        <w:t>；</w:t>
      </w:r>
    </w:p>
    <w:p>
      <w:pPr>
        <w:pStyle w:val="39"/>
        <w:numPr>
          <w:ilvl w:val="0"/>
          <w:numId w:val="5"/>
        </w:numPr>
        <w:ind w:left="0" w:firstLine="480"/>
        <w:rPr>
          <w:rFonts w:cs="Times New Roman"/>
          <w:color w:val="000000" w:themeColor="text1"/>
          <w14:textFill>
            <w14:solidFill>
              <w14:schemeClr w14:val="tx1"/>
            </w14:solidFill>
          </w14:textFill>
        </w:rPr>
      </w:pPr>
      <w:r>
        <w:rPr>
          <w:rFonts w:cs="Times New Roman"/>
        </w:rPr>
        <w:t>《建设用地土壤环境调查评估技术指南》（</w:t>
      </w:r>
      <w:r>
        <w:rPr>
          <w:rFonts w:hint="eastAsia" w:cs="Times New Roman"/>
        </w:rPr>
        <w:t>原</w:t>
      </w:r>
      <w:r>
        <w:rPr>
          <w:rFonts w:cs="Times New Roman"/>
        </w:rPr>
        <w:t>环境保护部公告2017年第72号）</w:t>
      </w:r>
      <w:r>
        <w:rPr>
          <w:rFonts w:cs="Times New Roman"/>
          <w:color w:val="000000" w:themeColor="text1"/>
          <w14:textFill>
            <w14:solidFill>
              <w14:schemeClr w14:val="tx1"/>
            </w14:solidFill>
          </w14:textFill>
        </w:rPr>
        <w:t>；</w:t>
      </w:r>
    </w:p>
    <w:p>
      <w:pPr>
        <w:pStyle w:val="39"/>
        <w:numPr>
          <w:ilvl w:val="0"/>
          <w:numId w:val="5"/>
        </w:numPr>
        <w:ind w:left="0" w:firstLine="480"/>
        <w:rPr>
          <w:rFonts w:cs="Times New Roman"/>
          <w:color w:val="000000" w:themeColor="text1"/>
          <w14:textFill>
            <w14:solidFill>
              <w14:schemeClr w14:val="tx1"/>
            </w14:solidFill>
          </w14:textFill>
        </w:rPr>
      </w:pPr>
      <w:r>
        <w:rPr>
          <w:rFonts w:cs="Times New Roman"/>
        </w:rPr>
        <w:t>《关于印发重点行业企业用地调查系列技术文件的通知》（环办土壤〔2017〕67号）；</w:t>
      </w:r>
    </w:p>
    <w:p>
      <w:pPr>
        <w:pStyle w:val="39"/>
        <w:numPr>
          <w:ilvl w:val="0"/>
          <w:numId w:val="5"/>
        </w:numPr>
        <w:ind w:left="0" w:firstLine="480"/>
        <w:rPr>
          <w:rFonts w:cs="Times New Roman"/>
          <w:color w:val="000000" w:themeColor="text1"/>
          <w14:textFill>
            <w14:solidFill>
              <w14:schemeClr w14:val="tx1"/>
            </w14:solidFill>
          </w14:textFill>
        </w:rPr>
      </w:pPr>
      <w:r>
        <w:rPr>
          <w:rFonts w:cs="Times New Roman"/>
        </w:rPr>
        <w:t>《重点行业企业用地调查质量保证与质量控制技术规定（试行）》（环办土壤〔2017〕1896号）；</w:t>
      </w:r>
    </w:p>
    <w:p>
      <w:pPr>
        <w:pStyle w:val="39"/>
        <w:numPr>
          <w:ilvl w:val="0"/>
          <w:numId w:val="5"/>
        </w:numPr>
        <w:ind w:left="0" w:firstLine="480"/>
        <w:rPr>
          <w:rFonts w:cs="Times New Roman"/>
          <w:color w:val="000000" w:themeColor="text1"/>
          <w14:textFill>
            <w14:solidFill>
              <w14:schemeClr w14:val="tx1"/>
            </w14:solidFill>
          </w14:textFill>
        </w:rPr>
      </w:pPr>
      <w:r>
        <w:rPr>
          <w:rFonts w:hint="eastAsia" w:cs="Times New Roman"/>
        </w:rPr>
        <w:t>《国家危险废物名录（2021年版）》（生态环境部等部令第15号）</w:t>
      </w:r>
      <w:r>
        <w:rPr>
          <w:rFonts w:cs="Times New Roman"/>
          <w:color w:val="000000" w:themeColor="text1"/>
          <w14:textFill>
            <w14:solidFill>
              <w14:schemeClr w14:val="tx1"/>
            </w14:solidFill>
          </w14:textFill>
        </w:rPr>
        <w:t>；</w:t>
      </w:r>
    </w:p>
    <w:p>
      <w:pPr>
        <w:pStyle w:val="39"/>
        <w:numPr>
          <w:ilvl w:val="0"/>
          <w:numId w:val="5"/>
        </w:numPr>
        <w:ind w:left="0" w:firstLine="480"/>
        <w:rPr>
          <w:rFonts w:cs="Times New Roman"/>
          <w:color w:val="000000" w:themeColor="text1"/>
          <w14:textFill>
            <w14:solidFill>
              <w14:schemeClr w14:val="tx1"/>
            </w14:solidFill>
          </w14:textFill>
        </w:rPr>
      </w:pPr>
      <w:r>
        <w:rPr>
          <w:rFonts w:cs="Times New Roman"/>
        </w:rPr>
        <w:t>《危险化学品目录》（2015版）（国家安全监管总局等10部门公告2015年第5号）</w:t>
      </w:r>
      <w:r>
        <w:rPr>
          <w:rFonts w:cs="Times New Roman"/>
          <w:color w:val="000000" w:themeColor="text1"/>
          <w14:textFill>
            <w14:solidFill>
              <w14:schemeClr w14:val="tx1"/>
            </w14:solidFill>
          </w14:textFill>
        </w:rPr>
        <w:t>；</w:t>
      </w:r>
    </w:p>
    <w:p>
      <w:pPr>
        <w:pStyle w:val="39"/>
        <w:numPr>
          <w:ilvl w:val="0"/>
          <w:numId w:val="5"/>
        </w:numPr>
        <w:ind w:left="0"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《环境影响评价技术导则土壤环境（试行）》（HJ 964-2018）；</w:t>
      </w:r>
    </w:p>
    <w:p>
      <w:pPr>
        <w:pStyle w:val="39"/>
        <w:numPr>
          <w:ilvl w:val="0"/>
          <w:numId w:val="5"/>
        </w:numPr>
        <w:ind w:left="0"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《环境影响评价技术导则地下水环境》（HJ 610-2016）；</w:t>
      </w:r>
    </w:p>
    <w:p>
      <w:pPr>
        <w:pStyle w:val="39"/>
        <w:numPr>
          <w:ilvl w:val="0"/>
          <w:numId w:val="5"/>
        </w:numPr>
        <w:ind w:left="0"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《土壤环境质量</w:t>
      </w:r>
      <w:r>
        <w:rPr>
          <w:rFonts w:hint="eastAsia" w:cs="Times New Roman"/>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t>建设用地土壤污染风险管控标准（试行）》（GB 36600-2018）；</w:t>
      </w:r>
    </w:p>
    <w:p>
      <w:pPr>
        <w:pStyle w:val="39"/>
        <w:numPr>
          <w:ilvl w:val="0"/>
          <w:numId w:val="5"/>
        </w:numPr>
        <w:ind w:left="0"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《地下水质量标准》（GB/T 14848-2017）；</w:t>
      </w:r>
    </w:p>
    <w:p>
      <w:pPr>
        <w:pStyle w:val="39"/>
        <w:numPr>
          <w:ilvl w:val="0"/>
          <w:numId w:val="5"/>
        </w:numPr>
        <w:ind w:left="0"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《排污单位自行监测技术指南总则》（HJ 819-2017）；</w:t>
      </w:r>
    </w:p>
    <w:p>
      <w:pPr>
        <w:pStyle w:val="39"/>
        <w:numPr>
          <w:ilvl w:val="0"/>
          <w:numId w:val="5"/>
        </w:numPr>
        <w:ind w:left="0"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《土壤环境监测技术规范》（HJ/T 166-2004）；</w:t>
      </w:r>
    </w:p>
    <w:p>
      <w:pPr>
        <w:pStyle w:val="39"/>
        <w:numPr>
          <w:ilvl w:val="0"/>
          <w:numId w:val="5"/>
        </w:numPr>
        <w:ind w:left="0"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《地下水环境监测技术规范》（HJ 164-2020）。</w:t>
      </w:r>
    </w:p>
    <w:p>
      <w:pPr>
        <w:pStyle w:val="39"/>
        <w:numPr>
          <w:ilvl w:val="2"/>
          <w:numId w:val="2"/>
        </w:numPr>
        <w:ind w:left="0" w:firstLine="0" w:firstLineChars="0"/>
        <w:outlineLvl w:val="2"/>
        <w:rPr>
          <w:rFonts w:cs="Times New Roman"/>
          <w:b/>
          <w:color w:val="000000" w:themeColor="text1"/>
          <w14:textFill>
            <w14:solidFill>
              <w14:schemeClr w14:val="tx1"/>
            </w14:solidFill>
          </w14:textFill>
        </w:rPr>
      </w:pPr>
      <w:bookmarkStart w:id="20" w:name="_Toc3895386"/>
      <w:bookmarkStart w:id="21" w:name="_Toc87451704"/>
      <w:bookmarkStart w:id="22" w:name="_Toc88838039"/>
      <w:bookmarkStart w:id="23" w:name="_Toc17684"/>
      <w:bookmarkStart w:id="24" w:name="_Toc10034636"/>
      <w:r>
        <w:rPr>
          <w:rFonts w:cs="Times New Roman"/>
          <w:b/>
          <w:color w:val="000000" w:themeColor="text1"/>
          <w14:textFill>
            <w14:solidFill>
              <w14:schemeClr w14:val="tx1"/>
            </w14:solidFill>
          </w14:textFill>
        </w:rPr>
        <w:t>其他相关资料</w:t>
      </w:r>
      <w:bookmarkEnd w:id="20"/>
      <w:bookmarkEnd w:id="21"/>
      <w:bookmarkEnd w:id="22"/>
      <w:bookmarkEnd w:id="23"/>
      <w:bookmarkEnd w:id="24"/>
    </w:p>
    <w:p>
      <w:pPr>
        <w:pStyle w:val="39"/>
        <w:numPr>
          <w:ilvl w:val="0"/>
          <w:numId w:val="6"/>
        </w:numPr>
        <w:ind w:left="0"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光大环保能源（乐山）有限公司</w:t>
      </w:r>
      <w:r>
        <w:rPr>
          <w:rFonts w:cs="Times New Roman"/>
          <w:color w:val="000000" w:themeColor="text1"/>
          <w14:textFill>
            <w14:solidFill>
              <w14:schemeClr w14:val="tx1"/>
            </w14:solidFill>
          </w14:textFill>
        </w:rPr>
        <w:t>土壤环境自行监测方案；</w:t>
      </w:r>
    </w:p>
    <w:p>
      <w:pPr>
        <w:pStyle w:val="39"/>
        <w:numPr>
          <w:ilvl w:val="0"/>
          <w:numId w:val="6"/>
        </w:numPr>
        <w:ind w:left="0"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光大环保能源（乐山）有限公司</w:t>
      </w:r>
      <w:r>
        <w:rPr>
          <w:rFonts w:cs="Times New Roman"/>
          <w:color w:val="000000" w:themeColor="text1"/>
          <w14:textFill>
            <w14:solidFill>
              <w14:schemeClr w14:val="tx1"/>
            </w14:solidFill>
          </w14:textFill>
        </w:rPr>
        <w:t>土壤污染隐患排查报告</w:t>
      </w:r>
      <w:r>
        <w:rPr>
          <w:rFonts w:hint="eastAsia" w:cs="Times New Roman"/>
          <w:color w:val="000000" w:themeColor="text1"/>
          <w14:textFill>
            <w14:solidFill>
              <w14:schemeClr w14:val="tx1"/>
            </w14:solidFill>
          </w14:textFill>
        </w:rPr>
        <w:t>。</w:t>
      </w:r>
    </w:p>
    <w:p>
      <w:pPr>
        <w:pStyle w:val="39"/>
        <w:numPr>
          <w:ilvl w:val="0"/>
          <w:numId w:val="6"/>
        </w:numPr>
        <w:ind w:left="0" w:firstLine="480"/>
        <w:rPr>
          <w:rFonts w:cs="Times New Roman"/>
          <w:color w:val="FF0000"/>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9"/>
        <w:numPr>
          <w:ilvl w:val="0"/>
          <w:numId w:val="2"/>
        </w:numPr>
        <w:ind w:firstLineChars="0"/>
        <w:jc w:val="center"/>
        <w:outlineLvl w:val="0"/>
        <w:rPr>
          <w:rFonts w:cs="Times New Roman"/>
          <w:b/>
          <w:color w:val="000000" w:themeColor="text1"/>
          <w:sz w:val="32"/>
          <w14:textFill>
            <w14:solidFill>
              <w14:schemeClr w14:val="tx1"/>
            </w14:solidFill>
          </w14:textFill>
        </w:rPr>
      </w:pPr>
      <w:bookmarkStart w:id="25" w:name="_Toc30742"/>
      <w:r>
        <w:rPr>
          <w:rFonts w:cs="Times New Roman"/>
          <w:b/>
          <w:color w:val="000000" w:themeColor="text1"/>
          <w:sz w:val="32"/>
          <w14:textFill>
            <w14:solidFill>
              <w14:schemeClr w14:val="tx1"/>
            </w14:solidFill>
          </w14:textFill>
        </w:rPr>
        <w:t>重点区域及设施识别</w:t>
      </w:r>
      <w:bookmarkEnd w:id="25"/>
    </w:p>
    <w:p>
      <w:pPr>
        <w:pStyle w:val="39"/>
        <w:numPr>
          <w:ilvl w:val="1"/>
          <w:numId w:val="2"/>
        </w:numPr>
        <w:ind w:left="0" w:firstLine="0" w:firstLineChars="0"/>
        <w:outlineLvl w:val="1"/>
        <w:rPr>
          <w:rFonts w:cs="Times New Roman"/>
          <w:b/>
          <w:color w:val="000000" w:themeColor="text1"/>
          <w:sz w:val="28"/>
          <w14:textFill>
            <w14:solidFill>
              <w14:schemeClr w14:val="tx1"/>
            </w14:solidFill>
          </w14:textFill>
        </w:rPr>
      </w:pPr>
      <w:bookmarkStart w:id="26" w:name="_Toc88838041"/>
      <w:bookmarkStart w:id="27" w:name="_Toc49764864"/>
      <w:bookmarkStart w:id="28" w:name="_Toc27757"/>
      <w:bookmarkStart w:id="29" w:name="_Toc87451706"/>
      <w:r>
        <w:rPr>
          <w:rFonts w:cs="Times New Roman"/>
          <w:b/>
          <w:color w:val="000000" w:themeColor="text1"/>
          <w:sz w:val="28"/>
          <w14:textFill>
            <w14:solidFill>
              <w14:schemeClr w14:val="tx1"/>
            </w14:solidFill>
          </w14:textFill>
        </w:rPr>
        <w:t>企业基本情况</w:t>
      </w:r>
      <w:bookmarkEnd w:id="26"/>
      <w:bookmarkEnd w:id="27"/>
      <w:bookmarkEnd w:id="28"/>
      <w:bookmarkEnd w:id="29"/>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光大环保能源（乐山）有限公司位于乐山市市中区迎阳乡迎阳村（厂区中心坐标：103.868836°E，29.578428°N），占地约115亩。2017年12月开工建设乐山市城市生活垃圾环保发电项目，2019年5月投入运行，主要建设2台500 t/d焚烧炉及2台余热锅炉，配套1台装机容量为20兆瓦的汽轮发电机组，日处理生活垃圾1000吨，目前企业处于正常生产状态。</w:t>
      </w:r>
    </w:p>
    <w:p>
      <w:pPr>
        <w:pStyle w:val="39"/>
        <w:numPr>
          <w:ilvl w:val="0"/>
          <w:numId w:val="7"/>
        </w:numPr>
        <w:ind w:firstLineChars="0"/>
        <w:jc w:val="center"/>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企业基本信息</w:t>
      </w:r>
    </w:p>
    <w:tbl>
      <w:tblPr>
        <w:tblStyle w:val="15"/>
        <w:tblW w:w="49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3107"/>
        <w:gridCol w:w="1540"/>
        <w:gridCol w:w="2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9"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企业名称</w:t>
            </w:r>
          </w:p>
        </w:tc>
        <w:tc>
          <w:tcPr>
            <w:tcW w:w="3107"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光大环保能源（乐山）有限公司</w:t>
            </w:r>
          </w:p>
        </w:tc>
        <w:tc>
          <w:tcPr>
            <w:tcW w:w="1540"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社会信用代码</w:t>
            </w:r>
          </w:p>
        </w:tc>
        <w:tc>
          <w:tcPr>
            <w:tcW w:w="234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91511100MA63Y52H17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9"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法人代表</w:t>
            </w:r>
          </w:p>
        </w:tc>
        <w:tc>
          <w:tcPr>
            <w:tcW w:w="3107"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邱波</w:t>
            </w:r>
          </w:p>
        </w:tc>
        <w:tc>
          <w:tcPr>
            <w:tcW w:w="1540"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联系方式</w:t>
            </w:r>
          </w:p>
        </w:tc>
        <w:tc>
          <w:tcPr>
            <w:tcW w:w="234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9"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地址</w:t>
            </w:r>
          </w:p>
        </w:tc>
        <w:tc>
          <w:tcPr>
            <w:tcW w:w="3107"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乐山市市中区迎阳乡迎阳村</w:t>
            </w:r>
          </w:p>
        </w:tc>
        <w:tc>
          <w:tcPr>
            <w:tcW w:w="1540"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邮政编码</w:t>
            </w:r>
          </w:p>
        </w:tc>
        <w:tc>
          <w:tcPr>
            <w:tcW w:w="234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6</w:t>
            </w:r>
            <w:r>
              <w:rPr>
                <w:rFonts w:ascii="Times New Roman" w:hAnsi="Times New Roman" w:eastAsia="宋体" w:cs="Times New Roman"/>
                <w:color w:val="000000" w:themeColor="text1"/>
                <w:szCs w:val="21"/>
                <w14:textFill>
                  <w14:solidFill>
                    <w14:schemeClr w14:val="tx1"/>
                  </w14:solidFill>
                </w14:textFill>
              </w:rPr>
              <w:t>14000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9"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中心经纬度</w:t>
            </w:r>
          </w:p>
        </w:tc>
        <w:tc>
          <w:tcPr>
            <w:tcW w:w="3107"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103.868836°E，29.578428°N</w:t>
            </w:r>
          </w:p>
        </w:tc>
        <w:tc>
          <w:tcPr>
            <w:tcW w:w="1540"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所属行业</w:t>
            </w:r>
          </w:p>
        </w:tc>
        <w:tc>
          <w:tcPr>
            <w:tcW w:w="2348" w:type="dxa"/>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000000" w:themeColor="text1"/>
                <w:szCs w:val="21"/>
                <w14:textFill>
                  <w14:solidFill>
                    <w14:schemeClr w14:val="tx1"/>
                  </w14:solidFill>
                </w14:textFill>
              </w:rPr>
              <w:t>4417</w:t>
            </w:r>
            <w:r>
              <w:rPr>
                <w:rFonts w:hint="eastAsia" w:ascii="Times New Roman" w:hAnsi="Times New Roman" w:eastAsia="宋体" w:cs="Times New Roman"/>
                <w:color w:val="000000" w:themeColor="text1"/>
                <w:szCs w:val="21"/>
                <w14:textFill>
                  <w14:solidFill>
                    <w14:schemeClr w14:val="tx1"/>
                  </w14:solidFill>
                </w14:textFill>
              </w:rPr>
              <w:t>生</w:t>
            </w:r>
            <w:r>
              <w:rPr>
                <w:rFonts w:hint="eastAsia" w:cs="Times New Roman"/>
                <w:szCs w:val="21"/>
              </w:rPr>
              <w:t>物质能发电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9"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建厂年月</w:t>
            </w:r>
          </w:p>
        </w:tc>
        <w:tc>
          <w:tcPr>
            <w:tcW w:w="3107"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2017年12月</w:t>
            </w:r>
          </w:p>
        </w:tc>
        <w:tc>
          <w:tcPr>
            <w:tcW w:w="1540"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投产时间</w:t>
            </w:r>
          </w:p>
        </w:tc>
        <w:tc>
          <w:tcPr>
            <w:tcW w:w="2348" w:type="dxa"/>
            <w:vAlign w:val="center"/>
          </w:tcPr>
          <w:p>
            <w:pPr>
              <w:jc w:val="center"/>
              <w:rPr>
                <w:rFonts w:ascii="Times New Roman" w:hAnsi="Times New Roman" w:eastAsia="宋体" w:cs="Times New Roman"/>
                <w:color w:val="000000" w:themeColor="text1"/>
                <w:szCs w:val="21"/>
                <w:highlight w:val="yellow"/>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2019年</w:t>
            </w:r>
            <w:r>
              <w:rPr>
                <w:rFonts w:hint="eastAsia" w:ascii="Times New Roman" w:hAnsi="Times New Roman" w:eastAsia="宋体" w:cs="Times New Roman"/>
                <w:color w:val="000000" w:themeColor="text1"/>
                <w:szCs w:val="21"/>
                <w14:textFill>
                  <w14:solidFill>
                    <w14:schemeClr w14:val="tx1"/>
                  </w14:solidFill>
                </w14:textFill>
              </w:rPr>
              <w:t>5</w:t>
            </w:r>
            <w:r>
              <w:rPr>
                <w:rFonts w:ascii="Times New Roman" w:hAnsi="Times New Roman" w:eastAsia="宋体" w:cs="Times New Roman"/>
                <w:color w:val="000000" w:themeColor="text1"/>
                <w:szCs w:val="21"/>
                <w14:textFill>
                  <w14:solidFill>
                    <w14:schemeClr w14:val="tx1"/>
                  </w14:solidFill>
                </w14:textFill>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9"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占地面积</w:t>
            </w:r>
          </w:p>
        </w:tc>
        <w:tc>
          <w:tcPr>
            <w:tcW w:w="3107"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15亩</w:t>
            </w:r>
          </w:p>
        </w:tc>
        <w:tc>
          <w:tcPr>
            <w:tcW w:w="1540"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职工人数</w:t>
            </w:r>
          </w:p>
        </w:tc>
        <w:tc>
          <w:tcPr>
            <w:tcW w:w="234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7</w:t>
            </w:r>
            <w:r>
              <w:rPr>
                <w:rFonts w:ascii="Times New Roman" w:hAnsi="Times New Roman" w:eastAsia="宋体" w:cs="Times New Roman"/>
                <w:color w:val="000000" w:themeColor="text1"/>
                <w:szCs w:val="21"/>
                <w14:textFill>
                  <w14:solidFill>
                    <w14:schemeClr w14:val="tx1"/>
                  </w14:solidFill>
                </w14:textFill>
              </w:rPr>
              <w:t>3</w:t>
            </w:r>
            <w:r>
              <w:rPr>
                <w:rFonts w:hint="eastAsia" w:ascii="Times New Roman" w:hAnsi="Times New Roman" w:eastAsia="宋体" w:cs="Times New Roman"/>
                <w:color w:val="000000" w:themeColor="text1"/>
                <w:szCs w:val="21"/>
                <w14:textFill>
                  <w14:solidFill>
                    <w14:schemeClr w14:val="tx1"/>
                  </w14:solidFill>
                </w14:textFill>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9" w:type="dxa"/>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重点区域</w:t>
            </w:r>
          </w:p>
        </w:tc>
        <w:tc>
          <w:tcPr>
            <w:tcW w:w="6995" w:type="dxa"/>
            <w:gridSpan w:val="3"/>
            <w:vAlign w:val="center"/>
          </w:tcPr>
          <w:p>
            <w:pPr>
              <w:autoSpaceDE w:val="0"/>
              <w:autoSpaceDN w:val="0"/>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主厂房（包括运输廊道及卸料平台、垃圾贮坑、焚烧炉及烟气净化、炉渣暂存间以及其他辅助生产区）、飞灰固化及暂存车间、渗滤液处理站、其他区域（危废暂存间、初期雨水收集池、油库和氨水储罐等）。</w:t>
            </w:r>
          </w:p>
        </w:tc>
      </w:tr>
    </w:tbl>
    <w:p>
      <w:pPr>
        <w:pStyle w:val="39"/>
        <w:numPr>
          <w:ilvl w:val="1"/>
          <w:numId w:val="2"/>
        </w:numPr>
        <w:ind w:left="0" w:firstLine="0" w:firstLineChars="0"/>
        <w:outlineLvl w:val="1"/>
        <w:rPr>
          <w:rFonts w:cs="Times New Roman"/>
          <w:b/>
          <w:color w:val="000000" w:themeColor="text1"/>
          <w:sz w:val="28"/>
          <w14:textFill>
            <w14:solidFill>
              <w14:schemeClr w14:val="tx1"/>
            </w14:solidFill>
          </w14:textFill>
        </w:rPr>
      </w:pPr>
      <w:bookmarkStart w:id="30" w:name="_Toc87451707"/>
      <w:bookmarkStart w:id="31" w:name="_Toc8966"/>
      <w:bookmarkStart w:id="32" w:name="_Toc88838042"/>
      <w:r>
        <w:rPr>
          <w:rFonts w:hint="eastAsia" w:cs="Times New Roman"/>
          <w:b/>
          <w:color w:val="000000" w:themeColor="text1"/>
          <w:sz w:val="28"/>
          <w14:textFill>
            <w14:solidFill>
              <w14:schemeClr w14:val="tx1"/>
            </w14:solidFill>
          </w14:textFill>
        </w:rPr>
        <w:t>地块</w:t>
      </w:r>
      <w:r>
        <w:rPr>
          <w:rFonts w:cs="Times New Roman"/>
          <w:b/>
          <w:color w:val="000000" w:themeColor="text1"/>
          <w:sz w:val="28"/>
          <w14:textFill>
            <w14:solidFill>
              <w14:schemeClr w14:val="tx1"/>
            </w14:solidFill>
          </w14:textFill>
        </w:rPr>
        <w:t>现状及历史</w:t>
      </w:r>
      <w:bookmarkEnd w:id="30"/>
      <w:bookmarkEnd w:id="31"/>
      <w:bookmarkEnd w:id="32"/>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光大环保能源（乐山）有限公司地块于2017年12月在乐山市市中区迎阳乡迎阳村开工建设乐山市城市生活垃圾环保发电项目（以下简称“项目”），2019年5月投入运行</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项目环保手续如下：</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2017年8月，四川省环科源科技有限公司编制完成《光大环保能源（乐山）有限公司乐山市城市生活垃圾环保发电项目环境影响报告书》；2017年12月22日，原四川省环境保护厅对项目作出了审查批复（川环审批〔2017〕348号）；2019年8月，项目通过自主环保验收。</w:t>
      </w:r>
    </w:p>
    <w:p>
      <w:pPr>
        <w:pStyle w:val="39"/>
        <w:numPr>
          <w:ilvl w:val="1"/>
          <w:numId w:val="2"/>
        </w:numPr>
        <w:ind w:left="0" w:firstLine="0" w:firstLineChars="0"/>
        <w:outlineLvl w:val="1"/>
        <w:rPr>
          <w:rFonts w:cs="Times New Roman"/>
          <w:b/>
          <w:color w:val="000000" w:themeColor="text1"/>
          <w:sz w:val="28"/>
          <w14:textFill>
            <w14:solidFill>
              <w14:schemeClr w14:val="tx1"/>
            </w14:solidFill>
          </w14:textFill>
        </w:rPr>
      </w:pPr>
      <w:bookmarkStart w:id="33" w:name="_Toc88838043"/>
      <w:bookmarkStart w:id="34" w:name="_Toc20814"/>
      <w:r>
        <w:rPr>
          <w:rFonts w:cs="Times New Roman"/>
          <w:b/>
          <w:color w:val="000000" w:themeColor="text1"/>
          <w:sz w:val="28"/>
          <w14:textFill>
            <w14:solidFill>
              <w14:schemeClr w14:val="tx1"/>
            </w14:solidFill>
          </w14:textFill>
        </w:rPr>
        <w:t>厂区平面布置</w:t>
      </w:r>
      <w:bookmarkEnd w:id="33"/>
      <w:bookmarkEnd w:id="34"/>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光大环保能源（乐山）有限公司地块占地约115亩，其中项目厂区总用地面积75亩（50000m</w:t>
      </w:r>
      <w:r>
        <w:rPr>
          <w:rFonts w:hint="eastAsia" w:ascii="Times New Roman" w:hAnsi="Times New Roman" w:eastAsia="宋体" w:cs="Times New Roman"/>
          <w:color w:val="000000" w:themeColor="text1"/>
          <w:sz w:val="24"/>
          <w:szCs w:val="24"/>
          <w:vertAlign w:val="superscript"/>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厂内预留二期汽机间用地和冷却塔用地。项目主厂房包括卸料大厅、垃圾贮坑、锅炉间、渣坑、烟气净化区及烟囱、汽机间；主厂房北面主要有宿舍、生产消防水池、一体化净水器等；厂区西侧主要布置有油库、飞灰暂存间、地泵房，厂区东侧主要布置有渗滤液处理站；厂区南侧设有氨水储罐；生活区位于厂区东北侧。平面布置见图</w:t>
      </w:r>
      <w:r>
        <w:rPr>
          <w:rFonts w:ascii="Times New Roman" w:hAnsi="Times New Roman" w:eastAsia="宋体" w:cs="Times New Roman"/>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1</w:t>
      </w:r>
      <w:r>
        <w:rPr>
          <w:rFonts w:hint="eastAsia" w:ascii="Times New Roman" w:hAnsi="Times New Roman" w:eastAsia="宋体" w:cs="Times New Roman"/>
          <w:color w:val="000000" w:themeColor="text1"/>
          <w:sz w:val="24"/>
          <w:szCs w:val="24"/>
          <w14:textFill>
            <w14:solidFill>
              <w14:schemeClr w14:val="tx1"/>
            </w14:solidFill>
          </w14:textFill>
        </w:rPr>
        <w:t>。</w:t>
      </w:r>
    </w:p>
    <w:p>
      <w:pPr>
        <w:pStyle w:val="39"/>
        <w:numPr>
          <w:ilvl w:val="1"/>
          <w:numId w:val="2"/>
        </w:numPr>
        <w:ind w:left="0" w:firstLine="0" w:firstLineChars="0"/>
        <w:outlineLvl w:val="1"/>
        <w:rPr>
          <w:rFonts w:cs="Times New Roman"/>
          <w:b/>
          <w:color w:val="000000" w:themeColor="text1"/>
          <w:sz w:val="28"/>
          <w14:textFill>
            <w14:solidFill>
              <w14:schemeClr w14:val="tx1"/>
            </w14:solidFill>
          </w14:textFill>
        </w:rPr>
      </w:pPr>
      <w:bookmarkStart w:id="35" w:name="_Toc26985"/>
      <w:r>
        <w:rPr>
          <w:rFonts w:hint="eastAsia" w:cs="Times New Roman"/>
          <w:b/>
          <w:color w:val="000000" w:themeColor="text1"/>
          <w:sz w:val="28"/>
          <w14:textFill>
            <w14:solidFill>
              <w14:schemeClr w14:val="tx1"/>
            </w14:solidFill>
          </w14:textFill>
        </w:rPr>
        <w:t>主</w:t>
      </w:r>
      <w:r>
        <w:rPr>
          <w:rFonts w:cs="Times New Roman"/>
          <w:b/>
          <w:color w:val="000000" w:themeColor="text1"/>
          <w:sz w:val="28"/>
          <w14:textFill>
            <w14:solidFill>
              <w14:schemeClr w14:val="tx1"/>
            </w14:solidFill>
          </w14:textFill>
        </w:rPr>
        <w:t>要辅料</w:t>
      </w:r>
      <w:bookmarkEnd w:id="35"/>
    </w:p>
    <w:p>
      <w:pPr>
        <w:pStyle w:val="39"/>
        <w:numPr>
          <w:ilvl w:val="0"/>
          <w:numId w:val="7"/>
        </w:numPr>
        <w:ind w:firstLineChars="0"/>
        <w:jc w:val="center"/>
        <w:rPr>
          <w:rFonts w:cs="Times New Roman"/>
          <w:b/>
          <w:color w:val="000000" w:themeColor="text1"/>
          <w14:textFill>
            <w14:solidFill>
              <w14:schemeClr w14:val="tx1"/>
            </w14:solidFill>
          </w14:textFill>
        </w:rPr>
      </w:pPr>
      <w:r>
        <w:rPr>
          <w:rFonts w:hint="eastAsia" w:cs="Times New Roman"/>
          <w:b/>
          <w:color w:val="000000" w:themeColor="text1"/>
          <w14:textFill>
            <w14:solidFill>
              <w14:schemeClr w14:val="tx1"/>
            </w14:solidFill>
          </w14:textFill>
        </w:rPr>
        <w:t>企业</w:t>
      </w:r>
      <w:r>
        <w:rPr>
          <w:rFonts w:cs="Times New Roman"/>
          <w:b/>
          <w:color w:val="000000" w:themeColor="text1"/>
          <w14:textFill>
            <w14:solidFill>
              <w14:schemeClr w14:val="tx1"/>
            </w14:solidFill>
          </w14:textFill>
        </w:rPr>
        <w:t>辅料使用情况一览表</w:t>
      </w:r>
    </w:p>
    <w:tbl>
      <w:tblPr>
        <w:tblStyle w:val="15"/>
        <w:tblW w:w="49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558"/>
        <w:gridCol w:w="1282"/>
        <w:gridCol w:w="1202"/>
        <w:gridCol w:w="901"/>
        <w:gridCol w:w="1129"/>
        <w:gridCol w:w="1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26" w:type="pct"/>
            <w:tcBorders>
              <w:tl2br w:val="nil"/>
              <w:tr2bl w:val="nil"/>
            </w:tcBorders>
            <w:vAlign w:val="center"/>
          </w:tcPr>
          <w:p>
            <w:pPr>
              <w:pStyle w:val="43"/>
              <w:rPr>
                <w:rFonts w:eastAsiaTheme="minorEastAsia"/>
                <w:b/>
                <w:bCs/>
                <w:sz w:val="21"/>
                <w:szCs w:val="16"/>
              </w:rPr>
            </w:pPr>
            <w:r>
              <w:rPr>
                <w:rFonts w:eastAsiaTheme="minorEastAsia"/>
                <w:b/>
                <w:bCs/>
                <w:sz w:val="21"/>
                <w:szCs w:val="16"/>
                <w:lang w:val="zh-CN"/>
              </w:rPr>
              <w:t>序号</w:t>
            </w:r>
          </w:p>
        </w:tc>
        <w:tc>
          <w:tcPr>
            <w:tcW w:w="932" w:type="pct"/>
            <w:tcBorders>
              <w:tl2br w:val="nil"/>
              <w:tr2bl w:val="nil"/>
            </w:tcBorders>
            <w:vAlign w:val="center"/>
          </w:tcPr>
          <w:p>
            <w:pPr>
              <w:pStyle w:val="43"/>
              <w:rPr>
                <w:rFonts w:eastAsiaTheme="minorEastAsia"/>
                <w:b/>
                <w:bCs/>
                <w:sz w:val="21"/>
                <w:szCs w:val="16"/>
              </w:rPr>
            </w:pPr>
            <w:r>
              <w:rPr>
                <w:rFonts w:eastAsiaTheme="minorEastAsia"/>
                <w:b/>
                <w:bCs/>
                <w:sz w:val="21"/>
                <w:szCs w:val="16"/>
                <w:lang w:val="zh-CN"/>
              </w:rPr>
              <w:t>原料名称</w:t>
            </w:r>
          </w:p>
        </w:tc>
        <w:tc>
          <w:tcPr>
            <w:tcW w:w="767" w:type="pct"/>
            <w:tcBorders>
              <w:tl2br w:val="nil"/>
              <w:tr2bl w:val="nil"/>
            </w:tcBorders>
            <w:vAlign w:val="center"/>
          </w:tcPr>
          <w:p>
            <w:pPr>
              <w:pStyle w:val="43"/>
              <w:rPr>
                <w:rFonts w:eastAsiaTheme="minorEastAsia"/>
                <w:b/>
                <w:bCs/>
                <w:sz w:val="21"/>
                <w:szCs w:val="16"/>
                <w:lang w:val="zh-CN"/>
              </w:rPr>
            </w:pPr>
            <w:r>
              <w:rPr>
                <w:rFonts w:eastAsiaTheme="minorEastAsia"/>
                <w:b/>
                <w:bCs/>
                <w:sz w:val="21"/>
                <w:szCs w:val="16"/>
                <w:lang w:val="zh-CN"/>
              </w:rPr>
              <w:t>主要成分</w:t>
            </w:r>
          </w:p>
        </w:tc>
        <w:tc>
          <w:tcPr>
            <w:tcW w:w="719" w:type="pct"/>
            <w:tcBorders>
              <w:tl2br w:val="nil"/>
              <w:tr2bl w:val="nil"/>
            </w:tcBorders>
            <w:vAlign w:val="center"/>
          </w:tcPr>
          <w:p>
            <w:pPr>
              <w:pStyle w:val="43"/>
              <w:rPr>
                <w:rFonts w:eastAsiaTheme="minorEastAsia"/>
                <w:b/>
                <w:bCs/>
                <w:sz w:val="21"/>
                <w:szCs w:val="16"/>
                <w:lang w:val="zh-CN"/>
              </w:rPr>
            </w:pPr>
            <w:r>
              <w:rPr>
                <w:rFonts w:eastAsiaTheme="minorEastAsia"/>
                <w:b/>
                <w:bCs/>
                <w:sz w:val="21"/>
                <w:szCs w:val="16"/>
                <w:lang w:val="zh-CN"/>
              </w:rPr>
              <w:t>用量（t/a）</w:t>
            </w:r>
          </w:p>
        </w:tc>
        <w:tc>
          <w:tcPr>
            <w:tcW w:w="539" w:type="pct"/>
            <w:tcBorders>
              <w:tl2br w:val="nil"/>
              <w:tr2bl w:val="nil"/>
            </w:tcBorders>
            <w:vAlign w:val="center"/>
          </w:tcPr>
          <w:p>
            <w:pPr>
              <w:pStyle w:val="43"/>
              <w:rPr>
                <w:rFonts w:eastAsiaTheme="minorEastAsia"/>
                <w:b/>
                <w:bCs/>
                <w:sz w:val="21"/>
                <w:szCs w:val="16"/>
                <w:lang w:val="zh-CN"/>
              </w:rPr>
            </w:pPr>
            <w:r>
              <w:rPr>
                <w:rFonts w:eastAsiaTheme="minorEastAsia"/>
                <w:b/>
                <w:bCs/>
                <w:sz w:val="21"/>
                <w:szCs w:val="16"/>
                <w:lang w:val="zh-CN"/>
              </w:rPr>
              <w:t>形态</w:t>
            </w:r>
          </w:p>
        </w:tc>
        <w:tc>
          <w:tcPr>
            <w:tcW w:w="675" w:type="pct"/>
            <w:tcBorders>
              <w:tl2br w:val="nil"/>
              <w:tr2bl w:val="nil"/>
            </w:tcBorders>
            <w:vAlign w:val="center"/>
          </w:tcPr>
          <w:p>
            <w:pPr>
              <w:pStyle w:val="43"/>
              <w:rPr>
                <w:rFonts w:eastAsiaTheme="minorEastAsia"/>
                <w:b/>
                <w:bCs/>
                <w:sz w:val="21"/>
                <w:szCs w:val="16"/>
                <w:lang w:val="zh-CN"/>
              </w:rPr>
            </w:pPr>
            <w:r>
              <w:rPr>
                <w:rFonts w:eastAsiaTheme="minorEastAsia"/>
                <w:b/>
                <w:bCs/>
                <w:sz w:val="21"/>
                <w:szCs w:val="16"/>
                <w:lang w:val="zh-CN"/>
              </w:rPr>
              <w:t>储存方式</w:t>
            </w:r>
          </w:p>
        </w:tc>
        <w:tc>
          <w:tcPr>
            <w:tcW w:w="942" w:type="pct"/>
            <w:tcBorders>
              <w:tl2br w:val="nil"/>
              <w:tr2bl w:val="nil"/>
            </w:tcBorders>
            <w:vAlign w:val="center"/>
          </w:tcPr>
          <w:p>
            <w:pPr>
              <w:pStyle w:val="43"/>
              <w:rPr>
                <w:rFonts w:eastAsiaTheme="minorEastAsia"/>
                <w:b/>
                <w:bCs/>
                <w:sz w:val="21"/>
                <w:szCs w:val="16"/>
              </w:rPr>
            </w:pPr>
            <w:r>
              <w:rPr>
                <w:rFonts w:eastAsiaTheme="minorEastAsia"/>
                <w:b/>
                <w:bCs/>
                <w:sz w:val="21"/>
                <w:szCs w:val="16"/>
              </w:rPr>
              <w:t>储存位置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26" w:type="pct"/>
            <w:tcBorders>
              <w:tl2br w:val="nil"/>
              <w:tr2bl w:val="nil"/>
            </w:tcBorders>
            <w:vAlign w:val="center"/>
          </w:tcPr>
          <w:p>
            <w:pPr>
              <w:pStyle w:val="43"/>
              <w:rPr>
                <w:rFonts w:eastAsiaTheme="minorEastAsia"/>
                <w:sz w:val="21"/>
                <w:szCs w:val="16"/>
                <w:lang w:val="zh-CN"/>
              </w:rPr>
            </w:pPr>
            <w:r>
              <w:rPr>
                <w:rFonts w:eastAsiaTheme="minorEastAsia"/>
                <w:sz w:val="21"/>
                <w:szCs w:val="16"/>
                <w:lang w:val="zh-CN"/>
              </w:rPr>
              <w:t>1</w:t>
            </w:r>
          </w:p>
        </w:tc>
        <w:tc>
          <w:tcPr>
            <w:tcW w:w="932" w:type="pct"/>
            <w:tcBorders>
              <w:tl2br w:val="nil"/>
              <w:tr2bl w:val="nil"/>
            </w:tcBorders>
            <w:vAlign w:val="center"/>
          </w:tcPr>
          <w:p>
            <w:pPr>
              <w:pStyle w:val="43"/>
              <w:rPr>
                <w:rFonts w:eastAsiaTheme="minorEastAsia"/>
                <w:sz w:val="21"/>
                <w:szCs w:val="16"/>
                <w:lang w:val="zh-CN"/>
              </w:rPr>
            </w:pPr>
            <w:r>
              <w:rPr>
                <w:rFonts w:eastAsiaTheme="minorEastAsia"/>
                <w:sz w:val="21"/>
                <w:szCs w:val="16"/>
                <w:lang w:val="zh-CN"/>
              </w:rPr>
              <w:t>熟石灰</w:t>
            </w:r>
          </w:p>
        </w:tc>
        <w:tc>
          <w:tcPr>
            <w:tcW w:w="767" w:type="pct"/>
            <w:tcBorders>
              <w:tl2br w:val="nil"/>
              <w:tr2bl w:val="nil"/>
            </w:tcBorders>
            <w:vAlign w:val="center"/>
          </w:tcPr>
          <w:p>
            <w:pPr>
              <w:pStyle w:val="43"/>
              <w:rPr>
                <w:rFonts w:eastAsiaTheme="minorEastAsia"/>
                <w:sz w:val="21"/>
                <w:szCs w:val="16"/>
              </w:rPr>
            </w:pPr>
            <w:r>
              <w:rPr>
                <w:rFonts w:eastAsiaTheme="minorEastAsia"/>
                <w:sz w:val="21"/>
                <w:szCs w:val="16"/>
                <w:lang w:val="zh-CN"/>
              </w:rPr>
              <w:t>Ca（</w:t>
            </w:r>
            <w:r>
              <w:rPr>
                <w:rFonts w:eastAsiaTheme="minorEastAsia"/>
                <w:sz w:val="21"/>
                <w:szCs w:val="16"/>
              </w:rPr>
              <w:t>OH</w:t>
            </w:r>
            <w:r>
              <w:rPr>
                <w:rFonts w:eastAsiaTheme="minorEastAsia"/>
                <w:sz w:val="21"/>
                <w:szCs w:val="16"/>
                <w:lang w:val="zh-CN"/>
              </w:rPr>
              <w:t>）</w:t>
            </w:r>
            <w:r>
              <w:rPr>
                <w:rFonts w:eastAsiaTheme="minorEastAsia"/>
                <w:sz w:val="21"/>
                <w:szCs w:val="16"/>
                <w:vertAlign w:val="subscript"/>
                <w:lang w:val="zh-CN"/>
              </w:rPr>
              <w:t>2</w:t>
            </w:r>
          </w:p>
        </w:tc>
        <w:tc>
          <w:tcPr>
            <w:tcW w:w="719" w:type="pct"/>
            <w:tcBorders>
              <w:tl2br w:val="nil"/>
              <w:tr2bl w:val="nil"/>
            </w:tcBorders>
            <w:vAlign w:val="center"/>
          </w:tcPr>
          <w:p>
            <w:pPr>
              <w:pStyle w:val="43"/>
              <w:rPr>
                <w:rFonts w:eastAsiaTheme="minorEastAsia"/>
                <w:sz w:val="21"/>
                <w:szCs w:val="16"/>
                <w:lang w:val="zh-CN"/>
              </w:rPr>
            </w:pPr>
            <w:r>
              <w:rPr>
                <w:rFonts w:eastAsiaTheme="minorEastAsia"/>
                <w:sz w:val="21"/>
                <w:szCs w:val="16"/>
                <w:lang w:val="zh-CN"/>
              </w:rPr>
              <w:t>3024</w:t>
            </w:r>
          </w:p>
        </w:tc>
        <w:tc>
          <w:tcPr>
            <w:tcW w:w="539" w:type="pct"/>
            <w:tcBorders>
              <w:tl2br w:val="nil"/>
              <w:tr2bl w:val="nil"/>
            </w:tcBorders>
            <w:vAlign w:val="center"/>
          </w:tcPr>
          <w:p>
            <w:pPr>
              <w:pStyle w:val="43"/>
              <w:rPr>
                <w:rFonts w:eastAsiaTheme="minorEastAsia"/>
                <w:sz w:val="21"/>
                <w:szCs w:val="16"/>
              </w:rPr>
            </w:pPr>
            <w:r>
              <w:rPr>
                <w:rFonts w:eastAsiaTheme="minorEastAsia"/>
                <w:sz w:val="21"/>
                <w:szCs w:val="16"/>
                <w:lang w:val="zh-CN"/>
              </w:rPr>
              <w:t>固</w:t>
            </w:r>
            <w:r>
              <w:rPr>
                <w:rFonts w:eastAsiaTheme="minorEastAsia"/>
                <w:sz w:val="21"/>
                <w:szCs w:val="16"/>
              </w:rPr>
              <w:t>态</w:t>
            </w:r>
          </w:p>
        </w:tc>
        <w:tc>
          <w:tcPr>
            <w:tcW w:w="675" w:type="pct"/>
            <w:tcBorders>
              <w:tl2br w:val="nil"/>
              <w:tr2bl w:val="nil"/>
            </w:tcBorders>
            <w:vAlign w:val="center"/>
          </w:tcPr>
          <w:p>
            <w:pPr>
              <w:pStyle w:val="43"/>
              <w:rPr>
                <w:rFonts w:eastAsiaTheme="minorEastAsia"/>
                <w:sz w:val="21"/>
                <w:szCs w:val="16"/>
              </w:rPr>
            </w:pPr>
            <w:r>
              <w:rPr>
                <w:rFonts w:eastAsiaTheme="minorEastAsia"/>
                <w:sz w:val="21"/>
                <w:szCs w:val="16"/>
                <w:lang w:val="zh-CN"/>
              </w:rPr>
              <w:t>袋装</w:t>
            </w:r>
          </w:p>
        </w:tc>
        <w:tc>
          <w:tcPr>
            <w:tcW w:w="942" w:type="pct"/>
            <w:tcBorders>
              <w:tl2br w:val="nil"/>
              <w:tr2bl w:val="nil"/>
            </w:tcBorders>
            <w:vAlign w:val="center"/>
          </w:tcPr>
          <w:p>
            <w:pPr>
              <w:pStyle w:val="43"/>
              <w:rPr>
                <w:rFonts w:eastAsiaTheme="minorEastAsia"/>
                <w:sz w:val="21"/>
                <w:szCs w:val="16"/>
              </w:rPr>
            </w:pPr>
            <w:r>
              <w:rPr>
                <w:rFonts w:eastAsiaTheme="minorEastAsia"/>
                <w:sz w:val="21"/>
                <w:szCs w:val="16"/>
              </w:rPr>
              <w:t>熟石灰储仓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26" w:type="pct"/>
            <w:tcBorders>
              <w:tl2br w:val="nil"/>
              <w:tr2bl w:val="nil"/>
            </w:tcBorders>
            <w:vAlign w:val="center"/>
          </w:tcPr>
          <w:p>
            <w:pPr>
              <w:pStyle w:val="43"/>
              <w:rPr>
                <w:rFonts w:eastAsiaTheme="minorEastAsia"/>
                <w:sz w:val="21"/>
                <w:szCs w:val="16"/>
                <w:lang w:val="zh-CN"/>
              </w:rPr>
            </w:pPr>
            <w:r>
              <w:rPr>
                <w:rFonts w:eastAsiaTheme="minorEastAsia"/>
                <w:sz w:val="21"/>
                <w:szCs w:val="16"/>
                <w:lang w:val="zh-CN"/>
              </w:rPr>
              <w:t>2</w:t>
            </w:r>
          </w:p>
        </w:tc>
        <w:tc>
          <w:tcPr>
            <w:tcW w:w="932" w:type="pct"/>
            <w:tcBorders>
              <w:tl2br w:val="nil"/>
              <w:tr2bl w:val="nil"/>
            </w:tcBorders>
            <w:vAlign w:val="center"/>
          </w:tcPr>
          <w:p>
            <w:pPr>
              <w:pStyle w:val="43"/>
              <w:rPr>
                <w:rFonts w:eastAsiaTheme="minorEastAsia"/>
                <w:sz w:val="21"/>
                <w:szCs w:val="16"/>
                <w:lang w:val="zh-CN"/>
              </w:rPr>
            </w:pPr>
            <w:r>
              <w:rPr>
                <w:rFonts w:eastAsiaTheme="minorEastAsia"/>
                <w:sz w:val="21"/>
                <w:szCs w:val="16"/>
                <w:lang w:val="zh-CN"/>
              </w:rPr>
              <w:t>活性炭</w:t>
            </w:r>
          </w:p>
        </w:tc>
        <w:tc>
          <w:tcPr>
            <w:tcW w:w="767" w:type="pct"/>
            <w:tcBorders>
              <w:tl2br w:val="nil"/>
              <w:tr2bl w:val="nil"/>
            </w:tcBorders>
            <w:vAlign w:val="center"/>
          </w:tcPr>
          <w:p>
            <w:pPr>
              <w:pStyle w:val="43"/>
              <w:rPr>
                <w:rFonts w:eastAsiaTheme="minorEastAsia"/>
                <w:sz w:val="21"/>
                <w:szCs w:val="16"/>
                <w:lang w:val="zh-CN"/>
              </w:rPr>
            </w:pPr>
            <w:r>
              <w:rPr>
                <w:rFonts w:eastAsiaTheme="minorEastAsia"/>
                <w:sz w:val="21"/>
                <w:szCs w:val="16"/>
                <w:lang w:val="zh-CN"/>
              </w:rPr>
              <w:t>碳</w:t>
            </w:r>
          </w:p>
        </w:tc>
        <w:tc>
          <w:tcPr>
            <w:tcW w:w="719" w:type="pct"/>
            <w:tcBorders>
              <w:tl2br w:val="nil"/>
              <w:tr2bl w:val="nil"/>
            </w:tcBorders>
            <w:vAlign w:val="center"/>
          </w:tcPr>
          <w:p>
            <w:pPr>
              <w:pStyle w:val="43"/>
              <w:rPr>
                <w:rFonts w:eastAsiaTheme="minorEastAsia"/>
                <w:sz w:val="21"/>
                <w:szCs w:val="16"/>
                <w:lang w:val="zh-CN"/>
              </w:rPr>
            </w:pPr>
            <w:r>
              <w:rPr>
                <w:rFonts w:eastAsiaTheme="minorEastAsia"/>
                <w:sz w:val="21"/>
                <w:szCs w:val="16"/>
                <w:lang w:val="zh-CN"/>
              </w:rPr>
              <w:t>183.95</w:t>
            </w:r>
          </w:p>
        </w:tc>
        <w:tc>
          <w:tcPr>
            <w:tcW w:w="539" w:type="pct"/>
            <w:tcBorders>
              <w:tl2br w:val="nil"/>
              <w:tr2bl w:val="nil"/>
            </w:tcBorders>
            <w:vAlign w:val="center"/>
          </w:tcPr>
          <w:p>
            <w:pPr>
              <w:pStyle w:val="43"/>
              <w:rPr>
                <w:rFonts w:eastAsiaTheme="minorEastAsia"/>
                <w:sz w:val="21"/>
                <w:szCs w:val="16"/>
                <w:lang w:val="zh-CN"/>
              </w:rPr>
            </w:pPr>
            <w:r>
              <w:rPr>
                <w:rFonts w:eastAsiaTheme="minorEastAsia"/>
                <w:sz w:val="21"/>
                <w:szCs w:val="16"/>
                <w:lang w:val="zh-CN"/>
              </w:rPr>
              <w:t>固</w:t>
            </w:r>
            <w:r>
              <w:rPr>
                <w:rFonts w:eastAsiaTheme="minorEastAsia"/>
                <w:sz w:val="21"/>
                <w:szCs w:val="16"/>
              </w:rPr>
              <w:t>态</w:t>
            </w:r>
          </w:p>
        </w:tc>
        <w:tc>
          <w:tcPr>
            <w:tcW w:w="675" w:type="pct"/>
            <w:tcBorders>
              <w:tl2br w:val="nil"/>
              <w:tr2bl w:val="nil"/>
            </w:tcBorders>
            <w:vAlign w:val="center"/>
          </w:tcPr>
          <w:p>
            <w:pPr>
              <w:pStyle w:val="43"/>
              <w:rPr>
                <w:rFonts w:eastAsiaTheme="minorEastAsia"/>
                <w:sz w:val="21"/>
                <w:szCs w:val="16"/>
              </w:rPr>
            </w:pPr>
            <w:r>
              <w:rPr>
                <w:rFonts w:eastAsiaTheme="minorEastAsia"/>
                <w:sz w:val="21"/>
                <w:szCs w:val="16"/>
                <w:lang w:val="zh-CN"/>
              </w:rPr>
              <w:t>袋装</w:t>
            </w:r>
          </w:p>
        </w:tc>
        <w:tc>
          <w:tcPr>
            <w:tcW w:w="942" w:type="pct"/>
            <w:tcBorders>
              <w:tl2br w:val="nil"/>
              <w:tr2bl w:val="nil"/>
            </w:tcBorders>
            <w:vAlign w:val="center"/>
          </w:tcPr>
          <w:p>
            <w:pPr>
              <w:pStyle w:val="43"/>
              <w:rPr>
                <w:rFonts w:eastAsiaTheme="minorEastAsia"/>
                <w:sz w:val="21"/>
                <w:szCs w:val="16"/>
              </w:rPr>
            </w:pPr>
            <w:r>
              <w:rPr>
                <w:rFonts w:eastAsiaTheme="minorEastAsia"/>
                <w:sz w:val="21"/>
                <w:szCs w:val="16"/>
              </w:rPr>
              <w:t>活性炭料仓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26" w:type="pct"/>
            <w:tcBorders>
              <w:tl2br w:val="nil"/>
              <w:tr2bl w:val="nil"/>
            </w:tcBorders>
            <w:vAlign w:val="center"/>
          </w:tcPr>
          <w:p>
            <w:pPr>
              <w:pStyle w:val="43"/>
              <w:rPr>
                <w:rFonts w:eastAsiaTheme="minorEastAsia"/>
                <w:sz w:val="21"/>
                <w:szCs w:val="16"/>
                <w:lang w:val="zh-CN"/>
              </w:rPr>
            </w:pPr>
            <w:r>
              <w:rPr>
                <w:rFonts w:eastAsiaTheme="minorEastAsia"/>
                <w:sz w:val="21"/>
                <w:szCs w:val="16"/>
                <w:lang w:val="zh-CN"/>
              </w:rPr>
              <w:t>3</w:t>
            </w:r>
          </w:p>
        </w:tc>
        <w:tc>
          <w:tcPr>
            <w:tcW w:w="932" w:type="pct"/>
            <w:tcBorders>
              <w:tl2br w:val="nil"/>
              <w:tr2bl w:val="nil"/>
            </w:tcBorders>
            <w:vAlign w:val="center"/>
          </w:tcPr>
          <w:p>
            <w:pPr>
              <w:pStyle w:val="43"/>
              <w:rPr>
                <w:rFonts w:eastAsiaTheme="minorEastAsia"/>
                <w:sz w:val="21"/>
                <w:szCs w:val="16"/>
                <w:lang w:val="zh-CN"/>
              </w:rPr>
            </w:pPr>
            <w:r>
              <w:rPr>
                <w:rFonts w:eastAsiaTheme="minorEastAsia"/>
                <w:sz w:val="21"/>
                <w:szCs w:val="16"/>
                <w:lang w:val="zh-CN"/>
              </w:rPr>
              <w:t>0#轻质柴油</w:t>
            </w:r>
          </w:p>
        </w:tc>
        <w:tc>
          <w:tcPr>
            <w:tcW w:w="767" w:type="pct"/>
            <w:tcBorders>
              <w:tl2br w:val="nil"/>
              <w:tr2bl w:val="nil"/>
            </w:tcBorders>
            <w:vAlign w:val="center"/>
          </w:tcPr>
          <w:p>
            <w:pPr>
              <w:pStyle w:val="43"/>
              <w:rPr>
                <w:rFonts w:eastAsiaTheme="minorEastAsia"/>
                <w:sz w:val="21"/>
                <w:szCs w:val="16"/>
                <w:lang w:val="zh-CN"/>
              </w:rPr>
            </w:pPr>
            <w:r>
              <w:rPr>
                <w:rFonts w:eastAsiaTheme="minorEastAsia"/>
                <w:sz w:val="21"/>
                <w:szCs w:val="16"/>
                <w:lang w:val="zh-CN"/>
              </w:rPr>
              <w:t>烃类</w:t>
            </w:r>
          </w:p>
        </w:tc>
        <w:tc>
          <w:tcPr>
            <w:tcW w:w="719" w:type="pct"/>
            <w:tcBorders>
              <w:tl2br w:val="nil"/>
              <w:tr2bl w:val="nil"/>
            </w:tcBorders>
            <w:vAlign w:val="center"/>
          </w:tcPr>
          <w:p>
            <w:pPr>
              <w:pStyle w:val="43"/>
              <w:rPr>
                <w:rFonts w:eastAsiaTheme="minorEastAsia"/>
                <w:sz w:val="21"/>
                <w:szCs w:val="16"/>
                <w:lang w:val="zh-CN"/>
              </w:rPr>
            </w:pPr>
            <w:r>
              <w:rPr>
                <w:rFonts w:eastAsiaTheme="minorEastAsia"/>
                <w:sz w:val="21"/>
                <w:szCs w:val="16"/>
                <w:lang w:val="zh-CN"/>
              </w:rPr>
              <w:t>150</w:t>
            </w:r>
          </w:p>
        </w:tc>
        <w:tc>
          <w:tcPr>
            <w:tcW w:w="539" w:type="pct"/>
            <w:tcBorders>
              <w:tl2br w:val="nil"/>
              <w:tr2bl w:val="nil"/>
            </w:tcBorders>
            <w:vAlign w:val="center"/>
          </w:tcPr>
          <w:p>
            <w:pPr>
              <w:pStyle w:val="43"/>
              <w:rPr>
                <w:rFonts w:eastAsiaTheme="minorEastAsia"/>
                <w:sz w:val="21"/>
                <w:szCs w:val="16"/>
                <w:lang w:val="zh-CN"/>
              </w:rPr>
            </w:pPr>
            <w:r>
              <w:rPr>
                <w:rFonts w:eastAsiaTheme="minorEastAsia"/>
                <w:sz w:val="21"/>
                <w:szCs w:val="16"/>
                <w:lang w:val="zh-CN"/>
              </w:rPr>
              <w:t>液</w:t>
            </w:r>
            <w:r>
              <w:rPr>
                <w:rFonts w:eastAsiaTheme="minorEastAsia"/>
                <w:sz w:val="21"/>
                <w:szCs w:val="16"/>
              </w:rPr>
              <w:t>态</w:t>
            </w:r>
          </w:p>
        </w:tc>
        <w:tc>
          <w:tcPr>
            <w:tcW w:w="675" w:type="pct"/>
            <w:tcBorders>
              <w:tl2br w:val="nil"/>
              <w:tr2bl w:val="nil"/>
            </w:tcBorders>
            <w:vAlign w:val="center"/>
          </w:tcPr>
          <w:p>
            <w:pPr>
              <w:pStyle w:val="43"/>
              <w:rPr>
                <w:rFonts w:eastAsiaTheme="minorEastAsia"/>
                <w:sz w:val="21"/>
                <w:szCs w:val="16"/>
              </w:rPr>
            </w:pPr>
            <w:r>
              <w:rPr>
                <w:rFonts w:eastAsiaTheme="minorEastAsia"/>
                <w:sz w:val="21"/>
                <w:szCs w:val="16"/>
                <w:lang w:val="zh-CN"/>
              </w:rPr>
              <w:t>地埋储罐</w:t>
            </w:r>
          </w:p>
        </w:tc>
        <w:tc>
          <w:tcPr>
            <w:tcW w:w="942" w:type="pct"/>
            <w:tcBorders>
              <w:tl2br w:val="nil"/>
              <w:tr2bl w:val="nil"/>
            </w:tcBorders>
            <w:vAlign w:val="center"/>
          </w:tcPr>
          <w:p>
            <w:pPr>
              <w:pStyle w:val="43"/>
              <w:rPr>
                <w:rFonts w:eastAsiaTheme="minorEastAsia"/>
                <w:sz w:val="21"/>
                <w:szCs w:val="16"/>
              </w:rPr>
            </w:pPr>
            <w:r>
              <w:rPr>
                <w:rFonts w:eastAsiaTheme="minorEastAsia"/>
                <w:sz w:val="21"/>
                <w:szCs w:val="16"/>
              </w:rPr>
              <w:t>柴油储罐区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26" w:type="pct"/>
            <w:tcBorders>
              <w:tl2br w:val="nil"/>
              <w:tr2bl w:val="nil"/>
            </w:tcBorders>
            <w:vAlign w:val="center"/>
          </w:tcPr>
          <w:p>
            <w:pPr>
              <w:pStyle w:val="43"/>
              <w:rPr>
                <w:rFonts w:eastAsiaTheme="minorEastAsia"/>
                <w:sz w:val="21"/>
                <w:szCs w:val="16"/>
                <w:lang w:val="zh-CN"/>
              </w:rPr>
            </w:pPr>
            <w:r>
              <w:rPr>
                <w:rFonts w:eastAsiaTheme="minorEastAsia"/>
                <w:sz w:val="21"/>
                <w:szCs w:val="16"/>
                <w:lang w:val="zh-CN"/>
              </w:rPr>
              <w:t>4</w:t>
            </w:r>
          </w:p>
        </w:tc>
        <w:tc>
          <w:tcPr>
            <w:tcW w:w="932" w:type="pct"/>
            <w:tcBorders>
              <w:tl2br w:val="nil"/>
              <w:tr2bl w:val="nil"/>
            </w:tcBorders>
            <w:vAlign w:val="center"/>
          </w:tcPr>
          <w:p>
            <w:pPr>
              <w:pStyle w:val="43"/>
              <w:rPr>
                <w:rFonts w:eastAsiaTheme="minorEastAsia"/>
                <w:sz w:val="21"/>
                <w:szCs w:val="16"/>
                <w:lang w:val="zh-CN"/>
              </w:rPr>
            </w:pPr>
            <w:r>
              <w:rPr>
                <w:rFonts w:eastAsiaTheme="minorEastAsia"/>
                <w:sz w:val="21"/>
                <w:szCs w:val="16"/>
                <w:lang w:val="zh-CN"/>
              </w:rPr>
              <w:t>氨水</w:t>
            </w:r>
          </w:p>
        </w:tc>
        <w:tc>
          <w:tcPr>
            <w:tcW w:w="767" w:type="pct"/>
            <w:tcBorders>
              <w:tl2br w:val="nil"/>
              <w:tr2bl w:val="nil"/>
            </w:tcBorders>
            <w:vAlign w:val="center"/>
          </w:tcPr>
          <w:p>
            <w:pPr>
              <w:pStyle w:val="43"/>
              <w:rPr>
                <w:rFonts w:eastAsiaTheme="minorEastAsia"/>
                <w:sz w:val="21"/>
                <w:szCs w:val="16"/>
              </w:rPr>
            </w:pPr>
            <w:r>
              <w:rPr>
                <w:rFonts w:eastAsiaTheme="minorEastAsia"/>
                <w:sz w:val="21"/>
                <w:szCs w:val="16"/>
              </w:rPr>
              <w:t>NH</w:t>
            </w:r>
            <w:r>
              <w:rPr>
                <w:rFonts w:eastAsiaTheme="minorEastAsia"/>
                <w:sz w:val="21"/>
                <w:szCs w:val="16"/>
                <w:vertAlign w:val="subscript"/>
              </w:rPr>
              <w:t>3·</w:t>
            </w:r>
            <w:r>
              <w:rPr>
                <w:rFonts w:eastAsiaTheme="minorEastAsia"/>
                <w:sz w:val="21"/>
                <w:szCs w:val="16"/>
              </w:rPr>
              <w:t>H</w:t>
            </w:r>
            <w:r>
              <w:rPr>
                <w:rFonts w:eastAsiaTheme="minorEastAsia"/>
                <w:sz w:val="21"/>
                <w:szCs w:val="16"/>
                <w:vertAlign w:val="subscript"/>
              </w:rPr>
              <w:t>2</w:t>
            </w:r>
            <w:r>
              <w:rPr>
                <w:rFonts w:eastAsiaTheme="minorEastAsia"/>
                <w:sz w:val="21"/>
                <w:szCs w:val="16"/>
              </w:rPr>
              <w:t>O</w:t>
            </w:r>
          </w:p>
          <w:p>
            <w:pPr>
              <w:pStyle w:val="43"/>
              <w:rPr>
                <w:rFonts w:eastAsiaTheme="minorEastAsia"/>
                <w:sz w:val="21"/>
                <w:szCs w:val="16"/>
              </w:rPr>
            </w:pPr>
            <w:r>
              <w:rPr>
                <w:rFonts w:eastAsiaTheme="minorEastAsia"/>
                <w:sz w:val="21"/>
                <w:szCs w:val="16"/>
              </w:rPr>
              <w:t>20%</w:t>
            </w:r>
          </w:p>
        </w:tc>
        <w:tc>
          <w:tcPr>
            <w:tcW w:w="719" w:type="pct"/>
            <w:tcBorders>
              <w:tl2br w:val="nil"/>
              <w:tr2bl w:val="nil"/>
            </w:tcBorders>
            <w:vAlign w:val="center"/>
          </w:tcPr>
          <w:p>
            <w:pPr>
              <w:pStyle w:val="43"/>
              <w:rPr>
                <w:rFonts w:eastAsiaTheme="minorEastAsia"/>
                <w:sz w:val="21"/>
                <w:szCs w:val="16"/>
                <w:lang w:val="zh-CN"/>
              </w:rPr>
            </w:pPr>
            <w:r>
              <w:rPr>
                <w:rFonts w:eastAsiaTheme="minorEastAsia"/>
                <w:sz w:val="21"/>
                <w:szCs w:val="16"/>
              </w:rPr>
              <w:t>1664</w:t>
            </w:r>
          </w:p>
        </w:tc>
        <w:tc>
          <w:tcPr>
            <w:tcW w:w="539" w:type="pct"/>
            <w:tcBorders>
              <w:tl2br w:val="nil"/>
              <w:tr2bl w:val="nil"/>
            </w:tcBorders>
            <w:vAlign w:val="center"/>
          </w:tcPr>
          <w:p>
            <w:pPr>
              <w:pStyle w:val="43"/>
              <w:rPr>
                <w:rFonts w:eastAsiaTheme="minorEastAsia"/>
                <w:sz w:val="21"/>
                <w:szCs w:val="16"/>
                <w:lang w:val="zh-CN"/>
              </w:rPr>
            </w:pPr>
            <w:r>
              <w:rPr>
                <w:rFonts w:eastAsiaTheme="minorEastAsia"/>
                <w:sz w:val="21"/>
                <w:szCs w:val="16"/>
                <w:lang w:val="zh-CN"/>
              </w:rPr>
              <w:t>液</w:t>
            </w:r>
            <w:r>
              <w:rPr>
                <w:rFonts w:eastAsiaTheme="minorEastAsia"/>
                <w:sz w:val="21"/>
                <w:szCs w:val="16"/>
              </w:rPr>
              <w:t>态</w:t>
            </w:r>
          </w:p>
        </w:tc>
        <w:tc>
          <w:tcPr>
            <w:tcW w:w="675" w:type="pct"/>
            <w:tcBorders>
              <w:tl2br w:val="nil"/>
              <w:tr2bl w:val="nil"/>
            </w:tcBorders>
            <w:vAlign w:val="center"/>
          </w:tcPr>
          <w:p>
            <w:pPr>
              <w:pStyle w:val="43"/>
              <w:rPr>
                <w:rFonts w:eastAsiaTheme="minorEastAsia"/>
                <w:sz w:val="21"/>
                <w:szCs w:val="16"/>
              </w:rPr>
            </w:pPr>
            <w:r>
              <w:rPr>
                <w:rFonts w:eastAsiaTheme="minorEastAsia"/>
                <w:sz w:val="21"/>
                <w:szCs w:val="16"/>
                <w:lang w:val="zh-CN"/>
              </w:rPr>
              <w:t>储罐</w:t>
            </w:r>
          </w:p>
        </w:tc>
        <w:tc>
          <w:tcPr>
            <w:tcW w:w="942" w:type="pct"/>
            <w:tcBorders>
              <w:tl2br w:val="nil"/>
              <w:tr2bl w:val="nil"/>
            </w:tcBorders>
            <w:vAlign w:val="center"/>
          </w:tcPr>
          <w:p>
            <w:pPr>
              <w:pStyle w:val="43"/>
              <w:rPr>
                <w:rFonts w:eastAsiaTheme="minorEastAsia"/>
                <w:sz w:val="21"/>
                <w:szCs w:val="16"/>
              </w:rPr>
            </w:pPr>
            <w:r>
              <w:rPr>
                <w:rFonts w:eastAsiaTheme="minorEastAsia"/>
                <w:sz w:val="21"/>
                <w:szCs w:val="16"/>
              </w:rPr>
              <w:t>氨水储罐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26" w:type="pct"/>
            <w:tcBorders>
              <w:tl2br w:val="nil"/>
              <w:tr2bl w:val="nil"/>
            </w:tcBorders>
            <w:vAlign w:val="center"/>
          </w:tcPr>
          <w:p>
            <w:pPr>
              <w:pStyle w:val="43"/>
              <w:rPr>
                <w:rFonts w:eastAsiaTheme="minorEastAsia"/>
                <w:sz w:val="21"/>
                <w:szCs w:val="16"/>
                <w:lang w:val="zh-CN"/>
              </w:rPr>
            </w:pPr>
            <w:r>
              <w:rPr>
                <w:rFonts w:eastAsiaTheme="minorEastAsia"/>
                <w:sz w:val="21"/>
                <w:szCs w:val="16"/>
                <w:lang w:val="zh-CN"/>
              </w:rPr>
              <w:t>5</w:t>
            </w:r>
          </w:p>
        </w:tc>
        <w:tc>
          <w:tcPr>
            <w:tcW w:w="932" w:type="pct"/>
            <w:tcBorders>
              <w:tl2br w:val="nil"/>
              <w:tr2bl w:val="nil"/>
            </w:tcBorders>
            <w:vAlign w:val="center"/>
          </w:tcPr>
          <w:p>
            <w:pPr>
              <w:pStyle w:val="43"/>
              <w:rPr>
                <w:rFonts w:eastAsiaTheme="minorEastAsia"/>
                <w:sz w:val="21"/>
                <w:szCs w:val="16"/>
                <w:lang w:val="zh-CN"/>
              </w:rPr>
            </w:pPr>
            <w:r>
              <w:rPr>
                <w:rFonts w:eastAsiaTheme="minorEastAsia"/>
                <w:sz w:val="21"/>
                <w:szCs w:val="16"/>
                <w:lang w:val="zh-CN"/>
              </w:rPr>
              <w:t>阻垢剂</w:t>
            </w:r>
          </w:p>
        </w:tc>
        <w:tc>
          <w:tcPr>
            <w:tcW w:w="767" w:type="pct"/>
            <w:tcBorders>
              <w:tl2br w:val="nil"/>
              <w:tr2bl w:val="nil"/>
            </w:tcBorders>
            <w:vAlign w:val="center"/>
          </w:tcPr>
          <w:p>
            <w:pPr>
              <w:pStyle w:val="43"/>
              <w:rPr>
                <w:rFonts w:eastAsiaTheme="minorEastAsia"/>
                <w:sz w:val="21"/>
                <w:szCs w:val="16"/>
                <w:lang w:val="zh-CN"/>
              </w:rPr>
            </w:pPr>
            <w:r>
              <w:rPr>
                <w:rFonts w:eastAsiaTheme="minorEastAsia"/>
                <w:sz w:val="21"/>
                <w:szCs w:val="16"/>
                <w:lang w:val="zh-CN"/>
              </w:rPr>
              <w:t>Na</w:t>
            </w:r>
            <w:r>
              <w:rPr>
                <w:rFonts w:eastAsiaTheme="minorEastAsia"/>
                <w:sz w:val="21"/>
                <w:szCs w:val="16"/>
                <w:vertAlign w:val="subscript"/>
                <w:lang w:val="zh-CN"/>
              </w:rPr>
              <w:t>3</w:t>
            </w:r>
            <w:r>
              <w:rPr>
                <w:rFonts w:eastAsiaTheme="minorEastAsia"/>
                <w:sz w:val="21"/>
                <w:szCs w:val="16"/>
                <w:lang w:val="zh-CN"/>
              </w:rPr>
              <w:t>PO</w:t>
            </w:r>
            <w:r>
              <w:rPr>
                <w:rFonts w:eastAsiaTheme="minorEastAsia"/>
                <w:sz w:val="21"/>
                <w:szCs w:val="16"/>
                <w:vertAlign w:val="subscript"/>
                <w:lang w:val="zh-CN"/>
              </w:rPr>
              <w:t>4</w:t>
            </w:r>
          </w:p>
        </w:tc>
        <w:tc>
          <w:tcPr>
            <w:tcW w:w="719" w:type="pct"/>
            <w:tcBorders>
              <w:tl2br w:val="nil"/>
              <w:tr2bl w:val="nil"/>
            </w:tcBorders>
            <w:vAlign w:val="center"/>
          </w:tcPr>
          <w:p>
            <w:pPr>
              <w:pStyle w:val="43"/>
              <w:rPr>
                <w:rFonts w:eastAsiaTheme="minorEastAsia"/>
                <w:sz w:val="21"/>
                <w:szCs w:val="16"/>
                <w:lang w:val="zh-CN"/>
              </w:rPr>
            </w:pPr>
            <w:r>
              <w:rPr>
                <w:rFonts w:eastAsiaTheme="minorEastAsia"/>
                <w:sz w:val="21"/>
                <w:szCs w:val="16"/>
                <w:lang w:val="zh-CN"/>
              </w:rPr>
              <w:t>14</w:t>
            </w:r>
          </w:p>
        </w:tc>
        <w:tc>
          <w:tcPr>
            <w:tcW w:w="539" w:type="pct"/>
            <w:tcBorders>
              <w:tl2br w:val="nil"/>
              <w:tr2bl w:val="nil"/>
            </w:tcBorders>
            <w:vAlign w:val="center"/>
          </w:tcPr>
          <w:p>
            <w:pPr>
              <w:pStyle w:val="43"/>
              <w:rPr>
                <w:rFonts w:eastAsiaTheme="minorEastAsia"/>
                <w:sz w:val="21"/>
                <w:szCs w:val="16"/>
                <w:lang w:val="zh-CN"/>
              </w:rPr>
            </w:pPr>
            <w:r>
              <w:rPr>
                <w:rFonts w:eastAsiaTheme="minorEastAsia"/>
                <w:sz w:val="21"/>
                <w:szCs w:val="16"/>
                <w:lang w:val="zh-CN"/>
              </w:rPr>
              <w:t>固</w:t>
            </w:r>
            <w:r>
              <w:rPr>
                <w:rFonts w:eastAsiaTheme="minorEastAsia"/>
                <w:sz w:val="21"/>
                <w:szCs w:val="16"/>
              </w:rPr>
              <w:t>态</w:t>
            </w:r>
          </w:p>
        </w:tc>
        <w:tc>
          <w:tcPr>
            <w:tcW w:w="675" w:type="pct"/>
            <w:tcBorders>
              <w:tl2br w:val="nil"/>
              <w:tr2bl w:val="nil"/>
            </w:tcBorders>
            <w:vAlign w:val="center"/>
          </w:tcPr>
          <w:p>
            <w:pPr>
              <w:pStyle w:val="43"/>
              <w:rPr>
                <w:rFonts w:eastAsiaTheme="minorEastAsia"/>
                <w:sz w:val="21"/>
                <w:szCs w:val="16"/>
              </w:rPr>
            </w:pPr>
            <w:r>
              <w:rPr>
                <w:rFonts w:eastAsiaTheme="minorEastAsia"/>
                <w:sz w:val="21"/>
                <w:szCs w:val="16"/>
                <w:lang w:val="zh-CN"/>
              </w:rPr>
              <w:t>袋装</w:t>
            </w:r>
          </w:p>
        </w:tc>
        <w:tc>
          <w:tcPr>
            <w:tcW w:w="942" w:type="pct"/>
            <w:tcBorders>
              <w:tl2br w:val="nil"/>
              <w:tr2bl w:val="nil"/>
            </w:tcBorders>
            <w:vAlign w:val="center"/>
          </w:tcPr>
          <w:p>
            <w:pPr>
              <w:pStyle w:val="43"/>
              <w:rPr>
                <w:rFonts w:eastAsiaTheme="minorEastAsia"/>
                <w:sz w:val="21"/>
                <w:szCs w:val="16"/>
              </w:rPr>
            </w:pPr>
            <w:r>
              <w:rPr>
                <w:rFonts w:eastAsiaTheme="minorEastAsia"/>
                <w:sz w:val="21"/>
                <w:szCs w:val="16"/>
              </w:rPr>
              <w:t>辅助库房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26" w:type="pct"/>
            <w:tcBorders>
              <w:tl2br w:val="nil"/>
              <w:tr2bl w:val="nil"/>
            </w:tcBorders>
            <w:vAlign w:val="center"/>
          </w:tcPr>
          <w:p>
            <w:pPr>
              <w:pStyle w:val="43"/>
              <w:rPr>
                <w:rFonts w:eastAsiaTheme="minorEastAsia"/>
                <w:sz w:val="21"/>
                <w:szCs w:val="16"/>
                <w:lang w:val="zh-CN"/>
              </w:rPr>
            </w:pPr>
            <w:r>
              <w:rPr>
                <w:rFonts w:eastAsiaTheme="minorEastAsia"/>
                <w:sz w:val="21"/>
                <w:szCs w:val="16"/>
              </w:rPr>
              <w:t>6</w:t>
            </w:r>
          </w:p>
        </w:tc>
        <w:tc>
          <w:tcPr>
            <w:tcW w:w="932" w:type="pct"/>
            <w:tcBorders>
              <w:tl2br w:val="nil"/>
              <w:tr2bl w:val="nil"/>
            </w:tcBorders>
            <w:vAlign w:val="center"/>
          </w:tcPr>
          <w:p>
            <w:pPr>
              <w:pStyle w:val="43"/>
              <w:rPr>
                <w:rFonts w:eastAsiaTheme="minorEastAsia"/>
                <w:sz w:val="21"/>
                <w:szCs w:val="16"/>
                <w:lang w:val="zh-CN"/>
              </w:rPr>
            </w:pPr>
            <w:r>
              <w:rPr>
                <w:rFonts w:eastAsiaTheme="minorEastAsia"/>
                <w:sz w:val="21"/>
                <w:szCs w:val="16"/>
                <w:lang w:val="zh-CN"/>
              </w:rPr>
              <w:t>螯合剂</w:t>
            </w:r>
          </w:p>
        </w:tc>
        <w:tc>
          <w:tcPr>
            <w:tcW w:w="767" w:type="pct"/>
            <w:tcBorders>
              <w:tl2br w:val="nil"/>
              <w:tr2bl w:val="nil"/>
            </w:tcBorders>
            <w:vAlign w:val="center"/>
          </w:tcPr>
          <w:p>
            <w:pPr>
              <w:pStyle w:val="43"/>
              <w:rPr>
                <w:rFonts w:eastAsiaTheme="minorEastAsia"/>
                <w:sz w:val="21"/>
                <w:szCs w:val="16"/>
                <w:lang w:val="zh-CN"/>
              </w:rPr>
            </w:pPr>
            <w:r>
              <w:rPr>
                <w:rFonts w:eastAsiaTheme="minorEastAsia"/>
                <w:sz w:val="21"/>
                <w:szCs w:val="16"/>
                <w:lang w:val="zh-CN"/>
              </w:rPr>
              <w:t>硫酰胺类共聚物</w:t>
            </w:r>
          </w:p>
        </w:tc>
        <w:tc>
          <w:tcPr>
            <w:tcW w:w="719" w:type="pct"/>
            <w:tcBorders>
              <w:tl2br w:val="nil"/>
              <w:tr2bl w:val="nil"/>
            </w:tcBorders>
            <w:vAlign w:val="center"/>
          </w:tcPr>
          <w:p>
            <w:pPr>
              <w:pStyle w:val="43"/>
              <w:rPr>
                <w:rFonts w:eastAsiaTheme="minorEastAsia"/>
                <w:sz w:val="21"/>
                <w:szCs w:val="16"/>
              </w:rPr>
            </w:pPr>
            <w:r>
              <w:rPr>
                <w:rFonts w:eastAsiaTheme="minorEastAsia"/>
                <w:sz w:val="21"/>
                <w:szCs w:val="16"/>
              </w:rPr>
              <w:t>288</w:t>
            </w:r>
          </w:p>
        </w:tc>
        <w:tc>
          <w:tcPr>
            <w:tcW w:w="539" w:type="pct"/>
            <w:tcBorders>
              <w:tl2br w:val="nil"/>
              <w:tr2bl w:val="nil"/>
            </w:tcBorders>
            <w:vAlign w:val="center"/>
          </w:tcPr>
          <w:p>
            <w:pPr>
              <w:pStyle w:val="43"/>
              <w:rPr>
                <w:rFonts w:eastAsiaTheme="minorEastAsia"/>
                <w:sz w:val="21"/>
                <w:szCs w:val="16"/>
                <w:lang w:val="zh-CN"/>
              </w:rPr>
            </w:pPr>
            <w:r>
              <w:rPr>
                <w:rFonts w:eastAsiaTheme="minorEastAsia"/>
                <w:sz w:val="21"/>
                <w:szCs w:val="16"/>
                <w:lang w:val="zh-CN"/>
              </w:rPr>
              <w:t>液</w:t>
            </w:r>
            <w:r>
              <w:rPr>
                <w:rFonts w:eastAsiaTheme="minorEastAsia"/>
                <w:sz w:val="21"/>
                <w:szCs w:val="16"/>
              </w:rPr>
              <w:t>态</w:t>
            </w:r>
          </w:p>
        </w:tc>
        <w:tc>
          <w:tcPr>
            <w:tcW w:w="675" w:type="pct"/>
            <w:tcBorders>
              <w:tl2br w:val="nil"/>
              <w:tr2bl w:val="nil"/>
            </w:tcBorders>
            <w:vAlign w:val="center"/>
          </w:tcPr>
          <w:p>
            <w:pPr>
              <w:pStyle w:val="43"/>
              <w:rPr>
                <w:rFonts w:eastAsiaTheme="minorEastAsia"/>
                <w:sz w:val="21"/>
                <w:szCs w:val="16"/>
              </w:rPr>
            </w:pPr>
            <w:r>
              <w:rPr>
                <w:rFonts w:eastAsiaTheme="minorEastAsia"/>
                <w:sz w:val="21"/>
                <w:szCs w:val="16"/>
                <w:lang w:val="zh-CN"/>
              </w:rPr>
              <w:t>桶装</w:t>
            </w:r>
          </w:p>
        </w:tc>
        <w:tc>
          <w:tcPr>
            <w:tcW w:w="942" w:type="pct"/>
            <w:tcBorders>
              <w:tl2br w:val="nil"/>
              <w:tr2bl w:val="nil"/>
            </w:tcBorders>
            <w:vAlign w:val="center"/>
          </w:tcPr>
          <w:p>
            <w:pPr>
              <w:pStyle w:val="43"/>
              <w:rPr>
                <w:rFonts w:eastAsiaTheme="minorEastAsia"/>
                <w:sz w:val="21"/>
                <w:szCs w:val="16"/>
              </w:rPr>
            </w:pPr>
            <w:r>
              <w:rPr>
                <w:rFonts w:eastAsiaTheme="minorEastAsia"/>
                <w:sz w:val="21"/>
                <w:szCs w:val="16"/>
              </w:rPr>
              <w:t>螯合剂储罐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26" w:type="pct"/>
            <w:tcBorders>
              <w:tl2br w:val="nil"/>
              <w:tr2bl w:val="nil"/>
            </w:tcBorders>
            <w:vAlign w:val="center"/>
          </w:tcPr>
          <w:p>
            <w:pPr>
              <w:pStyle w:val="43"/>
              <w:rPr>
                <w:rFonts w:eastAsiaTheme="minorEastAsia"/>
                <w:sz w:val="21"/>
                <w:szCs w:val="16"/>
                <w:lang w:val="zh-CN"/>
              </w:rPr>
            </w:pPr>
            <w:r>
              <w:rPr>
                <w:rFonts w:eastAsiaTheme="minorEastAsia"/>
                <w:sz w:val="21"/>
                <w:szCs w:val="16"/>
              </w:rPr>
              <w:t>7</w:t>
            </w:r>
          </w:p>
        </w:tc>
        <w:tc>
          <w:tcPr>
            <w:tcW w:w="932" w:type="pct"/>
            <w:tcBorders>
              <w:tl2br w:val="nil"/>
              <w:tr2bl w:val="nil"/>
            </w:tcBorders>
            <w:vAlign w:val="center"/>
          </w:tcPr>
          <w:p>
            <w:pPr>
              <w:pStyle w:val="43"/>
              <w:rPr>
                <w:rFonts w:eastAsiaTheme="minorEastAsia"/>
                <w:sz w:val="21"/>
                <w:szCs w:val="16"/>
                <w:lang w:val="zh-CN"/>
              </w:rPr>
            </w:pPr>
            <w:r>
              <w:rPr>
                <w:rFonts w:eastAsiaTheme="minorEastAsia"/>
                <w:sz w:val="21"/>
                <w:szCs w:val="16"/>
                <w:lang w:val="zh-CN"/>
              </w:rPr>
              <w:t>盐酸</w:t>
            </w:r>
          </w:p>
        </w:tc>
        <w:tc>
          <w:tcPr>
            <w:tcW w:w="767" w:type="pct"/>
            <w:tcBorders>
              <w:tl2br w:val="nil"/>
              <w:tr2bl w:val="nil"/>
            </w:tcBorders>
            <w:vAlign w:val="center"/>
          </w:tcPr>
          <w:p>
            <w:pPr>
              <w:pStyle w:val="43"/>
              <w:rPr>
                <w:rFonts w:eastAsiaTheme="minorEastAsia"/>
                <w:sz w:val="21"/>
                <w:szCs w:val="16"/>
                <w:lang w:val="zh-CN"/>
              </w:rPr>
            </w:pPr>
            <w:r>
              <w:rPr>
                <w:rFonts w:eastAsiaTheme="minorEastAsia"/>
                <w:sz w:val="21"/>
                <w:szCs w:val="16"/>
                <w:lang w:val="zh-CN"/>
              </w:rPr>
              <w:t>HCl</w:t>
            </w:r>
          </w:p>
        </w:tc>
        <w:tc>
          <w:tcPr>
            <w:tcW w:w="719" w:type="pct"/>
            <w:tcBorders>
              <w:tl2br w:val="nil"/>
              <w:tr2bl w:val="nil"/>
            </w:tcBorders>
            <w:vAlign w:val="center"/>
          </w:tcPr>
          <w:p>
            <w:pPr>
              <w:pStyle w:val="43"/>
              <w:rPr>
                <w:rFonts w:eastAsiaTheme="minorEastAsia"/>
                <w:sz w:val="21"/>
                <w:szCs w:val="16"/>
                <w:lang w:val="zh-CN"/>
              </w:rPr>
            </w:pPr>
            <w:r>
              <w:rPr>
                <w:rFonts w:eastAsiaTheme="minorEastAsia"/>
                <w:sz w:val="21"/>
                <w:szCs w:val="16"/>
                <w:lang w:val="zh-CN"/>
              </w:rPr>
              <w:t>10</w:t>
            </w:r>
          </w:p>
        </w:tc>
        <w:tc>
          <w:tcPr>
            <w:tcW w:w="539" w:type="pct"/>
            <w:tcBorders>
              <w:tl2br w:val="nil"/>
              <w:tr2bl w:val="nil"/>
            </w:tcBorders>
            <w:vAlign w:val="center"/>
          </w:tcPr>
          <w:p>
            <w:pPr>
              <w:pStyle w:val="43"/>
              <w:rPr>
                <w:rFonts w:eastAsiaTheme="minorEastAsia"/>
                <w:sz w:val="21"/>
                <w:szCs w:val="16"/>
                <w:lang w:val="zh-CN"/>
              </w:rPr>
            </w:pPr>
            <w:r>
              <w:rPr>
                <w:rFonts w:eastAsiaTheme="minorEastAsia"/>
                <w:sz w:val="21"/>
                <w:szCs w:val="16"/>
                <w:lang w:val="zh-CN"/>
              </w:rPr>
              <w:t>液</w:t>
            </w:r>
            <w:r>
              <w:rPr>
                <w:rFonts w:eastAsiaTheme="minorEastAsia"/>
                <w:sz w:val="21"/>
                <w:szCs w:val="16"/>
              </w:rPr>
              <w:t>态</w:t>
            </w:r>
          </w:p>
        </w:tc>
        <w:tc>
          <w:tcPr>
            <w:tcW w:w="675" w:type="pct"/>
            <w:tcBorders>
              <w:tl2br w:val="nil"/>
              <w:tr2bl w:val="nil"/>
            </w:tcBorders>
            <w:vAlign w:val="center"/>
          </w:tcPr>
          <w:p>
            <w:pPr>
              <w:pStyle w:val="43"/>
              <w:rPr>
                <w:rFonts w:eastAsiaTheme="minorEastAsia"/>
                <w:sz w:val="21"/>
                <w:szCs w:val="16"/>
              </w:rPr>
            </w:pPr>
            <w:r>
              <w:rPr>
                <w:rFonts w:eastAsiaTheme="minorEastAsia"/>
                <w:sz w:val="21"/>
                <w:szCs w:val="16"/>
                <w:lang w:val="zh-CN"/>
              </w:rPr>
              <w:t>储罐</w:t>
            </w:r>
          </w:p>
        </w:tc>
        <w:tc>
          <w:tcPr>
            <w:tcW w:w="942" w:type="pct"/>
            <w:tcBorders>
              <w:tl2br w:val="nil"/>
              <w:tr2bl w:val="nil"/>
            </w:tcBorders>
            <w:vAlign w:val="center"/>
          </w:tcPr>
          <w:p>
            <w:pPr>
              <w:pStyle w:val="43"/>
              <w:rPr>
                <w:rFonts w:eastAsiaTheme="minorEastAsia"/>
                <w:sz w:val="21"/>
                <w:szCs w:val="16"/>
              </w:rPr>
            </w:pPr>
            <w:r>
              <w:rPr>
                <w:rFonts w:eastAsiaTheme="minorEastAsia"/>
                <w:sz w:val="21"/>
                <w:szCs w:val="16"/>
              </w:rPr>
              <w:t>盐酸储罐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26" w:type="pct"/>
            <w:tcBorders>
              <w:tl2br w:val="nil"/>
              <w:tr2bl w:val="nil"/>
            </w:tcBorders>
            <w:vAlign w:val="center"/>
          </w:tcPr>
          <w:p>
            <w:pPr>
              <w:pStyle w:val="43"/>
              <w:rPr>
                <w:rFonts w:eastAsiaTheme="minorEastAsia"/>
                <w:sz w:val="21"/>
                <w:szCs w:val="16"/>
                <w:lang w:val="zh-CN"/>
              </w:rPr>
            </w:pPr>
            <w:r>
              <w:rPr>
                <w:rFonts w:eastAsiaTheme="minorEastAsia"/>
                <w:sz w:val="21"/>
                <w:szCs w:val="16"/>
              </w:rPr>
              <w:t>8</w:t>
            </w:r>
          </w:p>
        </w:tc>
        <w:tc>
          <w:tcPr>
            <w:tcW w:w="932" w:type="pct"/>
            <w:tcBorders>
              <w:tl2br w:val="nil"/>
              <w:tr2bl w:val="nil"/>
            </w:tcBorders>
            <w:vAlign w:val="center"/>
          </w:tcPr>
          <w:p>
            <w:pPr>
              <w:pStyle w:val="43"/>
              <w:rPr>
                <w:rFonts w:eastAsiaTheme="minorEastAsia"/>
                <w:sz w:val="21"/>
                <w:szCs w:val="16"/>
                <w:lang w:val="zh-CN"/>
              </w:rPr>
            </w:pPr>
            <w:r>
              <w:rPr>
                <w:rFonts w:eastAsiaTheme="minorEastAsia"/>
                <w:sz w:val="21"/>
                <w:szCs w:val="16"/>
                <w:lang w:val="zh-CN"/>
              </w:rPr>
              <w:t>氢氧化钠</w:t>
            </w:r>
          </w:p>
        </w:tc>
        <w:tc>
          <w:tcPr>
            <w:tcW w:w="767" w:type="pct"/>
            <w:tcBorders>
              <w:tl2br w:val="nil"/>
              <w:tr2bl w:val="nil"/>
            </w:tcBorders>
            <w:vAlign w:val="center"/>
          </w:tcPr>
          <w:p>
            <w:pPr>
              <w:pStyle w:val="43"/>
              <w:rPr>
                <w:rFonts w:eastAsiaTheme="minorEastAsia"/>
                <w:sz w:val="21"/>
                <w:szCs w:val="16"/>
                <w:lang w:val="zh-CN"/>
              </w:rPr>
            </w:pPr>
            <w:r>
              <w:rPr>
                <w:rFonts w:eastAsiaTheme="minorEastAsia"/>
                <w:sz w:val="21"/>
                <w:szCs w:val="16"/>
                <w:lang w:val="zh-CN"/>
              </w:rPr>
              <w:t>NaOH</w:t>
            </w:r>
          </w:p>
        </w:tc>
        <w:tc>
          <w:tcPr>
            <w:tcW w:w="719" w:type="pct"/>
            <w:tcBorders>
              <w:tl2br w:val="nil"/>
              <w:tr2bl w:val="nil"/>
            </w:tcBorders>
            <w:vAlign w:val="center"/>
          </w:tcPr>
          <w:p>
            <w:pPr>
              <w:pStyle w:val="43"/>
              <w:rPr>
                <w:rFonts w:eastAsiaTheme="minorEastAsia"/>
                <w:sz w:val="21"/>
                <w:szCs w:val="16"/>
                <w:lang w:val="zh-CN"/>
              </w:rPr>
            </w:pPr>
            <w:r>
              <w:rPr>
                <w:rFonts w:eastAsiaTheme="minorEastAsia"/>
                <w:sz w:val="21"/>
                <w:szCs w:val="16"/>
                <w:lang w:val="zh-CN"/>
              </w:rPr>
              <w:t>5</w:t>
            </w:r>
          </w:p>
        </w:tc>
        <w:tc>
          <w:tcPr>
            <w:tcW w:w="539" w:type="pct"/>
            <w:tcBorders>
              <w:tl2br w:val="nil"/>
              <w:tr2bl w:val="nil"/>
            </w:tcBorders>
            <w:vAlign w:val="center"/>
          </w:tcPr>
          <w:p>
            <w:pPr>
              <w:pStyle w:val="43"/>
              <w:rPr>
                <w:rFonts w:eastAsiaTheme="minorEastAsia"/>
                <w:sz w:val="21"/>
                <w:szCs w:val="16"/>
                <w:lang w:val="zh-CN"/>
              </w:rPr>
            </w:pPr>
            <w:r>
              <w:rPr>
                <w:rFonts w:eastAsiaTheme="minorEastAsia"/>
                <w:sz w:val="21"/>
                <w:szCs w:val="16"/>
                <w:lang w:val="zh-CN"/>
              </w:rPr>
              <w:t>液</w:t>
            </w:r>
            <w:r>
              <w:rPr>
                <w:rFonts w:eastAsiaTheme="minorEastAsia"/>
                <w:sz w:val="21"/>
                <w:szCs w:val="16"/>
              </w:rPr>
              <w:t>态</w:t>
            </w:r>
          </w:p>
        </w:tc>
        <w:tc>
          <w:tcPr>
            <w:tcW w:w="675" w:type="pct"/>
            <w:tcBorders>
              <w:tl2br w:val="nil"/>
              <w:tr2bl w:val="nil"/>
            </w:tcBorders>
            <w:vAlign w:val="center"/>
          </w:tcPr>
          <w:p>
            <w:pPr>
              <w:pStyle w:val="43"/>
              <w:rPr>
                <w:rFonts w:eastAsiaTheme="minorEastAsia"/>
                <w:sz w:val="21"/>
                <w:szCs w:val="16"/>
              </w:rPr>
            </w:pPr>
            <w:r>
              <w:rPr>
                <w:rFonts w:eastAsiaTheme="minorEastAsia"/>
                <w:sz w:val="21"/>
                <w:szCs w:val="16"/>
                <w:lang w:val="zh-CN"/>
              </w:rPr>
              <w:t>桶装</w:t>
            </w:r>
          </w:p>
        </w:tc>
        <w:tc>
          <w:tcPr>
            <w:tcW w:w="942" w:type="pct"/>
            <w:tcBorders>
              <w:tl2br w:val="nil"/>
              <w:tr2bl w:val="nil"/>
            </w:tcBorders>
            <w:vAlign w:val="center"/>
          </w:tcPr>
          <w:p>
            <w:pPr>
              <w:pStyle w:val="43"/>
              <w:rPr>
                <w:rFonts w:eastAsiaTheme="minorEastAsia"/>
                <w:sz w:val="21"/>
                <w:szCs w:val="16"/>
              </w:rPr>
            </w:pPr>
            <w:r>
              <w:rPr>
                <w:rFonts w:eastAsiaTheme="minorEastAsia"/>
                <w:sz w:val="21"/>
                <w:szCs w:val="16"/>
              </w:rPr>
              <w:t>氢氧化钠钢桶</w:t>
            </w:r>
          </w:p>
        </w:tc>
      </w:tr>
    </w:tbl>
    <w:p>
      <w:pPr>
        <w:pStyle w:val="2"/>
        <w:rPr>
          <w:rFonts w:eastAsia="宋体" w:cs="Times New Roman"/>
          <w:color w:val="000000" w:themeColor="text1"/>
          <w:sz w:val="24"/>
          <w:szCs w:val="24"/>
          <w14:textFill>
            <w14:solidFill>
              <w14:schemeClr w14:val="tx1"/>
            </w14:solidFill>
          </w14:textFill>
        </w:rPr>
      </w:pPr>
    </w:p>
    <w:p>
      <w:p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rPr>
          <w:rFonts w:eastAsia="宋体" w:cs="Times New Roman"/>
          <w:color w:val="FF0000"/>
        </w:rPr>
      </w:pPr>
      <w:r>
        <w:drawing>
          <wp:inline distT="0" distB="0" distL="114300" distR="114300">
            <wp:extent cx="7949565" cy="4892675"/>
            <wp:effectExtent l="0" t="0" r="0" b="381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6"/>
                    <a:stretch>
                      <a:fillRect/>
                    </a:stretch>
                  </pic:blipFill>
                  <pic:spPr>
                    <a:xfrm>
                      <a:off x="0" y="0"/>
                      <a:ext cx="7949695" cy="4893276"/>
                    </a:xfrm>
                    <a:prstGeom prst="rect">
                      <a:avLst/>
                    </a:prstGeom>
                    <a:noFill/>
                    <a:ln>
                      <a:noFill/>
                    </a:ln>
                  </pic:spPr>
                </pic:pic>
              </a:graphicData>
            </a:graphic>
          </wp:inline>
        </w:drawing>
      </w:r>
    </w:p>
    <w:p>
      <w:pPr>
        <w:pStyle w:val="39"/>
        <w:numPr>
          <w:ilvl w:val="0"/>
          <w:numId w:val="8"/>
        </w:numPr>
        <w:ind w:firstLineChars="0"/>
        <w:jc w:val="center"/>
        <w:rPr>
          <w:rFonts w:cs="Times New Roman"/>
          <w:b/>
          <w:color w:val="000000" w:themeColor="text1"/>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cs="Times New Roman"/>
          <w:b/>
          <w:color w:val="000000" w:themeColor="text1"/>
          <w14:textFill>
            <w14:solidFill>
              <w14:schemeClr w14:val="tx1"/>
            </w14:solidFill>
          </w14:textFill>
        </w:rPr>
        <w:t>厂区平面</w:t>
      </w:r>
      <w:r>
        <w:rPr>
          <w:rFonts w:hint="eastAsia" w:cs="Times New Roman"/>
          <w:b/>
          <w:color w:val="000000" w:themeColor="text1"/>
          <w14:textFill>
            <w14:solidFill>
              <w14:schemeClr w14:val="tx1"/>
            </w14:solidFill>
          </w14:textFill>
        </w:rPr>
        <w:t>布置图</w:t>
      </w:r>
    </w:p>
    <w:p>
      <w:pPr>
        <w:pStyle w:val="39"/>
        <w:numPr>
          <w:ilvl w:val="1"/>
          <w:numId w:val="2"/>
        </w:numPr>
        <w:ind w:left="0" w:firstLine="0" w:firstLineChars="0"/>
        <w:outlineLvl w:val="1"/>
        <w:rPr>
          <w:rFonts w:cs="Times New Roman"/>
          <w:b/>
          <w:color w:val="000000" w:themeColor="text1"/>
          <w:sz w:val="28"/>
          <w14:textFill>
            <w14:solidFill>
              <w14:schemeClr w14:val="tx1"/>
            </w14:solidFill>
          </w14:textFill>
        </w:rPr>
      </w:pPr>
      <w:bookmarkStart w:id="36" w:name="_Toc11443"/>
      <w:r>
        <w:rPr>
          <w:rFonts w:hint="eastAsia" w:cs="Times New Roman"/>
          <w:b/>
          <w:color w:val="000000" w:themeColor="text1"/>
          <w:sz w:val="28"/>
          <w14:textFill>
            <w14:solidFill>
              <w14:schemeClr w14:val="tx1"/>
            </w14:solidFill>
          </w14:textFill>
        </w:rPr>
        <w:t>生</w:t>
      </w:r>
      <w:r>
        <w:rPr>
          <w:rFonts w:cs="Times New Roman"/>
          <w:b/>
          <w:color w:val="000000" w:themeColor="text1"/>
          <w:sz w:val="28"/>
          <w14:textFill>
            <w14:solidFill>
              <w14:schemeClr w14:val="tx1"/>
            </w14:solidFill>
          </w14:textFill>
        </w:rPr>
        <w:t>产工艺</w:t>
      </w:r>
      <w:bookmarkEnd w:id="36"/>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垃圾车从物流口进入厂区，经过地磅秤称重后进入垃圾卸料平台，卸入垃圾池（垃圾在垃圾池中存放3-5天脱除一定的渗滤液水分）。垃圾池是一个封闭式且正常运行时空气为负压的建筑物，采用半地下结构。垃圾池内的垃圾通过垃圾吊车抓斗抓到焚烧炉给料斗，经溜槽落至给料炉排，再由给料炉排均匀送入焚烧炉内燃烧（燃烧分为干燥、燃烧、燃烬，垃圾在炉排上的停留时间约为2小时）。</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垃圾燃烧所需的助燃空气因其作用不同分为一次风和二次风。一次风取自于垃圾池，使垃圾池维持负压，确保池内臭气不会外逸。一次风经蒸汽空气预热器加热后由一次风机送入炉内。二次风从锅炉房上部吸风，由二次风机加压后送入炉膛，使炉膛烟气产生强烈湍流，以消除化学不完全燃烧损失和有利于飞灰中碳粒的燃烬。所产生的烟气能够在燃烧室内维持850℃以上温度下的停留时间≥2秒，垃圾燃烧后的炉渣热灼减率≤3%。</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焚烧炉设有点火燃烧器和辅助燃烧器，用柴油作为辅助燃料。点火燃烧器供点火升温用。当垃圾热值偏低、水份较高，炉膛出口烟气温度不能维持在850℃以上，此时启用辅助燃烧器，以提高炉温和稳定燃烧。停炉过程中，辅助燃烧器必须在停止垃圾进料前启动，直至炉排上垃圾燃烬为止。</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垃圾在炉排上通过干燥、燃烧和燃烬三个区域，垃圾中的可燃份已完全燃烧，灰渣落入出渣机，出渣机起水封和冷却渣作用，并将炉渣推送至灰渣贮坑。灰渣贮坑上方设有桥式抓斗起重机。</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垃圾燃烧产生的高温烟气经余热锅炉冷却至约200℃后进入烟气净化系统。每套焚烧线配一套烟气净化系统，采用“SNCR（炉内）脱硝+半干式脱酸+干法喷射+活性炭喷射+布袋除尘”的组合工艺。锅炉产生的烟气首先在炉内与喷入的氨水反应脱除一部分氮氧化物，从余热锅炉出来后，烟气温度约200℃，进入半干式反应塔，与喷入适量的冷却水和石灰浆充分混合，降低到160℃后进入布袋除尘器脱除粉尘，在反应塔和布袋除尘器之间的烟道上喷入熟石灰粉和活性炭以脱除酸性气体、重金属和二噁英，在布袋表面还可以进一步反应。烟气经布袋除掉烟气中的粉尘及反应产物后，符合排放标准的烟气通过引风机送至烟囱排放至大气。喷雾塔、布袋除尘器收集下来的飞灰及烟气处理系统的残余物，在厂内经水泥稳定化处置并检测达标后，运至垃圾填埋场指定地点填埋。</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余热锅炉以水为介质吸收高温烟气中的热量，产生4.0MPa，400℃的蒸汽，供1台20MW凝汽式汽轮发电机组发电。产生的电力除供本厂使用外，多余电力送入地区电网。项目年处理生活垃圾约36.5万吨，年发电量约13150万度，除本厂自用2630万度外，大部分电力（10520万度）经220kV线路通过佛光站并入区域电力网。项目工艺流程及产污环节见图</w:t>
      </w:r>
      <w:r>
        <w:rPr>
          <w:rFonts w:ascii="Times New Roman" w:hAnsi="Times New Roman" w:eastAsia="宋体" w:cs="Times New Roman"/>
          <w:color w:val="000000" w:themeColor="text1"/>
          <w:sz w:val="24"/>
          <w:szCs w:val="24"/>
          <w14:textFill>
            <w14:solidFill>
              <w14:schemeClr w14:val="tx1"/>
            </w14:solidFill>
          </w14:textFill>
        </w:rPr>
        <w:t>2-2</w:t>
      </w:r>
      <w:r>
        <w:rPr>
          <w:rFonts w:hint="eastAsia" w:ascii="Times New Roman" w:hAnsi="Times New Roman" w:eastAsia="宋体" w:cs="Times New Roman"/>
          <w:color w:val="000000" w:themeColor="text1"/>
          <w:sz w:val="24"/>
          <w:szCs w:val="24"/>
          <w14:textFill>
            <w14:solidFill>
              <w14:schemeClr w14:val="tx1"/>
            </w14:solidFill>
          </w14:textFill>
        </w:rPr>
        <w:t>。</w:t>
      </w:r>
    </w:p>
    <w:p>
      <w:pPr>
        <w:pStyle w:val="2"/>
      </w:pPr>
      <w:r>
        <w:drawing>
          <wp:inline distT="0" distB="0" distL="114300" distR="114300">
            <wp:extent cx="5133975" cy="6753225"/>
            <wp:effectExtent l="0" t="0" r="9525" b="952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7"/>
                    <a:stretch>
                      <a:fillRect/>
                    </a:stretch>
                  </pic:blipFill>
                  <pic:spPr>
                    <a:xfrm>
                      <a:off x="0" y="0"/>
                      <a:ext cx="5133975" cy="6753225"/>
                    </a:xfrm>
                    <a:prstGeom prst="rect">
                      <a:avLst/>
                    </a:prstGeom>
                    <a:noFill/>
                    <a:ln>
                      <a:noFill/>
                    </a:ln>
                  </pic:spPr>
                </pic:pic>
              </a:graphicData>
            </a:graphic>
          </wp:inline>
        </w:drawing>
      </w:r>
    </w:p>
    <w:p>
      <w:pPr>
        <w:pStyle w:val="39"/>
        <w:numPr>
          <w:ilvl w:val="0"/>
          <w:numId w:val="8"/>
        </w:numPr>
        <w:ind w:firstLineChars="0"/>
        <w:jc w:val="center"/>
        <w:rPr>
          <w:rFonts w:cs="Times New Roman"/>
          <w:b/>
          <w:color w:val="000000" w:themeColor="text1"/>
          <w14:textFill>
            <w14:solidFill>
              <w14:schemeClr w14:val="tx1"/>
            </w14:solidFill>
          </w14:textFill>
        </w:rPr>
      </w:pPr>
      <w:r>
        <w:rPr>
          <w:rFonts w:hint="eastAsia" w:cs="Times New Roman"/>
          <w:b/>
          <w:color w:val="000000" w:themeColor="text1"/>
          <w14:textFill>
            <w14:solidFill>
              <w14:schemeClr w14:val="tx1"/>
            </w14:solidFill>
          </w14:textFill>
        </w:rPr>
        <w:t>垃圾焚烧处理工艺流程及产污图</w:t>
      </w:r>
    </w:p>
    <w:p>
      <w:pPr>
        <w:spacing w:line="360" w:lineRule="auto"/>
        <w:rPr>
          <w:rFonts w:cs="Times New Roman"/>
          <w:b/>
          <w:bCs/>
          <w:color w:val="FF0000"/>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9"/>
        <w:numPr>
          <w:ilvl w:val="1"/>
          <w:numId w:val="2"/>
        </w:numPr>
        <w:ind w:left="0" w:firstLine="0" w:firstLineChars="0"/>
        <w:outlineLvl w:val="1"/>
        <w:rPr>
          <w:rFonts w:cs="Times New Roman"/>
          <w:b/>
          <w:color w:val="000000" w:themeColor="text1"/>
          <w:sz w:val="28"/>
          <w14:textFill>
            <w14:solidFill>
              <w14:schemeClr w14:val="tx1"/>
            </w14:solidFill>
          </w14:textFill>
        </w:rPr>
      </w:pPr>
      <w:bookmarkStart w:id="37" w:name="_Toc88838046"/>
      <w:bookmarkStart w:id="38" w:name="_Toc8890"/>
      <w:r>
        <w:rPr>
          <w:rFonts w:cs="Times New Roman"/>
          <w:b/>
          <w:color w:val="000000" w:themeColor="text1"/>
          <w:sz w:val="28"/>
          <w14:textFill>
            <w14:solidFill>
              <w14:schemeClr w14:val="tx1"/>
            </w14:solidFill>
          </w14:textFill>
        </w:rPr>
        <w:t>产污分析</w:t>
      </w:r>
      <w:bookmarkEnd w:id="37"/>
      <w:bookmarkEnd w:id="38"/>
    </w:p>
    <w:p>
      <w:pPr>
        <w:pStyle w:val="39"/>
        <w:numPr>
          <w:ilvl w:val="2"/>
          <w:numId w:val="2"/>
        </w:numPr>
        <w:ind w:left="0" w:firstLine="0" w:firstLineChars="0"/>
        <w:outlineLvl w:val="2"/>
        <w:rPr>
          <w:rFonts w:cs="Times New Roman"/>
          <w:b/>
          <w:color w:val="000000" w:themeColor="text1"/>
          <w14:textFill>
            <w14:solidFill>
              <w14:schemeClr w14:val="tx1"/>
            </w14:solidFill>
          </w14:textFill>
        </w:rPr>
      </w:pPr>
      <w:bookmarkStart w:id="39" w:name="_Toc88838047"/>
      <w:bookmarkStart w:id="40" w:name="_Toc87451712"/>
      <w:bookmarkStart w:id="41" w:name="_Toc6372"/>
      <w:r>
        <w:rPr>
          <w:rFonts w:cs="Times New Roman"/>
          <w:b/>
          <w:color w:val="000000" w:themeColor="text1"/>
          <w14:textFill>
            <w14:solidFill>
              <w14:schemeClr w14:val="tx1"/>
            </w14:solidFill>
          </w14:textFill>
        </w:rPr>
        <w:t>废水</w:t>
      </w:r>
      <w:bookmarkEnd w:id="39"/>
      <w:bookmarkEnd w:id="40"/>
      <w:bookmarkEnd w:id="41"/>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厂区排水体制为雨污分流、清污分流制。</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职工生活污水经一套一体式污水处理设施处理后进入渗滤液处理站。渗滤液、卸料平台冲洗废水、地磅区及引桥清洗水、职工生活污水、实验室废水、车辆冲洗水、主厂房冲洗水、初期雨水等废水，送渗滤液处理站经“预处理+ UASB厌氧反应器+MBR生化处理系统+TUF软化系统+RO反渗透系统”工艺处理后，出水满足《城市污水再生利用-工业用水水质》（GB 19923-2005）的有关水质标准后进入回用水池回用，浓缩液部分回喷焚烧炉焚烧处理，少量用于制备石灰浆。</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其他如除盐制备水、定排降温冷却水、循环冷却系统排水等清下水，经厂内混合降温后排入雨水管网。</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废水产生及治理情况见表</w:t>
      </w:r>
      <w:r>
        <w:rPr>
          <w:rFonts w:ascii="Times New Roman" w:hAnsi="Times New Roman" w:eastAsia="宋体" w:cs="Times New Roman"/>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，渗滤液处理工艺见图</w:t>
      </w:r>
      <w:r>
        <w:rPr>
          <w:rFonts w:ascii="Times New Roman" w:hAnsi="Times New Roman" w:eastAsia="宋体" w:cs="Times New Roman"/>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3。</w:t>
      </w:r>
    </w:p>
    <w:p>
      <w:pPr>
        <w:pStyle w:val="39"/>
        <w:numPr>
          <w:ilvl w:val="0"/>
          <w:numId w:val="7"/>
        </w:numPr>
        <w:ind w:firstLineChars="0"/>
        <w:jc w:val="center"/>
        <w:rPr>
          <w:rFonts w:cs="Times New Roman"/>
          <w:b/>
          <w:color w:val="000000" w:themeColor="text1"/>
          <w14:textFill>
            <w14:solidFill>
              <w14:schemeClr w14:val="tx1"/>
            </w14:solidFill>
          </w14:textFill>
        </w:rPr>
      </w:pPr>
      <w:r>
        <w:rPr>
          <w:rFonts w:hint="eastAsia" w:cs="Times New Roman"/>
          <w:b/>
          <w:color w:val="000000" w:themeColor="text1"/>
          <w14:textFill>
            <w14:solidFill>
              <w14:schemeClr w14:val="tx1"/>
            </w14:solidFill>
          </w14:textFill>
        </w:rPr>
        <w:t>废水产生情况</w:t>
      </w:r>
    </w:p>
    <w:tbl>
      <w:tblPr>
        <w:tblStyle w:val="15"/>
        <w:tblW w:w="4935"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1711"/>
        <w:gridCol w:w="1632"/>
        <w:gridCol w:w="966"/>
        <w:gridCol w:w="2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814" w:type="pct"/>
            <w:tcBorders>
              <w:left w:val="single" w:color="000000" w:sz="2" w:space="0"/>
              <w:tl2br w:val="nil"/>
              <w:tr2bl w:val="nil"/>
            </w:tcBorders>
            <w:vAlign w:val="center"/>
          </w:tcPr>
          <w:p>
            <w:pPr>
              <w:pStyle w:val="43"/>
              <w:rPr>
                <w:b/>
                <w:bCs/>
                <w:sz w:val="21"/>
                <w:szCs w:val="16"/>
              </w:rPr>
            </w:pPr>
            <w:r>
              <w:rPr>
                <w:rFonts w:hint="eastAsia"/>
                <w:b/>
                <w:bCs/>
                <w:sz w:val="21"/>
                <w:szCs w:val="16"/>
              </w:rPr>
              <w:t>来源</w:t>
            </w:r>
          </w:p>
        </w:tc>
        <w:tc>
          <w:tcPr>
            <w:tcW w:w="1017" w:type="pct"/>
            <w:tcBorders>
              <w:tl2br w:val="nil"/>
              <w:tr2bl w:val="nil"/>
            </w:tcBorders>
            <w:vAlign w:val="center"/>
          </w:tcPr>
          <w:p>
            <w:pPr>
              <w:pStyle w:val="43"/>
              <w:rPr>
                <w:b/>
                <w:bCs/>
                <w:sz w:val="21"/>
                <w:szCs w:val="16"/>
                <w:lang w:val="zh-CN"/>
              </w:rPr>
            </w:pPr>
            <w:r>
              <w:rPr>
                <w:rFonts w:hint="eastAsia"/>
                <w:b/>
                <w:bCs/>
                <w:sz w:val="21"/>
                <w:szCs w:val="16"/>
                <w:lang w:val="zh-CN"/>
              </w:rPr>
              <w:t>废水名称</w:t>
            </w:r>
          </w:p>
        </w:tc>
        <w:tc>
          <w:tcPr>
            <w:tcW w:w="970" w:type="pct"/>
            <w:tcBorders>
              <w:tl2br w:val="nil"/>
              <w:tr2bl w:val="nil"/>
            </w:tcBorders>
            <w:vAlign w:val="center"/>
          </w:tcPr>
          <w:p>
            <w:pPr>
              <w:pStyle w:val="43"/>
              <w:rPr>
                <w:b/>
                <w:bCs/>
                <w:sz w:val="21"/>
                <w:szCs w:val="16"/>
              </w:rPr>
            </w:pPr>
            <w:r>
              <w:rPr>
                <w:rFonts w:hint="eastAsia"/>
                <w:b/>
                <w:bCs/>
                <w:sz w:val="21"/>
                <w:szCs w:val="16"/>
              </w:rPr>
              <w:t>主要污染物</w:t>
            </w:r>
          </w:p>
        </w:tc>
        <w:tc>
          <w:tcPr>
            <w:tcW w:w="574" w:type="pct"/>
            <w:tcBorders>
              <w:tl2br w:val="nil"/>
              <w:tr2bl w:val="nil"/>
            </w:tcBorders>
            <w:vAlign w:val="center"/>
          </w:tcPr>
          <w:p>
            <w:pPr>
              <w:pStyle w:val="43"/>
              <w:rPr>
                <w:b/>
                <w:bCs/>
                <w:sz w:val="21"/>
                <w:szCs w:val="16"/>
              </w:rPr>
            </w:pPr>
            <w:r>
              <w:rPr>
                <w:rFonts w:hint="eastAsia"/>
                <w:b/>
                <w:bCs/>
                <w:sz w:val="21"/>
                <w:szCs w:val="16"/>
              </w:rPr>
              <w:t>排放规律</w:t>
            </w:r>
          </w:p>
        </w:tc>
        <w:tc>
          <w:tcPr>
            <w:tcW w:w="1625" w:type="pct"/>
            <w:tcBorders>
              <w:tl2br w:val="nil"/>
              <w:tr2bl w:val="nil"/>
            </w:tcBorders>
            <w:vAlign w:val="center"/>
          </w:tcPr>
          <w:p>
            <w:pPr>
              <w:pStyle w:val="43"/>
              <w:rPr>
                <w:b/>
                <w:bCs/>
                <w:sz w:val="21"/>
                <w:szCs w:val="16"/>
              </w:rPr>
            </w:pPr>
            <w:r>
              <w:rPr>
                <w:rFonts w:hint="eastAsia"/>
                <w:b/>
                <w:bCs/>
                <w:sz w:val="21"/>
                <w:szCs w:val="16"/>
                <w:lang w:val="zh-CN"/>
              </w:rPr>
              <w:t>废水</w:t>
            </w:r>
            <w:r>
              <w:rPr>
                <w:rFonts w:hint="eastAsia"/>
                <w:b/>
                <w:bCs/>
                <w:sz w:val="21"/>
                <w:szCs w:val="16"/>
              </w:rPr>
              <w:t>处理及去向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4" w:type="pct"/>
            <w:tcBorders>
              <w:tl2br w:val="nil"/>
              <w:tr2bl w:val="nil"/>
            </w:tcBorders>
            <w:vAlign w:val="center"/>
          </w:tcPr>
          <w:p>
            <w:pPr>
              <w:pStyle w:val="43"/>
              <w:rPr>
                <w:sz w:val="21"/>
                <w:szCs w:val="16"/>
              </w:rPr>
            </w:pPr>
            <w:r>
              <w:rPr>
                <w:rFonts w:hint="eastAsia"/>
                <w:sz w:val="21"/>
                <w:szCs w:val="16"/>
              </w:rPr>
              <w:t>地磅区及引桥</w:t>
            </w:r>
          </w:p>
        </w:tc>
        <w:tc>
          <w:tcPr>
            <w:tcW w:w="1017" w:type="pct"/>
            <w:tcBorders>
              <w:tl2br w:val="nil"/>
              <w:tr2bl w:val="nil"/>
            </w:tcBorders>
            <w:vAlign w:val="center"/>
          </w:tcPr>
          <w:p>
            <w:pPr>
              <w:pStyle w:val="43"/>
              <w:rPr>
                <w:sz w:val="21"/>
                <w:szCs w:val="16"/>
              </w:rPr>
            </w:pPr>
            <w:r>
              <w:rPr>
                <w:rFonts w:hint="eastAsia"/>
                <w:sz w:val="21"/>
                <w:szCs w:val="16"/>
              </w:rPr>
              <w:t>地磅区及引桥清洗水</w:t>
            </w:r>
          </w:p>
        </w:tc>
        <w:tc>
          <w:tcPr>
            <w:tcW w:w="970" w:type="pct"/>
            <w:vMerge w:val="restart"/>
            <w:tcBorders>
              <w:tl2br w:val="nil"/>
              <w:tr2bl w:val="nil"/>
            </w:tcBorders>
            <w:vAlign w:val="center"/>
          </w:tcPr>
          <w:p>
            <w:pPr>
              <w:pStyle w:val="43"/>
              <w:rPr>
                <w:sz w:val="21"/>
                <w:szCs w:val="16"/>
              </w:rPr>
            </w:pPr>
            <w:r>
              <w:rPr>
                <w:rFonts w:hint="eastAsia"/>
                <w:sz w:val="21"/>
                <w:szCs w:val="16"/>
              </w:rPr>
              <w:t>COD、氨氮、悬浮物、重金属（汞、镉、铬、六价铬、砷、铅等）</w:t>
            </w:r>
          </w:p>
        </w:tc>
        <w:tc>
          <w:tcPr>
            <w:tcW w:w="574" w:type="pct"/>
            <w:tcBorders>
              <w:tl2br w:val="nil"/>
              <w:tr2bl w:val="nil"/>
            </w:tcBorders>
            <w:vAlign w:val="center"/>
          </w:tcPr>
          <w:p>
            <w:pPr>
              <w:pStyle w:val="43"/>
              <w:rPr>
                <w:sz w:val="21"/>
                <w:szCs w:val="16"/>
              </w:rPr>
            </w:pPr>
            <w:r>
              <w:rPr>
                <w:rFonts w:hint="eastAsia"/>
                <w:sz w:val="21"/>
                <w:szCs w:val="16"/>
              </w:rPr>
              <w:t>间断</w:t>
            </w:r>
          </w:p>
        </w:tc>
        <w:tc>
          <w:tcPr>
            <w:tcW w:w="1625" w:type="pct"/>
            <w:vMerge w:val="restart"/>
            <w:tcBorders>
              <w:tl2br w:val="nil"/>
              <w:tr2bl w:val="nil"/>
            </w:tcBorders>
            <w:vAlign w:val="center"/>
          </w:tcPr>
          <w:p>
            <w:pPr>
              <w:pStyle w:val="43"/>
              <w:rPr>
                <w:sz w:val="21"/>
                <w:szCs w:val="16"/>
              </w:rPr>
            </w:pPr>
            <w:r>
              <w:rPr>
                <w:rFonts w:hint="eastAsia"/>
                <w:sz w:val="21"/>
                <w:szCs w:val="16"/>
              </w:rPr>
              <w:t>进入渗滤液处理站处理后回用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4" w:type="pct"/>
            <w:tcBorders>
              <w:tl2br w:val="nil"/>
              <w:tr2bl w:val="nil"/>
            </w:tcBorders>
            <w:vAlign w:val="center"/>
          </w:tcPr>
          <w:p>
            <w:pPr>
              <w:pStyle w:val="43"/>
              <w:rPr>
                <w:sz w:val="21"/>
                <w:szCs w:val="16"/>
              </w:rPr>
            </w:pPr>
            <w:r>
              <w:rPr>
                <w:rFonts w:hint="eastAsia"/>
                <w:sz w:val="21"/>
                <w:szCs w:val="16"/>
              </w:rPr>
              <w:t>垃圾运输车辆</w:t>
            </w:r>
          </w:p>
        </w:tc>
        <w:tc>
          <w:tcPr>
            <w:tcW w:w="1017" w:type="pct"/>
            <w:tcBorders>
              <w:tl2br w:val="nil"/>
              <w:tr2bl w:val="nil"/>
            </w:tcBorders>
            <w:vAlign w:val="center"/>
          </w:tcPr>
          <w:p>
            <w:pPr>
              <w:pStyle w:val="43"/>
              <w:rPr>
                <w:sz w:val="21"/>
                <w:szCs w:val="16"/>
              </w:rPr>
            </w:pPr>
            <w:r>
              <w:rPr>
                <w:rFonts w:hint="eastAsia"/>
                <w:sz w:val="21"/>
                <w:szCs w:val="16"/>
              </w:rPr>
              <w:t>车辆冲洗水</w:t>
            </w:r>
          </w:p>
        </w:tc>
        <w:tc>
          <w:tcPr>
            <w:tcW w:w="970" w:type="pct"/>
            <w:vMerge w:val="continue"/>
            <w:tcBorders>
              <w:tl2br w:val="nil"/>
              <w:tr2bl w:val="nil"/>
            </w:tcBorders>
            <w:vAlign w:val="center"/>
          </w:tcPr>
          <w:p>
            <w:pPr>
              <w:pStyle w:val="43"/>
              <w:rPr>
                <w:sz w:val="21"/>
                <w:szCs w:val="16"/>
              </w:rPr>
            </w:pPr>
          </w:p>
        </w:tc>
        <w:tc>
          <w:tcPr>
            <w:tcW w:w="574" w:type="pct"/>
            <w:tcBorders>
              <w:tl2br w:val="nil"/>
              <w:tr2bl w:val="nil"/>
            </w:tcBorders>
            <w:vAlign w:val="center"/>
          </w:tcPr>
          <w:p>
            <w:pPr>
              <w:pStyle w:val="43"/>
              <w:rPr>
                <w:sz w:val="21"/>
                <w:szCs w:val="16"/>
              </w:rPr>
            </w:pPr>
            <w:r>
              <w:rPr>
                <w:rFonts w:hint="eastAsia"/>
                <w:sz w:val="21"/>
                <w:szCs w:val="16"/>
              </w:rPr>
              <w:t>间断</w:t>
            </w:r>
          </w:p>
        </w:tc>
        <w:tc>
          <w:tcPr>
            <w:tcW w:w="1625" w:type="pct"/>
            <w:vMerge w:val="continue"/>
            <w:tcBorders>
              <w:tl2br w:val="nil"/>
              <w:tr2bl w:val="nil"/>
            </w:tcBorders>
            <w:vAlign w:val="center"/>
          </w:tcPr>
          <w:p>
            <w:pPr>
              <w:pStyle w:val="43"/>
              <w:rPr>
                <w:sz w:val="21"/>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4" w:type="pct"/>
            <w:tcBorders>
              <w:tl2br w:val="nil"/>
              <w:tr2bl w:val="nil"/>
            </w:tcBorders>
            <w:vAlign w:val="center"/>
          </w:tcPr>
          <w:p>
            <w:pPr>
              <w:pStyle w:val="43"/>
              <w:rPr>
                <w:sz w:val="21"/>
                <w:szCs w:val="16"/>
              </w:rPr>
            </w:pPr>
            <w:r>
              <w:rPr>
                <w:rFonts w:hint="eastAsia"/>
                <w:sz w:val="21"/>
                <w:szCs w:val="16"/>
              </w:rPr>
              <w:t>主厂房</w:t>
            </w:r>
          </w:p>
        </w:tc>
        <w:tc>
          <w:tcPr>
            <w:tcW w:w="1017" w:type="pct"/>
            <w:tcBorders>
              <w:tl2br w:val="nil"/>
              <w:tr2bl w:val="nil"/>
            </w:tcBorders>
            <w:vAlign w:val="center"/>
          </w:tcPr>
          <w:p>
            <w:pPr>
              <w:pStyle w:val="43"/>
              <w:rPr>
                <w:sz w:val="21"/>
                <w:szCs w:val="16"/>
              </w:rPr>
            </w:pPr>
            <w:r>
              <w:rPr>
                <w:rFonts w:hint="eastAsia"/>
                <w:sz w:val="21"/>
                <w:szCs w:val="16"/>
              </w:rPr>
              <w:t>主厂房冲洗水</w:t>
            </w:r>
          </w:p>
        </w:tc>
        <w:tc>
          <w:tcPr>
            <w:tcW w:w="970" w:type="pct"/>
            <w:vMerge w:val="continue"/>
            <w:tcBorders>
              <w:tl2br w:val="nil"/>
              <w:tr2bl w:val="nil"/>
            </w:tcBorders>
            <w:vAlign w:val="center"/>
          </w:tcPr>
          <w:p>
            <w:pPr>
              <w:pStyle w:val="43"/>
              <w:rPr>
                <w:sz w:val="21"/>
                <w:szCs w:val="16"/>
              </w:rPr>
            </w:pPr>
          </w:p>
        </w:tc>
        <w:tc>
          <w:tcPr>
            <w:tcW w:w="574" w:type="pct"/>
            <w:tcBorders>
              <w:tl2br w:val="nil"/>
              <w:tr2bl w:val="nil"/>
            </w:tcBorders>
            <w:vAlign w:val="center"/>
          </w:tcPr>
          <w:p>
            <w:pPr>
              <w:pStyle w:val="43"/>
              <w:rPr>
                <w:sz w:val="21"/>
                <w:szCs w:val="16"/>
              </w:rPr>
            </w:pPr>
            <w:r>
              <w:rPr>
                <w:rFonts w:hint="eastAsia"/>
                <w:sz w:val="21"/>
                <w:szCs w:val="16"/>
              </w:rPr>
              <w:t>间断</w:t>
            </w:r>
          </w:p>
        </w:tc>
        <w:tc>
          <w:tcPr>
            <w:tcW w:w="1625" w:type="pct"/>
            <w:vMerge w:val="continue"/>
            <w:tcBorders>
              <w:tl2br w:val="nil"/>
              <w:tr2bl w:val="nil"/>
            </w:tcBorders>
            <w:vAlign w:val="center"/>
          </w:tcPr>
          <w:p>
            <w:pPr>
              <w:pStyle w:val="43"/>
              <w:rPr>
                <w:sz w:val="21"/>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4" w:type="pct"/>
            <w:tcBorders>
              <w:tl2br w:val="nil"/>
              <w:tr2bl w:val="nil"/>
            </w:tcBorders>
            <w:vAlign w:val="center"/>
          </w:tcPr>
          <w:p>
            <w:pPr>
              <w:pStyle w:val="43"/>
              <w:rPr>
                <w:sz w:val="21"/>
                <w:szCs w:val="16"/>
              </w:rPr>
            </w:pPr>
            <w:r>
              <w:rPr>
                <w:rFonts w:hint="eastAsia"/>
                <w:sz w:val="21"/>
                <w:szCs w:val="16"/>
              </w:rPr>
              <w:t>卸料平台</w:t>
            </w:r>
          </w:p>
        </w:tc>
        <w:tc>
          <w:tcPr>
            <w:tcW w:w="1017" w:type="pct"/>
            <w:tcBorders>
              <w:tl2br w:val="nil"/>
              <w:tr2bl w:val="nil"/>
            </w:tcBorders>
            <w:vAlign w:val="center"/>
          </w:tcPr>
          <w:p>
            <w:pPr>
              <w:pStyle w:val="43"/>
              <w:rPr>
                <w:sz w:val="21"/>
                <w:szCs w:val="16"/>
              </w:rPr>
            </w:pPr>
            <w:r>
              <w:rPr>
                <w:rFonts w:hint="eastAsia"/>
                <w:sz w:val="21"/>
                <w:szCs w:val="16"/>
              </w:rPr>
              <w:t>卸料平台冲洗水</w:t>
            </w:r>
          </w:p>
        </w:tc>
        <w:tc>
          <w:tcPr>
            <w:tcW w:w="970" w:type="pct"/>
            <w:vMerge w:val="continue"/>
            <w:tcBorders>
              <w:tl2br w:val="nil"/>
              <w:tr2bl w:val="nil"/>
            </w:tcBorders>
            <w:vAlign w:val="center"/>
          </w:tcPr>
          <w:p>
            <w:pPr>
              <w:pStyle w:val="43"/>
              <w:rPr>
                <w:sz w:val="21"/>
                <w:szCs w:val="16"/>
              </w:rPr>
            </w:pPr>
          </w:p>
        </w:tc>
        <w:tc>
          <w:tcPr>
            <w:tcW w:w="574" w:type="pct"/>
            <w:tcBorders>
              <w:tl2br w:val="nil"/>
              <w:tr2bl w:val="nil"/>
            </w:tcBorders>
            <w:vAlign w:val="center"/>
          </w:tcPr>
          <w:p>
            <w:pPr>
              <w:pStyle w:val="43"/>
              <w:rPr>
                <w:sz w:val="21"/>
                <w:szCs w:val="16"/>
              </w:rPr>
            </w:pPr>
            <w:r>
              <w:rPr>
                <w:rFonts w:hint="eastAsia"/>
                <w:sz w:val="21"/>
                <w:szCs w:val="16"/>
              </w:rPr>
              <w:t>间断</w:t>
            </w:r>
          </w:p>
        </w:tc>
        <w:tc>
          <w:tcPr>
            <w:tcW w:w="1625" w:type="pct"/>
            <w:vMerge w:val="continue"/>
            <w:tcBorders>
              <w:tl2br w:val="nil"/>
              <w:tr2bl w:val="nil"/>
            </w:tcBorders>
            <w:vAlign w:val="center"/>
          </w:tcPr>
          <w:p>
            <w:pPr>
              <w:pStyle w:val="43"/>
              <w:rPr>
                <w:sz w:val="21"/>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4" w:type="pct"/>
            <w:tcBorders>
              <w:tl2br w:val="nil"/>
              <w:tr2bl w:val="nil"/>
            </w:tcBorders>
            <w:vAlign w:val="center"/>
          </w:tcPr>
          <w:p>
            <w:pPr>
              <w:pStyle w:val="43"/>
              <w:rPr>
                <w:sz w:val="21"/>
                <w:szCs w:val="16"/>
              </w:rPr>
            </w:pPr>
            <w:r>
              <w:rPr>
                <w:rFonts w:hint="eastAsia"/>
                <w:sz w:val="21"/>
                <w:szCs w:val="16"/>
              </w:rPr>
              <w:t>垃圾坑</w:t>
            </w:r>
          </w:p>
        </w:tc>
        <w:tc>
          <w:tcPr>
            <w:tcW w:w="1017" w:type="pct"/>
            <w:tcBorders>
              <w:tl2br w:val="nil"/>
              <w:tr2bl w:val="nil"/>
            </w:tcBorders>
            <w:vAlign w:val="center"/>
          </w:tcPr>
          <w:p>
            <w:pPr>
              <w:pStyle w:val="43"/>
              <w:rPr>
                <w:sz w:val="21"/>
                <w:szCs w:val="16"/>
              </w:rPr>
            </w:pPr>
            <w:r>
              <w:rPr>
                <w:rFonts w:hint="eastAsia"/>
                <w:sz w:val="21"/>
                <w:szCs w:val="16"/>
              </w:rPr>
              <w:t>垃圾渗滤液</w:t>
            </w:r>
          </w:p>
        </w:tc>
        <w:tc>
          <w:tcPr>
            <w:tcW w:w="970" w:type="pct"/>
            <w:vMerge w:val="continue"/>
            <w:tcBorders>
              <w:tl2br w:val="nil"/>
              <w:tr2bl w:val="nil"/>
            </w:tcBorders>
            <w:vAlign w:val="center"/>
          </w:tcPr>
          <w:p>
            <w:pPr>
              <w:pStyle w:val="43"/>
              <w:rPr>
                <w:sz w:val="21"/>
                <w:szCs w:val="16"/>
              </w:rPr>
            </w:pPr>
          </w:p>
        </w:tc>
        <w:tc>
          <w:tcPr>
            <w:tcW w:w="574" w:type="pct"/>
            <w:tcBorders>
              <w:tl2br w:val="nil"/>
              <w:tr2bl w:val="nil"/>
            </w:tcBorders>
            <w:vAlign w:val="center"/>
          </w:tcPr>
          <w:p>
            <w:pPr>
              <w:pStyle w:val="43"/>
              <w:rPr>
                <w:sz w:val="21"/>
                <w:szCs w:val="16"/>
              </w:rPr>
            </w:pPr>
            <w:r>
              <w:rPr>
                <w:rFonts w:hint="eastAsia"/>
                <w:sz w:val="21"/>
                <w:szCs w:val="16"/>
              </w:rPr>
              <w:t>连续</w:t>
            </w:r>
          </w:p>
        </w:tc>
        <w:tc>
          <w:tcPr>
            <w:tcW w:w="1625" w:type="pct"/>
            <w:vMerge w:val="continue"/>
            <w:tcBorders>
              <w:tl2br w:val="nil"/>
              <w:tr2bl w:val="nil"/>
            </w:tcBorders>
            <w:vAlign w:val="center"/>
          </w:tcPr>
          <w:p>
            <w:pPr>
              <w:pStyle w:val="43"/>
              <w:rPr>
                <w:sz w:val="21"/>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4" w:type="pct"/>
            <w:tcBorders>
              <w:tl2br w:val="nil"/>
              <w:tr2bl w:val="nil"/>
            </w:tcBorders>
            <w:vAlign w:val="center"/>
          </w:tcPr>
          <w:p>
            <w:pPr>
              <w:pStyle w:val="43"/>
              <w:rPr>
                <w:sz w:val="21"/>
                <w:szCs w:val="16"/>
              </w:rPr>
            </w:pPr>
            <w:r>
              <w:rPr>
                <w:rFonts w:hint="eastAsia"/>
                <w:sz w:val="21"/>
                <w:szCs w:val="16"/>
              </w:rPr>
              <w:t>化验室</w:t>
            </w:r>
          </w:p>
        </w:tc>
        <w:tc>
          <w:tcPr>
            <w:tcW w:w="1017" w:type="pct"/>
            <w:tcBorders>
              <w:tl2br w:val="nil"/>
              <w:tr2bl w:val="nil"/>
            </w:tcBorders>
            <w:vAlign w:val="center"/>
          </w:tcPr>
          <w:p>
            <w:pPr>
              <w:pStyle w:val="43"/>
              <w:rPr>
                <w:sz w:val="21"/>
                <w:szCs w:val="16"/>
              </w:rPr>
            </w:pPr>
            <w:r>
              <w:rPr>
                <w:rFonts w:hint="eastAsia"/>
                <w:sz w:val="21"/>
                <w:szCs w:val="16"/>
              </w:rPr>
              <w:t>实验废水</w:t>
            </w:r>
          </w:p>
        </w:tc>
        <w:tc>
          <w:tcPr>
            <w:tcW w:w="970" w:type="pct"/>
            <w:vMerge w:val="continue"/>
            <w:tcBorders>
              <w:tl2br w:val="nil"/>
              <w:tr2bl w:val="nil"/>
            </w:tcBorders>
            <w:vAlign w:val="center"/>
          </w:tcPr>
          <w:p>
            <w:pPr>
              <w:pStyle w:val="43"/>
              <w:rPr>
                <w:sz w:val="21"/>
                <w:szCs w:val="16"/>
              </w:rPr>
            </w:pPr>
          </w:p>
        </w:tc>
        <w:tc>
          <w:tcPr>
            <w:tcW w:w="574" w:type="pct"/>
            <w:tcBorders>
              <w:tl2br w:val="nil"/>
              <w:tr2bl w:val="nil"/>
            </w:tcBorders>
            <w:vAlign w:val="center"/>
          </w:tcPr>
          <w:p>
            <w:pPr>
              <w:pStyle w:val="43"/>
              <w:rPr>
                <w:sz w:val="21"/>
                <w:szCs w:val="16"/>
              </w:rPr>
            </w:pPr>
            <w:r>
              <w:rPr>
                <w:rFonts w:hint="eastAsia"/>
                <w:sz w:val="21"/>
                <w:szCs w:val="16"/>
              </w:rPr>
              <w:t>间断</w:t>
            </w:r>
          </w:p>
        </w:tc>
        <w:tc>
          <w:tcPr>
            <w:tcW w:w="1625" w:type="pct"/>
            <w:vMerge w:val="continue"/>
            <w:tcBorders>
              <w:tl2br w:val="nil"/>
              <w:tr2bl w:val="nil"/>
            </w:tcBorders>
            <w:vAlign w:val="center"/>
          </w:tcPr>
          <w:p>
            <w:pPr>
              <w:pStyle w:val="43"/>
              <w:rPr>
                <w:sz w:val="21"/>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4" w:type="pct"/>
            <w:tcBorders>
              <w:tl2br w:val="nil"/>
              <w:tr2bl w:val="nil"/>
            </w:tcBorders>
            <w:vAlign w:val="center"/>
          </w:tcPr>
          <w:p>
            <w:pPr>
              <w:pStyle w:val="43"/>
              <w:rPr>
                <w:sz w:val="21"/>
                <w:szCs w:val="16"/>
              </w:rPr>
            </w:pPr>
            <w:r>
              <w:rPr>
                <w:rFonts w:hint="eastAsia"/>
                <w:sz w:val="21"/>
                <w:szCs w:val="16"/>
              </w:rPr>
              <w:t>办公生活</w:t>
            </w:r>
          </w:p>
        </w:tc>
        <w:tc>
          <w:tcPr>
            <w:tcW w:w="1017" w:type="pct"/>
            <w:tcBorders>
              <w:tl2br w:val="nil"/>
              <w:tr2bl w:val="nil"/>
            </w:tcBorders>
            <w:vAlign w:val="center"/>
          </w:tcPr>
          <w:p>
            <w:pPr>
              <w:pStyle w:val="43"/>
              <w:rPr>
                <w:sz w:val="21"/>
                <w:szCs w:val="16"/>
              </w:rPr>
            </w:pPr>
            <w:r>
              <w:rPr>
                <w:rFonts w:hint="eastAsia"/>
                <w:sz w:val="21"/>
                <w:szCs w:val="16"/>
              </w:rPr>
              <w:t>生活污水</w:t>
            </w:r>
          </w:p>
        </w:tc>
        <w:tc>
          <w:tcPr>
            <w:tcW w:w="970" w:type="pct"/>
            <w:tcBorders>
              <w:tl2br w:val="nil"/>
              <w:tr2bl w:val="nil"/>
            </w:tcBorders>
            <w:vAlign w:val="center"/>
          </w:tcPr>
          <w:p>
            <w:pPr>
              <w:pStyle w:val="43"/>
              <w:rPr>
                <w:sz w:val="21"/>
                <w:szCs w:val="16"/>
              </w:rPr>
            </w:pPr>
            <w:r>
              <w:rPr>
                <w:rFonts w:hint="eastAsia"/>
                <w:sz w:val="21"/>
                <w:szCs w:val="16"/>
              </w:rPr>
              <w:t>COD、氨氮、悬浮物</w:t>
            </w:r>
          </w:p>
        </w:tc>
        <w:tc>
          <w:tcPr>
            <w:tcW w:w="574" w:type="pct"/>
            <w:tcBorders>
              <w:tl2br w:val="nil"/>
              <w:tr2bl w:val="nil"/>
            </w:tcBorders>
            <w:vAlign w:val="center"/>
          </w:tcPr>
          <w:p>
            <w:pPr>
              <w:pStyle w:val="43"/>
              <w:rPr>
                <w:sz w:val="21"/>
                <w:szCs w:val="16"/>
              </w:rPr>
            </w:pPr>
            <w:r>
              <w:rPr>
                <w:rFonts w:hint="eastAsia"/>
                <w:sz w:val="21"/>
                <w:szCs w:val="16"/>
              </w:rPr>
              <w:t>间断</w:t>
            </w:r>
          </w:p>
        </w:tc>
        <w:tc>
          <w:tcPr>
            <w:tcW w:w="1625" w:type="pct"/>
            <w:tcBorders>
              <w:tl2br w:val="nil"/>
              <w:tr2bl w:val="nil"/>
            </w:tcBorders>
            <w:vAlign w:val="center"/>
          </w:tcPr>
          <w:p>
            <w:pPr>
              <w:pStyle w:val="43"/>
              <w:rPr>
                <w:sz w:val="21"/>
                <w:szCs w:val="16"/>
              </w:rPr>
            </w:pPr>
            <w:r>
              <w:rPr>
                <w:rFonts w:hint="eastAsia"/>
                <w:sz w:val="21"/>
                <w:szCs w:val="16"/>
              </w:rPr>
              <w:t>经一体式生活污水处理设施处理后进入渗滤液处理站，处理后循环使用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4" w:type="pct"/>
            <w:tcBorders>
              <w:tl2br w:val="nil"/>
              <w:tr2bl w:val="nil"/>
            </w:tcBorders>
            <w:vAlign w:val="center"/>
          </w:tcPr>
          <w:p>
            <w:pPr>
              <w:pStyle w:val="43"/>
              <w:rPr>
                <w:sz w:val="21"/>
                <w:szCs w:val="16"/>
              </w:rPr>
            </w:pPr>
            <w:r>
              <w:rPr>
                <w:rFonts w:hint="eastAsia"/>
                <w:sz w:val="21"/>
                <w:szCs w:val="16"/>
              </w:rPr>
              <w:t>余热锅炉排水、降温定排</w:t>
            </w:r>
          </w:p>
        </w:tc>
        <w:tc>
          <w:tcPr>
            <w:tcW w:w="1017" w:type="pct"/>
            <w:tcBorders>
              <w:tl2br w:val="nil"/>
              <w:tr2bl w:val="nil"/>
            </w:tcBorders>
            <w:vAlign w:val="center"/>
          </w:tcPr>
          <w:p>
            <w:pPr>
              <w:pStyle w:val="43"/>
              <w:rPr>
                <w:sz w:val="21"/>
                <w:szCs w:val="16"/>
              </w:rPr>
            </w:pPr>
            <w:r>
              <w:rPr>
                <w:rFonts w:hint="eastAsia"/>
                <w:sz w:val="21"/>
                <w:szCs w:val="16"/>
              </w:rPr>
              <w:t>定排降温冷却水</w:t>
            </w:r>
          </w:p>
        </w:tc>
        <w:tc>
          <w:tcPr>
            <w:tcW w:w="970" w:type="pct"/>
            <w:tcBorders>
              <w:tl2br w:val="nil"/>
              <w:tr2bl w:val="nil"/>
            </w:tcBorders>
            <w:vAlign w:val="center"/>
          </w:tcPr>
          <w:p>
            <w:pPr>
              <w:pStyle w:val="43"/>
              <w:rPr>
                <w:sz w:val="21"/>
                <w:szCs w:val="16"/>
              </w:rPr>
            </w:pPr>
            <w:r>
              <w:rPr>
                <w:rFonts w:hint="eastAsia"/>
                <w:sz w:val="21"/>
                <w:szCs w:val="16"/>
              </w:rPr>
              <w:t>/</w:t>
            </w:r>
          </w:p>
        </w:tc>
        <w:tc>
          <w:tcPr>
            <w:tcW w:w="574" w:type="pct"/>
            <w:tcBorders>
              <w:tl2br w:val="nil"/>
              <w:tr2bl w:val="nil"/>
            </w:tcBorders>
            <w:vAlign w:val="center"/>
          </w:tcPr>
          <w:p>
            <w:pPr>
              <w:pStyle w:val="43"/>
              <w:rPr>
                <w:sz w:val="21"/>
                <w:szCs w:val="16"/>
              </w:rPr>
            </w:pPr>
            <w:r>
              <w:rPr>
                <w:rFonts w:hint="eastAsia"/>
                <w:sz w:val="21"/>
                <w:szCs w:val="16"/>
              </w:rPr>
              <w:t>间断</w:t>
            </w:r>
          </w:p>
        </w:tc>
        <w:tc>
          <w:tcPr>
            <w:tcW w:w="1625" w:type="pct"/>
            <w:vMerge w:val="restart"/>
            <w:tcBorders>
              <w:tl2br w:val="nil"/>
              <w:tr2bl w:val="nil"/>
            </w:tcBorders>
            <w:vAlign w:val="center"/>
          </w:tcPr>
          <w:p>
            <w:pPr>
              <w:pStyle w:val="43"/>
              <w:rPr>
                <w:sz w:val="21"/>
                <w:szCs w:val="16"/>
              </w:rPr>
            </w:pPr>
            <w:r>
              <w:rPr>
                <w:rFonts w:hint="eastAsia"/>
                <w:sz w:val="21"/>
                <w:szCs w:val="16"/>
              </w:rPr>
              <w:t>经厂内降温井混合降温后外排雨水管网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4" w:type="pct"/>
            <w:tcBorders>
              <w:tl2br w:val="nil"/>
              <w:tr2bl w:val="nil"/>
            </w:tcBorders>
            <w:vAlign w:val="center"/>
          </w:tcPr>
          <w:p>
            <w:pPr>
              <w:pStyle w:val="43"/>
              <w:rPr>
                <w:sz w:val="21"/>
                <w:szCs w:val="16"/>
              </w:rPr>
            </w:pPr>
            <w:r>
              <w:rPr>
                <w:rFonts w:hint="eastAsia"/>
                <w:sz w:val="21"/>
                <w:szCs w:val="16"/>
              </w:rPr>
              <w:t>化水制备系统</w:t>
            </w:r>
          </w:p>
        </w:tc>
        <w:tc>
          <w:tcPr>
            <w:tcW w:w="1017" w:type="pct"/>
            <w:tcBorders>
              <w:tl2br w:val="nil"/>
              <w:tr2bl w:val="nil"/>
            </w:tcBorders>
            <w:vAlign w:val="center"/>
          </w:tcPr>
          <w:p>
            <w:pPr>
              <w:pStyle w:val="43"/>
              <w:rPr>
                <w:sz w:val="21"/>
                <w:szCs w:val="16"/>
              </w:rPr>
            </w:pPr>
            <w:r>
              <w:rPr>
                <w:rFonts w:hint="eastAsia"/>
                <w:sz w:val="21"/>
                <w:szCs w:val="16"/>
              </w:rPr>
              <w:t>除盐制备水</w:t>
            </w:r>
          </w:p>
        </w:tc>
        <w:tc>
          <w:tcPr>
            <w:tcW w:w="970" w:type="pct"/>
            <w:tcBorders>
              <w:tl2br w:val="nil"/>
              <w:tr2bl w:val="nil"/>
            </w:tcBorders>
            <w:vAlign w:val="center"/>
          </w:tcPr>
          <w:p>
            <w:pPr>
              <w:pStyle w:val="43"/>
              <w:rPr>
                <w:sz w:val="21"/>
                <w:szCs w:val="16"/>
              </w:rPr>
            </w:pPr>
            <w:r>
              <w:rPr>
                <w:rFonts w:hint="eastAsia"/>
                <w:sz w:val="21"/>
                <w:szCs w:val="16"/>
              </w:rPr>
              <w:t>/</w:t>
            </w:r>
          </w:p>
        </w:tc>
        <w:tc>
          <w:tcPr>
            <w:tcW w:w="574" w:type="pct"/>
            <w:tcBorders>
              <w:tl2br w:val="nil"/>
              <w:tr2bl w:val="nil"/>
            </w:tcBorders>
            <w:vAlign w:val="center"/>
          </w:tcPr>
          <w:p>
            <w:pPr>
              <w:pStyle w:val="43"/>
              <w:rPr>
                <w:sz w:val="21"/>
                <w:szCs w:val="16"/>
              </w:rPr>
            </w:pPr>
            <w:r>
              <w:rPr>
                <w:rFonts w:hint="eastAsia"/>
                <w:sz w:val="21"/>
                <w:szCs w:val="16"/>
              </w:rPr>
              <w:t>间断</w:t>
            </w:r>
          </w:p>
        </w:tc>
        <w:tc>
          <w:tcPr>
            <w:tcW w:w="1625" w:type="pct"/>
            <w:vMerge w:val="continue"/>
            <w:tcBorders>
              <w:tl2br w:val="nil"/>
              <w:tr2bl w:val="nil"/>
            </w:tcBorders>
            <w:vAlign w:val="center"/>
          </w:tcPr>
          <w:p>
            <w:pPr>
              <w:pStyle w:val="43"/>
              <w:rPr>
                <w:sz w:val="21"/>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4" w:type="pct"/>
            <w:tcBorders>
              <w:tl2br w:val="nil"/>
              <w:tr2bl w:val="nil"/>
            </w:tcBorders>
            <w:vAlign w:val="center"/>
          </w:tcPr>
          <w:p>
            <w:pPr>
              <w:pStyle w:val="43"/>
              <w:rPr>
                <w:sz w:val="21"/>
                <w:szCs w:val="16"/>
              </w:rPr>
            </w:pPr>
            <w:r>
              <w:rPr>
                <w:rFonts w:hint="eastAsia"/>
                <w:sz w:val="21"/>
                <w:szCs w:val="16"/>
              </w:rPr>
              <w:t>循环冷却系统</w:t>
            </w:r>
          </w:p>
        </w:tc>
        <w:tc>
          <w:tcPr>
            <w:tcW w:w="1017" w:type="pct"/>
            <w:tcBorders>
              <w:tl2br w:val="nil"/>
              <w:tr2bl w:val="nil"/>
            </w:tcBorders>
            <w:vAlign w:val="center"/>
          </w:tcPr>
          <w:p>
            <w:pPr>
              <w:pStyle w:val="43"/>
              <w:rPr>
                <w:sz w:val="21"/>
                <w:szCs w:val="16"/>
              </w:rPr>
            </w:pPr>
            <w:r>
              <w:rPr>
                <w:rFonts w:hint="eastAsia"/>
                <w:sz w:val="21"/>
                <w:szCs w:val="16"/>
              </w:rPr>
              <w:t>循环冷却排水</w:t>
            </w:r>
          </w:p>
        </w:tc>
        <w:tc>
          <w:tcPr>
            <w:tcW w:w="970" w:type="pct"/>
            <w:tcBorders>
              <w:tl2br w:val="nil"/>
              <w:tr2bl w:val="nil"/>
            </w:tcBorders>
            <w:vAlign w:val="center"/>
          </w:tcPr>
          <w:p>
            <w:pPr>
              <w:pStyle w:val="43"/>
              <w:rPr>
                <w:sz w:val="21"/>
                <w:szCs w:val="16"/>
              </w:rPr>
            </w:pPr>
            <w:r>
              <w:rPr>
                <w:rFonts w:hint="eastAsia"/>
                <w:sz w:val="21"/>
                <w:szCs w:val="16"/>
              </w:rPr>
              <w:t>/</w:t>
            </w:r>
          </w:p>
        </w:tc>
        <w:tc>
          <w:tcPr>
            <w:tcW w:w="574" w:type="pct"/>
            <w:tcBorders>
              <w:tl2br w:val="nil"/>
              <w:tr2bl w:val="nil"/>
            </w:tcBorders>
            <w:vAlign w:val="center"/>
          </w:tcPr>
          <w:p>
            <w:pPr>
              <w:pStyle w:val="43"/>
              <w:rPr>
                <w:sz w:val="21"/>
                <w:szCs w:val="16"/>
              </w:rPr>
            </w:pPr>
            <w:r>
              <w:rPr>
                <w:rFonts w:hint="eastAsia"/>
                <w:sz w:val="21"/>
                <w:szCs w:val="16"/>
              </w:rPr>
              <w:t>间断</w:t>
            </w:r>
          </w:p>
        </w:tc>
        <w:tc>
          <w:tcPr>
            <w:tcW w:w="1625" w:type="pct"/>
            <w:vMerge w:val="continue"/>
            <w:tcBorders>
              <w:tl2br w:val="nil"/>
              <w:tr2bl w:val="nil"/>
            </w:tcBorders>
            <w:vAlign w:val="center"/>
          </w:tcPr>
          <w:p>
            <w:pPr>
              <w:pStyle w:val="43"/>
              <w:rPr>
                <w:sz w:val="21"/>
                <w:szCs w:val="16"/>
              </w:rPr>
            </w:pPr>
          </w:p>
        </w:tc>
      </w:tr>
    </w:tbl>
    <w:p>
      <w:pPr>
        <w:pStyle w:val="39"/>
        <w:ind w:left="420" w:firstLine="0" w:firstLineChars="0"/>
        <w:rPr>
          <w:rFonts w:cs="Times New Roman"/>
          <w:b/>
          <w:color w:val="FF0000"/>
        </w:rPr>
      </w:pPr>
    </w:p>
    <w:p>
      <w:pPr>
        <w:jc w:val="center"/>
        <w:rPr>
          <w:rFonts w:ascii="Times New Roman" w:hAnsi="Times New Roman" w:eastAsia="宋体" w:cs="Times New Roman"/>
          <w:color w:val="FF0000"/>
        </w:rPr>
      </w:pPr>
      <w:r>
        <w:drawing>
          <wp:inline distT="0" distB="0" distL="114300" distR="114300">
            <wp:extent cx="5274310" cy="7887970"/>
            <wp:effectExtent l="0" t="0" r="0"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8"/>
                    <a:stretch>
                      <a:fillRect/>
                    </a:stretch>
                  </pic:blipFill>
                  <pic:spPr>
                    <a:xfrm>
                      <a:off x="0" y="0"/>
                      <a:ext cx="5274310" cy="7888044"/>
                    </a:xfrm>
                    <a:prstGeom prst="rect">
                      <a:avLst/>
                    </a:prstGeom>
                    <a:noFill/>
                    <a:ln>
                      <a:noFill/>
                    </a:ln>
                  </pic:spPr>
                </pic:pic>
              </a:graphicData>
            </a:graphic>
          </wp:inline>
        </w:drawing>
      </w:r>
    </w:p>
    <w:p>
      <w:pPr>
        <w:pStyle w:val="39"/>
        <w:numPr>
          <w:ilvl w:val="0"/>
          <w:numId w:val="8"/>
        </w:numPr>
        <w:ind w:firstLineChars="0"/>
        <w:jc w:val="center"/>
        <w:rPr>
          <w:rFonts w:cs="Times New Roman"/>
          <w:b/>
          <w:color w:val="000000" w:themeColor="text1"/>
          <w14:textFill>
            <w14:solidFill>
              <w14:schemeClr w14:val="tx1"/>
            </w14:solidFill>
          </w14:textFill>
        </w:rPr>
      </w:pPr>
      <w:r>
        <w:rPr>
          <w:rFonts w:hint="eastAsia" w:cs="Times New Roman"/>
          <w:b/>
          <w:color w:val="000000" w:themeColor="text1"/>
          <w14:textFill>
            <w14:solidFill>
              <w14:schemeClr w14:val="tx1"/>
            </w14:solidFill>
          </w14:textFill>
        </w:rPr>
        <w:t>渗滤液处理工艺流程及产污图</w:t>
      </w:r>
    </w:p>
    <w:p>
      <w:pPr>
        <w:pStyle w:val="39"/>
        <w:numPr>
          <w:ilvl w:val="2"/>
          <w:numId w:val="2"/>
        </w:numPr>
        <w:ind w:left="0" w:firstLine="0" w:firstLineChars="0"/>
        <w:outlineLvl w:val="2"/>
        <w:rPr>
          <w:rFonts w:cs="Times New Roman"/>
          <w:b/>
          <w:color w:val="000000" w:themeColor="text1"/>
          <w14:textFill>
            <w14:solidFill>
              <w14:schemeClr w14:val="tx1"/>
            </w14:solidFill>
          </w14:textFill>
        </w:rPr>
      </w:pPr>
      <w:bookmarkStart w:id="42" w:name="_Toc9686"/>
      <w:r>
        <w:rPr>
          <w:rFonts w:cs="Times New Roman"/>
          <w:b/>
          <w:color w:val="000000" w:themeColor="text1"/>
          <w14:textFill>
            <w14:solidFill>
              <w14:schemeClr w14:val="tx1"/>
            </w14:solidFill>
          </w14:textFill>
        </w:rPr>
        <w:t>废气</w:t>
      </w:r>
      <w:bookmarkEnd w:id="42"/>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工业废气主要包括垃圾在焚烧过程中产生的烟气、在垃圾卸料过程中和垃圾堆放在垃圾贮存坑内散发出的恶臭的气体。</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（1）恶臭气体</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恶臭污染源主要来自进厂的原始垃圾，垃圾运输车在卸料过程中和垃圾堆放在垃圾贮坑内以及渗滤液处理站散发出恶臭的气体，其主要成分为H</w:t>
      </w:r>
      <w:r>
        <w:rPr>
          <w:rFonts w:hint="eastAsia" w:ascii="Times New Roman" w:hAnsi="Times New Roman" w:eastAsia="宋体" w:cs="Times New Roman"/>
          <w:color w:val="000000" w:themeColor="text1"/>
          <w:sz w:val="24"/>
          <w:szCs w:val="24"/>
          <w:vertAlign w:val="subscript"/>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S、NH</w:t>
      </w:r>
      <w:r>
        <w:rPr>
          <w:rFonts w:hint="eastAsia" w:ascii="Times New Roman" w:hAnsi="Times New Roman" w:eastAsia="宋体" w:cs="Times New Roman"/>
          <w:color w:val="000000" w:themeColor="text1"/>
          <w:sz w:val="24"/>
          <w:szCs w:val="24"/>
          <w:vertAlign w:val="subscript"/>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等。采取以下措施治理恶臭气体：</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1）垃圾运输采用封闭式的垃圾运输车；垃圾贮坑全密闭设计，垃圾栈道进口设置自动门，车辆进出时开关自动门，无车辆进出时保持关闭；垃圾贮坑与卸料平台间设置自动卸料门，垃圾卸料门在不进料时保持关闭，维持垃圾坑负压，减少灰尘飞扬和恶臭外溢。</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2）渗滤液处理站产生的恶臭气体通过管道引至焚烧炉作为助燃气焚烧后通过80m高排气筒排放；垃圾坑产生的恶臭气体经抽风口引至焚烧炉作为助燃气焚烧后通过80m高排气筒排放。</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3）垃圾贮坑顶部还设置有除臭风机的抽气口；为防止焚烧炉停炉检修期间垃圾坑内可燃气体聚集，垃圾坑内设置有可燃气体检测装置。当可燃气体检测超标或锅炉停运检修时，自动开启除臭风机将臭气送入除臭间内的活性炭除臭装置过滤后排入环境空气中。</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4）渗沥液收集间设置通风装置将渗沥液处理过程中产生的恶臭气体通过管道排放至垃圾池统一处理，收集间内保持负压，防止臭味外溢，垃圾渗滤液处理构筑物加盖密封。渗滤液处理站设置活性炭吸附系统，处理非正常工况下渗滤液产生的恶臭气体。</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5）加强垃圾储坑的操作管理，规范垃圾储坑的操作管理，利用抓斗对垃圾不停进行搅拌翻动，不仅可使进炉垃圾热值均匀，且可避免垃圾的厌氧发酵，减少恶臭的发生。</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（2）垃圾焚烧烟气</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焚烧锅炉配置烟气净化装置，采用“SNCR炉内脱硝＋半干式、干式脱酸＋活性炭喷射＋布袋除尘”工艺对垃圾焚烧烟气进行处理。该系统包括：脱硝系统（SNCR（选择性非催化还原法）脱硝装置，喷射氨水）、脱酸反应系统（含石灰浆制备系统、喷雾除酸系统）、活性炭喷射系统、布袋除尘系统。净化后的烟气通过引风机排入80m高烟囱。</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废气产生及治理见表</w:t>
      </w:r>
      <w:r>
        <w:rPr>
          <w:rFonts w:ascii="Times New Roman" w:hAnsi="Times New Roman" w:eastAsia="宋体" w:cs="Times New Roman"/>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4</w:t>
      </w:r>
      <w:r>
        <w:rPr>
          <w:rFonts w:hint="eastAsia" w:ascii="Times New Roman" w:hAnsi="Times New Roman" w:eastAsia="宋体" w:cs="Times New Roman"/>
          <w:color w:val="000000" w:themeColor="text1"/>
          <w:sz w:val="24"/>
          <w:szCs w:val="24"/>
          <w14:textFill>
            <w14:solidFill>
              <w14:schemeClr w14:val="tx1"/>
            </w14:solidFill>
          </w14:textFill>
        </w:rPr>
        <w:t>，烟气净化系统工艺流程见下图</w:t>
      </w:r>
      <w:r>
        <w:rPr>
          <w:rFonts w:ascii="Times New Roman" w:hAnsi="Times New Roman" w:eastAsia="宋体" w:cs="Times New Roman"/>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4。</w:t>
      </w:r>
    </w:p>
    <w:p>
      <w:pPr>
        <w:pStyle w:val="39"/>
        <w:numPr>
          <w:ilvl w:val="0"/>
          <w:numId w:val="7"/>
        </w:numPr>
        <w:ind w:firstLineChars="0"/>
        <w:jc w:val="center"/>
        <w:rPr>
          <w:rFonts w:cs="Times New Roman"/>
          <w:b/>
          <w:color w:val="000000" w:themeColor="text1"/>
          <w14:textFill>
            <w14:solidFill>
              <w14:schemeClr w14:val="tx1"/>
            </w14:solidFill>
          </w14:textFill>
        </w:rPr>
      </w:pPr>
      <w:r>
        <w:rPr>
          <w:rFonts w:hint="eastAsia" w:cs="Times New Roman"/>
          <w:b/>
          <w:color w:val="000000" w:themeColor="text1"/>
          <w14:textFill>
            <w14:solidFill>
              <w14:schemeClr w14:val="tx1"/>
            </w14:solidFill>
          </w14:textFill>
        </w:rPr>
        <w:t>本项目废气产生及处理措施</w:t>
      </w:r>
    </w:p>
    <w:tbl>
      <w:tblPr>
        <w:tblStyle w:val="15"/>
        <w:tblW w:w="488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1366"/>
        <w:gridCol w:w="1611"/>
        <w:gridCol w:w="1990"/>
        <w:gridCol w:w="1199"/>
        <w:gridCol w:w="10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pct"/>
            <w:tcBorders>
              <w:top w:val="single" w:color="auto" w:sz="4" w:space="0"/>
              <w:left w:val="single" w:color="auto" w:sz="4" w:space="0"/>
              <w:bottom w:val="single" w:color="auto" w:sz="4" w:space="0"/>
            </w:tcBorders>
            <w:vAlign w:val="center"/>
          </w:tcPr>
          <w:p>
            <w:pPr>
              <w:pStyle w:val="43"/>
              <w:rPr>
                <w:b/>
                <w:bCs/>
              </w:rPr>
            </w:pPr>
            <w:r>
              <w:rPr>
                <w:rFonts w:hint="eastAsia"/>
                <w:b/>
                <w:bCs/>
              </w:rPr>
              <w:t>名称</w:t>
            </w:r>
          </w:p>
        </w:tc>
        <w:tc>
          <w:tcPr>
            <w:tcW w:w="820" w:type="pct"/>
            <w:tcBorders>
              <w:top w:val="single" w:color="auto" w:sz="4" w:space="0"/>
              <w:bottom w:val="single" w:color="auto" w:sz="4" w:space="0"/>
            </w:tcBorders>
            <w:vAlign w:val="center"/>
          </w:tcPr>
          <w:p>
            <w:pPr>
              <w:pStyle w:val="43"/>
              <w:rPr>
                <w:b/>
                <w:bCs/>
              </w:rPr>
            </w:pPr>
            <w:r>
              <w:rPr>
                <w:rFonts w:hint="eastAsia"/>
                <w:b/>
                <w:bCs/>
              </w:rPr>
              <w:t>来源</w:t>
            </w:r>
          </w:p>
        </w:tc>
        <w:tc>
          <w:tcPr>
            <w:tcW w:w="967" w:type="pct"/>
            <w:tcBorders>
              <w:top w:val="single" w:color="auto" w:sz="4" w:space="0"/>
              <w:bottom w:val="single" w:color="auto" w:sz="4" w:space="0"/>
            </w:tcBorders>
            <w:vAlign w:val="center"/>
          </w:tcPr>
          <w:p>
            <w:pPr>
              <w:pStyle w:val="43"/>
              <w:rPr>
                <w:b/>
                <w:bCs/>
              </w:rPr>
            </w:pPr>
            <w:r>
              <w:rPr>
                <w:rFonts w:hint="eastAsia"/>
                <w:b/>
                <w:bCs/>
              </w:rPr>
              <w:t>污染物种类</w:t>
            </w:r>
          </w:p>
        </w:tc>
        <w:tc>
          <w:tcPr>
            <w:tcW w:w="1195" w:type="pct"/>
            <w:tcBorders>
              <w:top w:val="single" w:color="auto" w:sz="4" w:space="0"/>
              <w:bottom w:val="single" w:color="auto" w:sz="4" w:space="0"/>
            </w:tcBorders>
            <w:vAlign w:val="center"/>
          </w:tcPr>
          <w:p>
            <w:pPr>
              <w:pStyle w:val="43"/>
              <w:rPr>
                <w:b/>
                <w:bCs/>
              </w:rPr>
            </w:pPr>
            <w:r>
              <w:rPr>
                <w:rFonts w:hint="eastAsia"/>
                <w:b/>
                <w:bCs/>
              </w:rPr>
              <w:t>治理设施</w:t>
            </w:r>
          </w:p>
        </w:tc>
        <w:tc>
          <w:tcPr>
            <w:tcW w:w="720" w:type="pct"/>
            <w:tcBorders>
              <w:top w:val="single" w:color="auto" w:sz="4" w:space="0"/>
              <w:bottom w:val="single" w:color="auto" w:sz="4" w:space="0"/>
            </w:tcBorders>
            <w:vAlign w:val="center"/>
          </w:tcPr>
          <w:p>
            <w:pPr>
              <w:pStyle w:val="43"/>
              <w:rPr>
                <w:b/>
                <w:bCs/>
              </w:rPr>
            </w:pPr>
            <w:r>
              <w:rPr>
                <w:rFonts w:hint="eastAsia"/>
                <w:b/>
                <w:bCs/>
              </w:rPr>
              <w:t>排放形式</w:t>
            </w:r>
          </w:p>
        </w:tc>
        <w:tc>
          <w:tcPr>
            <w:tcW w:w="623" w:type="pct"/>
            <w:tcBorders>
              <w:top w:val="single" w:color="auto" w:sz="4" w:space="0"/>
              <w:bottom w:val="single" w:color="auto" w:sz="4" w:space="0"/>
              <w:right w:val="single" w:color="auto" w:sz="4" w:space="0"/>
            </w:tcBorders>
            <w:vAlign w:val="center"/>
          </w:tcPr>
          <w:p>
            <w:pPr>
              <w:pStyle w:val="43"/>
              <w:rPr>
                <w:b/>
                <w:bCs/>
              </w:rPr>
            </w:pPr>
            <w:r>
              <w:rPr>
                <w:rFonts w:hint="eastAsia"/>
                <w:b/>
                <w:bCs/>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pct"/>
            <w:tcBorders>
              <w:top w:val="single" w:color="auto" w:sz="4" w:space="0"/>
              <w:left w:val="single" w:color="auto" w:sz="4" w:space="0"/>
              <w:bottom w:val="single" w:color="auto" w:sz="4" w:space="0"/>
            </w:tcBorders>
            <w:vAlign w:val="center"/>
          </w:tcPr>
          <w:p>
            <w:pPr>
              <w:pStyle w:val="43"/>
              <w:rPr>
                <w:sz w:val="21"/>
                <w:szCs w:val="16"/>
              </w:rPr>
            </w:pPr>
            <w:r>
              <w:rPr>
                <w:rFonts w:hint="eastAsia"/>
                <w:sz w:val="21"/>
                <w:szCs w:val="16"/>
              </w:rPr>
              <w:t>恶臭</w:t>
            </w:r>
          </w:p>
        </w:tc>
        <w:tc>
          <w:tcPr>
            <w:tcW w:w="820" w:type="pct"/>
            <w:tcBorders>
              <w:top w:val="single" w:color="auto" w:sz="4" w:space="0"/>
              <w:bottom w:val="single" w:color="auto" w:sz="4" w:space="0"/>
            </w:tcBorders>
            <w:vAlign w:val="center"/>
          </w:tcPr>
          <w:p>
            <w:pPr>
              <w:pStyle w:val="43"/>
              <w:rPr>
                <w:sz w:val="21"/>
                <w:szCs w:val="16"/>
              </w:rPr>
            </w:pPr>
            <w:r>
              <w:rPr>
                <w:rFonts w:hint="eastAsia"/>
                <w:sz w:val="21"/>
                <w:szCs w:val="16"/>
              </w:rPr>
              <w:t>垃圾发酵、渗滤液发酵等产生</w:t>
            </w:r>
          </w:p>
        </w:tc>
        <w:tc>
          <w:tcPr>
            <w:tcW w:w="967" w:type="pct"/>
            <w:tcBorders>
              <w:top w:val="single" w:color="auto" w:sz="4" w:space="0"/>
              <w:bottom w:val="single" w:color="auto" w:sz="4" w:space="0"/>
            </w:tcBorders>
            <w:vAlign w:val="center"/>
          </w:tcPr>
          <w:p>
            <w:pPr>
              <w:pStyle w:val="43"/>
              <w:rPr>
                <w:sz w:val="21"/>
                <w:szCs w:val="16"/>
              </w:rPr>
            </w:pPr>
            <w:r>
              <w:rPr>
                <w:rFonts w:hint="eastAsia"/>
                <w:sz w:val="21"/>
                <w:szCs w:val="16"/>
              </w:rPr>
              <w:t>氨、硫化氢</w:t>
            </w:r>
          </w:p>
        </w:tc>
        <w:tc>
          <w:tcPr>
            <w:tcW w:w="1195" w:type="pct"/>
            <w:tcBorders>
              <w:top w:val="single" w:color="auto" w:sz="4" w:space="0"/>
              <w:bottom w:val="single" w:color="auto" w:sz="4" w:space="0"/>
            </w:tcBorders>
            <w:vAlign w:val="center"/>
          </w:tcPr>
          <w:p>
            <w:pPr>
              <w:pStyle w:val="43"/>
              <w:rPr>
                <w:sz w:val="21"/>
                <w:szCs w:val="16"/>
              </w:rPr>
            </w:pPr>
            <w:r>
              <w:rPr>
                <w:rFonts w:hint="eastAsia"/>
                <w:sz w:val="21"/>
                <w:szCs w:val="16"/>
              </w:rPr>
              <w:t>设置负压系统，收集至焚烧炉焚烧处理</w:t>
            </w:r>
          </w:p>
        </w:tc>
        <w:tc>
          <w:tcPr>
            <w:tcW w:w="720" w:type="pct"/>
            <w:tcBorders>
              <w:top w:val="single" w:color="auto" w:sz="4" w:space="0"/>
              <w:bottom w:val="single" w:color="auto" w:sz="4" w:space="0"/>
            </w:tcBorders>
            <w:vAlign w:val="center"/>
          </w:tcPr>
          <w:p>
            <w:pPr>
              <w:pStyle w:val="43"/>
              <w:rPr>
                <w:sz w:val="21"/>
                <w:szCs w:val="16"/>
              </w:rPr>
            </w:pPr>
            <w:r>
              <w:rPr>
                <w:rFonts w:hint="eastAsia"/>
                <w:sz w:val="21"/>
                <w:szCs w:val="16"/>
              </w:rPr>
              <w:t>有组织和无组织</w:t>
            </w:r>
          </w:p>
        </w:tc>
        <w:tc>
          <w:tcPr>
            <w:tcW w:w="623" w:type="pct"/>
            <w:tcBorders>
              <w:top w:val="single" w:color="auto" w:sz="4" w:space="0"/>
              <w:bottom w:val="single" w:color="auto" w:sz="4" w:space="0"/>
              <w:right w:val="single" w:color="auto" w:sz="4" w:space="0"/>
            </w:tcBorders>
            <w:vAlign w:val="center"/>
          </w:tcPr>
          <w:p>
            <w:pPr>
              <w:pStyle w:val="43"/>
              <w:rPr>
                <w:sz w:val="21"/>
                <w:szCs w:val="16"/>
              </w:rPr>
            </w:pPr>
            <w:r>
              <w:rPr>
                <w:rFonts w:hint="eastAsia"/>
                <w:sz w:val="21"/>
                <w:szCs w:val="16"/>
              </w:rPr>
              <w:t>外环境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pct"/>
            <w:tcBorders>
              <w:top w:val="single" w:color="auto" w:sz="4" w:space="0"/>
              <w:left w:val="single" w:color="auto" w:sz="4" w:space="0"/>
              <w:bottom w:val="single" w:color="auto" w:sz="4" w:space="0"/>
            </w:tcBorders>
            <w:vAlign w:val="center"/>
          </w:tcPr>
          <w:p>
            <w:pPr>
              <w:pStyle w:val="43"/>
              <w:rPr>
                <w:sz w:val="21"/>
                <w:szCs w:val="16"/>
              </w:rPr>
            </w:pPr>
            <w:r>
              <w:rPr>
                <w:rFonts w:hint="eastAsia"/>
                <w:sz w:val="21"/>
                <w:szCs w:val="16"/>
              </w:rPr>
              <w:t>焚烧烟气</w:t>
            </w:r>
          </w:p>
        </w:tc>
        <w:tc>
          <w:tcPr>
            <w:tcW w:w="820" w:type="pct"/>
            <w:tcBorders>
              <w:top w:val="single" w:color="auto" w:sz="4" w:space="0"/>
              <w:bottom w:val="single" w:color="auto" w:sz="4" w:space="0"/>
            </w:tcBorders>
            <w:vAlign w:val="center"/>
          </w:tcPr>
          <w:p>
            <w:pPr>
              <w:pStyle w:val="43"/>
              <w:rPr>
                <w:sz w:val="21"/>
                <w:szCs w:val="16"/>
              </w:rPr>
            </w:pPr>
            <w:r>
              <w:rPr>
                <w:rFonts w:hint="eastAsia"/>
                <w:sz w:val="21"/>
                <w:szCs w:val="16"/>
              </w:rPr>
              <w:t>垃圾焚烧</w:t>
            </w:r>
          </w:p>
        </w:tc>
        <w:tc>
          <w:tcPr>
            <w:tcW w:w="967" w:type="pct"/>
            <w:tcBorders>
              <w:top w:val="single" w:color="auto" w:sz="4" w:space="0"/>
              <w:bottom w:val="single" w:color="auto" w:sz="4" w:space="0"/>
            </w:tcBorders>
            <w:vAlign w:val="center"/>
          </w:tcPr>
          <w:p>
            <w:pPr>
              <w:pStyle w:val="43"/>
              <w:rPr>
                <w:sz w:val="21"/>
                <w:szCs w:val="16"/>
              </w:rPr>
            </w:pPr>
            <w:r>
              <w:rPr>
                <w:sz w:val="21"/>
                <w:szCs w:val="16"/>
              </w:rPr>
              <w:t>烟尘、SO</w:t>
            </w:r>
            <w:r>
              <w:rPr>
                <w:sz w:val="21"/>
                <w:szCs w:val="16"/>
                <w:vertAlign w:val="subscript"/>
              </w:rPr>
              <w:t>2</w:t>
            </w:r>
            <w:r>
              <w:rPr>
                <w:sz w:val="21"/>
                <w:szCs w:val="16"/>
              </w:rPr>
              <w:t>、NO</w:t>
            </w:r>
            <w:r>
              <w:rPr>
                <w:sz w:val="21"/>
                <w:szCs w:val="16"/>
                <w:vertAlign w:val="subscript"/>
              </w:rPr>
              <w:t>x</w:t>
            </w:r>
            <w:r>
              <w:rPr>
                <w:rFonts w:hint="eastAsia"/>
                <w:sz w:val="21"/>
                <w:szCs w:val="16"/>
              </w:rPr>
              <w:t>、酸性气体、重金属（汞、镉、铊、锑、砷、铅、铬、钴、铜、锰、镍等）、二噁英等</w:t>
            </w:r>
          </w:p>
        </w:tc>
        <w:tc>
          <w:tcPr>
            <w:tcW w:w="1195" w:type="pct"/>
            <w:tcBorders>
              <w:top w:val="single" w:color="auto" w:sz="4" w:space="0"/>
              <w:bottom w:val="single" w:color="auto" w:sz="4" w:space="0"/>
            </w:tcBorders>
            <w:vAlign w:val="center"/>
          </w:tcPr>
          <w:p>
            <w:pPr>
              <w:pStyle w:val="43"/>
              <w:rPr>
                <w:sz w:val="21"/>
                <w:szCs w:val="16"/>
              </w:rPr>
            </w:pPr>
            <w:r>
              <w:rPr>
                <w:rFonts w:hint="eastAsia"/>
                <w:sz w:val="21"/>
                <w:szCs w:val="16"/>
              </w:rPr>
              <w:t>采用“</w:t>
            </w:r>
            <w:r>
              <w:rPr>
                <w:sz w:val="21"/>
                <w:szCs w:val="16"/>
              </w:rPr>
              <w:t>SNCR炉内脱硝＋半干式、干式脱酸＋活性炭喷射＋布袋除尘</w:t>
            </w:r>
            <w:r>
              <w:rPr>
                <w:rFonts w:hint="eastAsia"/>
                <w:sz w:val="21"/>
                <w:szCs w:val="16"/>
              </w:rPr>
              <w:t>”处理后通过80m烟囱排放</w:t>
            </w:r>
          </w:p>
        </w:tc>
        <w:tc>
          <w:tcPr>
            <w:tcW w:w="720" w:type="pct"/>
            <w:tcBorders>
              <w:top w:val="single" w:color="auto" w:sz="4" w:space="0"/>
              <w:bottom w:val="single" w:color="auto" w:sz="4" w:space="0"/>
            </w:tcBorders>
            <w:vAlign w:val="center"/>
          </w:tcPr>
          <w:p>
            <w:pPr>
              <w:pStyle w:val="43"/>
              <w:rPr>
                <w:sz w:val="21"/>
                <w:szCs w:val="16"/>
              </w:rPr>
            </w:pPr>
            <w:r>
              <w:rPr>
                <w:rFonts w:hint="eastAsia"/>
                <w:sz w:val="21"/>
                <w:szCs w:val="16"/>
              </w:rPr>
              <w:t>有组织</w:t>
            </w:r>
          </w:p>
        </w:tc>
        <w:tc>
          <w:tcPr>
            <w:tcW w:w="623" w:type="pct"/>
            <w:tcBorders>
              <w:top w:val="single" w:color="auto" w:sz="4" w:space="0"/>
              <w:bottom w:val="single" w:color="auto" w:sz="4" w:space="0"/>
              <w:right w:val="single" w:color="auto" w:sz="4" w:space="0"/>
            </w:tcBorders>
            <w:vAlign w:val="center"/>
          </w:tcPr>
          <w:p>
            <w:pPr>
              <w:pStyle w:val="43"/>
              <w:rPr>
                <w:sz w:val="21"/>
                <w:szCs w:val="16"/>
              </w:rPr>
            </w:pPr>
            <w:r>
              <w:rPr>
                <w:rFonts w:hint="eastAsia"/>
                <w:sz w:val="21"/>
                <w:szCs w:val="16"/>
              </w:rPr>
              <w:t>外环境</w:t>
            </w:r>
          </w:p>
        </w:tc>
      </w:tr>
    </w:tbl>
    <w:p>
      <w:pPr>
        <w:rPr>
          <w:rFonts w:ascii="Times New Roman" w:hAnsi="Times New Roman" w:eastAsia="宋体" w:cs="Times New Roman"/>
          <w:b/>
        </w:rPr>
      </w:pPr>
      <w:r>
        <w:rPr>
          <w:rFonts w:cs="Times New Roman"/>
          <w:b/>
        </w:rPr>
        <mc:AlternateContent>
          <mc:Choice Requires="wps">
            <w:drawing>
              <wp:anchor distT="0" distB="0" distL="114300" distR="114300" simplePos="0" relativeHeight="251660288" behindDoc="0" locked="0" layoutInCell="1" allowOverlap="1">
                <wp:simplePos x="0" y="0"/>
                <wp:positionH relativeFrom="column">
                  <wp:posOffset>2073910</wp:posOffset>
                </wp:positionH>
                <wp:positionV relativeFrom="paragraph">
                  <wp:posOffset>60325</wp:posOffset>
                </wp:positionV>
                <wp:extent cx="523875" cy="323850"/>
                <wp:effectExtent l="0" t="0" r="0" b="6350"/>
                <wp:wrapNone/>
                <wp:docPr id="44" name="Text Box 3"/>
                <wp:cNvGraphicFramePr/>
                <a:graphic xmlns:a="http://schemas.openxmlformats.org/drawingml/2006/main">
                  <a:graphicData uri="http://schemas.microsoft.com/office/word/2010/wordprocessingShape">
                    <wps:wsp>
                      <wps:cNvSpPr txBox="1"/>
                      <wps:spPr bwMode="auto">
                        <a:xfrm>
                          <a:off x="0" y="0"/>
                          <a:ext cx="523875" cy="323850"/>
                        </a:xfrm>
                        <a:prstGeom prst="rect">
                          <a:avLst/>
                        </a:prstGeom>
                        <a:solidFill>
                          <a:srgbClr val="FFFFFF"/>
                        </a:solidFill>
                        <a:ln>
                          <a:noFill/>
                        </a:ln>
                      </wps:spPr>
                      <wps:txbx>
                        <w:txbxContent>
                          <w:p>
                            <w:pPr>
                              <w:pStyle w:val="43"/>
                              <w:jc w:val="both"/>
                              <w:rPr>
                                <w:sz w:val="18"/>
                                <w:szCs w:val="13"/>
                              </w:rPr>
                            </w:pPr>
                            <w:r>
                              <w:rPr>
                                <w:rFonts w:hint="eastAsia"/>
                                <w:sz w:val="18"/>
                                <w:szCs w:val="13"/>
                              </w:rPr>
                              <w:t>氨水</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163.3pt;margin-top:4.75pt;height:25.5pt;width:41.25pt;z-index:251660288;mso-width-relative:page;mso-height-relative:page;" fillcolor="#FFFFFF" filled="t" stroked="f" coordsize="21600,21600" o:gfxdata="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gZ9ZbXAAAACAEAAA8AAAAAAAAAAQAgAAAAIgAAAGRycy9kb3du&#10;cmV2LnhtbFBLAQIUABQAAAAIAIdO4kDDgdF6AAIAAA0EAAAOAAAAAAAAAAEAIAAAACYBAABkcnMv&#10;ZTJvRG9jLnhtbFBLBQYAAAAABgAGAFkBAACYBQAAAAA=&#10;">
                <v:fill on="t" focussize="0,0"/>
                <v:stroke on="f"/>
                <v:imagedata o:title=""/>
                <o:lock v:ext="edit" aspectratio="f"/>
                <v:textbox>
                  <w:txbxContent>
                    <w:p>
                      <w:pPr>
                        <w:pStyle w:val="43"/>
                        <w:jc w:val="both"/>
                        <w:rPr>
                          <w:sz w:val="18"/>
                          <w:szCs w:val="13"/>
                        </w:rPr>
                      </w:pPr>
                      <w:r>
                        <w:rPr>
                          <w:rFonts w:hint="eastAsia"/>
                          <w:sz w:val="18"/>
                          <w:szCs w:val="13"/>
                        </w:rPr>
                        <w:t>氨水</w:t>
                      </w:r>
                    </w:p>
                  </w:txbxContent>
                </v:textbox>
              </v:shape>
            </w:pict>
          </mc:Fallback>
        </mc:AlternateContent>
      </w:r>
      <w:r>
        <w:rPr>
          <w:rFonts w:cs="Times New Roman"/>
          <w:b/>
        </w:rPr>
        <w:object>
          <v:shape id="_x0000_i1025" o:spt="75" type="#_x0000_t75" style="height:311.65pt;width:417.2pt;" o:ole="t" filled="f" o:preferrelative="t" stroked="f" coordsize="21600,21600">
            <v:path/>
            <v:fill on="f" focussize="0,0"/>
            <v:stroke on="f" joinstyle="miter"/>
            <v:imagedata r:id="rId10" croptop="-1159f" o:title=""/>
            <o:lock v:ext="edit" aspectratio="t"/>
            <w10:wrap type="none"/>
            <w10:anchorlock/>
          </v:shape>
          <o:OLEObject Type="Embed" ProgID="Visio.Drawing.11" ShapeID="_x0000_i1025" DrawAspect="Content" ObjectID="_1468075725" r:id="rId9">
            <o:LockedField>false</o:LockedField>
          </o:OLEObject>
        </w:object>
      </w:r>
    </w:p>
    <w:p>
      <w:pPr>
        <w:pStyle w:val="39"/>
        <w:numPr>
          <w:ilvl w:val="0"/>
          <w:numId w:val="8"/>
        </w:numPr>
        <w:ind w:firstLineChars="0"/>
        <w:jc w:val="center"/>
        <w:rPr>
          <w:rFonts w:cs="Times New Roman"/>
          <w:b/>
          <w:color w:val="000000" w:themeColor="text1"/>
          <w14:textFill>
            <w14:solidFill>
              <w14:schemeClr w14:val="tx1"/>
            </w14:solidFill>
          </w14:textFill>
        </w:rPr>
      </w:pPr>
      <w:r>
        <w:rPr>
          <w:rFonts w:hint="eastAsia" w:cs="Times New Roman"/>
          <w:b/>
          <w:color w:val="000000" w:themeColor="text1"/>
          <w14:textFill>
            <w14:solidFill>
              <w14:schemeClr w14:val="tx1"/>
            </w14:solidFill>
          </w14:textFill>
        </w:rPr>
        <w:t>烟气净化系统工艺流程简图</w:t>
      </w:r>
    </w:p>
    <w:p>
      <w:pPr>
        <w:pStyle w:val="39"/>
        <w:numPr>
          <w:ilvl w:val="2"/>
          <w:numId w:val="2"/>
        </w:numPr>
        <w:ind w:left="0" w:firstLine="0" w:firstLineChars="0"/>
        <w:outlineLvl w:val="2"/>
        <w:rPr>
          <w:rFonts w:cs="Times New Roman"/>
          <w:b/>
          <w:color w:val="000000" w:themeColor="text1"/>
          <w14:textFill>
            <w14:solidFill>
              <w14:schemeClr w14:val="tx1"/>
            </w14:solidFill>
          </w14:textFill>
        </w:rPr>
      </w:pPr>
      <w:bookmarkStart w:id="43" w:name="_Toc2081"/>
      <w:r>
        <w:rPr>
          <w:rFonts w:cs="Times New Roman"/>
          <w:b/>
          <w:color w:val="000000" w:themeColor="text1"/>
          <w14:textFill>
            <w14:solidFill>
              <w14:schemeClr w14:val="tx1"/>
            </w14:solidFill>
          </w14:textFill>
        </w:rPr>
        <w:t>固废</w:t>
      </w:r>
      <w:bookmarkEnd w:id="43"/>
    </w:p>
    <w:p>
      <w:pPr>
        <w:pStyle w:val="2"/>
        <w:spacing w:line="360" w:lineRule="auto"/>
        <w:ind w:firstLine="480" w:firstLineChars="200"/>
        <w:jc w:val="both"/>
        <w:rPr>
          <w:rFonts w:eastAsia="宋体" w:cs="Times New Roman"/>
          <w:color w:val="000000" w:themeColor="text1"/>
          <w:sz w:val="24"/>
          <w:szCs w:val="24"/>
          <w14:textFill>
            <w14:solidFill>
              <w14:schemeClr w14:val="tx1"/>
            </w14:solidFill>
          </w14:textFill>
        </w:rPr>
      </w:pPr>
      <w:r>
        <w:rPr>
          <w:rFonts w:hint="eastAsia" w:eastAsia="宋体" w:cs="Times New Roman"/>
          <w:color w:val="000000" w:themeColor="text1"/>
          <w:sz w:val="24"/>
          <w:szCs w:val="24"/>
          <w14:textFill>
            <w14:solidFill>
              <w14:schemeClr w14:val="tx1"/>
            </w14:solidFill>
          </w14:textFill>
        </w:rPr>
        <w:t>（1）炉渣：炉渣主要为垃圾燃烧后的残余物，其主要成分为MnO、SiO</w:t>
      </w:r>
      <w:r>
        <w:rPr>
          <w:rFonts w:hint="eastAsia" w:eastAsia="宋体" w:cs="Times New Roman"/>
          <w:color w:val="000000" w:themeColor="text1"/>
          <w:sz w:val="24"/>
          <w:szCs w:val="24"/>
          <w:vertAlign w:val="subscript"/>
          <w14:textFill>
            <w14:solidFill>
              <w14:schemeClr w14:val="tx1"/>
            </w14:solidFill>
          </w14:textFill>
        </w:rPr>
        <w:t>2</w:t>
      </w:r>
      <w:r>
        <w:rPr>
          <w:rFonts w:hint="eastAsia" w:eastAsia="宋体" w:cs="Times New Roman"/>
          <w:color w:val="000000" w:themeColor="text1"/>
          <w:sz w:val="24"/>
          <w:szCs w:val="24"/>
          <w14:textFill>
            <w14:solidFill>
              <w14:schemeClr w14:val="tx1"/>
            </w14:solidFill>
          </w14:textFill>
        </w:rPr>
        <w:t>、CaO、Al</w:t>
      </w:r>
      <w:r>
        <w:rPr>
          <w:rFonts w:hint="eastAsia" w:eastAsia="宋体" w:cs="Times New Roman"/>
          <w:color w:val="000000" w:themeColor="text1"/>
          <w:sz w:val="24"/>
          <w:szCs w:val="24"/>
          <w:vertAlign w:val="subscript"/>
          <w14:textFill>
            <w14:solidFill>
              <w14:schemeClr w14:val="tx1"/>
            </w14:solidFill>
          </w14:textFill>
        </w:rPr>
        <w:t>2</w:t>
      </w:r>
      <w:r>
        <w:rPr>
          <w:rFonts w:hint="eastAsia" w:eastAsia="宋体" w:cs="Times New Roman"/>
          <w:color w:val="000000" w:themeColor="text1"/>
          <w:sz w:val="24"/>
          <w:szCs w:val="24"/>
          <w14:textFill>
            <w14:solidFill>
              <w14:schemeClr w14:val="tx1"/>
            </w14:solidFill>
          </w14:textFill>
        </w:rPr>
        <w:t>O</w:t>
      </w:r>
      <w:r>
        <w:rPr>
          <w:rFonts w:hint="eastAsia" w:eastAsia="宋体" w:cs="Times New Roman"/>
          <w:color w:val="000000" w:themeColor="text1"/>
          <w:sz w:val="24"/>
          <w:szCs w:val="24"/>
          <w:vertAlign w:val="subscript"/>
          <w14:textFill>
            <w14:solidFill>
              <w14:schemeClr w14:val="tx1"/>
            </w14:solidFill>
          </w14:textFill>
        </w:rPr>
        <w:t>3</w:t>
      </w:r>
      <w:r>
        <w:rPr>
          <w:rFonts w:hint="eastAsia" w:eastAsia="宋体" w:cs="Times New Roman"/>
          <w:color w:val="000000" w:themeColor="text1"/>
          <w:sz w:val="24"/>
          <w:szCs w:val="24"/>
          <w14:textFill>
            <w14:solidFill>
              <w14:schemeClr w14:val="tx1"/>
            </w14:solidFill>
          </w14:textFill>
        </w:rPr>
        <w:t>、Fe</w:t>
      </w:r>
      <w:r>
        <w:rPr>
          <w:rFonts w:hint="eastAsia" w:eastAsia="宋体" w:cs="Times New Roman"/>
          <w:color w:val="000000" w:themeColor="text1"/>
          <w:sz w:val="24"/>
          <w:szCs w:val="24"/>
          <w:vertAlign w:val="subscript"/>
          <w14:textFill>
            <w14:solidFill>
              <w14:schemeClr w14:val="tx1"/>
            </w14:solidFill>
          </w14:textFill>
        </w:rPr>
        <w:t>2</w:t>
      </w:r>
      <w:r>
        <w:rPr>
          <w:rFonts w:hint="eastAsia" w:eastAsia="宋体" w:cs="Times New Roman"/>
          <w:color w:val="000000" w:themeColor="text1"/>
          <w:sz w:val="24"/>
          <w:szCs w:val="24"/>
          <w14:textFill>
            <w14:solidFill>
              <w14:schemeClr w14:val="tx1"/>
            </w14:solidFill>
          </w14:textFill>
        </w:rPr>
        <w:t>O</w:t>
      </w:r>
      <w:r>
        <w:rPr>
          <w:rFonts w:hint="eastAsia" w:eastAsia="宋体" w:cs="Times New Roman"/>
          <w:color w:val="000000" w:themeColor="text1"/>
          <w:sz w:val="24"/>
          <w:szCs w:val="24"/>
          <w:vertAlign w:val="subscript"/>
          <w14:textFill>
            <w14:solidFill>
              <w14:schemeClr w14:val="tx1"/>
            </w14:solidFill>
          </w14:textFill>
        </w:rPr>
        <w:t>3</w:t>
      </w:r>
      <w:r>
        <w:rPr>
          <w:rFonts w:hint="eastAsia" w:eastAsia="宋体" w:cs="Times New Roman"/>
          <w:color w:val="000000" w:themeColor="text1"/>
          <w:sz w:val="24"/>
          <w:szCs w:val="24"/>
          <w14:textFill>
            <w14:solidFill>
              <w14:schemeClr w14:val="tx1"/>
            </w14:solidFill>
          </w14:textFill>
        </w:rPr>
        <w:t>以及少量未燃烬的有机物、废金属等。炉渣暂存在渣坑内，渣坑可暂存3~5天的炉渣量，外售综合利用。现交由位于井研县的乐山深恒绿色环保科技有限公司综合利用。</w:t>
      </w:r>
    </w:p>
    <w:p>
      <w:pPr>
        <w:pStyle w:val="2"/>
        <w:spacing w:line="360" w:lineRule="auto"/>
        <w:ind w:firstLine="480" w:firstLineChars="200"/>
        <w:jc w:val="both"/>
        <w:rPr>
          <w:rFonts w:eastAsia="宋体" w:cs="Times New Roman"/>
          <w:color w:val="000000" w:themeColor="text1"/>
          <w:sz w:val="24"/>
          <w:szCs w:val="24"/>
          <w14:textFill>
            <w14:solidFill>
              <w14:schemeClr w14:val="tx1"/>
            </w14:solidFill>
          </w14:textFill>
        </w:rPr>
      </w:pPr>
      <w:r>
        <w:rPr>
          <w:rFonts w:hint="eastAsia" w:eastAsia="宋体" w:cs="Times New Roman"/>
          <w:color w:val="000000" w:themeColor="text1"/>
          <w:sz w:val="24"/>
          <w:szCs w:val="24"/>
          <w14:textFill>
            <w14:solidFill>
              <w14:schemeClr w14:val="tx1"/>
            </w14:solidFill>
          </w14:textFill>
        </w:rPr>
        <w:t>（2）泥沙：来源于河水净化系统，外运综合利用。</w:t>
      </w:r>
    </w:p>
    <w:p>
      <w:pPr>
        <w:pStyle w:val="2"/>
        <w:spacing w:line="360" w:lineRule="auto"/>
        <w:ind w:firstLine="480" w:firstLineChars="200"/>
        <w:jc w:val="both"/>
        <w:rPr>
          <w:rFonts w:eastAsia="宋体" w:cs="Times New Roman"/>
          <w:color w:val="000000" w:themeColor="text1"/>
          <w:sz w:val="24"/>
          <w:szCs w:val="24"/>
          <w14:textFill>
            <w14:solidFill>
              <w14:schemeClr w14:val="tx1"/>
            </w14:solidFill>
          </w14:textFill>
        </w:rPr>
      </w:pPr>
      <w:r>
        <w:rPr>
          <w:rFonts w:hint="eastAsia" w:eastAsia="宋体" w:cs="Times New Roman"/>
          <w:color w:val="000000" w:themeColor="text1"/>
          <w:sz w:val="24"/>
          <w:szCs w:val="24"/>
          <w14:textFill>
            <w14:solidFill>
              <w14:schemeClr w14:val="tx1"/>
            </w14:solidFill>
          </w14:textFill>
        </w:rPr>
        <w:t>（3）废活性炭：恶臭吸附系统产生的活性炭全部送至本项目焚烧炉焚烧处理。</w:t>
      </w:r>
    </w:p>
    <w:p>
      <w:pPr>
        <w:pStyle w:val="2"/>
        <w:spacing w:line="360" w:lineRule="auto"/>
        <w:ind w:firstLine="480" w:firstLineChars="200"/>
        <w:jc w:val="both"/>
        <w:rPr>
          <w:rFonts w:eastAsia="宋体" w:cs="Times New Roman"/>
          <w:color w:val="000000" w:themeColor="text1"/>
          <w:sz w:val="24"/>
          <w:szCs w:val="24"/>
          <w14:textFill>
            <w14:solidFill>
              <w14:schemeClr w14:val="tx1"/>
            </w14:solidFill>
          </w14:textFill>
        </w:rPr>
      </w:pPr>
      <w:r>
        <w:rPr>
          <w:rFonts w:hint="eastAsia" w:eastAsia="宋体" w:cs="Times New Roman"/>
          <w:color w:val="000000" w:themeColor="text1"/>
          <w:sz w:val="24"/>
          <w:szCs w:val="24"/>
          <w14:textFill>
            <w14:solidFill>
              <w14:schemeClr w14:val="tx1"/>
            </w14:solidFill>
          </w14:textFill>
        </w:rPr>
        <w:t>（4）污泥：渗滤液处理站和生活污水处理设施在运行过程中产生的污泥经浓缩脱水后直接送焚烧炉焚烧处置。</w:t>
      </w:r>
    </w:p>
    <w:p>
      <w:pPr>
        <w:pStyle w:val="2"/>
        <w:spacing w:line="360" w:lineRule="auto"/>
        <w:ind w:firstLine="480" w:firstLineChars="200"/>
        <w:jc w:val="both"/>
        <w:rPr>
          <w:rFonts w:eastAsia="宋体" w:cs="Times New Roman"/>
          <w:color w:val="000000" w:themeColor="text1"/>
          <w:sz w:val="24"/>
          <w:szCs w:val="24"/>
          <w14:textFill>
            <w14:solidFill>
              <w14:schemeClr w14:val="tx1"/>
            </w14:solidFill>
          </w14:textFill>
        </w:rPr>
      </w:pPr>
      <w:r>
        <w:rPr>
          <w:rFonts w:hint="eastAsia" w:eastAsia="宋体" w:cs="Times New Roman"/>
          <w:color w:val="000000" w:themeColor="text1"/>
          <w:sz w:val="24"/>
          <w:szCs w:val="24"/>
          <w14:textFill>
            <w14:solidFill>
              <w14:schemeClr w14:val="tx1"/>
            </w14:solidFill>
          </w14:textFill>
        </w:rPr>
        <w:t>（5）生活垃圾：同入厂垃圾一并焚烧处置。</w:t>
      </w:r>
    </w:p>
    <w:p>
      <w:pPr>
        <w:pStyle w:val="2"/>
        <w:spacing w:line="360" w:lineRule="auto"/>
        <w:ind w:firstLine="480" w:firstLineChars="200"/>
        <w:jc w:val="both"/>
        <w:rPr>
          <w:rFonts w:eastAsia="宋体" w:cs="Times New Roman"/>
          <w:color w:val="000000" w:themeColor="text1"/>
          <w:sz w:val="24"/>
          <w:szCs w:val="24"/>
          <w14:textFill>
            <w14:solidFill>
              <w14:schemeClr w14:val="tx1"/>
            </w14:solidFill>
          </w14:textFill>
        </w:rPr>
      </w:pPr>
      <w:r>
        <w:rPr>
          <w:rFonts w:hint="eastAsia" w:eastAsia="宋体" w:cs="Times New Roman"/>
          <w:color w:val="000000" w:themeColor="text1"/>
          <w:sz w:val="24"/>
          <w:szCs w:val="24"/>
          <w14:textFill>
            <w14:solidFill>
              <w14:schemeClr w14:val="tx1"/>
            </w14:solidFill>
          </w14:textFill>
        </w:rPr>
        <w:t>（6）飞灰：来源于烟气净化系统，其主要成分为CaCl</w:t>
      </w:r>
      <w:r>
        <w:rPr>
          <w:rFonts w:hint="eastAsia" w:eastAsia="宋体" w:cs="Times New Roman"/>
          <w:color w:val="000000" w:themeColor="text1"/>
          <w:sz w:val="24"/>
          <w:szCs w:val="24"/>
          <w:vertAlign w:val="subscript"/>
          <w14:textFill>
            <w14:solidFill>
              <w14:schemeClr w14:val="tx1"/>
            </w14:solidFill>
          </w14:textFill>
        </w:rPr>
        <w:t>2</w:t>
      </w:r>
      <w:r>
        <w:rPr>
          <w:rFonts w:hint="eastAsia" w:eastAsia="宋体" w:cs="Times New Roman"/>
          <w:color w:val="000000" w:themeColor="text1"/>
          <w:sz w:val="24"/>
          <w:szCs w:val="24"/>
          <w14:textFill>
            <w14:solidFill>
              <w14:schemeClr w14:val="tx1"/>
            </w14:solidFill>
          </w14:textFill>
        </w:rPr>
        <w:t>、CaSO</w:t>
      </w:r>
      <w:r>
        <w:rPr>
          <w:rFonts w:hint="eastAsia" w:eastAsia="宋体" w:cs="Times New Roman"/>
          <w:color w:val="000000" w:themeColor="text1"/>
          <w:sz w:val="24"/>
          <w:szCs w:val="24"/>
          <w:vertAlign w:val="subscript"/>
          <w14:textFill>
            <w14:solidFill>
              <w14:schemeClr w14:val="tx1"/>
            </w14:solidFill>
          </w14:textFill>
        </w:rPr>
        <w:t>3</w:t>
      </w:r>
      <w:r>
        <w:rPr>
          <w:rFonts w:hint="eastAsia" w:eastAsia="宋体" w:cs="Times New Roman"/>
          <w:color w:val="000000" w:themeColor="text1"/>
          <w:sz w:val="24"/>
          <w:szCs w:val="24"/>
          <w14:textFill>
            <w14:solidFill>
              <w14:schemeClr w14:val="tx1"/>
            </w14:solidFill>
          </w14:textFill>
        </w:rPr>
        <w:t>、SiO</w:t>
      </w:r>
      <w:r>
        <w:rPr>
          <w:rFonts w:hint="eastAsia" w:eastAsia="宋体" w:cs="Times New Roman"/>
          <w:color w:val="000000" w:themeColor="text1"/>
          <w:sz w:val="24"/>
          <w:szCs w:val="24"/>
          <w:vertAlign w:val="subscript"/>
          <w14:textFill>
            <w14:solidFill>
              <w14:schemeClr w14:val="tx1"/>
            </w14:solidFill>
          </w14:textFill>
        </w:rPr>
        <w:t>2</w:t>
      </w:r>
      <w:r>
        <w:rPr>
          <w:rFonts w:hint="eastAsia" w:eastAsia="宋体" w:cs="Times New Roman"/>
          <w:color w:val="000000" w:themeColor="text1"/>
          <w:sz w:val="24"/>
          <w:szCs w:val="24"/>
          <w14:textFill>
            <w14:solidFill>
              <w14:schemeClr w14:val="tx1"/>
            </w14:solidFill>
          </w14:textFill>
        </w:rPr>
        <w:t>、CaO、Al</w:t>
      </w:r>
      <w:r>
        <w:rPr>
          <w:rFonts w:hint="eastAsia" w:eastAsia="宋体" w:cs="Times New Roman"/>
          <w:color w:val="000000" w:themeColor="text1"/>
          <w:sz w:val="24"/>
          <w:szCs w:val="24"/>
          <w:vertAlign w:val="subscript"/>
          <w14:textFill>
            <w14:solidFill>
              <w14:schemeClr w14:val="tx1"/>
            </w14:solidFill>
          </w14:textFill>
        </w:rPr>
        <w:t>2</w:t>
      </w:r>
      <w:r>
        <w:rPr>
          <w:rFonts w:hint="eastAsia" w:eastAsia="宋体" w:cs="Times New Roman"/>
          <w:color w:val="000000" w:themeColor="text1"/>
          <w:sz w:val="24"/>
          <w:szCs w:val="24"/>
          <w14:textFill>
            <w14:solidFill>
              <w14:schemeClr w14:val="tx1"/>
            </w14:solidFill>
          </w14:textFill>
        </w:rPr>
        <w:t>O</w:t>
      </w:r>
      <w:r>
        <w:rPr>
          <w:rFonts w:hint="eastAsia" w:eastAsia="宋体" w:cs="Times New Roman"/>
          <w:color w:val="000000" w:themeColor="text1"/>
          <w:sz w:val="24"/>
          <w:szCs w:val="24"/>
          <w:vertAlign w:val="subscript"/>
          <w14:textFill>
            <w14:solidFill>
              <w14:schemeClr w14:val="tx1"/>
            </w14:solidFill>
          </w14:textFill>
        </w:rPr>
        <w:t>3</w:t>
      </w:r>
      <w:r>
        <w:rPr>
          <w:rFonts w:hint="eastAsia" w:eastAsia="宋体" w:cs="Times New Roman"/>
          <w:color w:val="000000" w:themeColor="text1"/>
          <w:sz w:val="24"/>
          <w:szCs w:val="24"/>
          <w14:textFill>
            <w14:solidFill>
              <w14:schemeClr w14:val="tx1"/>
            </w14:solidFill>
          </w14:textFill>
        </w:rPr>
        <w:t>、Fe</w:t>
      </w:r>
      <w:r>
        <w:rPr>
          <w:rFonts w:hint="eastAsia" w:eastAsia="宋体" w:cs="Times New Roman"/>
          <w:color w:val="000000" w:themeColor="text1"/>
          <w:sz w:val="24"/>
          <w:szCs w:val="24"/>
          <w:vertAlign w:val="subscript"/>
          <w14:textFill>
            <w14:solidFill>
              <w14:schemeClr w14:val="tx1"/>
            </w14:solidFill>
          </w14:textFill>
        </w:rPr>
        <w:t>2</w:t>
      </w:r>
      <w:r>
        <w:rPr>
          <w:rFonts w:hint="eastAsia" w:eastAsia="宋体" w:cs="Times New Roman"/>
          <w:color w:val="000000" w:themeColor="text1"/>
          <w:sz w:val="24"/>
          <w:szCs w:val="24"/>
          <w14:textFill>
            <w14:solidFill>
              <w14:schemeClr w14:val="tx1"/>
            </w14:solidFill>
          </w14:textFill>
        </w:rPr>
        <w:t>O</w:t>
      </w:r>
      <w:r>
        <w:rPr>
          <w:rFonts w:hint="eastAsia" w:eastAsia="宋体" w:cs="Times New Roman"/>
          <w:color w:val="000000" w:themeColor="text1"/>
          <w:sz w:val="24"/>
          <w:szCs w:val="24"/>
          <w:vertAlign w:val="subscript"/>
          <w14:textFill>
            <w14:solidFill>
              <w14:schemeClr w14:val="tx1"/>
            </w14:solidFill>
          </w14:textFill>
        </w:rPr>
        <w:t>3</w:t>
      </w:r>
      <w:r>
        <w:rPr>
          <w:rFonts w:hint="eastAsia" w:eastAsia="宋体" w:cs="Times New Roman"/>
          <w:color w:val="000000" w:themeColor="text1"/>
          <w:sz w:val="24"/>
          <w:szCs w:val="24"/>
          <w14:textFill>
            <w14:solidFill>
              <w14:schemeClr w14:val="tx1"/>
            </w14:solidFill>
          </w14:textFill>
        </w:rPr>
        <w:t>等，另外还有少量的Hg、Pb、Cr、Mn、Zn、Mg等重金属和微量的二噁英等有毒有机物，螯合剂稳定固化并经危险废物浸出实验达标后，运至凌云垃圾处理场进行卫生填埋。</w:t>
      </w:r>
    </w:p>
    <w:p>
      <w:pPr>
        <w:pStyle w:val="2"/>
        <w:spacing w:line="360" w:lineRule="auto"/>
        <w:ind w:firstLine="480" w:firstLineChars="200"/>
        <w:jc w:val="both"/>
        <w:rPr>
          <w:rFonts w:eastAsia="宋体" w:cs="Times New Roman"/>
          <w:color w:val="000000" w:themeColor="text1"/>
          <w:sz w:val="24"/>
          <w:szCs w:val="24"/>
          <w14:textFill>
            <w14:solidFill>
              <w14:schemeClr w14:val="tx1"/>
            </w14:solidFill>
          </w14:textFill>
        </w:rPr>
      </w:pPr>
      <w:r>
        <w:rPr>
          <w:rFonts w:hint="eastAsia" w:eastAsia="宋体" w:cs="Times New Roman"/>
          <w:color w:val="000000" w:themeColor="text1"/>
          <w:sz w:val="24"/>
          <w:szCs w:val="24"/>
          <w14:textFill>
            <w14:solidFill>
              <w14:schemeClr w14:val="tx1"/>
            </w14:solidFill>
          </w14:textFill>
        </w:rPr>
        <w:t>（7）纳滤膜和反渗透膜：渗滤液处理系统运行过程中纳滤系统和反渗透系统使用一定年限后，处理效率下降，需要进行更换，一般每3年更换1次。更换后的膜存放至危险废物暂存间，交由有资质的危险废物处置单位处置。</w:t>
      </w:r>
    </w:p>
    <w:p>
      <w:pPr>
        <w:pStyle w:val="2"/>
        <w:spacing w:line="360" w:lineRule="auto"/>
        <w:ind w:firstLine="480" w:firstLineChars="200"/>
        <w:jc w:val="both"/>
        <w:rPr>
          <w:rFonts w:eastAsia="宋体" w:cs="Times New Roman"/>
          <w:color w:val="000000" w:themeColor="text1"/>
          <w:sz w:val="24"/>
          <w:szCs w:val="24"/>
          <w14:textFill>
            <w14:solidFill>
              <w14:schemeClr w14:val="tx1"/>
            </w14:solidFill>
          </w14:textFill>
        </w:rPr>
      </w:pPr>
      <w:r>
        <w:rPr>
          <w:rFonts w:hint="eastAsia" w:eastAsia="宋体" w:cs="Times New Roman"/>
          <w:color w:val="000000" w:themeColor="text1"/>
          <w:sz w:val="24"/>
          <w:szCs w:val="24"/>
          <w14:textFill>
            <w14:solidFill>
              <w14:schemeClr w14:val="tx1"/>
            </w14:solidFill>
          </w14:textFill>
        </w:rPr>
        <w:t>固体废物产生及处置情况见表</w:t>
      </w:r>
      <w:r>
        <w:rPr>
          <w:rFonts w:eastAsia="宋体" w:cs="Times New Roman"/>
          <w:color w:val="000000" w:themeColor="text1"/>
          <w:sz w:val="24"/>
          <w:szCs w:val="24"/>
          <w14:textFill>
            <w14:solidFill>
              <w14:schemeClr w14:val="tx1"/>
            </w14:solidFill>
          </w14:textFill>
        </w:rPr>
        <w:t>2</w:t>
      </w:r>
      <w:r>
        <w:rPr>
          <w:rFonts w:hint="eastAsia" w:eastAsia="宋体" w:cs="Times New Roman"/>
          <w:color w:val="000000" w:themeColor="text1"/>
          <w:sz w:val="24"/>
          <w:szCs w:val="24"/>
          <w14:textFill>
            <w14:solidFill>
              <w14:schemeClr w14:val="tx1"/>
            </w14:solidFill>
          </w14:textFill>
        </w:rPr>
        <w:t>-</w:t>
      </w:r>
      <w:r>
        <w:rPr>
          <w:rFonts w:eastAsia="宋体" w:cs="Times New Roman"/>
          <w:color w:val="000000" w:themeColor="text1"/>
          <w:sz w:val="24"/>
          <w:szCs w:val="24"/>
          <w14:textFill>
            <w14:solidFill>
              <w14:schemeClr w14:val="tx1"/>
            </w14:solidFill>
          </w14:textFill>
        </w:rPr>
        <w:t>5。</w:t>
      </w:r>
    </w:p>
    <w:p>
      <w:pPr>
        <w:pStyle w:val="39"/>
        <w:numPr>
          <w:ilvl w:val="0"/>
          <w:numId w:val="7"/>
        </w:numPr>
        <w:ind w:firstLineChars="0"/>
        <w:jc w:val="center"/>
        <w:rPr>
          <w:rFonts w:cs="Times New Roman"/>
          <w:b/>
          <w:color w:val="000000" w:themeColor="text1"/>
          <w14:textFill>
            <w14:solidFill>
              <w14:schemeClr w14:val="tx1"/>
            </w14:solidFill>
          </w14:textFill>
        </w:rPr>
      </w:pPr>
      <w:r>
        <w:rPr>
          <w:rFonts w:hint="eastAsia" w:cs="Times New Roman"/>
          <w:b/>
          <w:color w:val="000000" w:themeColor="text1"/>
          <w14:textFill>
            <w14:solidFill>
              <w14:schemeClr w14:val="tx1"/>
            </w14:solidFill>
          </w14:textFill>
        </w:rPr>
        <w:t>固体废物产生及处置情况</w:t>
      </w:r>
    </w:p>
    <w:tbl>
      <w:tblPr>
        <w:tblStyle w:val="15"/>
        <w:tblW w:w="48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8"/>
        <w:gridCol w:w="1790"/>
        <w:gridCol w:w="2830"/>
        <w:gridCol w:w="3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56" w:type="pct"/>
            <w:tcBorders>
              <w:tl2br w:val="nil"/>
              <w:tr2bl w:val="nil"/>
            </w:tcBorders>
            <w:vAlign w:val="center"/>
          </w:tcPr>
          <w:p>
            <w:pPr>
              <w:pStyle w:val="43"/>
              <w:rPr>
                <w:b/>
                <w:bCs/>
                <w:sz w:val="21"/>
                <w:szCs w:val="21"/>
              </w:rPr>
            </w:pPr>
            <w:r>
              <w:rPr>
                <w:rFonts w:hint="eastAsia"/>
                <w:b/>
                <w:bCs/>
                <w:sz w:val="21"/>
                <w:szCs w:val="21"/>
              </w:rPr>
              <w:t>序号</w:t>
            </w:r>
          </w:p>
        </w:tc>
        <w:tc>
          <w:tcPr>
            <w:tcW w:w="1082" w:type="pct"/>
            <w:tcBorders>
              <w:tl2br w:val="nil"/>
              <w:tr2bl w:val="nil"/>
            </w:tcBorders>
            <w:vAlign w:val="center"/>
          </w:tcPr>
          <w:p>
            <w:pPr>
              <w:pStyle w:val="43"/>
              <w:rPr>
                <w:b/>
                <w:bCs/>
                <w:sz w:val="21"/>
                <w:szCs w:val="21"/>
              </w:rPr>
            </w:pPr>
            <w:r>
              <w:rPr>
                <w:b/>
                <w:bCs/>
                <w:sz w:val="21"/>
                <w:szCs w:val="21"/>
              </w:rPr>
              <w:t>污染源</w:t>
            </w:r>
          </w:p>
        </w:tc>
        <w:tc>
          <w:tcPr>
            <w:tcW w:w="1711" w:type="pct"/>
            <w:tcBorders>
              <w:tl2br w:val="nil"/>
              <w:tr2bl w:val="nil"/>
            </w:tcBorders>
            <w:vAlign w:val="center"/>
          </w:tcPr>
          <w:p>
            <w:pPr>
              <w:pStyle w:val="43"/>
              <w:rPr>
                <w:b/>
                <w:bCs/>
                <w:sz w:val="21"/>
                <w:szCs w:val="21"/>
              </w:rPr>
            </w:pPr>
            <w:r>
              <w:rPr>
                <w:rFonts w:hint="eastAsia"/>
                <w:b/>
                <w:bCs/>
                <w:sz w:val="21"/>
                <w:szCs w:val="21"/>
              </w:rPr>
              <w:t>主要成分</w:t>
            </w:r>
          </w:p>
        </w:tc>
        <w:tc>
          <w:tcPr>
            <w:tcW w:w="1851" w:type="pct"/>
            <w:tcBorders>
              <w:tl2br w:val="nil"/>
              <w:tr2bl w:val="nil"/>
            </w:tcBorders>
            <w:vAlign w:val="center"/>
          </w:tcPr>
          <w:p>
            <w:pPr>
              <w:pStyle w:val="43"/>
              <w:rPr>
                <w:b/>
                <w:bCs/>
                <w:sz w:val="21"/>
                <w:szCs w:val="21"/>
              </w:rPr>
            </w:pPr>
            <w:r>
              <w:rPr>
                <w:rFonts w:hint="eastAsia"/>
                <w:b/>
                <w:bCs/>
                <w:sz w:val="21"/>
                <w:szCs w:val="21"/>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 w:type="pct"/>
            <w:tcBorders>
              <w:tl2br w:val="nil"/>
              <w:tr2bl w:val="nil"/>
            </w:tcBorders>
            <w:vAlign w:val="center"/>
          </w:tcPr>
          <w:p>
            <w:pPr>
              <w:pStyle w:val="43"/>
              <w:rPr>
                <w:sz w:val="21"/>
                <w:szCs w:val="21"/>
              </w:rPr>
            </w:pPr>
            <w:r>
              <w:rPr>
                <w:rFonts w:hint="eastAsia"/>
                <w:sz w:val="21"/>
                <w:szCs w:val="21"/>
              </w:rPr>
              <w:t>1</w:t>
            </w:r>
          </w:p>
        </w:tc>
        <w:tc>
          <w:tcPr>
            <w:tcW w:w="1082" w:type="pct"/>
            <w:tcBorders>
              <w:tl2br w:val="nil"/>
              <w:tr2bl w:val="nil"/>
            </w:tcBorders>
            <w:vAlign w:val="center"/>
          </w:tcPr>
          <w:p>
            <w:pPr>
              <w:pStyle w:val="43"/>
              <w:rPr>
                <w:sz w:val="21"/>
                <w:szCs w:val="21"/>
              </w:rPr>
            </w:pPr>
            <w:r>
              <w:rPr>
                <w:sz w:val="21"/>
                <w:szCs w:val="21"/>
              </w:rPr>
              <w:t>炉渣</w:t>
            </w:r>
          </w:p>
        </w:tc>
        <w:tc>
          <w:tcPr>
            <w:tcW w:w="1711" w:type="pct"/>
            <w:tcBorders>
              <w:tl2br w:val="nil"/>
              <w:tr2bl w:val="nil"/>
            </w:tcBorders>
            <w:vAlign w:val="center"/>
          </w:tcPr>
          <w:p>
            <w:pPr>
              <w:pStyle w:val="43"/>
              <w:rPr>
                <w:sz w:val="21"/>
                <w:szCs w:val="21"/>
              </w:rPr>
            </w:pPr>
            <w:r>
              <w:rPr>
                <w:rFonts w:hint="eastAsia"/>
                <w:sz w:val="21"/>
                <w:szCs w:val="16"/>
              </w:rPr>
              <w:t>MnO、SiO</w:t>
            </w:r>
            <w:r>
              <w:rPr>
                <w:rFonts w:hint="eastAsia"/>
                <w:sz w:val="21"/>
                <w:szCs w:val="16"/>
                <w:vertAlign w:val="subscript"/>
              </w:rPr>
              <w:t>2</w:t>
            </w:r>
            <w:r>
              <w:rPr>
                <w:rFonts w:hint="eastAsia"/>
                <w:sz w:val="21"/>
                <w:szCs w:val="16"/>
              </w:rPr>
              <w:t>、CaO、Al</w:t>
            </w:r>
            <w:r>
              <w:rPr>
                <w:rFonts w:hint="eastAsia"/>
                <w:sz w:val="21"/>
                <w:szCs w:val="16"/>
                <w:vertAlign w:val="subscript"/>
              </w:rPr>
              <w:t>2</w:t>
            </w:r>
            <w:r>
              <w:rPr>
                <w:rFonts w:hint="eastAsia"/>
                <w:sz w:val="21"/>
                <w:szCs w:val="16"/>
              </w:rPr>
              <w:t>O</w:t>
            </w:r>
            <w:r>
              <w:rPr>
                <w:rFonts w:hint="eastAsia"/>
                <w:sz w:val="21"/>
                <w:szCs w:val="16"/>
                <w:vertAlign w:val="subscript"/>
              </w:rPr>
              <w:t>3</w:t>
            </w:r>
            <w:r>
              <w:rPr>
                <w:rFonts w:hint="eastAsia"/>
                <w:sz w:val="21"/>
                <w:szCs w:val="16"/>
              </w:rPr>
              <w:t>、Fe</w:t>
            </w:r>
            <w:r>
              <w:rPr>
                <w:rFonts w:hint="eastAsia"/>
                <w:sz w:val="21"/>
                <w:szCs w:val="16"/>
                <w:vertAlign w:val="subscript"/>
              </w:rPr>
              <w:t>2</w:t>
            </w:r>
            <w:r>
              <w:rPr>
                <w:rFonts w:hint="eastAsia"/>
                <w:sz w:val="21"/>
                <w:szCs w:val="16"/>
              </w:rPr>
              <w:t>O</w:t>
            </w:r>
            <w:r>
              <w:rPr>
                <w:rFonts w:hint="eastAsia"/>
                <w:sz w:val="21"/>
                <w:szCs w:val="16"/>
                <w:vertAlign w:val="subscript"/>
              </w:rPr>
              <w:t>3</w:t>
            </w:r>
            <w:r>
              <w:rPr>
                <w:rFonts w:hint="eastAsia"/>
                <w:sz w:val="21"/>
                <w:szCs w:val="16"/>
              </w:rPr>
              <w:t>、重金属</w:t>
            </w:r>
          </w:p>
        </w:tc>
        <w:tc>
          <w:tcPr>
            <w:tcW w:w="1851" w:type="pct"/>
            <w:tcBorders>
              <w:tl2br w:val="nil"/>
              <w:tr2bl w:val="nil"/>
            </w:tcBorders>
            <w:vAlign w:val="center"/>
          </w:tcPr>
          <w:p>
            <w:pPr>
              <w:pStyle w:val="43"/>
              <w:rPr>
                <w:sz w:val="21"/>
                <w:szCs w:val="21"/>
              </w:rPr>
            </w:pPr>
            <w:r>
              <w:rPr>
                <w:rFonts w:hint="eastAsia"/>
                <w:sz w:val="21"/>
                <w:szCs w:val="21"/>
              </w:rPr>
              <w:t>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 w:type="pct"/>
            <w:tcBorders>
              <w:tl2br w:val="nil"/>
              <w:tr2bl w:val="nil"/>
            </w:tcBorders>
            <w:vAlign w:val="center"/>
          </w:tcPr>
          <w:p>
            <w:pPr>
              <w:pStyle w:val="43"/>
              <w:rPr>
                <w:sz w:val="21"/>
                <w:szCs w:val="21"/>
              </w:rPr>
            </w:pPr>
            <w:r>
              <w:rPr>
                <w:rFonts w:hint="eastAsia"/>
                <w:sz w:val="21"/>
                <w:szCs w:val="21"/>
              </w:rPr>
              <w:t>2</w:t>
            </w:r>
          </w:p>
        </w:tc>
        <w:tc>
          <w:tcPr>
            <w:tcW w:w="1082" w:type="pct"/>
            <w:tcBorders>
              <w:tl2br w:val="nil"/>
              <w:tr2bl w:val="nil"/>
            </w:tcBorders>
            <w:vAlign w:val="center"/>
          </w:tcPr>
          <w:p>
            <w:pPr>
              <w:pStyle w:val="43"/>
              <w:rPr>
                <w:sz w:val="21"/>
                <w:szCs w:val="21"/>
              </w:rPr>
            </w:pPr>
            <w:r>
              <w:rPr>
                <w:rFonts w:hint="eastAsia"/>
                <w:sz w:val="21"/>
                <w:szCs w:val="21"/>
              </w:rPr>
              <w:t>泥沙</w:t>
            </w:r>
          </w:p>
        </w:tc>
        <w:tc>
          <w:tcPr>
            <w:tcW w:w="1711" w:type="pct"/>
            <w:tcBorders>
              <w:tl2br w:val="nil"/>
              <w:tr2bl w:val="nil"/>
            </w:tcBorders>
            <w:vAlign w:val="center"/>
          </w:tcPr>
          <w:p>
            <w:pPr>
              <w:pStyle w:val="43"/>
              <w:rPr>
                <w:sz w:val="21"/>
                <w:szCs w:val="21"/>
              </w:rPr>
            </w:pPr>
            <w:r>
              <w:rPr>
                <w:rFonts w:hint="eastAsia"/>
                <w:sz w:val="21"/>
                <w:szCs w:val="21"/>
              </w:rPr>
              <w:t>悬浮物</w:t>
            </w:r>
          </w:p>
        </w:tc>
        <w:tc>
          <w:tcPr>
            <w:tcW w:w="1851" w:type="pct"/>
            <w:tcBorders>
              <w:tl2br w:val="nil"/>
              <w:tr2bl w:val="nil"/>
            </w:tcBorders>
            <w:vAlign w:val="center"/>
          </w:tcPr>
          <w:p>
            <w:pPr>
              <w:pStyle w:val="43"/>
              <w:rPr>
                <w:sz w:val="21"/>
                <w:szCs w:val="21"/>
              </w:rPr>
            </w:pPr>
            <w:r>
              <w:rPr>
                <w:rFonts w:hint="eastAsia"/>
                <w:sz w:val="21"/>
                <w:szCs w:val="21"/>
              </w:rPr>
              <w:t>外运综合利用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 w:type="pct"/>
            <w:tcBorders>
              <w:tl2br w:val="nil"/>
              <w:tr2bl w:val="nil"/>
            </w:tcBorders>
            <w:vAlign w:val="center"/>
          </w:tcPr>
          <w:p>
            <w:pPr>
              <w:pStyle w:val="43"/>
              <w:rPr>
                <w:sz w:val="21"/>
                <w:szCs w:val="21"/>
              </w:rPr>
            </w:pPr>
            <w:r>
              <w:rPr>
                <w:rFonts w:hint="eastAsia"/>
                <w:sz w:val="21"/>
                <w:szCs w:val="21"/>
              </w:rPr>
              <w:t>3</w:t>
            </w:r>
          </w:p>
        </w:tc>
        <w:tc>
          <w:tcPr>
            <w:tcW w:w="1082" w:type="pct"/>
            <w:tcBorders>
              <w:tl2br w:val="nil"/>
              <w:tr2bl w:val="nil"/>
            </w:tcBorders>
            <w:vAlign w:val="center"/>
          </w:tcPr>
          <w:p>
            <w:pPr>
              <w:pStyle w:val="43"/>
              <w:rPr>
                <w:sz w:val="21"/>
                <w:szCs w:val="21"/>
              </w:rPr>
            </w:pPr>
            <w:r>
              <w:rPr>
                <w:rFonts w:hint="eastAsia"/>
                <w:sz w:val="21"/>
                <w:szCs w:val="21"/>
              </w:rPr>
              <w:t>生活垃圾</w:t>
            </w:r>
          </w:p>
        </w:tc>
        <w:tc>
          <w:tcPr>
            <w:tcW w:w="1711" w:type="pct"/>
            <w:tcBorders>
              <w:tl2br w:val="nil"/>
              <w:tr2bl w:val="nil"/>
            </w:tcBorders>
            <w:vAlign w:val="center"/>
          </w:tcPr>
          <w:p>
            <w:pPr>
              <w:pStyle w:val="43"/>
              <w:rPr>
                <w:sz w:val="21"/>
                <w:szCs w:val="21"/>
              </w:rPr>
            </w:pPr>
            <w:r>
              <w:rPr>
                <w:rFonts w:hint="eastAsia"/>
                <w:sz w:val="21"/>
                <w:szCs w:val="16"/>
              </w:rPr>
              <w:t>重金属</w:t>
            </w:r>
          </w:p>
        </w:tc>
        <w:tc>
          <w:tcPr>
            <w:tcW w:w="1851" w:type="pct"/>
            <w:tcBorders>
              <w:tl2br w:val="nil"/>
              <w:tr2bl w:val="nil"/>
            </w:tcBorders>
            <w:vAlign w:val="center"/>
          </w:tcPr>
          <w:p>
            <w:pPr>
              <w:pStyle w:val="43"/>
              <w:rPr>
                <w:sz w:val="21"/>
                <w:szCs w:val="21"/>
              </w:rPr>
            </w:pPr>
            <w:r>
              <w:rPr>
                <w:rFonts w:hint="eastAsia"/>
                <w:sz w:val="21"/>
                <w:szCs w:val="21"/>
              </w:rPr>
              <w:t>送焚烧炉焚烧处置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 w:type="pct"/>
            <w:tcBorders>
              <w:tl2br w:val="nil"/>
              <w:tr2bl w:val="nil"/>
            </w:tcBorders>
            <w:vAlign w:val="center"/>
          </w:tcPr>
          <w:p>
            <w:pPr>
              <w:pStyle w:val="43"/>
              <w:rPr>
                <w:sz w:val="21"/>
                <w:szCs w:val="21"/>
              </w:rPr>
            </w:pPr>
            <w:r>
              <w:rPr>
                <w:rFonts w:hint="eastAsia"/>
                <w:sz w:val="21"/>
                <w:szCs w:val="21"/>
              </w:rPr>
              <w:t>4</w:t>
            </w:r>
          </w:p>
        </w:tc>
        <w:tc>
          <w:tcPr>
            <w:tcW w:w="1082" w:type="pct"/>
            <w:tcBorders>
              <w:tl2br w:val="nil"/>
              <w:tr2bl w:val="nil"/>
            </w:tcBorders>
            <w:vAlign w:val="center"/>
          </w:tcPr>
          <w:p>
            <w:pPr>
              <w:pStyle w:val="43"/>
              <w:rPr>
                <w:sz w:val="21"/>
                <w:szCs w:val="21"/>
              </w:rPr>
            </w:pPr>
            <w:r>
              <w:rPr>
                <w:rFonts w:hint="eastAsia"/>
                <w:sz w:val="21"/>
                <w:szCs w:val="21"/>
              </w:rPr>
              <w:t>废活性炭（恶臭）</w:t>
            </w:r>
          </w:p>
        </w:tc>
        <w:tc>
          <w:tcPr>
            <w:tcW w:w="1711" w:type="pct"/>
            <w:tcBorders>
              <w:tl2br w:val="nil"/>
              <w:tr2bl w:val="nil"/>
            </w:tcBorders>
            <w:vAlign w:val="center"/>
          </w:tcPr>
          <w:p>
            <w:pPr>
              <w:pStyle w:val="43"/>
              <w:rPr>
                <w:sz w:val="21"/>
                <w:szCs w:val="21"/>
              </w:rPr>
            </w:pPr>
            <w:r>
              <w:rPr>
                <w:rFonts w:hint="eastAsia"/>
                <w:sz w:val="21"/>
                <w:szCs w:val="21"/>
              </w:rPr>
              <w:t>C</w:t>
            </w:r>
          </w:p>
        </w:tc>
        <w:tc>
          <w:tcPr>
            <w:tcW w:w="1851" w:type="pct"/>
            <w:tcBorders>
              <w:tl2br w:val="nil"/>
              <w:tr2bl w:val="nil"/>
            </w:tcBorders>
            <w:vAlign w:val="center"/>
          </w:tcPr>
          <w:p>
            <w:pPr>
              <w:pStyle w:val="43"/>
              <w:rPr>
                <w:sz w:val="21"/>
                <w:szCs w:val="21"/>
              </w:rPr>
            </w:pPr>
            <w:r>
              <w:rPr>
                <w:rFonts w:hint="eastAsia"/>
                <w:sz w:val="21"/>
                <w:szCs w:val="21"/>
              </w:rPr>
              <w:t>送焚烧炉焚烧处置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 w:type="pct"/>
            <w:tcBorders>
              <w:tl2br w:val="nil"/>
              <w:tr2bl w:val="nil"/>
            </w:tcBorders>
            <w:vAlign w:val="center"/>
          </w:tcPr>
          <w:p>
            <w:pPr>
              <w:pStyle w:val="43"/>
              <w:rPr>
                <w:sz w:val="21"/>
                <w:szCs w:val="21"/>
              </w:rPr>
            </w:pPr>
            <w:r>
              <w:rPr>
                <w:rFonts w:hint="eastAsia"/>
                <w:sz w:val="21"/>
                <w:szCs w:val="21"/>
              </w:rPr>
              <w:t>5</w:t>
            </w:r>
          </w:p>
        </w:tc>
        <w:tc>
          <w:tcPr>
            <w:tcW w:w="1082" w:type="pct"/>
            <w:tcBorders>
              <w:tl2br w:val="nil"/>
              <w:tr2bl w:val="nil"/>
            </w:tcBorders>
            <w:vAlign w:val="center"/>
          </w:tcPr>
          <w:p>
            <w:pPr>
              <w:pStyle w:val="43"/>
              <w:rPr>
                <w:sz w:val="21"/>
                <w:szCs w:val="21"/>
              </w:rPr>
            </w:pPr>
            <w:r>
              <w:rPr>
                <w:rFonts w:hint="eastAsia"/>
                <w:sz w:val="21"/>
                <w:szCs w:val="21"/>
              </w:rPr>
              <w:t>废活性炭（飞灰）</w:t>
            </w:r>
          </w:p>
        </w:tc>
        <w:tc>
          <w:tcPr>
            <w:tcW w:w="1711" w:type="pct"/>
            <w:tcBorders>
              <w:tl2br w:val="nil"/>
              <w:tr2bl w:val="nil"/>
            </w:tcBorders>
            <w:vAlign w:val="center"/>
          </w:tcPr>
          <w:p>
            <w:pPr>
              <w:pStyle w:val="43"/>
              <w:rPr>
                <w:sz w:val="21"/>
                <w:szCs w:val="21"/>
              </w:rPr>
            </w:pPr>
            <w:r>
              <w:rPr>
                <w:rFonts w:hint="eastAsia"/>
                <w:sz w:val="21"/>
                <w:szCs w:val="21"/>
              </w:rPr>
              <w:t>C</w:t>
            </w:r>
          </w:p>
        </w:tc>
        <w:tc>
          <w:tcPr>
            <w:tcW w:w="1851" w:type="pct"/>
            <w:tcBorders>
              <w:tl2br w:val="nil"/>
              <w:tr2bl w:val="nil"/>
            </w:tcBorders>
            <w:vAlign w:val="center"/>
          </w:tcPr>
          <w:p>
            <w:pPr>
              <w:pStyle w:val="43"/>
              <w:rPr>
                <w:sz w:val="21"/>
                <w:szCs w:val="21"/>
              </w:rPr>
            </w:pPr>
            <w:r>
              <w:rPr>
                <w:rFonts w:hint="eastAsia"/>
                <w:sz w:val="21"/>
                <w:szCs w:val="21"/>
              </w:rPr>
              <w:t>稳定固化后送凌云卫生填埋场填埋处置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 w:type="pct"/>
            <w:tcBorders>
              <w:tl2br w:val="nil"/>
              <w:tr2bl w:val="nil"/>
            </w:tcBorders>
            <w:vAlign w:val="center"/>
          </w:tcPr>
          <w:p>
            <w:pPr>
              <w:pStyle w:val="43"/>
              <w:rPr>
                <w:sz w:val="21"/>
                <w:szCs w:val="21"/>
              </w:rPr>
            </w:pPr>
            <w:r>
              <w:rPr>
                <w:rFonts w:hint="eastAsia"/>
                <w:sz w:val="21"/>
                <w:szCs w:val="21"/>
              </w:rPr>
              <w:t>6</w:t>
            </w:r>
          </w:p>
        </w:tc>
        <w:tc>
          <w:tcPr>
            <w:tcW w:w="1082" w:type="pct"/>
            <w:tcBorders>
              <w:tl2br w:val="nil"/>
              <w:tr2bl w:val="nil"/>
            </w:tcBorders>
            <w:vAlign w:val="center"/>
          </w:tcPr>
          <w:p>
            <w:pPr>
              <w:pStyle w:val="43"/>
              <w:rPr>
                <w:sz w:val="21"/>
                <w:szCs w:val="21"/>
              </w:rPr>
            </w:pPr>
            <w:r>
              <w:rPr>
                <w:rFonts w:hint="eastAsia"/>
                <w:sz w:val="21"/>
                <w:szCs w:val="21"/>
              </w:rPr>
              <w:t>飞灰</w:t>
            </w:r>
          </w:p>
        </w:tc>
        <w:tc>
          <w:tcPr>
            <w:tcW w:w="1711" w:type="pct"/>
            <w:tcBorders>
              <w:tl2br w:val="nil"/>
              <w:tr2bl w:val="nil"/>
            </w:tcBorders>
            <w:vAlign w:val="center"/>
          </w:tcPr>
          <w:p>
            <w:pPr>
              <w:pStyle w:val="43"/>
              <w:rPr>
                <w:sz w:val="21"/>
                <w:szCs w:val="21"/>
              </w:rPr>
            </w:pPr>
            <w:r>
              <w:rPr>
                <w:rFonts w:hint="eastAsia" w:cstheme="minorBidi"/>
                <w:kern w:val="2"/>
                <w:sz w:val="21"/>
                <w:szCs w:val="21"/>
              </w:rPr>
              <w:t>CaCl</w:t>
            </w:r>
            <w:r>
              <w:rPr>
                <w:rFonts w:hint="eastAsia" w:cstheme="minorBidi"/>
                <w:kern w:val="2"/>
                <w:sz w:val="21"/>
                <w:szCs w:val="21"/>
                <w:vertAlign w:val="subscript"/>
              </w:rPr>
              <w:t>2</w:t>
            </w:r>
            <w:r>
              <w:rPr>
                <w:rFonts w:hint="eastAsia" w:cstheme="minorBidi"/>
                <w:kern w:val="2"/>
                <w:sz w:val="21"/>
                <w:szCs w:val="21"/>
              </w:rPr>
              <w:t>、CaSO</w:t>
            </w:r>
            <w:r>
              <w:rPr>
                <w:rFonts w:hint="eastAsia" w:cstheme="minorBidi"/>
                <w:kern w:val="2"/>
                <w:sz w:val="21"/>
                <w:szCs w:val="21"/>
                <w:vertAlign w:val="subscript"/>
              </w:rPr>
              <w:t>3</w:t>
            </w:r>
            <w:r>
              <w:rPr>
                <w:rFonts w:hint="eastAsia" w:cstheme="minorBidi"/>
                <w:kern w:val="2"/>
                <w:sz w:val="21"/>
                <w:szCs w:val="21"/>
              </w:rPr>
              <w:t>、SiO</w:t>
            </w:r>
            <w:r>
              <w:rPr>
                <w:rFonts w:hint="eastAsia" w:cstheme="minorBidi"/>
                <w:kern w:val="2"/>
                <w:sz w:val="21"/>
                <w:szCs w:val="21"/>
                <w:vertAlign w:val="subscript"/>
              </w:rPr>
              <w:t>2</w:t>
            </w:r>
            <w:r>
              <w:rPr>
                <w:rFonts w:hint="eastAsia" w:cstheme="minorBidi"/>
                <w:kern w:val="2"/>
                <w:sz w:val="21"/>
                <w:szCs w:val="21"/>
              </w:rPr>
              <w:t>、CaO、Al</w:t>
            </w:r>
            <w:r>
              <w:rPr>
                <w:rFonts w:hint="eastAsia" w:cstheme="minorBidi"/>
                <w:kern w:val="2"/>
                <w:sz w:val="21"/>
                <w:szCs w:val="21"/>
                <w:vertAlign w:val="subscript"/>
              </w:rPr>
              <w:t>2</w:t>
            </w:r>
            <w:r>
              <w:rPr>
                <w:rFonts w:hint="eastAsia" w:cstheme="minorBidi"/>
                <w:kern w:val="2"/>
                <w:sz w:val="21"/>
                <w:szCs w:val="21"/>
              </w:rPr>
              <w:t>O</w:t>
            </w:r>
            <w:r>
              <w:rPr>
                <w:rFonts w:hint="eastAsia" w:cstheme="minorBidi"/>
                <w:kern w:val="2"/>
                <w:sz w:val="21"/>
                <w:szCs w:val="21"/>
                <w:vertAlign w:val="subscript"/>
              </w:rPr>
              <w:t>3</w:t>
            </w:r>
            <w:r>
              <w:rPr>
                <w:rFonts w:hint="eastAsia" w:cstheme="minorBidi"/>
                <w:kern w:val="2"/>
                <w:sz w:val="21"/>
                <w:szCs w:val="21"/>
              </w:rPr>
              <w:t>、Fe</w:t>
            </w:r>
            <w:r>
              <w:rPr>
                <w:rFonts w:hint="eastAsia" w:cstheme="minorBidi"/>
                <w:kern w:val="2"/>
                <w:sz w:val="21"/>
                <w:szCs w:val="21"/>
                <w:vertAlign w:val="subscript"/>
              </w:rPr>
              <w:t>2</w:t>
            </w:r>
            <w:r>
              <w:rPr>
                <w:rFonts w:hint="eastAsia" w:cstheme="minorBidi"/>
                <w:kern w:val="2"/>
                <w:sz w:val="21"/>
                <w:szCs w:val="21"/>
              </w:rPr>
              <w:t>O</w:t>
            </w:r>
            <w:r>
              <w:rPr>
                <w:rFonts w:hint="eastAsia" w:cstheme="minorBidi"/>
                <w:kern w:val="2"/>
                <w:sz w:val="21"/>
                <w:szCs w:val="21"/>
                <w:vertAlign w:val="subscript"/>
              </w:rPr>
              <w:t>3</w:t>
            </w:r>
            <w:r>
              <w:rPr>
                <w:rFonts w:hint="eastAsia" w:cstheme="minorBidi"/>
                <w:kern w:val="2"/>
                <w:sz w:val="21"/>
                <w:szCs w:val="21"/>
              </w:rPr>
              <w:t>、重金属、二噁英类</w:t>
            </w:r>
          </w:p>
        </w:tc>
        <w:tc>
          <w:tcPr>
            <w:tcW w:w="1851" w:type="pct"/>
            <w:tcBorders>
              <w:tl2br w:val="nil"/>
              <w:tr2bl w:val="nil"/>
            </w:tcBorders>
            <w:vAlign w:val="center"/>
          </w:tcPr>
          <w:p>
            <w:pPr>
              <w:pStyle w:val="43"/>
              <w:rPr>
                <w:sz w:val="21"/>
                <w:szCs w:val="21"/>
              </w:rPr>
            </w:pPr>
            <w:r>
              <w:rPr>
                <w:rFonts w:hint="eastAsia"/>
                <w:sz w:val="21"/>
                <w:szCs w:val="21"/>
              </w:rPr>
              <w:t>稳定固化后送凌云卫生填埋场填埋处置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 w:type="pct"/>
            <w:tcBorders>
              <w:tl2br w:val="nil"/>
              <w:tr2bl w:val="nil"/>
            </w:tcBorders>
            <w:vAlign w:val="center"/>
          </w:tcPr>
          <w:p>
            <w:pPr>
              <w:pStyle w:val="43"/>
              <w:rPr>
                <w:sz w:val="21"/>
                <w:szCs w:val="21"/>
              </w:rPr>
            </w:pPr>
            <w:r>
              <w:rPr>
                <w:rFonts w:hint="eastAsia"/>
                <w:sz w:val="21"/>
                <w:szCs w:val="21"/>
              </w:rPr>
              <w:t>7</w:t>
            </w:r>
          </w:p>
        </w:tc>
        <w:tc>
          <w:tcPr>
            <w:tcW w:w="1082" w:type="pct"/>
            <w:tcBorders>
              <w:tl2br w:val="nil"/>
              <w:tr2bl w:val="nil"/>
            </w:tcBorders>
            <w:vAlign w:val="center"/>
          </w:tcPr>
          <w:p>
            <w:pPr>
              <w:pStyle w:val="43"/>
              <w:rPr>
                <w:sz w:val="21"/>
                <w:szCs w:val="21"/>
              </w:rPr>
            </w:pPr>
            <w:r>
              <w:rPr>
                <w:rFonts w:hint="eastAsia"/>
                <w:sz w:val="21"/>
                <w:szCs w:val="21"/>
              </w:rPr>
              <w:t>污泥</w:t>
            </w:r>
          </w:p>
        </w:tc>
        <w:tc>
          <w:tcPr>
            <w:tcW w:w="1711" w:type="pct"/>
            <w:tcBorders>
              <w:tl2br w:val="nil"/>
              <w:tr2bl w:val="nil"/>
            </w:tcBorders>
            <w:vAlign w:val="center"/>
          </w:tcPr>
          <w:p>
            <w:pPr>
              <w:pStyle w:val="43"/>
              <w:rPr>
                <w:sz w:val="21"/>
                <w:szCs w:val="21"/>
              </w:rPr>
            </w:pPr>
            <w:r>
              <w:rPr>
                <w:rFonts w:hint="eastAsia"/>
                <w:sz w:val="21"/>
                <w:szCs w:val="16"/>
              </w:rPr>
              <w:t>重金属</w:t>
            </w:r>
          </w:p>
        </w:tc>
        <w:tc>
          <w:tcPr>
            <w:tcW w:w="1851" w:type="pct"/>
            <w:tcBorders>
              <w:tl2br w:val="nil"/>
              <w:tr2bl w:val="nil"/>
            </w:tcBorders>
            <w:vAlign w:val="center"/>
          </w:tcPr>
          <w:p>
            <w:pPr>
              <w:pStyle w:val="43"/>
              <w:rPr>
                <w:sz w:val="21"/>
                <w:szCs w:val="21"/>
              </w:rPr>
            </w:pPr>
            <w:r>
              <w:rPr>
                <w:rFonts w:hint="eastAsia"/>
                <w:sz w:val="21"/>
                <w:szCs w:val="21"/>
              </w:rPr>
              <w:t>送焚烧炉焚烧处置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 w:type="pct"/>
            <w:tcBorders>
              <w:tl2br w:val="nil"/>
              <w:tr2bl w:val="nil"/>
            </w:tcBorders>
            <w:vAlign w:val="center"/>
          </w:tcPr>
          <w:p>
            <w:pPr>
              <w:pStyle w:val="43"/>
              <w:rPr>
                <w:sz w:val="21"/>
                <w:szCs w:val="21"/>
              </w:rPr>
            </w:pPr>
            <w:r>
              <w:rPr>
                <w:rFonts w:hint="eastAsia"/>
                <w:sz w:val="21"/>
                <w:szCs w:val="21"/>
              </w:rPr>
              <w:t>8</w:t>
            </w:r>
          </w:p>
        </w:tc>
        <w:tc>
          <w:tcPr>
            <w:tcW w:w="1082" w:type="pct"/>
            <w:tcBorders>
              <w:tl2br w:val="nil"/>
              <w:tr2bl w:val="nil"/>
            </w:tcBorders>
            <w:vAlign w:val="center"/>
          </w:tcPr>
          <w:p>
            <w:pPr>
              <w:pStyle w:val="43"/>
              <w:rPr>
                <w:sz w:val="21"/>
                <w:szCs w:val="21"/>
              </w:rPr>
            </w:pPr>
            <w:r>
              <w:rPr>
                <w:rFonts w:hint="eastAsia"/>
                <w:sz w:val="21"/>
                <w:szCs w:val="21"/>
              </w:rPr>
              <w:t>纳滤膜和反渗透膜</w:t>
            </w:r>
          </w:p>
        </w:tc>
        <w:tc>
          <w:tcPr>
            <w:tcW w:w="1711" w:type="pct"/>
            <w:tcBorders>
              <w:tl2br w:val="nil"/>
              <w:tr2bl w:val="nil"/>
            </w:tcBorders>
            <w:vAlign w:val="center"/>
          </w:tcPr>
          <w:p>
            <w:pPr>
              <w:pStyle w:val="43"/>
              <w:rPr>
                <w:sz w:val="21"/>
                <w:szCs w:val="21"/>
              </w:rPr>
            </w:pPr>
            <w:r>
              <w:rPr>
                <w:rFonts w:hint="eastAsia"/>
                <w:sz w:val="21"/>
                <w:szCs w:val="21"/>
              </w:rPr>
              <w:t>/</w:t>
            </w:r>
          </w:p>
        </w:tc>
        <w:tc>
          <w:tcPr>
            <w:tcW w:w="1851" w:type="pct"/>
            <w:tcBorders>
              <w:tl2br w:val="nil"/>
              <w:tr2bl w:val="nil"/>
            </w:tcBorders>
            <w:vAlign w:val="center"/>
          </w:tcPr>
          <w:p>
            <w:pPr>
              <w:pStyle w:val="43"/>
              <w:rPr>
                <w:sz w:val="21"/>
                <w:szCs w:val="21"/>
              </w:rPr>
            </w:pPr>
            <w:r>
              <w:rPr>
                <w:rFonts w:hint="eastAsia"/>
                <w:sz w:val="21"/>
                <w:szCs w:val="21"/>
              </w:rPr>
              <w:t>交由生产厂家回收再利用</w:t>
            </w:r>
          </w:p>
        </w:tc>
      </w:tr>
    </w:tbl>
    <w:p>
      <w:pPr>
        <w:pStyle w:val="39"/>
        <w:numPr>
          <w:ilvl w:val="1"/>
          <w:numId w:val="2"/>
        </w:numPr>
        <w:ind w:left="0" w:firstLine="0" w:firstLineChars="0"/>
        <w:outlineLvl w:val="1"/>
        <w:rPr>
          <w:rFonts w:cs="Times New Roman"/>
          <w:b/>
          <w:color w:val="000000" w:themeColor="text1"/>
          <w:sz w:val="28"/>
          <w14:textFill>
            <w14:solidFill>
              <w14:schemeClr w14:val="tx1"/>
            </w14:solidFill>
          </w14:textFill>
        </w:rPr>
      </w:pPr>
      <w:bookmarkStart w:id="44" w:name="_Toc32649"/>
      <w:r>
        <w:rPr>
          <w:rFonts w:cs="Times New Roman"/>
          <w:b/>
          <w:color w:val="000000" w:themeColor="text1"/>
          <w:sz w:val="28"/>
          <w14:textFill>
            <w14:solidFill>
              <w14:schemeClr w14:val="tx1"/>
            </w14:solidFill>
          </w14:textFill>
        </w:rPr>
        <w:t>重点区域及设施识别</w:t>
      </w:r>
      <w:bookmarkEnd w:id="44"/>
    </w:p>
    <w:p>
      <w:pPr>
        <w:pStyle w:val="39"/>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光大环保能源（乐山）有限公司属于“4417生物质能发电”行业，根据企业生产工艺、平面布置、产污及治理设施，本地块重点关注的区域有主厂房（包括运输廊道及卸料平台、垃圾贮坑、焚烧炉及烟气净化、炉渣暂存间以及其他辅助生产区）、飞灰固化及暂存车间、渗滤液处理站、其他区域（危废暂存间、初期雨水收集池、油库和氨水储罐等）。</w:t>
      </w:r>
    </w:p>
    <w:p>
      <w:pPr>
        <w:pStyle w:val="39"/>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污染物主要以重金属为主，其他还包括有机污染（如渗滤液的收集和治理）、二噁英类（主要来自废气和飞灰）、石油烃（如油库、危废暂存区）等。</w:t>
      </w:r>
    </w:p>
    <w:p>
      <w:pPr>
        <w:pStyle w:val="39"/>
        <w:ind w:firstLine="48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根据重点区域、污染来源、有毒有害物质逐一分析，污染识别详见表</w:t>
      </w:r>
      <w:r>
        <w:rPr>
          <w:rFonts w:cs="Times New Roman"/>
          <w:color w:val="000000" w:themeColor="text1"/>
          <w14:textFill>
            <w14:solidFill>
              <w14:schemeClr w14:val="tx1"/>
            </w14:solidFill>
          </w14:textFill>
        </w:rPr>
        <w:t>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6。</w:t>
      </w:r>
    </w:p>
    <w:p>
      <w:pPr>
        <w:pStyle w:val="39"/>
        <w:numPr>
          <w:ilvl w:val="0"/>
          <w:numId w:val="7"/>
        </w:numPr>
        <w:ind w:firstLineChars="0"/>
        <w:jc w:val="center"/>
        <w:rPr>
          <w:rFonts w:cs="Times New Roman"/>
          <w:b/>
          <w:color w:val="000000" w:themeColor="text1"/>
          <w14:textFill>
            <w14:solidFill>
              <w14:schemeClr w14:val="tx1"/>
            </w14:solidFill>
          </w14:textFill>
        </w:rPr>
      </w:pPr>
      <w:r>
        <w:rPr>
          <w:rFonts w:hint="eastAsia" w:cs="Times New Roman"/>
          <w:b/>
          <w:color w:val="000000" w:themeColor="text1"/>
          <w14:textFill>
            <w14:solidFill>
              <w14:schemeClr w14:val="tx1"/>
            </w14:solidFill>
          </w14:textFill>
        </w:rPr>
        <w:t>重点区域及设施信息记录表</w:t>
      </w:r>
    </w:p>
    <w:tbl>
      <w:tblPr>
        <w:tblStyle w:val="16"/>
        <w:tblW w:w="483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0"/>
        <w:gridCol w:w="976"/>
        <w:gridCol w:w="1727"/>
        <w:gridCol w:w="1669"/>
        <w:gridCol w:w="22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pct"/>
            <w:tcBorders>
              <w:top w:val="single" w:color="auto" w:sz="4" w:space="0"/>
              <w:left w:val="single" w:color="auto" w:sz="4" w:space="0"/>
            </w:tcBorders>
            <w:vAlign w:val="center"/>
          </w:tcPr>
          <w:p>
            <w:pPr>
              <w:pStyle w:val="2"/>
              <w:spacing w:line="240" w:lineRule="auto"/>
              <w:jc w:val="center"/>
              <w:rPr>
                <w:rFonts w:cs="Times New Roman"/>
                <w:b/>
                <w:bCs/>
                <w:szCs w:val="21"/>
              </w:rPr>
            </w:pPr>
            <w:bookmarkStart w:id="45" w:name="_Hlk72221471"/>
            <w:r>
              <w:rPr>
                <w:rFonts w:cs="Times New Roman"/>
                <w:b/>
                <w:bCs/>
                <w:szCs w:val="21"/>
              </w:rPr>
              <w:t>企业名称</w:t>
            </w:r>
          </w:p>
        </w:tc>
        <w:tc>
          <w:tcPr>
            <w:tcW w:w="3992" w:type="pct"/>
            <w:gridSpan w:val="4"/>
            <w:tcBorders>
              <w:top w:val="single" w:color="auto" w:sz="4" w:space="0"/>
              <w:right w:val="single" w:color="auto" w:sz="4" w:space="0"/>
            </w:tcBorders>
            <w:vAlign w:val="center"/>
          </w:tcPr>
          <w:p>
            <w:pPr>
              <w:pStyle w:val="2"/>
              <w:spacing w:line="240" w:lineRule="auto"/>
              <w:jc w:val="center"/>
              <w:rPr>
                <w:rFonts w:cs="Times New Roman"/>
                <w:szCs w:val="21"/>
              </w:rPr>
            </w:pPr>
            <w:r>
              <w:rPr>
                <w:rFonts w:hint="eastAsia" w:cs="Times New Roman"/>
                <w:szCs w:val="21"/>
              </w:rPr>
              <w:t>光大环保能源（乐山）有限公司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pct"/>
            <w:tcBorders>
              <w:left w:val="single" w:color="auto" w:sz="4" w:space="0"/>
            </w:tcBorders>
            <w:vAlign w:val="center"/>
          </w:tcPr>
          <w:p>
            <w:pPr>
              <w:pStyle w:val="2"/>
              <w:spacing w:line="240" w:lineRule="auto"/>
              <w:jc w:val="center"/>
              <w:rPr>
                <w:rFonts w:cs="Times New Roman"/>
                <w:b/>
                <w:bCs/>
                <w:szCs w:val="21"/>
              </w:rPr>
            </w:pPr>
            <w:r>
              <w:rPr>
                <w:rFonts w:cs="Times New Roman"/>
                <w:b/>
                <w:bCs/>
                <w:szCs w:val="21"/>
              </w:rPr>
              <w:t>调查日期</w:t>
            </w:r>
          </w:p>
        </w:tc>
        <w:tc>
          <w:tcPr>
            <w:tcW w:w="1642" w:type="pct"/>
            <w:gridSpan w:val="2"/>
            <w:vAlign w:val="center"/>
          </w:tcPr>
          <w:p>
            <w:pPr>
              <w:pStyle w:val="2"/>
              <w:spacing w:line="240" w:lineRule="auto"/>
              <w:jc w:val="center"/>
              <w:rPr>
                <w:rFonts w:cs="Times New Roman"/>
                <w:szCs w:val="21"/>
              </w:rPr>
            </w:pPr>
            <w:r>
              <w:rPr>
                <w:rFonts w:hint="eastAsia" w:cs="Times New Roman"/>
                <w:szCs w:val="21"/>
              </w:rPr>
              <w:t>2021年7月</w:t>
            </w:r>
          </w:p>
        </w:tc>
        <w:tc>
          <w:tcPr>
            <w:tcW w:w="1014" w:type="pct"/>
            <w:vAlign w:val="center"/>
          </w:tcPr>
          <w:p>
            <w:pPr>
              <w:pStyle w:val="2"/>
              <w:spacing w:line="240" w:lineRule="auto"/>
              <w:jc w:val="center"/>
              <w:rPr>
                <w:rFonts w:cs="Times New Roman"/>
                <w:szCs w:val="21"/>
              </w:rPr>
            </w:pPr>
            <w:r>
              <w:rPr>
                <w:rFonts w:cs="Times New Roman"/>
                <w:b/>
                <w:bCs/>
                <w:szCs w:val="21"/>
              </w:rPr>
              <w:t>参与人员</w:t>
            </w:r>
          </w:p>
        </w:tc>
        <w:tc>
          <w:tcPr>
            <w:tcW w:w="1336" w:type="pct"/>
            <w:tcBorders>
              <w:right w:val="single" w:color="auto" w:sz="4" w:space="0"/>
            </w:tcBorders>
            <w:vAlign w:val="center"/>
          </w:tcPr>
          <w:p>
            <w:pPr>
              <w:pStyle w:val="2"/>
              <w:spacing w:line="240" w:lineRule="auto"/>
              <w:jc w:val="center"/>
              <w:rPr>
                <w:rFonts w:cs="Times New Roman"/>
                <w:szCs w:val="21"/>
              </w:rPr>
            </w:pPr>
            <w:r>
              <w:rPr>
                <w:rFonts w:hint="eastAsia" w:cs="Times New Roman"/>
                <w:szCs w:val="21"/>
              </w:rPr>
              <w:t>刘阳、罗正怡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pct"/>
            <w:tcBorders>
              <w:left w:val="single" w:color="auto" w:sz="4" w:space="0"/>
            </w:tcBorders>
            <w:vAlign w:val="center"/>
          </w:tcPr>
          <w:p>
            <w:pPr>
              <w:pStyle w:val="2"/>
              <w:spacing w:line="240" w:lineRule="auto"/>
              <w:jc w:val="center"/>
              <w:rPr>
                <w:rFonts w:cs="Times New Roman"/>
                <w:b/>
                <w:bCs/>
                <w:szCs w:val="21"/>
              </w:rPr>
            </w:pPr>
            <w:r>
              <w:rPr>
                <w:rFonts w:cs="Times New Roman"/>
                <w:b/>
                <w:bCs/>
                <w:szCs w:val="21"/>
              </w:rPr>
              <w:t>重点区域或设施名称</w:t>
            </w:r>
          </w:p>
        </w:tc>
        <w:tc>
          <w:tcPr>
            <w:tcW w:w="593" w:type="pct"/>
            <w:vAlign w:val="center"/>
          </w:tcPr>
          <w:p>
            <w:pPr>
              <w:pStyle w:val="2"/>
              <w:spacing w:line="240" w:lineRule="auto"/>
              <w:jc w:val="center"/>
              <w:rPr>
                <w:rFonts w:cs="Times New Roman"/>
                <w:b/>
                <w:bCs/>
                <w:szCs w:val="21"/>
              </w:rPr>
            </w:pPr>
            <w:r>
              <w:rPr>
                <w:rFonts w:cs="Times New Roman"/>
                <w:b/>
                <w:bCs/>
                <w:szCs w:val="21"/>
              </w:rPr>
              <w:t>点位编号</w:t>
            </w:r>
          </w:p>
        </w:tc>
        <w:tc>
          <w:tcPr>
            <w:tcW w:w="1049" w:type="pct"/>
            <w:vAlign w:val="center"/>
          </w:tcPr>
          <w:p>
            <w:pPr>
              <w:pStyle w:val="2"/>
              <w:spacing w:line="240" w:lineRule="auto"/>
              <w:jc w:val="center"/>
              <w:rPr>
                <w:rFonts w:cs="Times New Roman"/>
                <w:b/>
                <w:bCs/>
                <w:szCs w:val="21"/>
              </w:rPr>
            </w:pPr>
            <w:r>
              <w:rPr>
                <w:rFonts w:cs="Times New Roman"/>
                <w:b/>
                <w:bCs/>
                <w:szCs w:val="21"/>
              </w:rPr>
              <w:t>区域或设施功能</w:t>
            </w:r>
          </w:p>
        </w:tc>
        <w:tc>
          <w:tcPr>
            <w:tcW w:w="1014" w:type="pct"/>
            <w:vAlign w:val="center"/>
          </w:tcPr>
          <w:p>
            <w:pPr>
              <w:pStyle w:val="2"/>
              <w:spacing w:line="240" w:lineRule="auto"/>
              <w:jc w:val="center"/>
              <w:rPr>
                <w:rFonts w:cs="Times New Roman"/>
                <w:b/>
                <w:bCs/>
                <w:szCs w:val="21"/>
              </w:rPr>
            </w:pPr>
            <w:r>
              <w:rPr>
                <w:rFonts w:cs="Times New Roman"/>
                <w:b/>
                <w:bCs/>
                <w:szCs w:val="21"/>
              </w:rPr>
              <w:t>涉及有毒有害物质清单</w:t>
            </w:r>
          </w:p>
        </w:tc>
        <w:tc>
          <w:tcPr>
            <w:tcW w:w="1336" w:type="pct"/>
            <w:tcBorders>
              <w:right w:val="single" w:color="auto" w:sz="4" w:space="0"/>
            </w:tcBorders>
            <w:vAlign w:val="center"/>
          </w:tcPr>
          <w:p>
            <w:pPr>
              <w:pStyle w:val="2"/>
              <w:spacing w:line="240" w:lineRule="auto"/>
              <w:jc w:val="center"/>
              <w:rPr>
                <w:rFonts w:cs="Times New Roman"/>
                <w:b/>
                <w:bCs/>
                <w:szCs w:val="21"/>
              </w:rPr>
            </w:pPr>
            <w:r>
              <w:rPr>
                <w:rFonts w:cs="Times New Roman"/>
                <w:b/>
                <w:bCs/>
                <w:szCs w:val="21"/>
              </w:rPr>
              <w:t>特征污染物</w:t>
            </w:r>
          </w:p>
        </w:tc>
      </w:tr>
      <w:bookmarkEnd w:id="45"/>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008" w:type="pct"/>
            <w:tcBorders>
              <w:left w:val="single" w:color="auto" w:sz="4" w:space="0"/>
            </w:tcBorders>
            <w:vAlign w:val="center"/>
          </w:tcPr>
          <w:p>
            <w:pPr>
              <w:jc w:val="center"/>
              <w:rPr>
                <w:rFonts w:cs="Times New Roman"/>
                <w:szCs w:val="21"/>
              </w:rPr>
            </w:pPr>
            <w:r>
              <w:rPr>
                <w:rFonts w:hint="eastAsia" w:cs="Times New Roman"/>
                <w:szCs w:val="21"/>
              </w:rPr>
              <w:t>主厂房</w:t>
            </w:r>
          </w:p>
        </w:tc>
        <w:tc>
          <w:tcPr>
            <w:tcW w:w="593" w:type="pct"/>
            <w:vAlign w:val="center"/>
          </w:tcPr>
          <w:p>
            <w:pPr>
              <w:pStyle w:val="2"/>
              <w:spacing w:line="240" w:lineRule="auto"/>
              <w:jc w:val="center"/>
              <w:rPr>
                <w:rFonts w:cs="Times New Roman"/>
                <w:szCs w:val="21"/>
              </w:rPr>
            </w:pPr>
            <w:r>
              <w:rPr>
                <w:rFonts w:cs="Times New Roman"/>
                <w:szCs w:val="21"/>
              </w:rPr>
              <w:t>TR1#</w:t>
            </w:r>
          </w:p>
          <w:p>
            <w:pPr>
              <w:pStyle w:val="2"/>
              <w:spacing w:line="240" w:lineRule="auto"/>
              <w:jc w:val="center"/>
              <w:rPr>
                <w:rFonts w:cs="Times New Roman"/>
              </w:rPr>
            </w:pPr>
            <w:r>
              <w:rPr>
                <w:rFonts w:cs="Times New Roman"/>
                <w:szCs w:val="21"/>
              </w:rPr>
              <w:t>TR2#</w:t>
            </w:r>
          </w:p>
        </w:tc>
        <w:tc>
          <w:tcPr>
            <w:tcW w:w="1049" w:type="pct"/>
            <w:vAlign w:val="center"/>
          </w:tcPr>
          <w:p>
            <w:pPr>
              <w:jc w:val="center"/>
              <w:rPr>
                <w:rFonts w:cs="Times New Roman"/>
                <w:szCs w:val="21"/>
              </w:rPr>
            </w:pPr>
            <w:r>
              <w:rPr>
                <w:rFonts w:hint="eastAsia" w:cs="Times New Roman"/>
                <w:szCs w:val="21"/>
              </w:rPr>
              <w:t>卸料平台、垃圾贮坑、</w:t>
            </w:r>
            <w:r>
              <w:rPr>
                <w:rFonts w:ascii="Times New Roman" w:hAnsi="Times New Roman" w:cs="Times New Roman"/>
                <w:szCs w:val="21"/>
              </w:rPr>
              <w:t>焚烧炉、</w:t>
            </w:r>
            <w:r>
              <w:rPr>
                <w:rFonts w:hint="eastAsia" w:cs="Times New Roman"/>
                <w:szCs w:val="21"/>
              </w:rPr>
              <w:t>烟气净化及烟囱、炉渣、其他辅助生产区（如石灰制备间、活性炭制备间、工业用水制备间等）</w:t>
            </w:r>
          </w:p>
        </w:tc>
        <w:tc>
          <w:tcPr>
            <w:tcW w:w="1014" w:type="pct"/>
            <w:vAlign w:val="center"/>
          </w:tcPr>
          <w:p>
            <w:pPr>
              <w:jc w:val="center"/>
              <w:rPr>
                <w:rFonts w:cs="Times New Roman"/>
                <w:szCs w:val="21"/>
              </w:rPr>
            </w:pPr>
            <w:r>
              <w:rPr>
                <w:rFonts w:ascii="Times New Roman" w:hAnsi="Times New Roman" w:cs="Times New Roman"/>
                <w:szCs w:val="21"/>
              </w:rPr>
              <w:t>渗滤液</w:t>
            </w:r>
            <w:r>
              <w:rPr>
                <w:rFonts w:hint="eastAsia" w:cs="Times New Roman"/>
                <w:szCs w:val="21"/>
              </w:rPr>
              <w:t>、烟气（以上废水和废气均含有毒有害污染物）</w:t>
            </w:r>
          </w:p>
        </w:tc>
        <w:tc>
          <w:tcPr>
            <w:tcW w:w="1336" w:type="pct"/>
            <w:tcBorders>
              <w:right w:val="single" w:color="auto" w:sz="4" w:space="0"/>
            </w:tcBorders>
            <w:vAlign w:val="center"/>
          </w:tcPr>
          <w:p>
            <w:pPr>
              <w:jc w:val="center"/>
              <w:rPr>
                <w:rFonts w:cs="Times New Roman"/>
                <w:szCs w:val="21"/>
              </w:rPr>
            </w:pPr>
            <w:r>
              <w:rPr>
                <w:rFonts w:hint="eastAsia" w:ascii="Times New Roman" w:hAnsi="Times New Roman" w:cs="Times New Roman"/>
                <w:szCs w:val="21"/>
              </w:rPr>
              <w:t>重金属（汞、镉、铊、锑、砷、铅、铬、钴、铜、锰、镍等）</w:t>
            </w:r>
            <w:r>
              <w:rPr>
                <w:rFonts w:hint="eastAsia" w:cs="Times New Roman"/>
                <w:szCs w:val="21"/>
              </w:rPr>
              <w:t>、有机物、二噁英类（烟气附近）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008" w:type="pct"/>
            <w:tcBorders>
              <w:left w:val="single" w:color="auto" w:sz="4" w:space="0"/>
            </w:tcBorders>
            <w:vAlign w:val="center"/>
          </w:tcPr>
          <w:p>
            <w:pPr>
              <w:jc w:val="center"/>
              <w:rPr>
                <w:rFonts w:cs="Times New Roman"/>
                <w:szCs w:val="21"/>
              </w:rPr>
            </w:pPr>
            <w:r>
              <w:rPr>
                <w:rFonts w:hint="eastAsia" w:cs="Times New Roman"/>
                <w:szCs w:val="21"/>
              </w:rPr>
              <w:t>渗滤液处理站</w:t>
            </w:r>
          </w:p>
        </w:tc>
        <w:tc>
          <w:tcPr>
            <w:tcW w:w="593" w:type="pct"/>
            <w:vAlign w:val="center"/>
          </w:tcPr>
          <w:p>
            <w:pPr>
              <w:jc w:val="center"/>
              <w:rPr>
                <w:rFonts w:ascii="Times New Roman" w:hAnsi="Times New Roman" w:cs="Times New Roman"/>
                <w:szCs w:val="21"/>
              </w:rPr>
            </w:pPr>
            <w:r>
              <w:rPr>
                <w:rFonts w:ascii="Times New Roman" w:hAnsi="Times New Roman" w:cs="Times New Roman"/>
                <w:szCs w:val="21"/>
              </w:rPr>
              <w:t>TR3#</w:t>
            </w:r>
          </w:p>
          <w:p>
            <w:pPr>
              <w:jc w:val="center"/>
              <w:rPr>
                <w:rFonts w:ascii="Times New Roman" w:hAnsi="Times New Roman" w:cs="Times New Roman"/>
                <w:szCs w:val="21"/>
              </w:rPr>
            </w:pPr>
            <w:r>
              <w:rPr>
                <w:rFonts w:ascii="Times New Roman" w:hAnsi="Times New Roman" w:cs="Times New Roman"/>
                <w:szCs w:val="21"/>
              </w:rPr>
              <w:t>TR4#</w:t>
            </w:r>
          </w:p>
        </w:tc>
        <w:tc>
          <w:tcPr>
            <w:tcW w:w="1049" w:type="pct"/>
            <w:vAlign w:val="center"/>
          </w:tcPr>
          <w:p>
            <w:pPr>
              <w:jc w:val="center"/>
              <w:rPr>
                <w:rFonts w:cs="Times New Roman"/>
                <w:szCs w:val="21"/>
              </w:rPr>
            </w:pPr>
            <w:r>
              <w:rPr>
                <w:rFonts w:hint="eastAsia" w:cs="Times New Roman"/>
                <w:szCs w:val="21"/>
              </w:rPr>
              <w:t>处理渗滤液和其他废水</w:t>
            </w:r>
          </w:p>
        </w:tc>
        <w:tc>
          <w:tcPr>
            <w:tcW w:w="1014" w:type="pct"/>
            <w:vAlign w:val="center"/>
          </w:tcPr>
          <w:p>
            <w:pPr>
              <w:autoSpaceDE w:val="0"/>
              <w:autoSpaceDN w:val="0"/>
              <w:jc w:val="center"/>
              <w:rPr>
                <w:rFonts w:cs="Times New Roman"/>
                <w:szCs w:val="21"/>
              </w:rPr>
            </w:pPr>
            <w:r>
              <w:rPr>
                <w:rFonts w:hint="eastAsia" w:cs="Times New Roman"/>
                <w:szCs w:val="21"/>
              </w:rPr>
              <w:t>渗滤液、盐酸</w:t>
            </w:r>
          </w:p>
        </w:tc>
        <w:tc>
          <w:tcPr>
            <w:tcW w:w="1336" w:type="pct"/>
            <w:tcBorders>
              <w:right w:val="single" w:color="auto" w:sz="4" w:space="0"/>
            </w:tcBorders>
            <w:vAlign w:val="center"/>
          </w:tcPr>
          <w:p>
            <w:pPr>
              <w:jc w:val="center"/>
              <w:rPr>
                <w:rFonts w:cs="Times New Roman"/>
                <w:szCs w:val="21"/>
              </w:rPr>
            </w:pPr>
            <w:r>
              <w:rPr>
                <w:rFonts w:hint="eastAsia"/>
                <w:szCs w:val="16"/>
              </w:rPr>
              <w:t>pH、重金属（汞、镉、铬、六价铬、砷、铅等）、有机物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008" w:type="pct"/>
            <w:tcBorders>
              <w:left w:val="single" w:color="auto" w:sz="4" w:space="0"/>
            </w:tcBorders>
            <w:vAlign w:val="center"/>
          </w:tcPr>
          <w:p>
            <w:pPr>
              <w:jc w:val="center"/>
              <w:rPr>
                <w:rFonts w:cs="Times New Roman"/>
                <w:szCs w:val="21"/>
              </w:rPr>
            </w:pPr>
            <w:r>
              <w:rPr>
                <w:rFonts w:hint="eastAsia" w:cs="Times New Roman"/>
                <w:szCs w:val="21"/>
              </w:rPr>
              <w:t>飞灰固化及暂存</w:t>
            </w:r>
          </w:p>
        </w:tc>
        <w:tc>
          <w:tcPr>
            <w:tcW w:w="593" w:type="pct"/>
            <w:vAlign w:val="center"/>
          </w:tcPr>
          <w:p>
            <w:pPr>
              <w:pStyle w:val="2"/>
              <w:spacing w:line="240" w:lineRule="auto"/>
              <w:jc w:val="center"/>
              <w:rPr>
                <w:rFonts w:cs="Times New Roman"/>
                <w:szCs w:val="21"/>
              </w:rPr>
            </w:pPr>
            <w:r>
              <w:rPr>
                <w:rFonts w:cs="Times New Roman"/>
                <w:szCs w:val="21"/>
              </w:rPr>
              <w:t>TR5#</w:t>
            </w:r>
          </w:p>
        </w:tc>
        <w:tc>
          <w:tcPr>
            <w:tcW w:w="1049" w:type="pct"/>
            <w:vAlign w:val="center"/>
          </w:tcPr>
          <w:p>
            <w:pPr>
              <w:jc w:val="center"/>
              <w:rPr>
                <w:rFonts w:cs="Times New Roman"/>
                <w:szCs w:val="21"/>
              </w:rPr>
            </w:pPr>
            <w:r>
              <w:rPr>
                <w:rFonts w:hint="eastAsia" w:cs="Times New Roman"/>
                <w:szCs w:val="21"/>
              </w:rPr>
              <w:t>飞灰的固化和暂存</w:t>
            </w:r>
          </w:p>
        </w:tc>
        <w:tc>
          <w:tcPr>
            <w:tcW w:w="1014" w:type="pct"/>
            <w:vAlign w:val="center"/>
          </w:tcPr>
          <w:p>
            <w:pPr>
              <w:jc w:val="center"/>
              <w:rPr>
                <w:rFonts w:cs="Times New Roman"/>
                <w:szCs w:val="21"/>
              </w:rPr>
            </w:pPr>
            <w:r>
              <w:rPr>
                <w:rFonts w:hint="eastAsia" w:cs="Times New Roman"/>
                <w:szCs w:val="21"/>
              </w:rPr>
              <w:t>飞灰</w:t>
            </w:r>
          </w:p>
        </w:tc>
        <w:tc>
          <w:tcPr>
            <w:tcW w:w="1336" w:type="pct"/>
            <w:tcBorders>
              <w:right w:val="single" w:color="auto" w:sz="4" w:space="0"/>
            </w:tcBorders>
            <w:vAlign w:val="center"/>
          </w:tcPr>
          <w:p>
            <w:pPr>
              <w:jc w:val="center"/>
              <w:rPr>
                <w:rFonts w:cs="Times New Roman"/>
                <w:szCs w:val="21"/>
              </w:rPr>
            </w:pPr>
            <w:r>
              <w:rPr>
                <w:rFonts w:hint="eastAsia" w:cs="Times New Roman"/>
                <w:szCs w:val="21"/>
              </w:rPr>
              <w:t>重金属</w:t>
            </w:r>
            <w:r>
              <w:rPr>
                <w:rFonts w:hint="eastAsia"/>
                <w:szCs w:val="16"/>
              </w:rPr>
              <w:t>（汞、镉、铬、六价铬、砷、铅等）</w:t>
            </w:r>
            <w:r>
              <w:rPr>
                <w:rFonts w:hint="eastAsia" w:ascii="Times New Roman" w:hAnsi="Times New Roman" w:cs="Times New Roman"/>
                <w:szCs w:val="21"/>
              </w:rPr>
              <w:t>、二噁英类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008" w:type="pct"/>
            <w:tcBorders>
              <w:left w:val="single" w:color="auto" w:sz="4" w:space="0"/>
            </w:tcBorders>
            <w:vAlign w:val="center"/>
          </w:tcPr>
          <w:p>
            <w:pPr>
              <w:jc w:val="center"/>
              <w:rPr>
                <w:rFonts w:cs="Times New Roman"/>
                <w:szCs w:val="21"/>
              </w:rPr>
            </w:pPr>
            <w:r>
              <w:rPr>
                <w:rFonts w:hint="eastAsia" w:cs="Times New Roman"/>
                <w:szCs w:val="21"/>
              </w:rPr>
              <w:t>危废暂存间</w:t>
            </w:r>
          </w:p>
        </w:tc>
        <w:tc>
          <w:tcPr>
            <w:tcW w:w="593" w:type="pct"/>
            <w:vAlign w:val="center"/>
          </w:tcPr>
          <w:p>
            <w:pPr>
              <w:pStyle w:val="2"/>
              <w:spacing w:line="240" w:lineRule="auto"/>
              <w:jc w:val="center"/>
              <w:rPr>
                <w:rFonts w:cs="Times New Roman"/>
                <w:szCs w:val="21"/>
              </w:rPr>
            </w:pPr>
            <w:r>
              <w:rPr>
                <w:rFonts w:cs="Times New Roman"/>
                <w:szCs w:val="21"/>
              </w:rPr>
              <w:t>TR6#</w:t>
            </w:r>
          </w:p>
        </w:tc>
        <w:tc>
          <w:tcPr>
            <w:tcW w:w="1049" w:type="pct"/>
            <w:vAlign w:val="center"/>
          </w:tcPr>
          <w:p>
            <w:pPr>
              <w:jc w:val="center"/>
              <w:rPr>
                <w:rFonts w:cs="Times New Roman"/>
                <w:szCs w:val="21"/>
              </w:rPr>
            </w:pPr>
            <w:r>
              <w:rPr>
                <w:rFonts w:hint="eastAsia" w:cs="Times New Roman"/>
                <w:szCs w:val="21"/>
              </w:rPr>
              <w:t>危废暂存间</w:t>
            </w:r>
          </w:p>
        </w:tc>
        <w:tc>
          <w:tcPr>
            <w:tcW w:w="1014" w:type="pct"/>
            <w:vAlign w:val="center"/>
          </w:tcPr>
          <w:p>
            <w:pPr>
              <w:jc w:val="center"/>
              <w:rPr>
                <w:rFonts w:cs="Times New Roman"/>
                <w:szCs w:val="21"/>
              </w:rPr>
            </w:pPr>
            <w:r>
              <w:rPr>
                <w:rFonts w:hint="eastAsia" w:cs="Times New Roman"/>
                <w:szCs w:val="21"/>
              </w:rPr>
              <w:t>废油</w:t>
            </w:r>
          </w:p>
        </w:tc>
        <w:tc>
          <w:tcPr>
            <w:tcW w:w="1336" w:type="pct"/>
            <w:tcBorders>
              <w:right w:val="single" w:color="auto" w:sz="4" w:space="0"/>
            </w:tcBorders>
            <w:vAlign w:val="center"/>
          </w:tcPr>
          <w:p>
            <w:pPr>
              <w:jc w:val="center"/>
              <w:rPr>
                <w:rFonts w:cs="Times New Roman"/>
                <w:szCs w:val="21"/>
              </w:rPr>
            </w:pPr>
            <w:r>
              <w:rPr>
                <w:rFonts w:hint="eastAsia" w:cs="Times New Roman"/>
                <w:szCs w:val="21"/>
              </w:rPr>
              <w:t>石油烃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008" w:type="pct"/>
            <w:tcBorders>
              <w:left w:val="single" w:color="auto" w:sz="4" w:space="0"/>
              <w:bottom w:val="single" w:color="auto" w:sz="4" w:space="0"/>
            </w:tcBorders>
            <w:vAlign w:val="center"/>
          </w:tcPr>
          <w:p>
            <w:pPr>
              <w:jc w:val="center"/>
              <w:rPr>
                <w:rFonts w:cs="Times New Roman"/>
                <w:szCs w:val="21"/>
              </w:rPr>
            </w:pPr>
            <w:bookmarkStart w:id="46" w:name="_Toc87451717"/>
            <w:bookmarkStart w:id="47" w:name="_Toc88838052"/>
            <w:r>
              <w:rPr>
                <w:rFonts w:hint="eastAsia" w:cs="Times New Roman"/>
                <w:szCs w:val="21"/>
              </w:rPr>
              <w:t>油库</w:t>
            </w:r>
          </w:p>
        </w:tc>
        <w:tc>
          <w:tcPr>
            <w:tcW w:w="593" w:type="pct"/>
            <w:tcBorders>
              <w:bottom w:val="single" w:color="auto" w:sz="4" w:space="0"/>
            </w:tcBorders>
            <w:vAlign w:val="center"/>
          </w:tcPr>
          <w:p>
            <w:pPr>
              <w:pStyle w:val="2"/>
              <w:spacing w:line="240" w:lineRule="auto"/>
              <w:jc w:val="center"/>
              <w:rPr>
                <w:rFonts w:cs="Times New Roman"/>
                <w:szCs w:val="21"/>
              </w:rPr>
            </w:pPr>
            <w:r>
              <w:rPr>
                <w:rFonts w:hint="eastAsia" w:cs="Times New Roman"/>
                <w:szCs w:val="21"/>
              </w:rPr>
              <w:t>T</w:t>
            </w:r>
            <w:r>
              <w:rPr>
                <w:rFonts w:cs="Times New Roman"/>
                <w:szCs w:val="21"/>
              </w:rPr>
              <w:t>R7#</w:t>
            </w:r>
          </w:p>
        </w:tc>
        <w:tc>
          <w:tcPr>
            <w:tcW w:w="1049" w:type="pct"/>
            <w:tcBorders>
              <w:bottom w:val="single" w:color="auto" w:sz="4" w:space="0"/>
            </w:tcBorders>
            <w:vAlign w:val="center"/>
          </w:tcPr>
          <w:p>
            <w:pPr>
              <w:jc w:val="center"/>
              <w:rPr>
                <w:rFonts w:cs="Times New Roman"/>
                <w:szCs w:val="21"/>
              </w:rPr>
            </w:pPr>
            <w:r>
              <w:rPr>
                <w:rFonts w:hint="eastAsia" w:cs="Times New Roman"/>
                <w:szCs w:val="21"/>
              </w:rPr>
              <w:t>储油</w:t>
            </w:r>
          </w:p>
        </w:tc>
        <w:tc>
          <w:tcPr>
            <w:tcW w:w="1014" w:type="pct"/>
            <w:tcBorders>
              <w:bottom w:val="single" w:color="auto" w:sz="4" w:space="0"/>
            </w:tcBorders>
            <w:vAlign w:val="center"/>
          </w:tcPr>
          <w:p>
            <w:pPr>
              <w:jc w:val="center"/>
              <w:rPr>
                <w:rFonts w:cs="Times New Roman"/>
                <w:szCs w:val="21"/>
              </w:rPr>
            </w:pPr>
            <w:r>
              <w:rPr>
                <w:rFonts w:hint="eastAsia" w:cs="Times New Roman"/>
                <w:szCs w:val="21"/>
              </w:rPr>
              <w:t>油类</w:t>
            </w:r>
          </w:p>
        </w:tc>
        <w:tc>
          <w:tcPr>
            <w:tcW w:w="1336" w:type="pct"/>
            <w:tcBorders>
              <w:bottom w:val="single" w:color="auto" w:sz="4" w:space="0"/>
              <w:right w:val="single" w:color="auto" w:sz="4" w:space="0"/>
            </w:tcBorders>
            <w:vAlign w:val="center"/>
          </w:tcPr>
          <w:p>
            <w:pPr>
              <w:jc w:val="center"/>
              <w:rPr>
                <w:rFonts w:cs="Times New Roman"/>
                <w:szCs w:val="21"/>
              </w:rPr>
            </w:pPr>
            <w:r>
              <w:rPr>
                <w:rFonts w:hint="eastAsia" w:cs="Times New Roman"/>
                <w:szCs w:val="21"/>
              </w:rPr>
              <w:t>石油烃</w:t>
            </w:r>
          </w:p>
        </w:tc>
      </w:tr>
    </w:tbl>
    <w:p>
      <w:pPr>
        <w:pStyle w:val="39"/>
        <w:numPr>
          <w:ilvl w:val="0"/>
          <w:numId w:val="2"/>
        </w:numPr>
        <w:ind w:firstLineChars="0"/>
        <w:jc w:val="center"/>
        <w:outlineLvl w:val="0"/>
        <w:rPr>
          <w:rFonts w:cs="Times New Roman"/>
          <w:b/>
          <w:color w:val="000000" w:themeColor="text1"/>
          <w:sz w:val="32"/>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9"/>
        <w:numPr>
          <w:ilvl w:val="0"/>
          <w:numId w:val="2"/>
        </w:numPr>
        <w:ind w:firstLineChars="0"/>
        <w:jc w:val="center"/>
        <w:outlineLvl w:val="0"/>
        <w:rPr>
          <w:rFonts w:cs="Times New Roman"/>
          <w:b/>
          <w:color w:val="000000" w:themeColor="text1"/>
          <w:sz w:val="32"/>
          <w14:textFill>
            <w14:solidFill>
              <w14:schemeClr w14:val="tx1"/>
            </w14:solidFill>
          </w14:textFill>
        </w:rPr>
      </w:pPr>
      <w:bookmarkStart w:id="48" w:name="_Toc15026"/>
      <w:r>
        <w:rPr>
          <w:rFonts w:cs="Times New Roman"/>
          <w:b/>
          <w:color w:val="000000" w:themeColor="text1"/>
          <w:sz w:val="32"/>
          <w14:textFill>
            <w14:solidFill>
              <w14:schemeClr w14:val="tx1"/>
            </w14:solidFill>
          </w14:textFill>
        </w:rPr>
        <w:t>现场采样</w:t>
      </w:r>
      <w:bookmarkEnd w:id="46"/>
      <w:bookmarkEnd w:id="47"/>
      <w:bookmarkEnd w:id="48"/>
    </w:p>
    <w:p>
      <w:pPr>
        <w:pStyle w:val="39"/>
        <w:numPr>
          <w:ilvl w:val="1"/>
          <w:numId w:val="2"/>
        </w:numPr>
        <w:ind w:left="0" w:firstLine="0" w:firstLineChars="0"/>
        <w:outlineLvl w:val="1"/>
        <w:rPr>
          <w:rFonts w:cs="Times New Roman"/>
          <w:b/>
          <w:color w:val="000000" w:themeColor="text1"/>
          <w:sz w:val="28"/>
          <w14:textFill>
            <w14:solidFill>
              <w14:schemeClr w14:val="tx1"/>
            </w14:solidFill>
          </w14:textFill>
        </w:rPr>
      </w:pPr>
      <w:bookmarkStart w:id="49" w:name="_Toc87451718"/>
      <w:bookmarkStart w:id="50" w:name="_Toc88838053"/>
      <w:bookmarkStart w:id="51" w:name="_Toc3214"/>
      <w:r>
        <w:rPr>
          <w:rFonts w:cs="Times New Roman"/>
          <w:b/>
          <w:color w:val="000000" w:themeColor="text1"/>
          <w:sz w:val="28"/>
          <w14:textFill>
            <w14:solidFill>
              <w14:schemeClr w14:val="tx1"/>
            </w14:solidFill>
          </w14:textFill>
        </w:rPr>
        <w:t>监测点布设情况</w:t>
      </w:r>
      <w:bookmarkEnd w:id="49"/>
      <w:bookmarkEnd w:id="50"/>
      <w:bookmarkEnd w:id="51"/>
    </w:p>
    <w:p>
      <w:pPr>
        <w:pStyle w:val="39"/>
        <w:numPr>
          <w:ilvl w:val="2"/>
          <w:numId w:val="2"/>
        </w:numPr>
        <w:ind w:left="0" w:firstLine="0" w:firstLineChars="0"/>
        <w:outlineLvl w:val="2"/>
        <w:rPr>
          <w:rFonts w:cs="Times New Roman"/>
          <w:b/>
          <w:color w:val="000000" w:themeColor="text1"/>
          <w14:textFill>
            <w14:solidFill>
              <w14:schemeClr w14:val="tx1"/>
            </w14:solidFill>
          </w14:textFill>
        </w:rPr>
      </w:pPr>
      <w:bookmarkStart w:id="52" w:name="_Toc88838054"/>
      <w:bookmarkStart w:id="53" w:name="_Toc11904"/>
      <w:bookmarkStart w:id="54" w:name="_Toc87451719"/>
      <w:r>
        <w:rPr>
          <w:rFonts w:cs="Times New Roman"/>
          <w:b/>
          <w:color w:val="000000" w:themeColor="text1"/>
          <w14:textFill>
            <w14:solidFill>
              <w14:schemeClr w14:val="tx1"/>
            </w14:solidFill>
          </w14:textFill>
        </w:rPr>
        <w:t>自行监测方案点位布设情况</w:t>
      </w:r>
      <w:bookmarkEnd w:id="52"/>
      <w:bookmarkEnd w:id="53"/>
      <w:bookmarkEnd w:id="54"/>
    </w:p>
    <w:p>
      <w:pPr>
        <w:spacing w:line="360" w:lineRule="auto"/>
        <w:ind w:firstLine="480" w:firstLineChars="200"/>
        <w:rPr>
          <w:rFonts w:ascii="Times New Roman" w:hAnsi="Times New Roman" w:cs="Times New Roman"/>
          <w:color w:val="000000" w:themeColor="text1"/>
          <w:sz w:val="24"/>
          <w:szCs w:val="28"/>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根据</w:t>
      </w:r>
      <w:r>
        <w:rPr>
          <w:rFonts w:ascii="Times New Roman" w:hAnsi="Times New Roman" w:cs="Times New Roman"/>
          <w:color w:val="000000" w:themeColor="text1"/>
          <w:sz w:val="24"/>
          <w:szCs w:val="28"/>
          <w14:textFill>
            <w14:solidFill>
              <w14:schemeClr w14:val="tx1"/>
            </w14:solidFill>
          </w14:textFill>
        </w:rPr>
        <w:t>方案，本项目的土壤和地下水监测内容见表3-1和表3-2。</w:t>
      </w:r>
    </w:p>
    <w:p>
      <w:pPr>
        <w:pStyle w:val="2"/>
        <w:spacing w:line="360" w:lineRule="auto"/>
        <w:ind w:firstLine="480" w:firstLineChars="200"/>
        <w:jc w:val="both"/>
        <w:rPr>
          <w:rFonts w:cs="Times New Roman"/>
          <w:color w:val="000000" w:themeColor="text1"/>
          <w:kern w:val="2"/>
          <w:sz w:val="24"/>
          <w:szCs w:val="24"/>
          <w14:textFill>
            <w14:solidFill>
              <w14:schemeClr w14:val="tx1"/>
            </w14:solidFill>
          </w14:textFill>
        </w:rPr>
      </w:pPr>
      <w:r>
        <w:rPr>
          <w:rFonts w:cs="Times New Roman"/>
          <w:color w:val="000000" w:themeColor="text1"/>
          <w:kern w:val="2"/>
          <w:sz w:val="24"/>
          <w:szCs w:val="24"/>
          <w14:textFill>
            <w14:solidFill>
              <w14:schemeClr w14:val="tx1"/>
            </w14:solidFill>
          </w14:textFill>
        </w:rPr>
        <w:t>1、土壤点位</w:t>
      </w:r>
    </w:p>
    <w:p>
      <w:pPr>
        <w:pStyle w:val="2"/>
        <w:spacing w:line="360" w:lineRule="auto"/>
        <w:ind w:firstLine="480" w:firstLineChars="200"/>
        <w:jc w:val="both"/>
        <w:rPr>
          <w:rFonts w:cs="Times New Roman"/>
          <w:color w:val="000000" w:themeColor="text1"/>
          <w:kern w:val="2"/>
          <w:sz w:val="24"/>
          <w:szCs w:val="24"/>
          <w14:textFill>
            <w14:solidFill>
              <w14:schemeClr w14:val="tx1"/>
            </w14:solidFill>
          </w14:textFill>
        </w:rPr>
      </w:pPr>
      <w:r>
        <w:rPr>
          <w:rFonts w:hint="eastAsia" w:cs="Times New Roman"/>
          <w:color w:val="000000" w:themeColor="text1"/>
          <w:kern w:val="2"/>
          <w:sz w:val="24"/>
          <w:szCs w:val="24"/>
          <w14:textFill>
            <w14:solidFill>
              <w14:schemeClr w14:val="tx1"/>
            </w14:solidFill>
          </w14:textFill>
        </w:rPr>
        <w:t>共布设9个点位，其中厂内重点区域7个点、厂外背景点1个、厂外最大落地浓度点1个。</w:t>
      </w:r>
    </w:p>
    <w:p>
      <w:pPr>
        <w:pStyle w:val="2"/>
        <w:spacing w:line="360" w:lineRule="auto"/>
        <w:ind w:firstLine="480" w:firstLineChars="200"/>
        <w:jc w:val="both"/>
        <w:rPr>
          <w:rFonts w:cs="Times New Roman"/>
          <w:color w:val="000000" w:themeColor="text1"/>
          <w:kern w:val="2"/>
          <w:sz w:val="24"/>
          <w:szCs w:val="24"/>
          <w14:textFill>
            <w14:solidFill>
              <w14:schemeClr w14:val="tx1"/>
            </w14:solidFill>
          </w14:textFill>
        </w:rPr>
      </w:pPr>
      <w:r>
        <w:rPr>
          <w:rFonts w:cs="Times New Roman"/>
          <w:color w:val="000000" w:themeColor="text1"/>
          <w:kern w:val="2"/>
          <w:sz w:val="24"/>
          <w:szCs w:val="24"/>
          <w14:textFill>
            <w14:solidFill>
              <w14:schemeClr w14:val="tx1"/>
            </w14:solidFill>
          </w14:textFill>
        </w:rPr>
        <w:t>2、地下水点位</w:t>
      </w:r>
    </w:p>
    <w:p>
      <w:pPr>
        <w:pStyle w:val="2"/>
        <w:spacing w:line="360" w:lineRule="auto"/>
        <w:ind w:firstLine="480" w:firstLineChars="200"/>
        <w:jc w:val="both"/>
        <w:rPr>
          <w:rFonts w:cs="Times New Roman"/>
          <w:color w:val="000000" w:themeColor="text1"/>
          <w:kern w:val="2"/>
          <w:sz w:val="24"/>
          <w:szCs w:val="24"/>
          <w14:textFill>
            <w14:solidFill>
              <w14:schemeClr w14:val="tx1"/>
            </w14:solidFill>
          </w14:textFill>
        </w:rPr>
      </w:pPr>
      <w:r>
        <w:rPr>
          <w:rFonts w:hint="eastAsia" w:cs="Times New Roman"/>
          <w:color w:val="000000" w:themeColor="text1"/>
          <w:kern w:val="2"/>
          <w:sz w:val="24"/>
          <w:szCs w:val="24"/>
          <w14:textFill>
            <w14:solidFill>
              <w14:schemeClr w14:val="tx1"/>
            </w14:solidFill>
          </w14:textFill>
        </w:rPr>
        <w:t>本次地下水监测利用厂区现有3口地下水井，分别为1#地下水监测井（飞灰固化间下游）、2#地下水监测井（主厂房下游）、3#地下水监测井（渗滤液处理站下游）。</w:t>
      </w:r>
    </w:p>
    <w:p>
      <w:pPr>
        <w:pStyle w:val="39"/>
        <w:numPr>
          <w:ilvl w:val="0"/>
          <w:numId w:val="9"/>
        </w:numPr>
        <w:ind w:firstLineChars="0"/>
        <w:jc w:val="center"/>
        <w:rPr>
          <w:rFonts w:cs="Times New Roman" w:eastAsiaTheme="minorEastAsia"/>
          <w:b/>
          <w:color w:val="000000" w:themeColor="text1"/>
          <w14:textFill>
            <w14:solidFill>
              <w14:schemeClr w14:val="tx1"/>
            </w14:solidFill>
          </w14:textFill>
        </w:rPr>
      </w:pPr>
      <w:r>
        <w:rPr>
          <w:rFonts w:cs="Times New Roman" w:eastAsiaTheme="minorEastAsia"/>
          <w:b/>
          <w:color w:val="000000" w:themeColor="text1"/>
          <w14:textFill>
            <w14:solidFill>
              <w14:schemeClr w14:val="tx1"/>
            </w14:solidFill>
          </w14:textFill>
        </w:rPr>
        <w:t>土壤监测点位及</w:t>
      </w:r>
      <w:r>
        <w:rPr>
          <w:rFonts w:hint="eastAsia" w:cs="Times New Roman" w:eastAsiaTheme="minorEastAsia"/>
          <w:b/>
          <w:color w:val="000000" w:themeColor="text1"/>
          <w14:textFill>
            <w14:solidFill>
              <w14:schemeClr w14:val="tx1"/>
            </w14:solidFill>
          </w14:textFill>
        </w:rPr>
        <w:t>监测项目</w:t>
      </w:r>
    </w:p>
    <w:tbl>
      <w:tblPr>
        <w:tblStyle w:val="15"/>
        <w:tblW w:w="48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1410"/>
        <w:gridCol w:w="3331"/>
        <w:gridCol w:w="1428"/>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556" w:type="pct"/>
            <w:shd w:val="clear" w:color="auto" w:fill="auto"/>
            <w:vAlign w:val="center"/>
          </w:tcPr>
          <w:p>
            <w:pPr>
              <w:jc w:val="center"/>
              <w:rPr>
                <w:rFonts w:ascii="Times New Roman" w:hAnsi="Times New Roman" w:cs="Times New Roman"/>
                <w:b/>
                <w:szCs w:val="21"/>
              </w:rPr>
            </w:pPr>
            <w:r>
              <w:rPr>
                <w:rFonts w:ascii="Times New Roman" w:hAnsi="Times New Roman" w:cs="Times New Roman"/>
                <w:b/>
                <w:szCs w:val="21"/>
              </w:rPr>
              <w:t>点位编号</w:t>
            </w:r>
          </w:p>
        </w:tc>
        <w:tc>
          <w:tcPr>
            <w:tcW w:w="846" w:type="pct"/>
            <w:shd w:val="clear" w:color="auto" w:fill="auto"/>
            <w:vAlign w:val="center"/>
          </w:tcPr>
          <w:p>
            <w:pPr>
              <w:jc w:val="center"/>
              <w:rPr>
                <w:rFonts w:ascii="Times New Roman" w:hAnsi="Times New Roman" w:cs="Times New Roman"/>
                <w:b/>
                <w:szCs w:val="21"/>
              </w:rPr>
            </w:pPr>
            <w:r>
              <w:rPr>
                <w:rFonts w:ascii="Times New Roman" w:hAnsi="Times New Roman" w:cs="Times New Roman"/>
                <w:b/>
                <w:szCs w:val="21"/>
              </w:rPr>
              <w:t>点位名称</w:t>
            </w:r>
          </w:p>
        </w:tc>
        <w:tc>
          <w:tcPr>
            <w:tcW w:w="1999" w:type="pct"/>
            <w:shd w:val="clear" w:color="auto" w:fill="auto"/>
            <w:vAlign w:val="center"/>
          </w:tcPr>
          <w:p>
            <w:pPr>
              <w:jc w:val="center"/>
              <w:rPr>
                <w:rFonts w:ascii="Times New Roman" w:hAnsi="Times New Roman" w:cs="Times New Roman"/>
                <w:b/>
                <w:szCs w:val="21"/>
              </w:rPr>
            </w:pPr>
            <w:r>
              <w:rPr>
                <w:rFonts w:ascii="Times New Roman" w:hAnsi="Times New Roman" w:cs="Times New Roman"/>
                <w:b/>
                <w:szCs w:val="21"/>
              </w:rPr>
              <w:t>监测指标</w:t>
            </w:r>
          </w:p>
        </w:tc>
        <w:tc>
          <w:tcPr>
            <w:tcW w:w="857" w:type="pct"/>
            <w:shd w:val="clear" w:color="auto" w:fill="auto"/>
            <w:vAlign w:val="center"/>
          </w:tcPr>
          <w:p>
            <w:pPr>
              <w:jc w:val="center"/>
              <w:rPr>
                <w:rFonts w:ascii="Times New Roman" w:hAnsi="Times New Roman" w:cs="Times New Roman"/>
                <w:szCs w:val="21"/>
              </w:rPr>
            </w:pPr>
            <w:r>
              <w:rPr>
                <w:rFonts w:hint="eastAsia" w:ascii="Times New Roman" w:hAnsi="Times New Roman" w:cs="Times New Roman"/>
                <w:b/>
                <w:szCs w:val="21"/>
              </w:rPr>
              <w:t>采样</w:t>
            </w:r>
            <w:r>
              <w:rPr>
                <w:rFonts w:ascii="Times New Roman" w:hAnsi="Times New Roman" w:cs="Times New Roman"/>
                <w:b/>
                <w:szCs w:val="21"/>
              </w:rPr>
              <w:t>深度</w:t>
            </w:r>
          </w:p>
        </w:tc>
        <w:tc>
          <w:tcPr>
            <w:tcW w:w="741" w:type="pct"/>
            <w:vAlign w:val="center"/>
          </w:tcPr>
          <w:p>
            <w:pPr>
              <w:jc w:val="center"/>
              <w:rPr>
                <w:rFonts w:ascii="Times New Roman" w:hAnsi="Times New Roman" w:cs="Times New Roman"/>
                <w:b/>
                <w:szCs w:val="21"/>
              </w:rPr>
            </w:pPr>
            <w:r>
              <w:rPr>
                <w:rFonts w:hint="eastAsia" w:ascii="Times New Roman" w:hAnsi="Times New Roman" w:cs="Times New Roman"/>
                <w:b/>
                <w:szCs w:val="21"/>
              </w:rPr>
              <w:t>采样个数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6"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TR1#</w:t>
            </w:r>
          </w:p>
        </w:tc>
        <w:tc>
          <w:tcPr>
            <w:tcW w:w="846"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主厂房南侧</w:t>
            </w:r>
          </w:p>
        </w:tc>
        <w:tc>
          <w:tcPr>
            <w:tcW w:w="1999" w:type="pct"/>
            <w:shd w:val="clear" w:color="auto" w:fill="auto"/>
            <w:vAlign w:val="center"/>
          </w:tcPr>
          <w:p>
            <w:pPr>
              <w:jc w:val="left"/>
              <w:rPr>
                <w:rFonts w:ascii="Times New Roman" w:hAnsi="Times New Roman" w:cs="Times New Roman"/>
                <w:szCs w:val="21"/>
              </w:rPr>
            </w:pPr>
            <w:r>
              <w:rPr>
                <w:rFonts w:ascii="Times New Roman" w:hAnsi="Times New Roman" w:cs="Times New Roman"/>
                <w:szCs w:val="21"/>
              </w:rPr>
              <w:t>pH+GB 36600-2018表1中45项+钴、钒、锑、铍+</w:t>
            </w:r>
            <w:r>
              <w:rPr>
                <w:rFonts w:ascii="Times New Roman" w:hAnsi="Times New Roman" w:cs="Times New Roman"/>
                <w:bCs/>
                <w:szCs w:val="21"/>
              </w:rPr>
              <w:t>石油烃（C</w:t>
            </w:r>
            <w:r>
              <w:rPr>
                <w:rFonts w:ascii="Times New Roman" w:hAnsi="Times New Roman" w:cs="Times New Roman"/>
                <w:bCs/>
                <w:szCs w:val="21"/>
                <w:vertAlign w:val="subscript"/>
              </w:rPr>
              <w:t>10</w:t>
            </w:r>
            <w:r>
              <w:rPr>
                <w:rFonts w:ascii="Times New Roman" w:hAnsi="Times New Roman" w:cs="Times New Roman"/>
                <w:bCs/>
                <w:szCs w:val="21"/>
              </w:rPr>
              <w:t>-C</w:t>
            </w:r>
            <w:r>
              <w:rPr>
                <w:rFonts w:ascii="Times New Roman" w:hAnsi="Times New Roman" w:cs="Times New Roman"/>
                <w:bCs/>
                <w:szCs w:val="21"/>
                <w:vertAlign w:val="subscript"/>
              </w:rPr>
              <w:t>40</w:t>
            </w:r>
            <w:r>
              <w:rPr>
                <w:rFonts w:ascii="Times New Roman" w:hAnsi="Times New Roman" w:cs="Times New Roman"/>
                <w:bCs/>
                <w:szCs w:val="21"/>
              </w:rPr>
              <w:t>）</w:t>
            </w:r>
          </w:p>
        </w:tc>
        <w:tc>
          <w:tcPr>
            <w:tcW w:w="857" w:type="pct"/>
            <w:vMerge w:val="restar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表层土壤0.2m</w:t>
            </w:r>
          </w:p>
        </w:tc>
        <w:tc>
          <w:tcPr>
            <w:tcW w:w="741" w:type="pct"/>
            <w:vAlign w:val="center"/>
          </w:tcPr>
          <w:p>
            <w:pPr>
              <w:jc w:val="center"/>
              <w:rPr>
                <w:rFonts w:ascii="Times New Roman" w:hAnsi="Times New Roman" w:cs="Times New Roman"/>
                <w:szCs w:val="21"/>
              </w:rPr>
            </w:pPr>
            <w:r>
              <w:rPr>
                <w:rFonts w:hint="eastAsia" w:ascii="Times New Roman" w:hAnsi="Times New Roman" w:cs="Times New Roman"/>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6"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TR2#</w:t>
            </w:r>
          </w:p>
        </w:tc>
        <w:tc>
          <w:tcPr>
            <w:tcW w:w="846"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主厂房西侧</w:t>
            </w:r>
          </w:p>
        </w:tc>
        <w:tc>
          <w:tcPr>
            <w:tcW w:w="1999" w:type="pct"/>
            <w:shd w:val="clear" w:color="auto" w:fill="auto"/>
            <w:vAlign w:val="center"/>
          </w:tcPr>
          <w:p>
            <w:pPr>
              <w:pStyle w:val="2"/>
              <w:spacing w:line="240" w:lineRule="auto"/>
              <w:rPr>
                <w:rFonts w:cs="Times New Roman"/>
                <w:szCs w:val="21"/>
              </w:rPr>
            </w:pPr>
            <w:r>
              <w:rPr>
                <w:rFonts w:cs="Times New Roman"/>
                <w:color w:val="auto"/>
                <w:szCs w:val="21"/>
              </w:rPr>
              <w:t>pH、镉、铅、六价铬、铜、锌、镍、汞、砷、钴、钒、锑、铍、</w:t>
            </w:r>
            <w:r>
              <w:rPr>
                <w:rFonts w:cs="Times New Roman"/>
                <w:bCs/>
                <w:color w:val="auto"/>
                <w:szCs w:val="21"/>
              </w:rPr>
              <w:t>二噁英类</w:t>
            </w:r>
          </w:p>
        </w:tc>
        <w:tc>
          <w:tcPr>
            <w:tcW w:w="857" w:type="pct"/>
            <w:vMerge w:val="continue"/>
            <w:shd w:val="clear" w:color="auto" w:fill="auto"/>
            <w:vAlign w:val="center"/>
          </w:tcPr>
          <w:p>
            <w:pPr>
              <w:jc w:val="center"/>
              <w:rPr>
                <w:rFonts w:ascii="Times New Roman" w:hAnsi="Times New Roman" w:cs="Times New Roman"/>
                <w:szCs w:val="21"/>
              </w:rPr>
            </w:pPr>
          </w:p>
        </w:tc>
        <w:tc>
          <w:tcPr>
            <w:tcW w:w="741" w:type="pct"/>
            <w:vAlign w:val="center"/>
          </w:tcPr>
          <w:p>
            <w:pPr>
              <w:jc w:val="center"/>
              <w:rPr>
                <w:rFonts w:ascii="Times New Roman" w:hAnsi="Times New Roman" w:cs="Times New Roman"/>
                <w:szCs w:val="21"/>
              </w:rPr>
            </w:pPr>
            <w:r>
              <w:rPr>
                <w:rFonts w:hint="eastAsia" w:ascii="Times New Roman" w:hAnsi="Times New Roman" w:cs="Times New Roman"/>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6"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TR3#</w:t>
            </w:r>
          </w:p>
        </w:tc>
        <w:tc>
          <w:tcPr>
            <w:tcW w:w="846"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渗滤液处理站南侧</w:t>
            </w:r>
          </w:p>
        </w:tc>
        <w:tc>
          <w:tcPr>
            <w:tcW w:w="1999" w:type="pct"/>
            <w:shd w:val="clear" w:color="auto" w:fill="auto"/>
            <w:vAlign w:val="center"/>
          </w:tcPr>
          <w:p>
            <w:pPr>
              <w:jc w:val="left"/>
              <w:rPr>
                <w:rFonts w:ascii="Times New Roman" w:hAnsi="Times New Roman" w:cs="Times New Roman"/>
                <w:szCs w:val="21"/>
              </w:rPr>
            </w:pPr>
            <w:r>
              <w:rPr>
                <w:rFonts w:ascii="Times New Roman" w:hAnsi="Times New Roman" w:cs="Times New Roman"/>
                <w:szCs w:val="21"/>
              </w:rPr>
              <w:t>pH+GB 36600-2018表1中45项+钴、钒、锑、铍+</w:t>
            </w:r>
            <w:r>
              <w:rPr>
                <w:rFonts w:ascii="Times New Roman" w:hAnsi="Times New Roman" w:cs="Times New Roman"/>
                <w:bCs/>
                <w:szCs w:val="21"/>
              </w:rPr>
              <w:t>石油烃（C</w:t>
            </w:r>
            <w:r>
              <w:rPr>
                <w:rFonts w:ascii="Times New Roman" w:hAnsi="Times New Roman" w:cs="Times New Roman"/>
                <w:bCs/>
                <w:szCs w:val="21"/>
                <w:vertAlign w:val="subscript"/>
              </w:rPr>
              <w:t>10</w:t>
            </w:r>
            <w:r>
              <w:rPr>
                <w:rFonts w:ascii="Times New Roman" w:hAnsi="Times New Roman" w:cs="Times New Roman"/>
                <w:bCs/>
                <w:szCs w:val="21"/>
              </w:rPr>
              <w:t>-C</w:t>
            </w:r>
            <w:r>
              <w:rPr>
                <w:rFonts w:ascii="Times New Roman" w:hAnsi="Times New Roman" w:cs="Times New Roman"/>
                <w:bCs/>
                <w:szCs w:val="21"/>
                <w:vertAlign w:val="subscript"/>
              </w:rPr>
              <w:t>40</w:t>
            </w:r>
            <w:r>
              <w:rPr>
                <w:rFonts w:ascii="Times New Roman" w:hAnsi="Times New Roman" w:cs="Times New Roman"/>
                <w:bCs/>
                <w:szCs w:val="21"/>
              </w:rPr>
              <w:t>）</w:t>
            </w:r>
          </w:p>
        </w:tc>
        <w:tc>
          <w:tcPr>
            <w:tcW w:w="857" w:type="pct"/>
            <w:vMerge w:val="continue"/>
            <w:shd w:val="clear" w:color="auto" w:fill="auto"/>
            <w:vAlign w:val="center"/>
          </w:tcPr>
          <w:p>
            <w:pPr>
              <w:jc w:val="center"/>
              <w:rPr>
                <w:rFonts w:ascii="Times New Roman" w:hAnsi="Times New Roman" w:cs="Times New Roman"/>
                <w:szCs w:val="21"/>
              </w:rPr>
            </w:pPr>
          </w:p>
        </w:tc>
        <w:tc>
          <w:tcPr>
            <w:tcW w:w="741" w:type="pct"/>
            <w:vAlign w:val="center"/>
          </w:tcPr>
          <w:p>
            <w:pPr>
              <w:jc w:val="center"/>
              <w:rPr>
                <w:rFonts w:ascii="Times New Roman" w:hAnsi="Times New Roman" w:cs="Times New Roman"/>
                <w:szCs w:val="21"/>
              </w:rPr>
            </w:pPr>
            <w:r>
              <w:rPr>
                <w:rFonts w:hint="eastAsia" w:ascii="Times New Roman" w:hAnsi="Times New Roman" w:cs="Times New Roman"/>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6"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TR4#</w:t>
            </w:r>
          </w:p>
        </w:tc>
        <w:tc>
          <w:tcPr>
            <w:tcW w:w="846"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渗滤液处理站东侧</w:t>
            </w:r>
          </w:p>
        </w:tc>
        <w:tc>
          <w:tcPr>
            <w:tcW w:w="1999" w:type="pct"/>
            <w:shd w:val="clear" w:color="auto" w:fill="auto"/>
            <w:vAlign w:val="center"/>
          </w:tcPr>
          <w:p>
            <w:pPr>
              <w:rPr>
                <w:rFonts w:ascii="Times New Roman" w:hAnsi="Times New Roman" w:cs="Times New Roman"/>
                <w:szCs w:val="21"/>
              </w:rPr>
            </w:pPr>
            <w:r>
              <w:rPr>
                <w:rFonts w:ascii="Times New Roman" w:hAnsi="Times New Roman" w:cs="Times New Roman"/>
                <w:szCs w:val="21"/>
              </w:rPr>
              <w:t>pH+GB 36600-2018表1中45项+钴、钒、锑、铍+</w:t>
            </w:r>
            <w:r>
              <w:rPr>
                <w:rFonts w:ascii="Times New Roman" w:hAnsi="Times New Roman" w:cs="Times New Roman"/>
                <w:bCs/>
                <w:szCs w:val="21"/>
              </w:rPr>
              <w:t>石油烃（C</w:t>
            </w:r>
            <w:r>
              <w:rPr>
                <w:rFonts w:ascii="Times New Roman" w:hAnsi="Times New Roman" w:cs="Times New Roman"/>
                <w:bCs/>
                <w:szCs w:val="21"/>
                <w:vertAlign w:val="subscript"/>
              </w:rPr>
              <w:t>10</w:t>
            </w:r>
            <w:r>
              <w:rPr>
                <w:rFonts w:ascii="Times New Roman" w:hAnsi="Times New Roman" w:cs="Times New Roman"/>
                <w:bCs/>
                <w:szCs w:val="21"/>
              </w:rPr>
              <w:t>-C</w:t>
            </w:r>
            <w:r>
              <w:rPr>
                <w:rFonts w:ascii="Times New Roman" w:hAnsi="Times New Roman" w:cs="Times New Roman"/>
                <w:bCs/>
                <w:szCs w:val="21"/>
                <w:vertAlign w:val="subscript"/>
              </w:rPr>
              <w:t>40</w:t>
            </w:r>
            <w:r>
              <w:rPr>
                <w:rFonts w:ascii="Times New Roman" w:hAnsi="Times New Roman" w:cs="Times New Roman"/>
                <w:bCs/>
                <w:szCs w:val="21"/>
              </w:rPr>
              <w:t>）</w:t>
            </w:r>
          </w:p>
        </w:tc>
        <w:tc>
          <w:tcPr>
            <w:tcW w:w="857" w:type="pct"/>
            <w:vMerge w:val="continue"/>
            <w:shd w:val="clear" w:color="auto" w:fill="auto"/>
            <w:vAlign w:val="center"/>
          </w:tcPr>
          <w:p>
            <w:pPr>
              <w:jc w:val="center"/>
              <w:rPr>
                <w:rFonts w:ascii="Times New Roman" w:hAnsi="Times New Roman" w:cs="Times New Roman"/>
                <w:szCs w:val="21"/>
              </w:rPr>
            </w:pPr>
          </w:p>
        </w:tc>
        <w:tc>
          <w:tcPr>
            <w:tcW w:w="741" w:type="pct"/>
            <w:vAlign w:val="center"/>
          </w:tcPr>
          <w:p>
            <w:pPr>
              <w:jc w:val="center"/>
              <w:rPr>
                <w:rFonts w:ascii="Times New Roman" w:hAnsi="Times New Roman" w:cs="Times New Roman"/>
                <w:szCs w:val="21"/>
              </w:rPr>
            </w:pPr>
            <w:r>
              <w:rPr>
                <w:rFonts w:hint="eastAsia" w:ascii="Times New Roman" w:hAnsi="Times New Roman" w:cs="Times New Roman"/>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6"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TR5#</w:t>
            </w:r>
          </w:p>
        </w:tc>
        <w:tc>
          <w:tcPr>
            <w:tcW w:w="846"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飞灰固化及暂存间</w:t>
            </w:r>
          </w:p>
        </w:tc>
        <w:tc>
          <w:tcPr>
            <w:tcW w:w="1999" w:type="pct"/>
            <w:shd w:val="clear" w:color="auto" w:fill="auto"/>
            <w:vAlign w:val="center"/>
          </w:tcPr>
          <w:p>
            <w:pPr>
              <w:rPr>
                <w:rFonts w:ascii="Times New Roman" w:hAnsi="Times New Roman" w:cs="Times New Roman"/>
                <w:szCs w:val="21"/>
              </w:rPr>
            </w:pPr>
            <w:r>
              <w:rPr>
                <w:rFonts w:ascii="Times New Roman" w:hAnsi="Times New Roman" w:cs="Times New Roman"/>
                <w:szCs w:val="21"/>
              </w:rPr>
              <w:t>pH、镉、铅、六价铬、铜、锌、镍、汞、砷、钴、钒、锑、铍、</w:t>
            </w:r>
            <w:r>
              <w:rPr>
                <w:rFonts w:ascii="Times New Roman" w:hAnsi="Times New Roman" w:cs="Times New Roman"/>
                <w:bCs/>
                <w:szCs w:val="21"/>
              </w:rPr>
              <w:t>二噁英类</w:t>
            </w:r>
          </w:p>
        </w:tc>
        <w:tc>
          <w:tcPr>
            <w:tcW w:w="857" w:type="pct"/>
            <w:vMerge w:val="continue"/>
            <w:shd w:val="clear" w:color="auto" w:fill="auto"/>
            <w:vAlign w:val="center"/>
          </w:tcPr>
          <w:p>
            <w:pPr>
              <w:jc w:val="center"/>
              <w:rPr>
                <w:rFonts w:ascii="Times New Roman" w:hAnsi="Times New Roman" w:cs="Times New Roman"/>
                <w:szCs w:val="21"/>
              </w:rPr>
            </w:pPr>
          </w:p>
        </w:tc>
        <w:tc>
          <w:tcPr>
            <w:tcW w:w="741" w:type="pct"/>
            <w:vAlign w:val="center"/>
          </w:tcPr>
          <w:p>
            <w:pPr>
              <w:jc w:val="center"/>
              <w:rPr>
                <w:rFonts w:ascii="Times New Roman" w:hAnsi="Times New Roman" w:cs="Times New Roman"/>
                <w:szCs w:val="21"/>
              </w:rPr>
            </w:pPr>
            <w:r>
              <w:rPr>
                <w:rFonts w:hint="eastAsia" w:ascii="Times New Roman" w:hAnsi="Times New Roman" w:cs="Times New Roman"/>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6" w:type="pct"/>
            <w:shd w:val="clear" w:color="auto" w:fill="auto"/>
            <w:vAlign w:val="center"/>
          </w:tcPr>
          <w:p>
            <w:pPr>
              <w:jc w:val="center"/>
              <w:rPr>
                <w:rFonts w:ascii="Times New Roman" w:hAnsi="Times New Roman" w:cs="Times New Roman"/>
                <w:bCs/>
                <w:spacing w:val="-1"/>
                <w:kern w:val="0"/>
                <w:szCs w:val="21"/>
              </w:rPr>
            </w:pPr>
            <w:r>
              <w:rPr>
                <w:rFonts w:ascii="Times New Roman" w:hAnsi="Times New Roman" w:eastAsia="宋体" w:cs="Times New Roman"/>
                <w:bCs/>
                <w:spacing w:val="-1"/>
                <w:kern w:val="0"/>
                <w:szCs w:val="21"/>
              </w:rPr>
              <w:t>TR6#</w:t>
            </w:r>
          </w:p>
        </w:tc>
        <w:tc>
          <w:tcPr>
            <w:tcW w:w="846"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危废暂存间</w:t>
            </w:r>
          </w:p>
        </w:tc>
        <w:tc>
          <w:tcPr>
            <w:tcW w:w="1999" w:type="pct"/>
            <w:shd w:val="clear" w:color="auto" w:fill="auto"/>
            <w:vAlign w:val="center"/>
          </w:tcPr>
          <w:p>
            <w:pPr>
              <w:rPr>
                <w:rFonts w:ascii="Times New Roman" w:hAnsi="Times New Roman" w:cs="Times New Roman"/>
                <w:szCs w:val="21"/>
              </w:rPr>
            </w:pPr>
            <w:r>
              <w:rPr>
                <w:rFonts w:ascii="Times New Roman" w:hAnsi="Times New Roman" w:cs="Times New Roman"/>
                <w:szCs w:val="21"/>
              </w:rPr>
              <w:t>pH、镉、铅、六价铬、铜、锌、镍、汞、砷、钴、钒、锑、铍、</w:t>
            </w:r>
            <w:r>
              <w:rPr>
                <w:rFonts w:ascii="Times New Roman" w:hAnsi="Times New Roman" w:cs="Times New Roman"/>
                <w:bCs/>
                <w:szCs w:val="21"/>
              </w:rPr>
              <w:t>石油烃（C</w:t>
            </w:r>
            <w:r>
              <w:rPr>
                <w:rFonts w:ascii="Times New Roman" w:hAnsi="Times New Roman" w:cs="Times New Roman"/>
                <w:bCs/>
                <w:szCs w:val="21"/>
                <w:vertAlign w:val="subscript"/>
              </w:rPr>
              <w:t>10</w:t>
            </w:r>
            <w:r>
              <w:rPr>
                <w:rFonts w:ascii="Times New Roman" w:hAnsi="Times New Roman" w:cs="Times New Roman"/>
                <w:bCs/>
                <w:szCs w:val="21"/>
              </w:rPr>
              <w:t>-C</w:t>
            </w:r>
            <w:r>
              <w:rPr>
                <w:rFonts w:ascii="Times New Roman" w:hAnsi="Times New Roman" w:cs="Times New Roman"/>
                <w:bCs/>
                <w:szCs w:val="21"/>
                <w:vertAlign w:val="subscript"/>
              </w:rPr>
              <w:t>40</w:t>
            </w:r>
            <w:r>
              <w:rPr>
                <w:rFonts w:ascii="Times New Roman" w:hAnsi="Times New Roman" w:cs="Times New Roman"/>
                <w:bCs/>
                <w:szCs w:val="21"/>
              </w:rPr>
              <w:t>）</w:t>
            </w:r>
          </w:p>
        </w:tc>
        <w:tc>
          <w:tcPr>
            <w:tcW w:w="857" w:type="pct"/>
            <w:vMerge w:val="continue"/>
            <w:shd w:val="clear" w:color="auto" w:fill="auto"/>
            <w:vAlign w:val="center"/>
          </w:tcPr>
          <w:p>
            <w:pPr>
              <w:jc w:val="center"/>
              <w:rPr>
                <w:rFonts w:ascii="Times New Roman" w:hAnsi="Times New Roman" w:cs="Times New Roman"/>
                <w:szCs w:val="21"/>
              </w:rPr>
            </w:pPr>
          </w:p>
        </w:tc>
        <w:tc>
          <w:tcPr>
            <w:tcW w:w="741" w:type="pct"/>
            <w:vAlign w:val="center"/>
          </w:tcPr>
          <w:p>
            <w:pPr>
              <w:jc w:val="center"/>
              <w:rPr>
                <w:rFonts w:ascii="Times New Roman" w:hAnsi="Times New Roman" w:cs="Times New Roman"/>
                <w:szCs w:val="21"/>
              </w:rPr>
            </w:pPr>
            <w:r>
              <w:rPr>
                <w:rFonts w:hint="eastAsia" w:ascii="Times New Roman" w:hAnsi="Times New Roman" w:cs="Times New Roman"/>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6"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TR7#</w:t>
            </w:r>
          </w:p>
        </w:tc>
        <w:tc>
          <w:tcPr>
            <w:tcW w:w="846"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油库</w:t>
            </w:r>
          </w:p>
        </w:tc>
        <w:tc>
          <w:tcPr>
            <w:tcW w:w="1999" w:type="pct"/>
            <w:shd w:val="clear" w:color="auto" w:fill="auto"/>
            <w:vAlign w:val="center"/>
          </w:tcPr>
          <w:p>
            <w:pPr>
              <w:rPr>
                <w:rFonts w:ascii="Times New Roman" w:hAnsi="Times New Roman" w:cs="Times New Roman"/>
                <w:szCs w:val="21"/>
              </w:rPr>
            </w:pPr>
            <w:r>
              <w:rPr>
                <w:rFonts w:ascii="Times New Roman" w:hAnsi="Times New Roman" w:cs="Times New Roman"/>
                <w:szCs w:val="21"/>
              </w:rPr>
              <w:t>pH、镉、铅、六价铬、铜、锌、镍、汞、砷、钴、钒、锑、铍、</w:t>
            </w:r>
            <w:r>
              <w:rPr>
                <w:rFonts w:ascii="Times New Roman" w:hAnsi="Times New Roman" w:cs="Times New Roman"/>
                <w:bCs/>
                <w:szCs w:val="21"/>
              </w:rPr>
              <w:t>石油烃（C</w:t>
            </w:r>
            <w:r>
              <w:rPr>
                <w:rFonts w:ascii="Times New Roman" w:hAnsi="Times New Roman" w:cs="Times New Roman"/>
                <w:bCs/>
                <w:szCs w:val="21"/>
                <w:vertAlign w:val="subscript"/>
              </w:rPr>
              <w:t>10</w:t>
            </w:r>
            <w:r>
              <w:rPr>
                <w:rFonts w:ascii="Times New Roman" w:hAnsi="Times New Roman" w:cs="Times New Roman"/>
                <w:bCs/>
                <w:szCs w:val="21"/>
              </w:rPr>
              <w:t>-C</w:t>
            </w:r>
            <w:r>
              <w:rPr>
                <w:rFonts w:ascii="Times New Roman" w:hAnsi="Times New Roman" w:cs="Times New Roman"/>
                <w:bCs/>
                <w:szCs w:val="21"/>
                <w:vertAlign w:val="subscript"/>
              </w:rPr>
              <w:t>40</w:t>
            </w:r>
            <w:r>
              <w:rPr>
                <w:rFonts w:ascii="Times New Roman" w:hAnsi="Times New Roman" w:cs="Times New Roman"/>
                <w:bCs/>
                <w:szCs w:val="21"/>
              </w:rPr>
              <w:t>）</w:t>
            </w:r>
          </w:p>
        </w:tc>
        <w:tc>
          <w:tcPr>
            <w:tcW w:w="857" w:type="pct"/>
            <w:vMerge w:val="continue"/>
            <w:shd w:val="clear" w:color="auto" w:fill="auto"/>
            <w:vAlign w:val="center"/>
          </w:tcPr>
          <w:p>
            <w:pPr>
              <w:jc w:val="center"/>
              <w:rPr>
                <w:rFonts w:ascii="Times New Roman" w:hAnsi="Times New Roman" w:cs="Times New Roman"/>
                <w:szCs w:val="21"/>
              </w:rPr>
            </w:pPr>
          </w:p>
        </w:tc>
        <w:tc>
          <w:tcPr>
            <w:tcW w:w="741" w:type="pct"/>
            <w:vAlign w:val="center"/>
          </w:tcPr>
          <w:p>
            <w:pPr>
              <w:jc w:val="center"/>
              <w:rPr>
                <w:rFonts w:ascii="Times New Roman" w:hAnsi="Times New Roman" w:cs="Times New Roman"/>
                <w:szCs w:val="21"/>
              </w:rPr>
            </w:pPr>
            <w:r>
              <w:rPr>
                <w:rFonts w:hint="eastAsia" w:ascii="Times New Roman" w:hAnsi="Times New Roman" w:cs="Times New Roman"/>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6"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TR8#</w:t>
            </w:r>
          </w:p>
        </w:tc>
        <w:tc>
          <w:tcPr>
            <w:tcW w:w="846" w:type="pct"/>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最大落地浓度点</w:t>
            </w:r>
          </w:p>
        </w:tc>
        <w:tc>
          <w:tcPr>
            <w:tcW w:w="1999" w:type="pct"/>
            <w:shd w:val="clear" w:color="auto" w:fill="auto"/>
            <w:vAlign w:val="center"/>
          </w:tcPr>
          <w:p>
            <w:pPr>
              <w:rPr>
                <w:rFonts w:ascii="Times New Roman" w:hAnsi="Times New Roman" w:cs="Times New Roman"/>
                <w:szCs w:val="21"/>
              </w:rPr>
            </w:pPr>
            <w:r>
              <w:rPr>
                <w:rFonts w:ascii="Times New Roman" w:hAnsi="Times New Roman" w:cs="Times New Roman"/>
                <w:szCs w:val="21"/>
              </w:rPr>
              <w:t>pH、镉、铅、六价铬、铜、锌、镍、汞、砷、钴、钒、锑、铍、</w:t>
            </w:r>
            <w:r>
              <w:rPr>
                <w:rFonts w:ascii="Times New Roman" w:hAnsi="Times New Roman" w:cs="Times New Roman"/>
                <w:bCs/>
                <w:szCs w:val="21"/>
              </w:rPr>
              <w:t>二噁英类</w:t>
            </w:r>
          </w:p>
        </w:tc>
        <w:tc>
          <w:tcPr>
            <w:tcW w:w="857" w:type="pct"/>
            <w:vMerge w:val="continue"/>
            <w:shd w:val="clear" w:color="auto" w:fill="auto"/>
            <w:vAlign w:val="center"/>
          </w:tcPr>
          <w:p>
            <w:pPr>
              <w:jc w:val="center"/>
              <w:rPr>
                <w:rFonts w:ascii="Times New Roman" w:hAnsi="Times New Roman" w:cs="Times New Roman"/>
                <w:szCs w:val="21"/>
              </w:rPr>
            </w:pPr>
          </w:p>
        </w:tc>
        <w:tc>
          <w:tcPr>
            <w:tcW w:w="741" w:type="pct"/>
            <w:vAlign w:val="center"/>
          </w:tcPr>
          <w:p>
            <w:pPr>
              <w:jc w:val="center"/>
              <w:rPr>
                <w:rFonts w:ascii="Times New Roman" w:hAnsi="Times New Roman" w:cs="Times New Roman"/>
                <w:szCs w:val="21"/>
              </w:rPr>
            </w:pPr>
            <w:r>
              <w:rPr>
                <w:rFonts w:hint="eastAsia" w:ascii="Times New Roman" w:hAnsi="Times New Roman" w:cs="Times New Roman"/>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6" w:type="pct"/>
            <w:vAlign w:val="center"/>
          </w:tcPr>
          <w:p>
            <w:pPr>
              <w:jc w:val="center"/>
              <w:rPr>
                <w:rFonts w:ascii="Times New Roman" w:hAnsi="Times New Roman" w:cs="Times New Roman"/>
                <w:szCs w:val="21"/>
              </w:rPr>
            </w:pPr>
            <w:r>
              <w:rPr>
                <w:rFonts w:ascii="Times New Roman" w:hAnsi="Times New Roman" w:cs="Times New Roman"/>
                <w:szCs w:val="21"/>
              </w:rPr>
              <w:t>BJTR</w:t>
            </w:r>
          </w:p>
        </w:tc>
        <w:tc>
          <w:tcPr>
            <w:tcW w:w="846" w:type="pct"/>
            <w:vAlign w:val="center"/>
          </w:tcPr>
          <w:p>
            <w:pPr>
              <w:jc w:val="center"/>
              <w:rPr>
                <w:rFonts w:ascii="Times New Roman" w:hAnsi="Times New Roman" w:cs="Times New Roman"/>
                <w:szCs w:val="21"/>
              </w:rPr>
            </w:pPr>
            <w:r>
              <w:rPr>
                <w:rFonts w:ascii="Times New Roman" w:hAnsi="Times New Roman" w:cs="Times New Roman"/>
                <w:szCs w:val="21"/>
              </w:rPr>
              <w:t>土壤背景</w:t>
            </w:r>
          </w:p>
        </w:tc>
        <w:tc>
          <w:tcPr>
            <w:tcW w:w="1999" w:type="pct"/>
          </w:tcPr>
          <w:p>
            <w:pPr>
              <w:rPr>
                <w:rFonts w:ascii="Times New Roman" w:hAnsi="Times New Roman" w:cs="Times New Roman"/>
                <w:szCs w:val="21"/>
              </w:rPr>
            </w:pPr>
            <w:r>
              <w:rPr>
                <w:rFonts w:ascii="Times New Roman" w:hAnsi="Times New Roman" w:cs="Times New Roman"/>
                <w:szCs w:val="21"/>
              </w:rPr>
              <w:t>pH、镉、铅、六价铬、铜、锌、镍、汞、砷、钴、钒、锑、铍</w:t>
            </w:r>
          </w:p>
        </w:tc>
        <w:tc>
          <w:tcPr>
            <w:tcW w:w="857" w:type="pct"/>
            <w:vMerge w:val="continue"/>
            <w:shd w:val="clear" w:color="auto" w:fill="auto"/>
          </w:tcPr>
          <w:p>
            <w:pPr>
              <w:jc w:val="center"/>
              <w:rPr>
                <w:rFonts w:ascii="Times New Roman" w:hAnsi="Times New Roman" w:cs="Times New Roman"/>
                <w:szCs w:val="21"/>
              </w:rPr>
            </w:pPr>
          </w:p>
        </w:tc>
        <w:tc>
          <w:tcPr>
            <w:tcW w:w="741" w:type="pct"/>
            <w:vAlign w:val="center"/>
          </w:tcPr>
          <w:p>
            <w:pPr>
              <w:jc w:val="center"/>
              <w:rPr>
                <w:rFonts w:ascii="Times New Roman" w:hAnsi="Times New Roman" w:cs="Times New Roman"/>
                <w:szCs w:val="21"/>
              </w:rPr>
            </w:pPr>
            <w:r>
              <w:rPr>
                <w:rFonts w:hint="eastAsia" w:ascii="Times New Roman" w:hAnsi="Times New Roman" w:cs="Times New Roman"/>
                <w:szCs w:val="21"/>
              </w:rPr>
              <w:t>1个</w:t>
            </w:r>
          </w:p>
        </w:tc>
      </w:tr>
    </w:tbl>
    <w:p>
      <w:pPr>
        <w:pStyle w:val="39"/>
        <w:numPr>
          <w:ilvl w:val="0"/>
          <w:numId w:val="9"/>
        </w:numPr>
        <w:ind w:firstLineChars="0"/>
        <w:jc w:val="center"/>
        <w:rPr>
          <w:rFonts w:cs="Times New Roman" w:eastAsiaTheme="minorEastAsia"/>
          <w:b/>
          <w:color w:val="000000" w:themeColor="text1"/>
          <w14:textFill>
            <w14:solidFill>
              <w14:schemeClr w14:val="tx1"/>
            </w14:solidFill>
          </w14:textFill>
        </w:rPr>
      </w:pPr>
      <w:r>
        <w:rPr>
          <w:rFonts w:cs="Times New Roman" w:eastAsiaTheme="minorEastAsia"/>
          <w:b/>
          <w:color w:val="000000" w:themeColor="text1"/>
          <w14:textFill>
            <w14:solidFill>
              <w14:schemeClr w14:val="tx1"/>
            </w14:solidFill>
          </w14:textFill>
        </w:rPr>
        <w:t>地下水监测点位</w:t>
      </w:r>
      <w:r>
        <w:rPr>
          <w:rFonts w:hint="eastAsia" w:cs="Times New Roman" w:eastAsiaTheme="minorEastAsia"/>
          <w:b/>
          <w:color w:val="000000" w:themeColor="text1"/>
          <w14:textFill>
            <w14:solidFill>
              <w14:schemeClr w14:val="tx1"/>
            </w14:solidFill>
          </w14:textFill>
        </w:rPr>
        <w:t>及监测项目</w:t>
      </w:r>
    </w:p>
    <w:tbl>
      <w:tblPr>
        <w:tblStyle w:val="16"/>
        <w:tblW w:w="4907"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2977"/>
        <w:gridCol w:w="1984"/>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2" w:type="pct"/>
            <w:vAlign w:val="center"/>
          </w:tcPr>
          <w:p>
            <w:pPr>
              <w:pStyle w:val="24"/>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点位编号</w:t>
            </w:r>
          </w:p>
        </w:tc>
        <w:tc>
          <w:tcPr>
            <w:tcW w:w="1780" w:type="pct"/>
            <w:vAlign w:val="center"/>
          </w:tcPr>
          <w:p>
            <w:pPr>
              <w:pStyle w:val="24"/>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监测</w:t>
            </w:r>
            <w:r>
              <w:rPr>
                <w:rFonts w:hint="eastAsia" w:ascii="Times New Roman" w:hAnsi="Times New Roman" w:eastAsia="宋体" w:cs="Times New Roman"/>
                <w:b/>
                <w:color w:val="000000" w:themeColor="text1"/>
                <w:szCs w:val="21"/>
                <w14:textFill>
                  <w14:solidFill>
                    <w14:schemeClr w14:val="tx1"/>
                  </w14:solidFill>
                </w14:textFill>
              </w:rPr>
              <w:t>指标</w:t>
            </w:r>
          </w:p>
        </w:tc>
        <w:tc>
          <w:tcPr>
            <w:tcW w:w="1186" w:type="pct"/>
            <w:vAlign w:val="center"/>
          </w:tcPr>
          <w:p>
            <w:pPr>
              <w:pStyle w:val="24"/>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采样</w:t>
            </w:r>
            <w:r>
              <w:rPr>
                <w:rFonts w:hint="eastAsia" w:ascii="Times New Roman" w:hAnsi="Times New Roman" w:eastAsia="宋体" w:cs="Times New Roman"/>
                <w:b/>
                <w:color w:val="000000" w:themeColor="text1"/>
                <w:szCs w:val="21"/>
                <w14:textFill>
                  <w14:solidFill>
                    <w14:schemeClr w14:val="tx1"/>
                  </w14:solidFill>
                </w14:textFill>
              </w:rPr>
              <w:t>深度</w:t>
            </w:r>
          </w:p>
        </w:tc>
        <w:tc>
          <w:tcPr>
            <w:tcW w:w="932" w:type="pct"/>
            <w:vAlign w:val="center"/>
          </w:tcPr>
          <w:p>
            <w:pPr>
              <w:pStyle w:val="24"/>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采样</w:t>
            </w:r>
            <w:r>
              <w:rPr>
                <w:rFonts w:hint="eastAsia" w:ascii="Times New Roman" w:hAnsi="Times New Roman" w:eastAsia="宋体" w:cs="Times New Roman"/>
                <w:b/>
                <w:color w:val="000000" w:themeColor="text1"/>
                <w:szCs w:val="21"/>
                <w14:textFill>
                  <w14:solidFill>
                    <w14:schemeClr w14:val="tx1"/>
                  </w14:solidFill>
                </w14:textFill>
              </w:rPr>
              <w:t>个数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2" w:type="pct"/>
            <w:vAlign w:val="center"/>
          </w:tcPr>
          <w:p>
            <w:pPr>
              <w:widowControl/>
              <w:jc w:val="center"/>
              <w:rPr>
                <w:rFonts w:ascii="Times New Roman" w:hAnsi="Times New Roman" w:eastAsia="宋体" w:cs="Times New Roman"/>
                <w:color w:val="FF0000"/>
                <w:szCs w:val="21"/>
              </w:rPr>
            </w:pPr>
            <w:r>
              <w:rPr>
                <w:rFonts w:cs="Times New Roman"/>
                <w:szCs w:val="21"/>
              </w:rPr>
              <w:t>1#</w:t>
            </w:r>
            <w:r>
              <w:rPr>
                <w:rFonts w:hint="eastAsia" w:cs="Times New Roman"/>
                <w:szCs w:val="21"/>
              </w:rPr>
              <w:t>地下水监测井</w:t>
            </w:r>
          </w:p>
        </w:tc>
        <w:tc>
          <w:tcPr>
            <w:tcW w:w="1780" w:type="pct"/>
            <w:vMerge w:val="restart"/>
            <w:vAlign w:val="center"/>
          </w:tcPr>
          <w:p>
            <w:pPr>
              <w:pStyle w:val="24"/>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《地下水质量标准》（GB/T 14848-2017）表1 基本项目（放射性指标和微生物指标除外）、镍、铍、锑、钡、钴、钼、铊</w:t>
            </w:r>
          </w:p>
        </w:tc>
        <w:tc>
          <w:tcPr>
            <w:tcW w:w="1186" w:type="pct"/>
            <w:vMerge w:val="restart"/>
            <w:vAlign w:val="center"/>
          </w:tcPr>
          <w:p>
            <w:pPr>
              <w:pStyle w:val="24"/>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Cs/>
                <w:color w:val="000000" w:themeColor="text1"/>
                <w14:textFill>
                  <w14:solidFill>
                    <w14:schemeClr w14:val="tx1"/>
                  </w14:solidFill>
                </w14:textFill>
              </w:rPr>
              <w:t>水面下0.5 m</w:t>
            </w:r>
          </w:p>
        </w:tc>
        <w:tc>
          <w:tcPr>
            <w:tcW w:w="932" w:type="pct"/>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102" w:type="pct"/>
            <w:vAlign w:val="center"/>
          </w:tcPr>
          <w:p>
            <w:pPr>
              <w:widowControl/>
              <w:jc w:val="center"/>
              <w:rPr>
                <w:rFonts w:ascii="Times New Roman" w:hAnsi="Times New Roman" w:eastAsia="宋体" w:cs="Times New Roman"/>
                <w:color w:val="FF0000"/>
                <w:szCs w:val="21"/>
              </w:rPr>
            </w:pPr>
            <w:r>
              <w:rPr>
                <w:rFonts w:hint="eastAsia" w:cs="Times New Roman"/>
                <w:szCs w:val="21"/>
              </w:rPr>
              <w:t>2</w:t>
            </w:r>
            <w:r>
              <w:rPr>
                <w:rFonts w:cs="Times New Roman"/>
                <w:szCs w:val="21"/>
              </w:rPr>
              <w:t>#</w:t>
            </w:r>
            <w:r>
              <w:rPr>
                <w:rFonts w:hint="eastAsia" w:cs="Times New Roman"/>
                <w:szCs w:val="21"/>
              </w:rPr>
              <w:t>地下水监测井</w:t>
            </w:r>
          </w:p>
        </w:tc>
        <w:tc>
          <w:tcPr>
            <w:tcW w:w="1780" w:type="pct"/>
            <w:vMerge w:val="continue"/>
            <w:vAlign w:val="center"/>
          </w:tcPr>
          <w:p>
            <w:pPr>
              <w:pStyle w:val="24"/>
              <w:jc w:val="both"/>
              <w:rPr>
                <w:rFonts w:ascii="Times New Roman" w:hAnsi="Times New Roman" w:eastAsia="宋体" w:cs="Times New Roman"/>
                <w:color w:val="000000" w:themeColor="text1"/>
                <w:szCs w:val="21"/>
                <w14:textFill>
                  <w14:solidFill>
                    <w14:schemeClr w14:val="tx1"/>
                  </w14:solidFill>
                </w14:textFill>
              </w:rPr>
            </w:pPr>
          </w:p>
        </w:tc>
        <w:tc>
          <w:tcPr>
            <w:tcW w:w="1186" w:type="pct"/>
            <w:vMerge w:val="continue"/>
            <w:vAlign w:val="center"/>
          </w:tcPr>
          <w:p>
            <w:pPr>
              <w:pStyle w:val="24"/>
              <w:jc w:val="both"/>
              <w:rPr>
                <w:rFonts w:ascii="Times New Roman" w:hAnsi="Times New Roman" w:eastAsia="宋体" w:cs="Times New Roman"/>
                <w:color w:val="000000" w:themeColor="text1"/>
                <w:szCs w:val="21"/>
                <w14:textFill>
                  <w14:solidFill>
                    <w14:schemeClr w14:val="tx1"/>
                  </w14:solidFill>
                </w14:textFill>
              </w:rPr>
            </w:pPr>
          </w:p>
        </w:tc>
        <w:tc>
          <w:tcPr>
            <w:tcW w:w="932" w:type="pct"/>
            <w:vAlign w:val="center"/>
          </w:tcPr>
          <w:p>
            <w:pPr>
              <w:pStyle w:val="24"/>
              <w:rPr>
                <w:rFonts w:ascii="Times New Roman" w:hAnsi="Times New Roman" w:eastAsia="宋体" w:cs="Times New Roman"/>
                <w:color w:val="FF0000"/>
                <w:szCs w:val="21"/>
              </w:rPr>
            </w:pPr>
            <w:r>
              <w:rPr>
                <w:rFonts w:hint="eastAsia" w:ascii="Times New Roman" w:hAnsi="Times New Roman" w:eastAsia="宋体" w:cs="Times New Roman"/>
                <w:bCs/>
                <w:color w:val="000000" w:themeColor="text1"/>
                <w14:textFill>
                  <w14:solidFill>
                    <w14:schemeClr w14:val="tx1"/>
                  </w14:solidFill>
                </w14:textFill>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2" w:type="pct"/>
            <w:vAlign w:val="center"/>
          </w:tcPr>
          <w:p>
            <w:pPr>
              <w:widowControl/>
              <w:jc w:val="center"/>
              <w:rPr>
                <w:rFonts w:ascii="Times New Roman" w:hAnsi="Times New Roman" w:eastAsia="宋体" w:cs="Times New Roman"/>
                <w:color w:val="FF0000"/>
                <w:szCs w:val="21"/>
              </w:rPr>
            </w:pPr>
            <w:r>
              <w:rPr>
                <w:rFonts w:hint="eastAsia" w:cs="Times New Roman"/>
                <w:szCs w:val="21"/>
              </w:rPr>
              <w:t>3</w:t>
            </w:r>
            <w:r>
              <w:rPr>
                <w:rFonts w:cs="Times New Roman"/>
                <w:szCs w:val="21"/>
              </w:rPr>
              <w:t>#</w:t>
            </w:r>
            <w:r>
              <w:rPr>
                <w:rFonts w:hint="eastAsia" w:cs="Times New Roman"/>
                <w:szCs w:val="21"/>
              </w:rPr>
              <w:t>地下水监测井</w:t>
            </w:r>
          </w:p>
        </w:tc>
        <w:tc>
          <w:tcPr>
            <w:tcW w:w="1780" w:type="pct"/>
            <w:vMerge w:val="continue"/>
            <w:vAlign w:val="center"/>
          </w:tcPr>
          <w:p>
            <w:pPr>
              <w:pStyle w:val="24"/>
              <w:jc w:val="both"/>
              <w:rPr>
                <w:rFonts w:ascii="Times New Roman" w:hAnsi="Times New Roman" w:eastAsia="宋体" w:cs="Times New Roman"/>
                <w:bCs/>
                <w:color w:val="000000" w:themeColor="text1"/>
                <w14:textFill>
                  <w14:solidFill>
                    <w14:schemeClr w14:val="tx1"/>
                  </w14:solidFill>
                </w14:textFill>
              </w:rPr>
            </w:pPr>
          </w:p>
        </w:tc>
        <w:tc>
          <w:tcPr>
            <w:tcW w:w="1186" w:type="pct"/>
            <w:vMerge w:val="continue"/>
            <w:vAlign w:val="center"/>
          </w:tcPr>
          <w:p>
            <w:pPr>
              <w:pStyle w:val="24"/>
              <w:jc w:val="both"/>
              <w:rPr>
                <w:rFonts w:ascii="Times New Roman" w:hAnsi="Times New Roman" w:eastAsia="宋体" w:cs="Times New Roman"/>
                <w:color w:val="000000" w:themeColor="text1"/>
                <w:szCs w:val="21"/>
                <w14:textFill>
                  <w14:solidFill>
                    <w14:schemeClr w14:val="tx1"/>
                  </w14:solidFill>
                </w14:textFill>
              </w:rPr>
            </w:pPr>
          </w:p>
        </w:tc>
        <w:tc>
          <w:tcPr>
            <w:tcW w:w="932" w:type="pct"/>
            <w:vAlign w:val="center"/>
          </w:tcPr>
          <w:p>
            <w:pPr>
              <w:pStyle w:val="24"/>
              <w:rPr>
                <w:rFonts w:ascii="Times New Roman" w:hAnsi="Times New Roman" w:eastAsia="宋体" w:cs="Times New Roman"/>
                <w:color w:val="FF0000"/>
                <w:szCs w:val="21"/>
              </w:rPr>
            </w:pPr>
            <w:r>
              <w:rPr>
                <w:rFonts w:hint="eastAsia" w:ascii="Times New Roman" w:hAnsi="Times New Roman" w:eastAsia="宋体" w:cs="Times New Roman"/>
                <w:bCs/>
                <w:color w:val="000000" w:themeColor="text1"/>
                <w14:textFill>
                  <w14:solidFill>
                    <w14:schemeClr w14:val="tx1"/>
                  </w14:solidFill>
                </w14:textFill>
              </w:rPr>
              <w:t>1个</w:t>
            </w:r>
          </w:p>
        </w:tc>
      </w:tr>
    </w:tbl>
    <w:p>
      <w:pPr>
        <w:rPr>
          <w:rFonts w:ascii="Times New Roman" w:hAnsi="Times New Roman" w:cs="Times New Roman"/>
          <w:color w:val="FF0000"/>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ascii="Times New Roman" w:hAnsi="Times New Roman" w:cs="Times New Roman"/>
          <w:color w:val="FF0000"/>
        </w:rPr>
      </w:pPr>
      <w:r>
        <w:rPr>
          <w:rFonts w:cs="Times New Roman"/>
          <w:b/>
        </w:rPr>
        <mc:AlternateContent>
          <mc:Choice Requires="wps">
            <w:drawing>
              <wp:anchor distT="0" distB="0" distL="114300" distR="114300" simplePos="0" relativeHeight="251673600" behindDoc="0" locked="0" layoutInCell="1" allowOverlap="1">
                <wp:simplePos x="0" y="0"/>
                <wp:positionH relativeFrom="column">
                  <wp:posOffset>4978400</wp:posOffset>
                </wp:positionH>
                <wp:positionV relativeFrom="paragraph">
                  <wp:posOffset>3540760</wp:posOffset>
                </wp:positionV>
                <wp:extent cx="593725" cy="397510"/>
                <wp:effectExtent l="0" t="0" r="0" b="0"/>
                <wp:wrapNone/>
                <wp:docPr id="51" name="Text Box 8"/>
                <wp:cNvGraphicFramePr/>
                <a:graphic xmlns:a="http://schemas.openxmlformats.org/drawingml/2006/main">
                  <a:graphicData uri="http://schemas.microsoft.com/office/word/2010/wordprocessingShape">
                    <wps:wsp>
                      <wps:cNvSpPr txBox="1"/>
                      <wps:spPr bwMode="auto">
                        <a:xfrm>
                          <a:off x="0" y="0"/>
                          <a:ext cx="593725" cy="397510"/>
                        </a:xfrm>
                        <a:prstGeom prst="rect">
                          <a:avLst/>
                        </a:prstGeom>
                        <a:noFill/>
                        <a:ln>
                          <a:noFill/>
                        </a:ln>
                      </wps:spPr>
                      <wps:txbx>
                        <w:txbxContent>
                          <w:p>
                            <w:pPr>
                              <w:rPr>
                                <w:b/>
                                <w:bCs/>
                                <w:color w:val="FF0000"/>
                              </w:rPr>
                            </w:pPr>
                            <w:r>
                              <w:rPr>
                                <w:rFonts w:hint="eastAsia" w:ascii="宋体" w:hAnsi="宋体" w:eastAsia="宋体" w:cs="宋体"/>
                                <w:b/>
                                <w:bCs/>
                                <w:color w:val="FF0000"/>
                                <w:sz w:val="24"/>
                                <w:szCs w:val="24"/>
                              </w:rPr>
                              <w:t>◆</w:t>
                            </w:r>
                            <w:r>
                              <w:rPr>
                                <w:rFonts w:hint="eastAsia" w:cs="Times New Roman"/>
                                <w:b/>
                                <w:bCs/>
                                <w:color w:val="FF0000"/>
                                <w:sz w:val="24"/>
                                <w:szCs w:val="24"/>
                              </w:rPr>
                              <w:t>4</w:t>
                            </w:r>
                            <w:r>
                              <w:rPr>
                                <w:rFonts w:ascii="Times New Roman" w:hAnsi="Times New Roman" w:cs="Times New Roman"/>
                                <w:b/>
                                <w:bCs/>
                                <w:color w:val="FF0000"/>
                                <w:sz w:val="24"/>
                                <w:szCs w:val="24"/>
                              </w:rPr>
                              <w:t>#</w:t>
                            </w:r>
                          </w:p>
                        </w:txbxContent>
                      </wps:txbx>
                      <wps:bodyPr rot="0" vert="horz" wrap="square" lIns="91440" tIns="45720" rIns="91440" bIns="45720" anchor="t" anchorCtr="0" upright="1">
                        <a:noAutofit/>
                      </wps:bodyPr>
                    </wps:wsp>
                  </a:graphicData>
                </a:graphic>
              </wp:anchor>
            </w:drawing>
          </mc:Choice>
          <mc:Fallback>
            <w:pict>
              <v:shape id="Text Box 8" o:spid="_x0000_s1026" o:spt="202" type="#_x0000_t202" style="position:absolute;left:0pt;margin-left:392pt;margin-top:278.8pt;height:31.3pt;width:46.75pt;z-index:251673600;mso-width-relative:page;mso-height-relative:page;" filled="f" stroked="f" coordsize="21600,21600" o:gfxdata="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ZW9wtkAAAALAQAADwAAAAAAAAABACAAAAAiAAAAZHJzL2Rvd25yZXYueG1sUEsBAhQAFAAA&#10;AAgAh07iQAhcl2buAQAA5AMAAA4AAAAAAAAAAQAgAAAAKAEAAGRycy9lMm9Eb2MueG1sUEsFBgAA&#10;AAAGAAYAWQEAAIgFAAAAAA==&#10;">
                <v:fill on="f" focussize="0,0"/>
                <v:stroke on="f"/>
                <v:imagedata o:title=""/>
                <o:lock v:ext="edit" aspectratio="f"/>
                <v:textbox>
                  <w:txbxContent>
                    <w:p>
                      <w:pPr>
                        <w:rPr>
                          <w:b/>
                          <w:bCs/>
                          <w:color w:val="FF0000"/>
                        </w:rPr>
                      </w:pPr>
                      <w:r>
                        <w:rPr>
                          <w:rFonts w:hint="eastAsia" w:ascii="宋体" w:hAnsi="宋体" w:eastAsia="宋体" w:cs="宋体"/>
                          <w:b/>
                          <w:bCs/>
                          <w:color w:val="FF0000"/>
                          <w:sz w:val="24"/>
                          <w:szCs w:val="24"/>
                        </w:rPr>
                        <w:t>◆</w:t>
                      </w:r>
                      <w:r>
                        <w:rPr>
                          <w:rFonts w:hint="eastAsia" w:cs="Times New Roman"/>
                          <w:b/>
                          <w:bCs/>
                          <w:color w:val="FF0000"/>
                          <w:sz w:val="24"/>
                          <w:szCs w:val="24"/>
                        </w:rPr>
                        <w:t>4</w:t>
                      </w:r>
                      <w:r>
                        <w:rPr>
                          <w:rFonts w:ascii="Times New Roman" w:hAnsi="Times New Roman" w:cs="Times New Roman"/>
                          <w:b/>
                          <w:bCs/>
                          <w:color w:val="FF0000"/>
                          <w:sz w:val="24"/>
                          <w:szCs w:val="24"/>
                        </w:rPr>
                        <w:t>#</w:t>
                      </w:r>
                    </w:p>
                  </w:txbxContent>
                </v:textbox>
              </v:shape>
            </w:pict>
          </mc:Fallback>
        </mc:AlternateContent>
      </w:r>
      <w:r>
        <w:rPr>
          <w:rFonts w:cs="Times New Roman"/>
          <w:b/>
        </w:rPr>
        <mc:AlternateContent>
          <mc:Choice Requires="wps">
            <w:drawing>
              <wp:anchor distT="0" distB="0" distL="114300" distR="114300" simplePos="0" relativeHeight="251672576" behindDoc="0" locked="0" layoutInCell="1" allowOverlap="1">
                <wp:simplePos x="0" y="0"/>
                <wp:positionH relativeFrom="column">
                  <wp:posOffset>4354195</wp:posOffset>
                </wp:positionH>
                <wp:positionV relativeFrom="paragraph">
                  <wp:posOffset>3907790</wp:posOffset>
                </wp:positionV>
                <wp:extent cx="593725" cy="397510"/>
                <wp:effectExtent l="0" t="0" r="0" b="0"/>
                <wp:wrapNone/>
                <wp:docPr id="47" name="Text Box 6"/>
                <wp:cNvGraphicFramePr/>
                <a:graphic xmlns:a="http://schemas.openxmlformats.org/drawingml/2006/main">
                  <a:graphicData uri="http://schemas.microsoft.com/office/word/2010/wordprocessingShape">
                    <wps:wsp>
                      <wps:cNvSpPr txBox="1"/>
                      <wps:spPr bwMode="auto">
                        <a:xfrm>
                          <a:off x="0" y="0"/>
                          <a:ext cx="593725" cy="397510"/>
                        </a:xfrm>
                        <a:prstGeom prst="rect">
                          <a:avLst/>
                        </a:prstGeom>
                        <a:noFill/>
                        <a:ln>
                          <a:noFill/>
                        </a:ln>
                      </wps:spPr>
                      <wps:txbx>
                        <w:txbxContent>
                          <w:p>
                            <w:pPr>
                              <w:rPr>
                                <w:b/>
                                <w:bCs/>
                                <w:color w:val="FF0000"/>
                              </w:rPr>
                            </w:pPr>
                            <w:r>
                              <w:rPr>
                                <w:rFonts w:hint="eastAsia" w:ascii="宋体" w:hAnsi="宋体" w:eastAsia="宋体" w:cs="宋体"/>
                                <w:b/>
                                <w:bCs/>
                                <w:color w:val="FF0000"/>
                                <w:sz w:val="24"/>
                                <w:szCs w:val="24"/>
                              </w:rPr>
                              <w:t>◆</w:t>
                            </w:r>
                            <w:r>
                              <w:rPr>
                                <w:rFonts w:hint="eastAsia" w:cs="Times New Roman"/>
                                <w:b/>
                                <w:bCs/>
                                <w:color w:val="FF0000"/>
                                <w:sz w:val="24"/>
                                <w:szCs w:val="24"/>
                              </w:rPr>
                              <w:t>3</w:t>
                            </w:r>
                            <w:r>
                              <w:rPr>
                                <w:rFonts w:ascii="Times New Roman" w:hAnsi="Times New Roman" w:cs="Times New Roman"/>
                                <w:b/>
                                <w:bCs/>
                                <w:color w:val="FF0000"/>
                                <w:sz w:val="24"/>
                                <w:szCs w:val="24"/>
                              </w:rPr>
                              <w:t>#</w:t>
                            </w:r>
                          </w:p>
                        </w:txbxContent>
                      </wps:txbx>
                      <wps:bodyPr rot="0" vert="horz" wrap="square" lIns="91440" tIns="45720" rIns="91440" bIns="45720" anchor="t" anchorCtr="0" upright="1">
                        <a:noAutofit/>
                      </wps:bodyPr>
                    </wps:wsp>
                  </a:graphicData>
                </a:graphic>
              </wp:anchor>
            </w:drawing>
          </mc:Choice>
          <mc:Fallback>
            <w:pict>
              <v:shape id="Text Box 6" o:spid="_x0000_s1026" o:spt="202" type="#_x0000_t202" style="position:absolute;left:0pt;margin-left:342.85pt;margin-top:307.7pt;height:31.3pt;width:46.75pt;z-index:251672576;mso-width-relative:page;mso-height-relative:page;" filled="f" stroked="f" coordsize="21600,21600" o:gfxdata="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BVflR2AAAAAsBAAAPAAAAAAAAAAEAIAAAACIAAABkcnMvZG93bnJldi54bWxQSwECFAAUAAAA&#10;CACHTuJAf6xJue4BAADkAwAADgAAAAAAAAABACAAAAAnAQAAZHJzL2Uyb0RvYy54bWxQSwUGAAAA&#10;AAYABgBZAQAAhwUAAAAA&#10;">
                <v:fill on="f" focussize="0,0"/>
                <v:stroke on="f"/>
                <v:imagedata o:title=""/>
                <o:lock v:ext="edit" aspectratio="f"/>
                <v:textbox>
                  <w:txbxContent>
                    <w:p>
                      <w:pPr>
                        <w:rPr>
                          <w:b/>
                          <w:bCs/>
                          <w:color w:val="FF0000"/>
                        </w:rPr>
                      </w:pPr>
                      <w:r>
                        <w:rPr>
                          <w:rFonts w:hint="eastAsia" w:ascii="宋体" w:hAnsi="宋体" w:eastAsia="宋体" w:cs="宋体"/>
                          <w:b/>
                          <w:bCs/>
                          <w:color w:val="FF0000"/>
                          <w:sz w:val="24"/>
                          <w:szCs w:val="24"/>
                        </w:rPr>
                        <w:t>◆</w:t>
                      </w:r>
                      <w:r>
                        <w:rPr>
                          <w:rFonts w:hint="eastAsia" w:cs="Times New Roman"/>
                          <w:b/>
                          <w:bCs/>
                          <w:color w:val="FF0000"/>
                          <w:sz w:val="24"/>
                          <w:szCs w:val="24"/>
                        </w:rPr>
                        <w:t>3</w:t>
                      </w:r>
                      <w:r>
                        <w:rPr>
                          <w:rFonts w:ascii="Times New Roman" w:hAnsi="Times New Roman" w:cs="Times New Roman"/>
                          <w:b/>
                          <w:bCs/>
                          <w:color w:val="FF0000"/>
                          <w:sz w:val="24"/>
                          <w:szCs w:val="24"/>
                        </w:rPr>
                        <w:t>#</w:t>
                      </w:r>
                    </w:p>
                  </w:txbxContent>
                </v:textbox>
              </v:shape>
            </w:pict>
          </mc:Fallback>
        </mc:AlternateContent>
      </w:r>
      <w:r>
        <w:rPr>
          <w:rFonts w:cs="Times New Roman"/>
          <w:b/>
        </w:rPr>
        <mc:AlternateContent>
          <mc:Choice Requires="wps">
            <w:drawing>
              <wp:anchor distT="0" distB="0" distL="114300" distR="114300" simplePos="0" relativeHeight="251671552" behindDoc="0" locked="0" layoutInCell="1" allowOverlap="1">
                <wp:simplePos x="0" y="0"/>
                <wp:positionH relativeFrom="column">
                  <wp:posOffset>3261360</wp:posOffset>
                </wp:positionH>
                <wp:positionV relativeFrom="paragraph">
                  <wp:posOffset>3599815</wp:posOffset>
                </wp:positionV>
                <wp:extent cx="593725" cy="397510"/>
                <wp:effectExtent l="0" t="0" r="0" b="0"/>
                <wp:wrapNone/>
                <wp:docPr id="46" name="Text Box 4"/>
                <wp:cNvGraphicFramePr/>
                <a:graphic xmlns:a="http://schemas.openxmlformats.org/drawingml/2006/main">
                  <a:graphicData uri="http://schemas.microsoft.com/office/word/2010/wordprocessingShape">
                    <wps:wsp>
                      <wps:cNvSpPr txBox="1"/>
                      <wps:spPr bwMode="auto">
                        <a:xfrm>
                          <a:off x="0" y="0"/>
                          <a:ext cx="593725" cy="397510"/>
                        </a:xfrm>
                        <a:prstGeom prst="rect">
                          <a:avLst/>
                        </a:prstGeom>
                        <a:noFill/>
                        <a:ln>
                          <a:noFill/>
                        </a:ln>
                      </wps:spPr>
                      <wps:txbx>
                        <w:txbxContent>
                          <w:p>
                            <w:pPr>
                              <w:rPr>
                                <w:b/>
                                <w:bCs/>
                                <w:color w:val="FF0000"/>
                              </w:rPr>
                            </w:pPr>
                            <w:r>
                              <w:rPr>
                                <w:rFonts w:hint="eastAsia" w:ascii="宋体" w:hAnsi="宋体" w:eastAsia="宋体" w:cs="宋体"/>
                                <w:b/>
                                <w:bCs/>
                                <w:color w:val="FF0000"/>
                                <w:sz w:val="24"/>
                                <w:szCs w:val="24"/>
                              </w:rPr>
                              <w:t>◆</w:t>
                            </w:r>
                            <w:r>
                              <w:rPr>
                                <w:rFonts w:ascii="Times New Roman" w:hAnsi="Times New Roman" w:cs="Times New Roman"/>
                                <w:b/>
                                <w:bCs/>
                                <w:color w:val="FF0000"/>
                                <w:sz w:val="24"/>
                                <w:szCs w:val="24"/>
                              </w:rPr>
                              <w:t>1#</w:t>
                            </w:r>
                          </w:p>
                        </w:txbxContent>
                      </wps:txbx>
                      <wps:bodyPr rot="0" vert="horz" wrap="square" lIns="91440" tIns="45720" rIns="91440" bIns="45720" anchor="t" anchorCtr="0" upright="1">
                        <a:noAutofit/>
                      </wps:bodyPr>
                    </wps:wsp>
                  </a:graphicData>
                </a:graphic>
              </wp:anchor>
            </w:drawing>
          </mc:Choice>
          <mc:Fallback>
            <w:pict>
              <v:shape id="Text Box 4" o:spid="_x0000_s1026" o:spt="202" type="#_x0000_t202" style="position:absolute;left:0pt;margin-left:256.8pt;margin-top:283.45pt;height:31.3pt;width:46.75pt;z-index:251671552;mso-width-relative:page;mso-height-relative:page;" filled="f" stroked="f" coordsize="21600,21600" o:gfxdata="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cCdvTXAAAACwEAAA8AAAAAAAAAAQAgAAAAIgAAAGRycy9kb3ducmV2LnhtbFBLAQIUABQAAAAI&#10;AIdO4kC7fivP7gEAAOQDAAAOAAAAAAAAAAEAIAAAACYBAABkcnMvZTJvRG9jLnhtbFBLBQYAAAAA&#10;BgAGAFkBAACGBQAAAAA=&#10;">
                <v:fill on="f" focussize="0,0"/>
                <v:stroke on="f"/>
                <v:imagedata o:title=""/>
                <o:lock v:ext="edit" aspectratio="f"/>
                <v:textbox>
                  <w:txbxContent>
                    <w:p>
                      <w:pPr>
                        <w:rPr>
                          <w:b/>
                          <w:bCs/>
                          <w:color w:val="FF0000"/>
                        </w:rPr>
                      </w:pPr>
                      <w:r>
                        <w:rPr>
                          <w:rFonts w:hint="eastAsia" w:ascii="宋体" w:hAnsi="宋体" w:eastAsia="宋体" w:cs="宋体"/>
                          <w:b/>
                          <w:bCs/>
                          <w:color w:val="FF0000"/>
                          <w:sz w:val="24"/>
                          <w:szCs w:val="24"/>
                        </w:rPr>
                        <w:t>◆</w:t>
                      </w:r>
                      <w:r>
                        <w:rPr>
                          <w:rFonts w:ascii="Times New Roman" w:hAnsi="Times New Roman" w:cs="Times New Roman"/>
                          <w:b/>
                          <w:bCs/>
                          <w:color w:val="FF0000"/>
                          <w:sz w:val="24"/>
                          <w:szCs w:val="24"/>
                        </w:rPr>
                        <w:t>1#</w:t>
                      </w:r>
                    </w:p>
                  </w:txbxContent>
                </v:textbox>
              </v:shape>
            </w:pict>
          </mc:Fallback>
        </mc:AlternateContent>
      </w:r>
      <w:r>
        <w:rPr>
          <w:rFonts w:cs="Times New Roman"/>
          <w:b/>
        </w:rPr>
        <mc:AlternateContent>
          <mc:Choice Requires="wps">
            <w:drawing>
              <wp:anchor distT="0" distB="0" distL="114300" distR="114300" simplePos="0" relativeHeight="251670528" behindDoc="0" locked="0" layoutInCell="1" allowOverlap="1">
                <wp:simplePos x="0" y="0"/>
                <wp:positionH relativeFrom="column">
                  <wp:posOffset>2926715</wp:posOffset>
                </wp:positionH>
                <wp:positionV relativeFrom="paragraph">
                  <wp:posOffset>3887470</wp:posOffset>
                </wp:positionV>
                <wp:extent cx="593725" cy="397510"/>
                <wp:effectExtent l="0" t="0" r="0" b="0"/>
                <wp:wrapNone/>
                <wp:docPr id="43" name="Text Box 11"/>
                <wp:cNvGraphicFramePr/>
                <a:graphic xmlns:a="http://schemas.openxmlformats.org/drawingml/2006/main">
                  <a:graphicData uri="http://schemas.microsoft.com/office/word/2010/wordprocessingShape">
                    <wps:wsp>
                      <wps:cNvSpPr txBox="1"/>
                      <wps:spPr bwMode="auto">
                        <a:xfrm>
                          <a:off x="0" y="0"/>
                          <a:ext cx="593725" cy="397510"/>
                        </a:xfrm>
                        <a:prstGeom prst="rect">
                          <a:avLst/>
                        </a:prstGeom>
                        <a:noFill/>
                        <a:ln>
                          <a:noFill/>
                        </a:ln>
                      </wps:spPr>
                      <wps:txbx>
                        <w:txbxContent>
                          <w:p>
                            <w:pPr>
                              <w:rPr>
                                <w:b/>
                                <w:bCs/>
                                <w:color w:val="FF0000"/>
                              </w:rPr>
                            </w:pPr>
                            <w:r>
                              <w:rPr>
                                <w:rFonts w:hint="eastAsia" w:ascii="宋体" w:hAnsi="宋体" w:eastAsia="宋体" w:cs="宋体"/>
                                <w:b/>
                                <w:bCs/>
                                <w:color w:val="FF0000"/>
                                <w:sz w:val="24"/>
                                <w:szCs w:val="24"/>
                              </w:rPr>
                              <w:t>◆</w:t>
                            </w:r>
                            <w:r>
                              <w:rPr>
                                <w:rFonts w:hint="eastAsia" w:cs="Times New Roman"/>
                                <w:b/>
                                <w:bCs/>
                                <w:color w:val="FF0000"/>
                                <w:sz w:val="24"/>
                                <w:szCs w:val="24"/>
                              </w:rPr>
                              <w:t>6</w:t>
                            </w:r>
                            <w:r>
                              <w:rPr>
                                <w:rFonts w:ascii="Times New Roman" w:hAnsi="Times New Roman" w:cs="Times New Roman"/>
                                <w:b/>
                                <w:bCs/>
                                <w:color w:val="FF0000"/>
                                <w:sz w:val="24"/>
                                <w:szCs w:val="24"/>
                              </w:rPr>
                              <w:t>#</w:t>
                            </w:r>
                          </w:p>
                        </w:txbxContent>
                      </wps:txbx>
                      <wps:bodyPr rot="0" vert="horz" wrap="square" lIns="91440" tIns="45720" rIns="91440" bIns="45720" anchor="t" anchorCtr="0" upright="1">
                        <a:noAutofit/>
                      </wps:bodyPr>
                    </wps:wsp>
                  </a:graphicData>
                </a:graphic>
              </wp:anchor>
            </w:drawing>
          </mc:Choice>
          <mc:Fallback>
            <w:pict>
              <v:shape id="Text Box 11" o:spid="_x0000_s1026" o:spt="202" type="#_x0000_t202" style="position:absolute;left:0pt;margin-left:230.45pt;margin-top:306.1pt;height:31.3pt;width:46.75pt;z-index:251670528;mso-width-relative:page;mso-height-relative:page;" filled="f" stroked="f" coordsize="21600,21600" o:gfxdata="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nbO4p2AAAAAsBAAAPAAAAAAAAAAEAIAAAACIAAABkcnMvZG93bnJldi54bWxQSwECFAAUAAAA&#10;CACHTuJAk1q4Pe4BAADlAwAADgAAAAAAAAABACAAAAAnAQAAZHJzL2Uyb0RvYy54bWxQSwUGAAAA&#10;AAYABgBZAQAAhwUAAAAA&#10;">
                <v:fill on="f" focussize="0,0"/>
                <v:stroke on="f"/>
                <v:imagedata o:title=""/>
                <o:lock v:ext="edit" aspectratio="f"/>
                <v:textbox>
                  <w:txbxContent>
                    <w:p>
                      <w:pPr>
                        <w:rPr>
                          <w:b/>
                          <w:bCs/>
                          <w:color w:val="FF0000"/>
                        </w:rPr>
                      </w:pPr>
                      <w:r>
                        <w:rPr>
                          <w:rFonts w:hint="eastAsia" w:ascii="宋体" w:hAnsi="宋体" w:eastAsia="宋体" w:cs="宋体"/>
                          <w:b/>
                          <w:bCs/>
                          <w:color w:val="FF0000"/>
                          <w:sz w:val="24"/>
                          <w:szCs w:val="24"/>
                        </w:rPr>
                        <w:t>◆</w:t>
                      </w:r>
                      <w:r>
                        <w:rPr>
                          <w:rFonts w:hint="eastAsia" w:cs="Times New Roman"/>
                          <w:b/>
                          <w:bCs/>
                          <w:color w:val="FF0000"/>
                          <w:sz w:val="24"/>
                          <w:szCs w:val="24"/>
                        </w:rPr>
                        <w:t>6</w:t>
                      </w:r>
                      <w:r>
                        <w:rPr>
                          <w:rFonts w:ascii="Times New Roman" w:hAnsi="Times New Roman" w:cs="Times New Roman"/>
                          <w:b/>
                          <w:bCs/>
                          <w:color w:val="FF0000"/>
                          <w:sz w:val="24"/>
                          <w:szCs w:val="24"/>
                        </w:rPr>
                        <w:t>#</w:t>
                      </w:r>
                    </w:p>
                  </w:txbxContent>
                </v:textbox>
              </v:shape>
            </w:pict>
          </mc:Fallback>
        </mc:AlternateContent>
      </w:r>
      <w:r>
        <w:rPr>
          <w:rFonts w:cs="Times New Roman"/>
          <w:b/>
        </w:rPr>
        <mc:AlternateContent>
          <mc:Choice Requires="wps">
            <w:drawing>
              <wp:anchor distT="0" distB="0" distL="114300" distR="114300" simplePos="0" relativeHeight="251669504" behindDoc="0" locked="0" layoutInCell="1" allowOverlap="1">
                <wp:simplePos x="0" y="0"/>
                <wp:positionH relativeFrom="column">
                  <wp:posOffset>1906270</wp:posOffset>
                </wp:positionH>
                <wp:positionV relativeFrom="paragraph">
                  <wp:posOffset>3083560</wp:posOffset>
                </wp:positionV>
                <wp:extent cx="593725" cy="397510"/>
                <wp:effectExtent l="0" t="0" r="0" b="0"/>
                <wp:wrapNone/>
                <wp:docPr id="41" name="Text Box 5"/>
                <wp:cNvGraphicFramePr/>
                <a:graphic xmlns:a="http://schemas.openxmlformats.org/drawingml/2006/main">
                  <a:graphicData uri="http://schemas.microsoft.com/office/word/2010/wordprocessingShape">
                    <wps:wsp>
                      <wps:cNvSpPr txBox="1"/>
                      <wps:spPr bwMode="auto">
                        <a:xfrm>
                          <a:off x="0" y="0"/>
                          <a:ext cx="593725" cy="397510"/>
                        </a:xfrm>
                        <a:prstGeom prst="rect">
                          <a:avLst/>
                        </a:prstGeom>
                        <a:noFill/>
                        <a:ln>
                          <a:noFill/>
                        </a:ln>
                      </wps:spPr>
                      <wps:txbx>
                        <w:txbxContent>
                          <w:p>
                            <w:pPr>
                              <w:rPr>
                                <w:b/>
                                <w:bCs/>
                                <w:color w:val="FF0000"/>
                              </w:rPr>
                            </w:pPr>
                            <w:r>
                              <w:rPr>
                                <w:rFonts w:hint="eastAsia" w:ascii="宋体" w:hAnsi="宋体" w:eastAsia="宋体" w:cs="宋体"/>
                                <w:b/>
                                <w:bCs/>
                                <w:color w:val="FF0000"/>
                                <w:sz w:val="24"/>
                                <w:szCs w:val="24"/>
                              </w:rPr>
                              <w:t>◆</w:t>
                            </w:r>
                            <w:r>
                              <w:rPr>
                                <w:rFonts w:hint="eastAsia" w:cs="Times New Roman"/>
                                <w:b/>
                                <w:bCs/>
                                <w:color w:val="FF0000"/>
                                <w:sz w:val="24"/>
                                <w:szCs w:val="24"/>
                              </w:rPr>
                              <w:t>2</w:t>
                            </w:r>
                            <w:r>
                              <w:rPr>
                                <w:rFonts w:ascii="Times New Roman" w:hAnsi="Times New Roman" w:cs="Times New Roman"/>
                                <w:b/>
                                <w:bCs/>
                                <w:color w:val="FF0000"/>
                                <w:sz w:val="24"/>
                                <w:szCs w:val="24"/>
                              </w:rPr>
                              <w:t>#</w:t>
                            </w:r>
                          </w:p>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150.1pt;margin-top:242.8pt;height:31.3pt;width:46.75pt;z-index:251669504;mso-width-relative:page;mso-height-relative:page;" filled="f" stroked="f" coordsize="21600,21600" o:gfxdata="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IktL9kAAAALAQAADwAAAAAAAAABACAAAAAiAAAAZHJzL2Rvd25yZXYueG1sUEsBAhQAFAAA&#10;AAgAh07iQOBEVYXuAQAA5AMAAA4AAAAAAAAAAQAgAAAAKAEAAGRycy9lMm9Eb2MueG1sUEsFBgAA&#10;AAAGAAYAWQEAAIgFAAAAAA==&#10;">
                <v:fill on="f" focussize="0,0"/>
                <v:stroke on="f"/>
                <v:imagedata o:title=""/>
                <o:lock v:ext="edit" aspectratio="f"/>
                <v:textbox>
                  <w:txbxContent>
                    <w:p>
                      <w:pPr>
                        <w:rPr>
                          <w:b/>
                          <w:bCs/>
                          <w:color w:val="FF0000"/>
                        </w:rPr>
                      </w:pPr>
                      <w:r>
                        <w:rPr>
                          <w:rFonts w:hint="eastAsia" w:ascii="宋体" w:hAnsi="宋体" w:eastAsia="宋体" w:cs="宋体"/>
                          <w:b/>
                          <w:bCs/>
                          <w:color w:val="FF0000"/>
                          <w:sz w:val="24"/>
                          <w:szCs w:val="24"/>
                        </w:rPr>
                        <w:t>◆</w:t>
                      </w:r>
                      <w:r>
                        <w:rPr>
                          <w:rFonts w:hint="eastAsia" w:cs="Times New Roman"/>
                          <w:b/>
                          <w:bCs/>
                          <w:color w:val="FF0000"/>
                          <w:sz w:val="24"/>
                          <w:szCs w:val="24"/>
                        </w:rPr>
                        <w:t>2</w:t>
                      </w:r>
                      <w:r>
                        <w:rPr>
                          <w:rFonts w:ascii="Times New Roman" w:hAnsi="Times New Roman" w:cs="Times New Roman"/>
                          <w:b/>
                          <w:bCs/>
                          <w:color w:val="FF0000"/>
                          <w:sz w:val="24"/>
                          <w:szCs w:val="24"/>
                        </w:rPr>
                        <w:t>#</w:t>
                      </w:r>
                    </w:p>
                  </w:txbxContent>
                </v:textbox>
              </v:shape>
            </w:pict>
          </mc:Fallback>
        </mc:AlternateContent>
      </w:r>
      <w:r>
        <w:rPr>
          <w:rFonts w:cs="Times New Roman"/>
          <w:b/>
        </w:rPr>
        <mc:AlternateContent>
          <mc:Choice Requires="wps">
            <w:drawing>
              <wp:anchor distT="0" distB="0" distL="114300" distR="114300" simplePos="0" relativeHeight="251668480" behindDoc="0" locked="0" layoutInCell="1" allowOverlap="1">
                <wp:simplePos x="0" y="0"/>
                <wp:positionH relativeFrom="column">
                  <wp:posOffset>1200150</wp:posOffset>
                </wp:positionH>
                <wp:positionV relativeFrom="paragraph">
                  <wp:posOffset>3514090</wp:posOffset>
                </wp:positionV>
                <wp:extent cx="593725" cy="397510"/>
                <wp:effectExtent l="0" t="0" r="0" b="0"/>
                <wp:wrapNone/>
                <wp:docPr id="39" name="Text Box 10"/>
                <wp:cNvGraphicFramePr/>
                <a:graphic xmlns:a="http://schemas.openxmlformats.org/drawingml/2006/main">
                  <a:graphicData uri="http://schemas.microsoft.com/office/word/2010/wordprocessingShape">
                    <wps:wsp>
                      <wps:cNvSpPr txBox="1"/>
                      <wps:spPr bwMode="auto">
                        <a:xfrm>
                          <a:off x="0" y="0"/>
                          <a:ext cx="593725" cy="397510"/>
                        </a:xfrm>
                        <a:prstGeom prst="rect">
                          <a:avLst/>
                        </a:prstGeom>
                        <a:noFill/>
                        <a:ln>
                          <a:noFill/>
                        </a:ln>
                      </wps:spPr>
                      <wps:txbx>
                        <w:txbxContent>
                          <w:p>
                            <w:pPr>
                              <w:rPr>
                                <w:b/>
                                <w:bCs/>
                                <w:color w:val="FF0000"/>
                              </w:rPr>
                            </w:pPr>
                            <w:r>
                              <w:rPr>
                                <w:rFonts w:hint="eastAsia" w:ascii="宋体" w:hAnsi="宋体" w:eastAsia="宋体" w:cs="宋体"/>
                                <w:b/>
                                <w:bCs/>
                                <w:color w:val="FF0000"/>
                                <w:sz w:val="24"/>
                                <w:szCs w:val="24"/>
                              </w:rPr>
                              <w:t>◆</w:t>
                            </w:r>
                            <w:r>
                              <w:rPr>
                                <w:rFonts w:hint="eastAsia" w:cs="Times New Roman"/>
                                <w:b/>
                                <w:bCs/>
                                <w:color w:val="FF0000"/>
                                <w:sz w:val="24"/>
                                <w:szCs w:val="24"/>
                              </w:rPr>
                              <w:t>7</w:t>
                            </w:r>
                            <w:r>
                              <w:rPr>
                                <w:rFonts w:ascii="Times New Roman" w:hAnsi="Times New Roman" w:cs="Times New Roman"/>
                                <w:b/>
                                <w:bCs/>
                                <w:color w:val="FF0000"/>
                                <w:sz w:val="24"/>
                                <w:szCs w:val="24"/>
                              </w:rPr>
                              <w:t>#</w:t>
                            </w:r>
                          </w:p>
                        </w:txbxContent>
                      </wps:txbx>
                      <wps:bodyPr rot="0" vert="horz" wrap="square" lIns="91440" tIns="45720" rIns="91440" bIns="45720" anchor="t" anchorCtr="0" upright="1">
                        <a:noAutofit/>
                      </wps:bodyPr>
                    </wps:wsp>
                  </a:graphicData>
                </a:graphic>
              </wp:anchor>
            </w:drawing>
          </mc:Choice>
          <mc:Fallback>
            <w:pict>
              <v:shape id="Text Box 10" o:spid="_x0000_s1026" o:spt="202" type="#_x0000_t202" style="position:absolute;left:0pt;margin-left:94.5pt;margin-top:276.7pt;height:31.3pt;width:46.75pt;z-index:251668480;mso-width-relative:page;mso-height-relative:page;" filled="f" stroked="f" coordsize="21600,21600" o:gfxdata="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lssZNgAAAALAQAADwAAAAAAAAABACAAAAAiAAAAZHJzL2Rvd25yZXYueG1sUEsBAhQAFAAAAAgA&#10;h07iQJ0kj1vsAQAA5QMAAA4AAAAAAAAAAQAgAAAAJwEAAGRycy9lMm9Eb2MueG1sUEsFBgAAAAAG&#10;AAYAWQEAAIUFAAAAAA==&#10;">
                <v:fill on="f" focussize="0,0"/>
                <v:stroke on="f"/>
                <v:imagedata o:title=""/>
                <o:lock v:ext="edit" aspectratio="f"/>
                <v:textbox>
                  <w:txbxContent>
                    <w:p>
                      <w:pPr>
                        <w:rPr>
                          <w:b/>
                          <w:bCs/>
                          <w:color w:val="FF0000"/>
                        </w:rPr>
                      </w:pPr>
                      <w:r>
                        <w:rPr>
                          <w:rFonts w:hint="eastAsia" w:ascii="宋体" w:hAnsi="宋体" w:eastAsia="宋体" w:cs="宋体"/>
                          <w:b/>
                          <w:bCs/>
                          <w:color w:val="FF0000"/>
                          <w:sz w:val="24"/>
                          <w:szCs w:val="24"/>
                        </w:rPr>
                        <w:t>◆</w:t>
                      </w:r>
                      <w:r>
                        <w:rPr>
                          <w:rFonts w:hint="eastAsia" w:cs="Times New Roman"/>
                          <w:b/>
                          <w:bCs/>
                          <w:color w:val="FF0000"/>
                          <w:sz w:val="24"/>
                          <w:szCs w:val="24"/>
                        </w:rPr>
                        <w:t>7</w:t>
                      </w:r>
                      <w:r>
                        <w:rPr>
                          <w:rFonts w:ascii="Times New Roman" w:hAnsi="Times New Roman" w:cs="Times New Roman"/>
                          <w:b/>
                          <w:bCs/>
                          <w:color w:val="FF0000"/>
                          <w:sz w:val="24"/>
                          <w:szCs w:val="24"/>
                        </w:rPr>
                        <w:t>#</w:t>
                      </w:r>
                    </w:p>
                  </w:txbxContent>
                </v:textbox>
              </v:shape>
            </w:pict>
          </mc:Fallback>
        </mc:AlternateContent>
      </w:r>
      <w:r>
        <w:rPr>
          <w:rFonts w:cs="Times New Roman"/>
          <w:b/>
        </w:rPr>
        <mc:AlternateContent>
          <mc:Choice Requires="wps">
            <w:drawing>
              <wp:anchor distT="0" distB="0" distL="114300" distR="114300" simplePos="0" relativeHeight="251667456" behindDoc="0" locked="0" layoutInCell="1" allowOverlap="1">
                <wp:simplePos x="0" y="0"/>
                <wp:positionH relativeFrom="column">
                  <wp:posOffset>1432560</wp:posOffset>
                </wp:positionH>
                <wp:positionV relativeFrom="paragraph">
                  <wp:posOffset>4008755</wp:posOffset>
                </wp:positionV>
                <wp:extent cx="593725" cy="397510"/>
                <wp:effectExtent l="0" t="0" r="0" b="0"/>
                <wp:wrapNone/>
                <wp:docPr id="40" name="Text Box 7"/>
                <wp:cNvGraphicFramePr/>
                <a:graphic xmlns:a="http://schemas.openxmlformats.org/drawingml/2006/main">
                  <a:graphicData uri="http://schemas.microsoft.com/office/word/2010/wordprocessingShape">
                    <wps:wsp>
                      <wps:cNvSpPr txBox="1"/>
                      <wps:spPr bwMode="auto">
                        <a:xfrm>
                          <a:off x="0" y="0"/>
                          <a:ext cx="593725" cy="397510"/>
                        </a:xfrm>
                        <a:prstGeom prst="rect">
                          <a:avLst/>
                        </a:prstGeom>
                        <a:noFill/>
                        <a:ln>
                          <a:noFill/>
                        </a:ln>
                      </wps:spPr>
                      <wps:txbx>
                        <w:txbxContent>
                          <w:p>
                            <w:pPr>
                              <w:rPr>
                                <w:b/>
                                <w:bCs/>
                                <w:color w:val="FF0000"/>
                              </w:rPr>
                            </w:pPr>
                            <w:r>
                              <w:rPr>
                                <w:rFonts w:hint="eastAsia" w:ascii="宋体" w:hAnsi="宋体" w:eastAsia="宋体" w:cs="宋体"/>
                                <w:b/>
                                <w:bCs/>
                                <w:color w:val="FF0000"/>
                                <w:sz w:val="24"/>
                                <w:szCs w:val="24"/>
                              </w:rPr>
                              <w:t>◆</w:t>
                            </w:r>
                            <w:r>
                              <w:rPr>
                                <w:rFonts w:hint="eastAsia" w:cs="Times New Roman"/>
                                <w:b/>
                                <w:bCs/>
                                <w:color w:val="FF0000"/>
                                <w:sz w:val="24"/>
                                <w:szCs w:val="24"/>
                              </w:rPr>
                              <w:t>5</w:t>
                            </w:r>
                            <w:r>
                              <w:rPr>
                                <w:rFonts w:ascii="Times New Roman" w:hAnsi="Times New Roman" w:cs="Times New Roman"/>
                                <w:b/>
                                <w:bCs/>
                                <w:color w:val="FF0000"/>
                                <w:sz w:val="24"/>
                                <w:szCs w:val="24"/>
                              </w:rPr>
                              <w:t>#</w:t>
                            </w:r>
                          </w:p>
                        </w:txbxContent>
                      </wps:txbx>
                      <wps:bodyPr rot="0" vert="horz" wrap="square" lIns="91440" tIns="45720" rIns="91440" bIns="45720" anchor="t" anchorCtr="0" upright="1">
                        <a:noAutofit/>
                      </wps:bodyPr>
                    </wps:wsp>
                  </a:graphicData>
                </a:graphic>
              </wp:anchor>
            </w:drawing>
          </mc:Choice>
          <mc:Fallback>
            <w:pict>
              <v:shape id="Text Box 7" o:spid="_x0000_s1026" o:spt="202" type="#_x0000_t202" style="position:absolute;left:0pt;margin-left:112.8pt;margin-top:315.65pt;height:31.3pt;width:46.75pt;z-index:251667456;mso-width-relative:page;mso-height-relative:page;" filled="f" stroked="f" coordsize="21600,21600" o:gfxdata="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SmM07YAAAACwEAAA8AAAAAAAAAAQAgAAAAIgAAAGRycy9kb3ducmV2LnhtbFBLAQIUABQAAAAI&#10;AIdO4kAkljfz7QEAAOQDAAAOAAAAAAAAAAEAIAAAACcBAABkcnMvZTJvRG9jLnhtbFBLBQYAAAAA&#10;BgAGAFkBAACGBQAAAAA=&#10;">
                <v:fill on="f" focussize="0,0"/>
                <v:stroke on="f"/>
                <v:imagedata o:title=""/>
                <o:lock v:ext="edit" aspectratio="f"/>
                <v:textbox>
                  <w:txbxContent>
                    <w:p>
                      <w:pPr>
                        <w:rPr>
                          <w:b/>
                          <w:bCs/>
                          <w:color w:val="FF0000"/>
                        </w:rPr>
                      </w:pPr>
                      <w:r>
                        <w:rPr>
                          <w:rFonts w:hint="eastAsia" w:ascii="宋体" w:hAnsi="宋体" w:eastAsia="宋体" w:cs="宋体"/>
                          <w:b/>
                          <w:bCs/>
                          <w:color w:val="FF0000"/>
                          <w:sz w:val="24"/>
                          <w:szCs w:val="24"/>
                        </w:rPr>
                        <w:t>◆</w:t>
                      </w:r>
                      <w:r>
                        <w:rPr>
                          <w:rFonts w:hint="eastAsia" w:cs="Times New Roman"/>
                          <w:b/>
                          <w:bCs/>
                          <w:color w:val="FF0000"/>
                          <w:sz w:val="24"/>
                          <w:szCs w:val="24"/>
                        </w:rPr>
                        <w:t>5</w:t>
                      </w:r>
                      <w:r>
                        <w:rPr>
                          <w:rFonts w:ascii="Times New Roman" w:hAnsi="Times New Roman" w:cs="Times New Roman"/>
                          <w:b/>
                          <w:bCs/>
                          <w:color w:val="FF0000"/>
                          <w:sz w:val="24"/>
                          <w:szCs w:val="24"/>
                        </w:rPr>
                        <w:t>#</w:t>
                      </w:r>
                    </w:p>
                  </w:txbxContent>
                </v:textbox>
              </v:shape>
            </w:pict>
          </mc:Fallback>
        </mc:AlternateContent>
      </w:r>
      <w:r>
        <w:drawing>
          <wp:anchor distT="0" distB="0" distL="114935" distR="114935" simplePos="0" relativeHeight="251666432" behindDoc="0" locked="0" layoutInCell="1" allowOverlap="1">
            <wp:simplePos x="0" y="0"/>
            <wp:positionH relativeFrom="column">
              <wp:posOffset>6214110</wp:posOffset>
            </wp:positionH>
            <wp:positionV relativeFrom="paragraph">
              <wp:posOffset>0</wp:posOffset>
            </wp:positionV>
            <wp:extent cx="1483995" cy="1557020"/>
            <wp:effectExtent l="0" t="0" r="1905" b="5080"/>
            <wp:wrapNone/>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1" cstate="print"/>
                    <a:stretch>
                      <a:fillRect/>
                    </a:stretch>
                  </pic:blipFill>
                  <pic:spPr>
                    <a:xfrm>
                      <a:off x="0" y="0"/>
                      <a:ext cx="1483995" cy="1557020"/>
                    </a:xfrm>
                    <a:prstGeom prst="rect">
                      <a:avLst/>
                    </a:prstGeom>
                    <a:noFill/>
                    <a:ln>
                      <a:noFill/>
                    </a:ln>
                  </pic:spPr>
                </pic:pic>
              </a:graphicData>
            </a:graphic>
          </wp:anchor>
        </w:drawing>
      </w:r>
      <w:r>
        <w:rPr>
          <w:rFonts w:cs="Times New Roman"/>
          <w:b/>
        </w:rPr>
        <mc:AlternateContent>
          <mc:Choice Requires="wps">
            <w:drawing>
              <wp:anchor distT="0" distB="0" distL="114300" distR="114300" simplePos="0" relativeHeight="251665408" behindDoc="0" locked="0" layoutInCell="1" allowOverlap="1">
                <wp:simplePos x="0" y="0"/>
                <wp:positionH relativeFrom="column">
                  <wp:posOffset>6350000</wp:posOffset>
                </wp:positionH>
                <wp:positionV relativeFrom="paragraph">
                  <wp:posOffset>4001770</wp:posOffset>
                </wp:positionV>
                <wp:extent cx="1379220" cy="754380"/>
                <wp:effectExtent l="0" t="0" r="5080" b="0"/>
                <wp:wrapNone/>
                <wp:docPr id="26" name="Text Box 2"/>
                <wp:cNvGraphicFramePr/>
                <a:graphic xmlns:a="http://schemas.openxmlformats.org/drawingml/2006/main">
                  <a:graphicData uri="http://schemas.microsoft.com/office/word/2010/wordprocessingShape">
                    <wps:wsp>
                      <wps:cNvSpPr txBox="1"/>
                      <wps:spPr bwMode="auto">
                        <a:xfrm>
                          <a:off x="0" y="0"/>
                          <a:ext cx="1379220" cy="754380"/>
                        </a:xfrm>
                        <a:prstGeom prst="rect">
                          <a:avLst/>
                        </a:prstGeom>
                        <a:solidFill>
                          <a:srgbClr val="FFFFFF"/>
                        </a:solidFill>
                        <a:ln>
                          <a:noFill/>
                        </a:ln>
                      </wps:spPr>
                      <wps:txbx>
                        <w:txbxContent>
                          <w:p>
                            <w:r>
                              <w:rPr>
                                <w:rFonts w:hint="eastAsia"/>
                              </w:rPr>
                              <w:t>图例</w:t>
                            </w:r>
                          </w:p>
                          <w:p>
                            <w:pPr>
                              <w:rPr>
                                <w:b/>
                                <w:bCs/>
                                <w:color w:val="FF0000"/>
                              </w:rPr>
                            </w:pPr>
                            <w:r>
                              <w:rPr>
                                <w:rFonts w:hint="eastAsia" w:ascii="宋体" w:hAnsi="宋体" w:eastAsia="宋体" w:cs="宋体"/>
                                <w:b/>
                                <w:bCs/>
                                <w:color w:val="FF0000"/>
                                <w:sz w:val="24"/>
                                <w:szCs w:val="24"/>
                              </w:rPr>
                              <w:t>◆</w:t>
                            </w:r>
                            <w:r>
                              <w:rPr>
                                <w:b/>
                                <w:bCs/>
                                <w:color w:val="FF0000"/>
                                <w:sz w:val="24"/>
                                <w:szCs w:val="24"/>
                              </w:rPr>
                              <w:t>土壤监测点位</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500pt;margin-top:315.1pt;height:59.4pt;width:108.6pt;z-index:251665408;mso-width-relative:page;mso-height-relative:page;" fillcolor="#FFFFFF" filled="t" stroked="f" coordsize="21600,21600" o:gfxdata="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z73+I2QAAAA0BAAAPAAAAAAAAAAEAIAAAACIAAABkcnMv&#10;ZG93bnJldi54bWxQSwECFAAUAAAACACHTuJASN8VYwICAAAOBAAADgAAAAAAAAABACAAAAAoAQAA&#10;ZHJzL2Uyb0RvYy54bWxQSwUGAAAAAAYABgBZAQAAnAUAAAAA&#10;">
                <v:fill on="t" focussize="0,0"/>
                <v:stroke on="f"/>
                <v:imagedata o:title=""/>
                <o:lock v:ext="edit" aspectratio="f"/>
                <v:textbox>
                  <w:txbxContent>
                    <w:p>
                      <w:r>
                        <w:rPr>
                          <w:rFonts w:hint="eastAsia"/>
                        </w:rPr>
                        <w:t>图例</w:t>
                      </w:r>
                    </w:p>
                    <w:p>
                      <w:pPr>
                        <w:rPr>
                          <w:b/>
                          <w:bCs/>
                          <w:color w:val="FF0000"/>
                        </w:rPr>
                      </w:pPr>
                      <w:r>
                        <w:rPr>
                          <w:rFonts w:hint="eastAsia" w:ascii="宋体" w:hAnsi="宋体" w:eastAsia="宋体" w:cs="宋体"/>
                          <w:b/>
                          <w:bCs/>
                          <w:color w:val="FF0000"/>
                          <w:sz w:val="24"/>
                          <w:szCs w:val="24"/>
                        </w:rPr>
                        <w:t>◆</w:t>
                      </w:r>
                      <w:r>
                        <w:rPr>
                          <w:b/>
                          <w:bCs/>
                          <w:color w:val="FF0000"/>
                          <w:sz w:val="24"/>
                          <w:szCs w:val="24"/>
                        </w:rPr>
                        <w:t>土壤监测点位</w:t>
                      </w:r>
                    </w:p>
                  </w:txbxContent>
                </v:textbox>
              </v:shape>
            </w:pict>
          </mc:Fallback>
        </mc:AlternateContent>
      </w:r>
      <w:r>
        <w:drawing>
          <wp:inline distT="0" distB="0" distL="114300" distR="114300">
            <wp:extent cx="7698105" cy="4738370"/>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6"/>
                    <a:stretch>
                      <a:fillRect/>
                    </a:stretch>
                  </pic:blipFill>
                  <pic:spPr>
                    <a:xfrm>
                      <a:off x="0" y="0"/>
                      <a:ext cx="7708849" cy="4745027"/>
                    </a:xfrm>
                    <a:prstGeom prst="rect">
                      <a:avLst/>
                    </a:prstGeom>
                    <a:noFill/>
                    <a:ln>
                      <a:noFill/>
                    </a:ln>
                  </pic:spPr>
                </pic:pic>
              </a:graphicData>
            </a:graphic>
          </wp:inline>
        </w:drawing>
      </w:r>
    </w:p>
    <w:p>
      <w:pPr>
        <w:pStyle w:val="39"/>
        <w:numPr>
          <w:ilvl w:val="0"/>
          <w:numId w:val="10"/>
        </w:numPr>
        <w:ind w:firstLineChars="0"/>
        <w:jc w:val="center"/>
        <w:rPr>
          <w:rFonts w:cs="Times New Roman" w:eastAsiaTheme="minorEastAsia"/>
          <w:b/>
          <w:color w:val="000000" w:themeColor="text1"/>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cs="Times New Roman" w:eastAsiaTheme="minorEastAsia"/>
          <w:b/>
          <w:color w:val="000000" w:themeColor="text1"/>
          <w14:textFill>
            <w14:solidFill>
              <w14:schemeClr w14:val="tx1"/>
            </w14:solidFill>
          </w14:textFill>
        </w:rPr>
        <w:t>土壤点位</w:t>
      </w:r>
      <w:r>
        <w:rPr>
          <w:rFonts w:hint="eastAsia" w:cs="Times New Roman" w:eastAsiaTheme="minorEastAsia"/>
          <w:b/>
          <w:color w:val="000000" w:themeColor="text1"/>
          <w14:textFill>
            <w14:solidFill>
              <w14:schemeClr w14:val="tx1"/>
            </w14:solidFill>
          </w14:textFill>
        </w:rPr>
        <w:t>图</w:t>
      </w:r>
    </w:p>
    <w:p>
      <w:pPr>
        <w:pStyle w:val="2"/>
        <w:rPr>
          <w:sz w:val="24"/>
          <w:szCs w:val="24"/>
        </w:rPr>
      </w:pPr>
      <w:r>
        <w:rPr>
          <w:rFonts w:eastAsia="宋体" w:cs="Times New Roman"/>
          <w:b/>
          <w:sz w:val="24"/>
        </w:rPr>
        <mc:AlternateContent>
          <mc:Choice Requires="wps">
            <w:drawing>
              <wp:anchor distT="0" distB="0" distL="114300" distR="114300" simplePos="0" relativeHeight="251661312" behindDoc="0" locked="0" layoutInCell="1" allowOverlap="1">
                <wp:simplePos x="0" y="0"/>
                <wp:positionH relativeFrom="column">
                  <wp:posOffset>-6350</wp:posOffset>
                </wp:positionH>
                <wp:positionV relativeFrom="paragraph">
                  <wp:posOffset>5584825</wp:posOffset>
                </wp:positionV>
                <wp:extent cx="1198245" cy="680085"/>
                <wp:effectExtent l="0" t="0" r="0" b="5715"/>
                <wp:wrapNone/>
                <wp:docPr id="54" name="Text Box 162"/>
                <wp:cNvGraphicFramePr/>
                <a:graphic xmlns:a="http://schemas.openxmlformats.org/drawingml/2006/main">
                  <a:graphicData uri="http://schemas.microsoft.com/office/word/2010/wordprocessingShape">
                    <wps:wsp>
                      <wps:cNvSpPr txBox="1"/>
                      <wps:spPr bwMode="auto">
                        <a:xfrm>
                          <a:off x="0" y="0"/>
                          <a:ext cx="1198245" cy="680085"/>
                        </a:xfrm>
                        <a:prstGeom prst="rect">
                          <a:avLst/>
                        </a:prstGeom>
                        <a:solidFill>
                          <a:srgbClr val="FFFFFF"/>
                        </a:solidFill>
                        <a:ln>
                          <a:noFill/>
                        </a:ln>
                      </wps:spPr>
                      <wps:txbx>
                        <w:txbxContent>
                          <w:p>
                            <w:pPr>
                              <w:jc w:val="center"/>
                            </w:pPr>
                            <w:r>
                              <w:rPr>
                                <w:rFonts w:hint="eastAsia"/>
                              </w:rPr>
                              <w:t>图例</w:t>
                            </w:r>
                          </w:p>
                          <w:p>
                            <w:pPr>
                              <w:rPr>
                                <w:szCs w:val="21"/>
                              </w:rPr>
                            </w:pPr>
                            <w:r>
                              <w:rPr>
                                <w:szCs w:val="21"/>
                              </w:rPr>
                              <w:drawing>
                                <wp:inline distT="0" distB="0" distL="0" distR="0">
                                  <wp:extent cx="209550" cy="259080"/>
                                  <wp:effectExtent l="19050" t="0" r="0" b="0"/>
                                  <wp:docPr id="68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图片 26"/>
                                          <pic:cNvPicPr>
                                            <a:picLocks noChangeAspect="1" noChangeArrowheads="1"/>
                                          </pic:cNvPicPr>
                                        </pic:nvPicPr>
                                        <pic:blipFill>
                                          <a:blip r:embed="rId12"/>
                                          <a:srcRect/>
                                          <a:stretch>
                                            <a:fillRect/>
                                          </a:stretch>
                                        </pic:blipFill>
                                        <pic:spPr>
                                          <a:xfrm>
                                            <a:off x="0" y="0"/>
                                            <a:ext cx="211853" cy="262513"/>
                                          </a:xfrm>
                                          <a:prstGeom prst="rect">
                                            <a:avLst/>
                                          </a:prstGeom>
                                          <a:noFill/>
                                          <a:ln w="9525">
                                            <a:noFill/>
                                            <a:miter lim="800000"/>
                                            <a:headEnd/>
                                            <a:tailEnd/>
                                          </a:ln>
                                        </pic:spPr>
                                      </pic:pic>
                                    </a:graphicData>
                                  </a:graphic>
                                </wp:inline>
                              </w:drawing>
                            </w:r>
                            <w:r>
                              <w:rPr>
                                <w:szCs w:val="21"/>
                              </w:rPr>
                              <w:t>土壤监测点位</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0.5pt;margin-top:439.75pt;height:53.55pt;width:94.35pt;z-index:251661312;mso-width-relative:page;mso-height-relative:page;" fillcolor="#FFFFFF" filled="t" stroked="f" coordsize="21600,21600" o:gfxdata="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USiKjYAAAACgEAAA8AAAAAAAAAAQAgAAAAIgAAAGRycy9k&#10;b3ducmV2LnhtbFBLAQIUABQAAAAIAIdO4kD0PHk3AgIAABAEAAAOAAAAAAAAAAEAIAAAACcBAABk&#10;cnMvZTJvRG9jLnhtbFBLBQYAAAAABgAGAFkBAACbBQAAAAA=&#10;">
                <v:fill on="t" focussize="0,0"/>
                <v:stroke on="f"/>
                <v:imagedata o:title=""/>
                <o:lock v:ext="edit" aspectratio="f"/>
                <v:textbox>
                  <w:txbxContent>
                    <w:p>
                      <w:pPr>
                        <w:jc w:val="center"/>
                      </w:pPr>
                      <w:r>
                        <w:rPr>
                          <w:rFonts w:hint="eastAsia"/>
                        </w:rPr>
                        <w:t>图例</w:t>
                      </w:r>
                    </w:p>
                    <w:p>
                      <w:pPr>
                        <w:rPr>
                          <w:szCs w:val="21"/>
                        </w:rPr>
                      </w:pPr>
                      <w:r>
                        <w:rPr>
                          <w:szCs w:val="21"/>
                        </w:rPr>
                        <w:drawing>
                          <wp:inline distT="0" distB="0" distL="0" distR="0">
                            <wp:extent cx="209550" cy="259080"/>
                            <wp:effectExtent l="19050" t="0" r="0" b="0"/>
                            <wp:docPr id="68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图片 26"/>
                                    <pic:cNvPicPr>
                                      <a:picLocks noChangeAspect="1" noChangeArrowheads="1"/>
                                    </pic:cNvPicPr>
                                  </pic:nvPicPr>
                                  <pic:blipFill>
                                    <a:blip r:embed="rId12"/>
                                    <a:srcRect/>
                                    <a:stretch>
                                      <a:fillRect/>
                                    </a:stretch>
                                  </pic:blipFill>
                                  <pic:spPr>
                                    <a:xfrm>
                                      <a:off x="0" y="0"/>
                                      <a:ext cx="211853" cy="262513"/>
                                    </a:xfrm>
                                    <a:prstGeom prst="rect">
                                      <a:avLst/>
                                    </a:prstGeom>
                                    <a:noFill/>
                                    <a:ln w="9525">
                                      <a:noFill/>
                                      <a:miter lim="800000"/>
                                      <a:headEnd/>
                                      <a:tailEnd/>
                                    </a:ln>
                                  </pic:spPr>
                                </pic:pic>
                              </a:graphicData>
                            </a:graphic>
                          </wp:inline>
                        </w:drawing>
                      </w:r>
                      <w:r>
                        <w:rPr>
                          <w:szCs w:val="21"/>
                        </w:rPr>
                        <w:t>土壤监测点位</w:t>
                      </w:r>
                    </w:p>
                  </w:txbxContent>
                </v:textbox>
              </v:shape>
            </w:pict>
          </mc:Fallback>
        </mc:AlternateContent>
      </w:r>
      <w:r>
        <w:drawing>
          <wp:anchor distT="0" distB="0" distL="114935" distR="114935" simplePos="0" relativeHeight="251662336" behindDoc="0" locked="0" layoutInCell="1" allowOverlap="1">
            <wp:simplePos x="0" y="0"/>
            <wp:positionH relativeFrom="column">
              <wp:posOffset>4081780</wp:posOffset>
            </wp:positionH>
            <wp:positionV relativeFrom="paragraph">
              <wp:posOffset>86360</wp:posOffset>
            </wp:positionV>
            <wp:extent cx="1188720" cy="1144270"/>
            <wp:effectExtent l="0" t="0" r="11430" b="17780"/>
            <wp:wrapNone/>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3" cstate="print"/>
                    <a:stretch>
                      <a:fillRect/>
                    </a:stretch>
                  </pic:blipFill>
                  <pic:spPr>
                    <a:xfrm>
                      <a:off x="0" y="0"/>
                      <a:ext cx="1188720" cy="1144270"/>
                    </a:xfrm>
                    <a:prstGeom prst="rect">
                      <a:avLst/>
                    </a:prstGeom>
                    <a:noFill/>
                    <a:ln>
                      <a:noFill/>
                    </a:ln>
                  </pic:spPr>
                </pic:pic>
              </a:graphicData>
            </a:graphic>
          </wp:anchor>
        </w:drawing>
      </w:r>
      <w:r>
        <w:drawing>
          <wp:inline distT="0" distB="0" distL="114300" distR="114300">
            <wp:extent cx="5264785" cy="6170930"/>
            <wp:effectExtent l="0" t="0" r="12065" b="1270"/>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14"/>
                    <a:stretch>
                      <a:fillRect/>
                    </a:stretch>
                  </pic:blipFill>
                  <pic:spPr>
                    <a:xfrm>
                      <a:off x="0" y="0"/>
                      <a:ext cx="5264785" cy="6170930"/>
                    </a:xfrm>
                    <a:prstGeom prst="rect">
                      <a:avLst/>
                    </a:prstGeom>
                    <a:noFill/>
                    <a:ln>
                      <a:noFill/>
                    </a:ln>
                  </pic:spPr>
                </pic:pic>
              </a:graphicData>
            </a:graphic>
          </wp:inline>
        </w:drawing>
      </w:r>
    </w:p>
    <w:p>
      <w:pPr>
        <w:pStyle w:val="39"/>
        <w:numPr>
          <w:ilvl w:val="0"/>
          <w:numId w:val="10"/>
        </w:numPr>
        <w:ind w:firstLineChars="0"/>
        <w:jc w:val="center"/>
        <w:rPr>
          <w:rFonts w:cs="Times New Roman" w:eastAsiaTheme="minorEastAsia"/>
          <w:b/>
          <w:color w:val="000000" w:themeColor="text1"/>
          <w14:textFill>
            <w14:solidFill>
              <w14:schemeClr w14:val="tx1"/>
            </w14:solidFill>
          </w14:textFill>
        </w:rPr>
      </w:pPr>
      <w:r>
        <w:rPr>
          <w:rFonts w:hint="eastAsia" w:cs="Times New Roman" w:eastAsiaTheme="minorEastAsia"/>
          <w:b/>
          <w:color w:val="000000" w:themeColor="text1"/>
          <w14:textFill>
            <w14:solidFill>
              <w14:schemeClr w14:val="tx1"/>
            </w14:solidFill>
          </w14:textFill>
        </w:rPr>
        <w:t>土壤背景点和最大落地浓度点</w:t>
      </w:r>
    </w:p>
    <w:p>
      <w:pPr>
        <w:widowControl/>
        <w:jc w:val="left"/>
      </w:pPr>
      <w:r>
        <w:drawing>
          <wp:inline distT="0" distB="0" distL="114300" distR="114300">
            <wp:extent cx="5267325" cy="4524375"/>
            <wp:effectExtent l="0" t="0" r="9525" b="952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5"/>
                    <a:stretch>
                      <a:fillRect/>
                    </a:stretch>
                  </pic:blipFill>
                  <pic:spPr>
                    <a:xfrm>
                      <a:off x="0" y="0"/>
                      <a:ext cx="5267325" cy="4524375"/>
                    </a:xfrm>
                    <a:prstGeom prst="rect">
                      <a:avLst/>
                    </a:prstGeom>
                    <a:noFill/>
                    <a:ln>
                      <a:noFill/>
                    </a:ln>
                  </pic:spPr>
                </pic:pic>
              </a:graphicData>
            </a:graphic>
          </wp:inline>
        </w:drawing>
      </w:r>
      <w:r>
        <mc:AlternateContent>
          <mc:Choice Requires="wps">
            <w:drawing>
              <wp:anchor distT="0" distB="0" distL="114300" distR="114300" simplePos="0" relativeHeight="251663360" behindDoc="0" locked="0" layoutInCell="1" allowOverlap="1">
                <wp:simplePos x="0" y="0"/>
                <wp:positionH relativeFrom="column">
                  <wp:posOffset>3987800</wp:posOffset>
                </wp:positionH>
                <wp:positionV relativeFrom="paragraph">
                  <wp:posOffset>3865245</wp:posOffset>
                </wp:positionV>
                <wp:extent cx="1291590" cy="683895"/>
                <wp:effectExtent l="0" t="0" r="3810" b="1905"/>
                <wp:wrapNone/>
                <wp:docPr id="646" name="Text Box 173"/>
                <wp:cNvGraphicFramePr/>
                <a:graphic xmlns:a="http://schemas.openxmlformats.org/drawingml/2006/main">
                  <a:graphicData uri="http://schemas.microsoft.com/office/word/2010/wordprocessingShape">
                    <wps:wsp>
                      <wps:cNvSpPr txBox="1"/>
                      <wps:spPr bwMode="auto">
                        <a:xfrm>
                          <a:off x="0" y="0"/>
                          <a:ext cx="1291590" cy="683895"/>
                        </a:xfrm>
                        <a:prstGeom prst="rect">
                          <a:avLst/>
                        </a:prstGeom>
                        <a:solidFill>
                          <a:srgbClr val="FFFFFF"/>
                        </a:solidFill>
                        <a:ln>
                          <a:noFill/>
                        </a:ln>
                      </wps:spPr>
                      <wps:txbx>
                        <w:txbxContent>
                          <w:p>
                            <w:pPr>
                              <w:jc w:val="center"/>
                            </w:pPr>
                            <w:r>
                              <w:rPr>
                                <w:rFonts w:hint="eastAsia"/>
                              </w:rPr>
                              <w:t>图 例</w:t>
                            </w:r>
                          </w:p>
                          <w:p>
                            <w:pPr>
                              <w:rPr>
                                <w:szCs w:val="21"/>
                              </w:rPr>
                            </w:pPr>
                            <w:r>
                              <w:rPr>
                                <w:szCs w:val="21"/>
                              </w:rPr>
                              <w:drawing>
                                <wp:inline distT="0" distB="0" distL="0" distR="0">
                                  <wp:extent cx="214630" cy="238125"/>
                                  <wp:effectExtent l="0" t="0" r="0" b="0"/>
                                  <wp:docPr id="5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0"/>
                                          <pic:cNvPicPr>
                                            <a:picLocks noChangeAspect="1" noChangeArrowheads="1"/>
                                          </pic:cNvPicPr>
                                        </pic:nvPicPr>
                                        <pic:blipFill>
                                          <a:blip r:embed="rId16"/>
                                          <a:srcRect/>
                                          <a:stretch>
                                            <a:fillRect/>
                                          </a:stretch>
                                        </pic:blipFill>
                                        <pic:spPr>
                                          <a:xfrm>
                                            <a:off x="0" y="0"/>
                                            <a:ext cx="215068" cy="238963"/>
                                          </a:xfrm>
                                          <a:prstGeom prst="rect">
                                            <a:avLst/>
                                          </a:prstGeom>
                                          <a:noFill/>
                                          <a:ln w="9525">
                                            <a:noFill/>
                                            <a:miter lim="800000"/>
                                            <a:headEnd/>
                                            <a:tailEnd/>
                                          </a:ln>
                                        </pic:spPr>
                                      </pic:pic>
                                    </a:graphicData>
                                  </a:graphic>
                                </wp:inline>
                              </w:drawing>
                            </w:r>
                            <w:r>
                              <w:rPr>
                                <w:szCs w:val="21"/>
                              </w:rPr>
                              <w:t>地下水监测点位</w:t>
                            </w:r>
                          </w:p>
                        </w:txbxContent>
                      </wps:txbx>
                      <wps:bodyPr rot="0" vert="horz" wrap="square" lIns="91440" tIns="45720" rIns="91440" bIns="45720" anchor="t" anchorCtr="0" upright="1">
                        <a:noAutofit/>
                      </wps:bodyPr>
                    </wps:wsp>
                  </a:graphicData>
                </a:graphic>
              </wp:anchor>
            </w:drawing>
          </mc:Choice>
          <mc:Fallback>
            <w:pict>
              <v:shape id="Text Box 173" o:spid="_x0000_s1026" o:spt="202" type="#_x0000_t202" style="position:absolute;left:0pt;margin-left:314pt;margin-top:304.35pt;height:53.85pt;width:101.7pt;z-index:251663360;mso-width-relative:page;mso-height-relative:page;" fillcolor="#FFFFFF" filled="t" stroked="f" coordsize="21600,21600" o:gfxdata="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ci8N9kAAAALAQAADwAAAAAAAAABACAAAAAiAAAAZHJz&#10;L2Rvd25yZXYueG1sUEsBAhQAFAAAAAgAh07iQK485dQDAgAAEQQAAA4AAAAAAAAAAQAgAAAAKAEA&#10;AGRycy9lMm9Eb2MueG1sUEsFBgAAAAAGAAYAWQEAAJ0FAAAAAA==&#10;">
                <v:fill on="t" focussize="0,0"/>
                <v:stroke on="f"/>
                <v:imagedata o:title=""/>
                <o:lock v:ext="edit" aspectratio="f"/>
                <v:textbox>
                  <w:txbxContent>
                    <w:p>
                      <w:pPr>
                        <w:jc w:val="center"/>
                      </w:pPr>
                      <w:r>
                        <w:rPr>
                          <w:rFonts w:hint="eastAsia"/>
                        </w:rPr>
                        <w:t>图 例</w:t>
                      </w:r>
                    </w:p>
                    <w:p>
                      <w:pPr>
                        <w:rPr>
                          <w:szCs w:val="21"/>
                        </w:rPr>
                      </w:pPr>
                      <w:r>
                        <w:rPr>
                          <w:szCs w:val="21"/>
                        </w:rPr>
                        <w:drawing>
                          <wp:inline distT="0" distB="0" distL="0" distR="0">
                            <wp:extent cx="214630" cy="238125"/>
                            <wp:effectExtent l="0" t="0" r="0" b="0"/>
                            <wp:docPr id="5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0"/>
                                    <pic:cNvPicPr>
                                      <a:picLocks noChangeAspect="1" noChangeArrowheads="1"/>
                                    </pic:cNvPicPr>
                                  </pic:nvPicPr>
                                  <pic:blipFill>
                                    <a:blip r:embed="rId16"/>
                                    <a:srcRect/>
                                    <a:stretch>
                                      <a:fillRect/>
                                    </a:stretch>
                                  </pic:blipFill>
                                  <pic:spPr>
                                    <a:xfrm>
                                      <a:off x="0" y="0"/>
                                      <a:ext cx="215068" cy="238963"/>
                                    </a:xfrm>
                                    <a:prstGeom prst="rect">
                                      <a:avLst/>
                                    </a:prstGeom>
                                    <a:noFill/>
                                    <a:ln w="9525">
                                      <a:noFill/>
                                      <a:miter lim="800000"/>
                                      <a:headEnd/>
                                      <a:tailEnd/>
                                    </a:ln>
                                  </pic:spPr>
                                </pic:pic>
                              </a:graphicData>
                            </a:graphic>
                          </wp:inline>
                        </w:drawing>
                      </w:r>
                      <w:r>
                        <w:rPr>
                          <w:szCs w:val="21"/>
                        </w:rPr>
                        <w:t>地下水监测点位</w:t>
                      </w:r>
                    </w:p>
                  </w:txbxContent>
                </v:textbox>
              </v:shape>
            </w:pict>
          </mc:Fallback>
        </mc:AlternateContent>
      </w:r>
      <w:r>
        <w:drawing>
          <wp:anchor distT="0" distB="0" distL="114935" distR="114935" simplePos="0" relativeHeight="251664384" behindDoc="0" locked="0" layoutInCell="1" allowOverlap="1">
            <wp:simplePos x="0" y="0"/>
            <wp:positionH relativeFrom="column">
              <wp:posOffset>4093210</wp:posOffset>
            </wp:positionH>
            <wp:positionV relativeFrom="paragraph">
              <wp:posOffset>12065</wp:posOffset>
            </wp:positionV>
            <wp:extent cx="1188720" cy="1144270"/>
            <wp:effectExtent l="0" t="0" r="5080" b="0"/>
            <wp:wrapNone/>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13" cstate="print"/>
                    <a:stretch>
                      <a:fillRect/>
                    </a:stretch>
                  </pic:blipFill>
                  <pic:spPr>
                    <a:xfrm>
                      <a:off x="0" y="0"/>
                      <a:ext cx="1188720" cy="1144270"/>
                    </a:xfrm>
                    <a:prstGeom prst="rect">
                      <a:avLst/>
                    </a:prstGeom>
                    <a:noFill/>
                    <a:ln>
                      <a:noFill/>
                    </a:ln>
                  </pic:spPr>
                </pic:pic>
              </a:graphicData>
            </a:graphic>
          </wp:anchor>
        </w:drawing>
      </w:r>
    </w:p>
    <w:p>
      <w:pPr>
        <w:pStyle w:val="39"/>
        <w:numPr>
          <w:ilvl w:val="0"/>
          <w:numId w:val="10"/>
        </w:numPr>
        <w:ind w:firstLineChars="0"/>
        <w:jc w:val="center"/>
        <w:rPr>
          <w:rFonts w:cs="Times New Roman" w:eastAsiaTheme="minorEastAsia"/>
          <w:b/>
          <w:color w:val="000000" w:themeColor="text1"/>
          <w14:textFill>
            <w14:solidFill>
              <w14:schemeClr w14:val="tx1"/>
            </w14:solidFill>
          </w14:textFill>
        </w:rPr>
      </w:pPr>
      <w:r>
        <w:rPr>
          <w:rFonts w:cs="Times New Roman"/>
          <w:b/>
          <w:color w:val="000000" w:themeColor="text1"/>
          <w14:textFill>
            <w14:solidFill>
              <w14:schemeClr w14:val="tx1"/>
            </w14:solidFill>
          </w14:textFill>
        </w:rPr>
        <w:t>地下水监测点位图</w:t>
      </w:r>
    </w:p>
    <w:p>
      <w:pPr>
        <w:pStyle w:val="39"/>
        <w:numPr>
          <w:ilvl w:val="2"/>
          <w:numId w:val="2"/>
        </w:numPr>
        <w:ind w:left="0" w:firstLine="0" w:firstLineChars="0"/>
        <w:outlineLvl w:val="2"/>
        <w:rPr>
          <w:rFonts w:cs="Times New Roman"/>
          <w:b/>
          <w:color w:val="000000" w:themeColor="text1"/>
          <w14:textFill>
            <w14:solidFill>
              <w14:schemeClr w14:val="tx1"/>
            </w14:solidFill>
          </w14:textFill>
        </w:rPr>
      </w:pPr>
      <w:bookmarkStart w:id="55" w:name="_Toc7"/>
      <w:r>
        <w:rPr>
          <w:rFonts w:cs="Times New Roman"/>
          <w:b/>
          <w:color w:val="000000" w:themeColor="text1"/>
          <w14:textFill>
            <w14:solidFill>
              <w14:schemeClr w14:val="tx1"/>
            </w14:solidFill>
          </w14:textFill>
        </w:rPr>
        <w:t>本次监测工作的点位布设情况</w:t>
      </w:r>
      <w:bookmarkEnd w:id="55"/>
    </w:p>
    <w:p>
      <w:pPr>
        <w:pStyle w:val="39"/>
        <w:numPr>
          <w:ilvl w:val="0"/>
          <w:numId w:val="9"/>
        </w:numPr>
        <w:ind w:firstLineChars="0"/>
        <w:jc w:val="center"/>
        <w:rPr>
          <w:rFonts w:cs="Times New Roman" w:eastAsiaTheme="minorEastAsia"/>
          <w:b/>
          <w:color w:val="000000" w:themeColor="text1"/>
          <w14:textFill>
            <w14:solidFill>
              <w14:schemeClr w14:val="tx1"/>
            </w14:solidFill>
          </w14:textFill>
        </w:rPr>
      </w:pPr>
      <w:r>
        <w:rPr>
          <w:rFonts w:cs="Times New Roman" w:eastAsiaTheme="minorEastAsia"/>
          <w:b/>
          <w:color w:val="000000" w:themeColor="text1"/>
          <w14:textFill>
            <w14:solidFill>
              <w14:schemeClr w14:val="tx1"/>
            </w14:solidFill>
          </w14:textFill>
        </w:rPr>
        <w:t>土壤监测点位及指标信息表</w:t>
      </w:r>
    </w:p>
    <w:tbl>
      <w:tblPr>
        <w:tblStyle w:val="16"/>
        <w:tblW w:w="83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1134"/>
        <w:gridCol w:w="1701"/>
        <w:gridCol w:w="1649"/>
        <w:gridCol w:w="1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709" w:type="dxa"/>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编号</w:t>
            </w:r>
          </w:p>
        </w:tc>
        <w:tc>
          <w:tcPr>
            <w:tcW w:w="1418" w:type="dxa"/>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点位名称</w:t>
            </w:r>
          </w:p>
        </w:tc>
        <w:tc>
          <w:tcPr>
            <w:tcW w:w="1134" w:type="dxa"/>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采集深度</w:t>
            </w:r>
          </w:p>
        </w:tc>
        <w:tc>
          <w:tcPr>
            <w:tcW w:w="1701" w:type="dxa"/>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经度</w:t>
            </w:r>
          </w:p>
        </w:tc>
        <w:tc>
          <w:tcPr>
            <w:tcW w:w="1649" w:type="dxa"/>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纬度</w:t>
            </w:r>
          </w:p>
        </w:tc>
        <w:tc>
          <w:tcPr>
            <w:tcW w:w="1753" w:type="dxa"/>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样品状态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709" w:type="dxa"/>
            <w:vAlign w:val="center"/>
          </w:tcPr>
          <w:p>
            <w:pPr>
              <w:pStyle w:val="24"/>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2"/>
                <w:szCs w:val="21"/>
                <w14:textFill>
                  <w14:solidFill>
                    <w14:schemeClr w14:val="tx1"/>
                  </w14:solidFill>
                </w14:textFill>
              </w:rPr>
              <w:t>TR1#</w:t>
            </w:r>
          </w:p>
        </w:tc>
        <w:tc>
          <w:tcPr>
            <w:tcW w:w="1418"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主厂房南侧</w:t>
            </w:r>
          </w:p>
        </w:tc>
        <w:tc>
          <w:tcPr>
            <w:tcW w:w="113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0~0.2m</w:t>
            </w:r>
          </w:p>
        </w:tc>
        <w:tc>
          <w:tcPr>
            <w:tcW w:w="1701" w:type="dxa"/>
            <w:vAlign w:val="center"/>
          </w:tcPr>
          <w:p>
            <w:pPr>
              <w:jc w:val="center"/>
              <w:rPr>
                <w:rFonts w:ascii="Times New Roman" w:hAnsi="Times New Roman" w:eastAsia="宋体" w:cs="Times New Roman"/>
                <w:bCs/>
                <w:color w:val="FF0000"/>
                <w:szCs w:val="21"/>
              </w:rPr>
            </w:pPr>
            <w:r>
              <w:rPr>
                <w:rFonts w:ascii="Times New Roman" w:hAnsi="Times New Roman" w:cs="Times New Roman"/>
                <w:szCs w:val="21"/>
              </w:rPr>
              <w:t>103.869129</w:t>
            </w:r>
            <w:r>
              <w:rPr>
                <w:rFonts w:ascii="Times New Roman" w:hAnsi="Times New Roman" w:eastAsia="黑体" w:cs="Times New Roman"/>
                <w:szCs w:val="21"/>
              </w:rPr>
              <w:t>°</w:t>
            </w:r>
            <w:r>
              <w:rPr>
                <w:rFonts w:ascii="Times New Roman" w:hAnsi="Times New Roman" w:cs="Times New Roman"/>
                <w:szCs w:val="21"/>
              </w:rPr>
              <w:t>E</w:t>
            </w:r>
          </w:p>
        </w:tc>
        <w:tc>
          <w:tcPr>
            <w:tcW w:w="1649" w:type="dxa"/>
            <w:vAlign w:val="center"/>
          </w:tcPr>
          <w:p>
            <w:pPr>
              <w:jc w:val="center"/>
              <w:rPr>
                <w:rFonts w:ascii="Times New Roman" w:hAnsi="Times New Roman" w:eastAsia="宋体" w:cs="Times New Roman"/>
                <w:color w:val="FF0000"/>
                <w:szCs w:val="21"/>
              </w:rPr>
            </w:pPr>
            <w:r>
              <w:rPr>
                <w:rFonts w:ascii="Times New Roman" w:hAnsi="Times New Roman" w:cs="Times New Roman"/>
                <w:szCs w:val="21"/>
              </w:rPr>
              <w:t>29.577894</w:t>
            </w:r>
            <w:r>
              <w:rPr>
                <w:rFonts w:ascii="Times New Roman" w:hAnsi="Times New Roman" w:eastAsia="黑体" w:cs="Times New Roman"/>
                <w:szCs w:val="21"/>
              </w:rPr>
              <w:t>°</w:t>
            </w:r>
            <w:r>
              <w:rPr>
                <w:rFonts w:ascii="Times New Roman" w:hAnsi="Times New Roman" w:cs="Times New Roman"/>
                <w:szCs w:val="21"/>
              </w:rPr>
              <w:t>N</w:t>
            </w:r>
          </w:p>
        </w:tc>
        <w:tc>
          <w:tcPr>
            <w:tcW w:w="1753" w:type="dxa"/>
            <w:vAlign w:val="center"/>
          </w:tcPr>
          <w:p>
            <w:pPr>
              <w:snapToGrid w:val="0"/>
              <w:jc w:val="center"/>
              <w:rPr>
                <w:szCs w:val="21"/>
              </w:rPr>
            </w:pPr>
            <w:r>
              <w:rPr>
                <w:rFonts w:hint="eastAsia"/>
                <w:szCs w:val="21"/>
              </w:rPr>
              <w:t>红棕色、潮、多量根系、砂壤土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pPr>
              <w:widowControl/>
              <w:adjustRightInd w:val="0"/>
              <w:spacing w:before="100" w:beforeAutospacing="1" w:after="100" w:afterAutospacing="1"/>
              <w:ind w:left="-105" w:leftChars="-50" w:right="-105" w:rightChars="-5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TR2#</w:t>
            </w:r>
          </w:p>
        </w:tc>
        <w:tc>
          <w:tcPr>
            <w:tcW w:w="1418" w:type="dxa"/>
            <w:vAlign w:val="center"/>
          </w:tcPr>
          <w:p>
            <w:pPr>
              <w:widowControl/>
              <w:adjustRightInd w:val="0"/>
              <w:spacing w:before="100" w:beforeAutospacing="1" w:after="100" w:afterAutospacing="1"/>
              <w:ind w:left="-105" w:leftChars="-50" w:right="-105" w:rightChars="-50"/>
              <w:jc w:val="center"/>
              <w:rPr>
                <w:rFonts w:ascii="Times New Roman" w:hAnsi="Times New Roman" w:eastAsia="宋体" w:cs="Times New Roman"/>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主厂房西侧</w:t>
            </w:r>
          </w:p>
        </w:tc>
        <w:tc>
          <w:tcPr>
            <w:tcW w:w="113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0~0.2m</w:t>
            </w:r>
          </w:p>
        </w:tc>
        <w:tc>
          <w:tcPr>
            <w:tcW w:w="1701" w:type="dxa"/>
            <w:vAlign w:val="center"/>
          </w:tcPr>
          <w:p>
            <w:pPr>
              <w:jc w:val="center"/>
              <w:rPr>
                <w:rFonts w:ascii="Times New Roman" w:hAnsi="Times New Roman" w:eastAsia="宋体" w:cs="Times New Roman"/>
                <w:bCs/>
                <w:color w:val="FF0000"/>
                <w:szCs w:val="21"/>
              </w:rPr>
            </w:pPr>
            <w:r>
              <w:rPr>
                <w:rFonts w:ascii="Times New Roman" w:hAnsi="Times New Roman" w:cs="Times New Roman"/>
                <w:szCs w:val="21"/>
              </w:rPr>
              <w:t>103.867981</w:t>
            </w:r>
            <w:r>
              <w:rPr>
                <w:rFonts w:ascii="Times New Roman" w:hAnsi="Times New Roman" w:eastAsia="黑体" w:cs="Times New Roman"/>
                <w:szCs w:val="21"/>
              </w:rPr>
              <w:t>°</w:t>
            </w:r>
            <w:r>
              <w:rPr>
                <w:rFonts w:ascii="Times New Roman" w:hAnsi="Times New Roman" w:cs="Times New Roman"/>
                <w:szCs w:val="21"/>
              </w:rPr>
              <w:t>E</w:t>
            </w:r>
          </w:p>
        </w:tc>
        <w:tc>
          <w:tcPr>
            <w:tcW w:w="1649" w:type="dxa"/>
            <w:vAlign w:val="center"/>
          </w:tcPr>
          <w:p>
            <w:pPr>
              <w:jc w:val="center"/>
              <w:rPr>
                <w:rFonts w:ascii="Times New Roman" w:hAnsi="Times New Roman" w:eastAsia="宋体" w:cs="Times New Roman"/>
                <w:color w:val="FF0000"/>
                <w:szCs w:val="21"/>
              </w:rPr>
            </w:pPr>
            <w:r>
              <w:rPr>
                <w:rFonts w:ascii="Times New Roman" w:hAnsi="Times New Roman" w:cs="Times New Roman"/>
                <w:szCs w:val="21"/>
              </w:rPr>
              <w:t>29.578682</w:t>
            </w:r>
            <w:r>
              <w:rPr>
                <w:rFonts w:ascii="Times New Roman" w:hAnsi="Times New Roman" w:eastAsia="黑体" w:cs="Times New Roman"/>
                <w:szCs w:val="21"/>
              </w:rPr>
              <w:t>°</w:t>
            </w:r>
            <w:r>
              <w:rPr>
                <w:rFonts w:ascii="Times New Roman" w:hAnsi="Times New Roman" w:cs="Times New Roman"/>
                <w:szCs w:val="21"/>
              </w:rPr>
              <w:t>N</w:t>
            </w:r>
          </w:p>
        </w:tc>
        <w:tc>
          <w:tcPr>
            <w:tcW w:w="1753" w:type="dxa"/>
            <w:vAlign w:val="center"/>
          </w:tcPr>
          <w:p>
            <w:pPr>
              <w:pStyle w:val="34"/>
              <w:jc w:val="center"/>
              <w:rPr>
                <w:rFonts w:ascii="Times New Roman" w:hAnsi="Times New Roman" w:cs="Times New Roman"/>
                <w:color w:val="FF0000"/>
                <w:sz w:val="21"/>
                <w:szCs w:val="21"/>
              </w:rPr>
            </w:pPr>
            <w:r>
              <w:rPr>
                <w:rFonts w:hint="eastAsia"/>
                <w:sz w:val="21"/>
                <w:szCs w:val="21"/>
              </w:rPr>
              <w:t>红棕色、潮、中量根系、砂壤土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pPr>
              <w:widowControl/>
              <w:adjustRightInd w:val="0"/>
              <w:spacing w:before="100" w:beforeAutospacing="1" w:after="100" w:afterAutospacing="1"/>
              <w:ind w:left="-105" w:leftChars="-50" w:right="-105" w:rightChars="-5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TR3#</w:t>
            </w:r>
          </w:p>
        </w:tc>
        <w:tc>
          <w:tcPr>
            <w:tcW w:w="1418" w:type="dxa"/>
            <w:vAlign w:val="center"/>
          </w:tcPr>
          <w:p>
            <w:pPr>
              <w:widowControl/>
              <w:adjustRightInd w:val="0"/>
              <w:ind w:left="-105" w:leftChars="-50" w:right="-105" w:rightChars="-50"/>
              <w:jc w:val="center"/>
              <w:rPr>
                <w:rFonts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渗滤液处理站南侧</w:t>
            </w:r>
          </w:p>
        </w:tc>
        <w:tc>
          <w:tcPr>
            <w:tcW w:w="113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0~0.2m</w:t>
            </w:r>
          </w:p>
        </w:tc>
        <w:tc>
          <w:tcPr>
            <w:tcW w:w="1701" w:type="dxa"/>
            <w:vAlign w:val="center"/>
          </w:tcPr>
          <w:p>
            <w:pPr>
              <w:jc w:val="center"/>
              <w:rPr>
                <w:rFonts w:ascii="Times New Roman" w:hAnsi="Times New Roman" w:eastAsia="宋体" w:cs="Times New Roman"/>
                <w:bCs/>
                <w:color w:val="FF0000"/>
                <w:szCs w:val="21"/>
              </w:rPr>
            </w:pPr>
            <w:r>
              <w:rPr>
                <w:rFonts w:ascii="Times New Roman" w:hAnsi="Times New Roman" w:cs="Times New Roman"/>
                <w:szCs w:val="21"/>
              </w:rPr>
              <w:t>103.869628</w:t>
            </w:r>
            <w:r>
              <w:rPr>
                <w:rFonts w:ascii="Times New Roman" w:hAnsi="Times New Roman" w:eastAsia="黑体" w:cs="Times New Roman"/>
                <w:szCs w:val="21"/>
              </w:rPr>
              <w:t>°</w:t>
            </w:r>
            <w:r>
              <w:rPr>
                <w:rFonts w:ascii="Times New Roman" w:hAnsi="Times New Roman" w:cs="Times New Roman"/>
                <w:szCs w:val="21"/>
              </w:rPr>
              <w:t>E</w:t>
            </w:r>
          </w:p>
        </w:tc>
        <w:tc>
          <w:tcPr>
            <w:tcW w:w="1649" w:type="dxa"/>
            <w:vAlign w:val="center"/>
          </w:tcPr>
          <w:p>
            <w:pPr>
              <w:jc w:val="center"/>
              <w:rPr>
                <w:rFonts w:ascii="Times New Roman" w:hAnsi="Times New Roman" w:eastAsia="宋体" w:cs="Times New Roman"/>
                <w:color w:val="FF0000"/>
                <w:szCs w:val="21"/>
              </w:rPr>
            </w:pPr>
            <w:r>
              <w:rPr>
                <w:rFonts w:ascii="Times New Roman" w:hAnsi="Times New Roman" w:cs="Times New Roman"/>
                <w:szCs w:val="21"/>
              </w:rPr>
              <w:t>29.577731</w:t>
            </w:r>
            <w:r>
              <w:rPr>
                <w:rFonts w:ascii="Times New Roman" w:hAnsi="Times New Roman" w:eastAsia="黑体" w:cs="Times New Roman"/>
                <w:szCs w:val="21"/>
              </w:rPr>
              <w:t>°</w:t>
            </w:r>
            <w:r>
              <w:rPr>
                <w:rFonts w:ascii="Times New Roman" w:hAnsi="Times New Roman" w:cs="Times New Roman"/>
                <w:szCs w:val="21"/>
              </w:rPr>
              <w:t>N</w:t>
            </w:r>
          </w:p>
        </w:tc>
        <w:tc>
          <w:tcPr>
            <w:tcW w:w="1753" w:type="dxa"/>
            <w:vAlign w:val="center"/>
          </w:tcPr>
          <w:p>
            <w:pPr>
              <w:pStyle w:val="34"/>
              <w:jc w:val="center"/>
              <w:rPr>
                <w:rFonts w:ascii="Times New Roman" w:hAnsi="Times New Roman" w:cs="Times New Roman"/>
                <w:color w:val="FF0000"/>
                <w:sz w:val="21"/>
                <w:szCs w:val="21"/>
              </w:rPr>
            </w:pPr>
            <w:r>
              <w:rPr>
                <w:rFonts w:hint="eastAsia"/>
                <w:sz w:val="21"/>
                <w:szCs w:val="21"/>
              </w:rPr>
              <w:t>红棕色、潮、多量根系、砂壤土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pPr>
              <w:widowControl/>
              <w:adjustRightInd w:val="0"/>
              <w:spacing w:before="100" w:beforeAutospacing="1" w:after="100" w:afterAutospacing="1"/>
              <w:ind w:left="-105" w:leftChars="-50" w:right="-105" w:rightChars="-5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TR4#</w:t>
            </w:r>
          </w:p>
        </w:tc>
        <w:tc>
          <w:tcPr>
            <w:tcW w:w="1418" w:type="dxa"/>
            <w:vAlign w:val="center"/>
          </w:tcPr>
          <w:p>
            <w:pPr>
              <w:widowControl/>
              <w:adjustRightInd w:val="0"/>
              <w:ind w:left="-105" w:leftChars="-50" w:right="-105" w:rightChars="-50"/>
              <w:jc w:val="center"/>
              <w:rPr>
                <w:rFonts w:ascii="Times New Roman" w:hAnsi="Times New Roman" w:eastAsia="宋体" w:cs="Times New Roman"/>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渗滤液处理站东侧</w:t>
            </w:r>
          </w:p>
        </w:tc>
        <w:tc>
          <w:tcPr>
            <w:tcW w:w="113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0~0.2m</w:t>
            </w:r>
          </w:p>
        </w:tc>
        <w:tc>
          <w:tcPr>
            <w:tcW w:w="1701" w:type="dxa"/>
            <w:vAlign w:val="center"/>
          </w:tcPr>
          <w:p>
            <w:pPr>
              <w:jc w:val="center"/>
              <w:rPr>
                <w:rFonts w:ascii="Times New Roman" w:hAnsi="Times New Roman" w:eastAsia="宋体" w:cs="Times New Roman"/>
                <w:bCs/>
                <w:color w:val="FF0000"/>
                <w:szCs w:val="21"/>
              </w:rPr>
            </w:pPr>
            <w:r>
              <w:rPr>
                <w:rFonts w:ascii="Times New Roman" w:hAnsi="Times New Roman" w:cs="Times New Roman"/>
                <w:szCs w:val="21"/>
              </w:rPr>
              <w:t>103.870395</w:t>
            </w:r>
            <w:r>
              <w:rPr>
                <w:rFonts w:ascii="Times New Roman" w:hAnsi="Times New Roman" w:eastAsia="黑体" w:cs="Times New Roman"/>
                <w:szCs w:val="21"/>
              </w:rPr>
              <w:t>°</w:t>
            </w:r>
            <w:r>
              <w:rPr>
                <w:rFonts w:ascii="Times New Roman" w:hAnsi="Times New Roman" w:cs="Times New Roman"/>
                <w:szCs w:val="21"/>
              </w:rPr>
              <w:t>E</w:t>
            </w:r>
          </w:p>
        </w:tc>
        <w:tc>
          <w:tcPr>
            <w:tcW w:w="1649" w:type="dxa"/>
            <w:vAlign w:val="center"/>
          </w:tcPr>
          <w:p>
            <w:pPr>
              <w:jc w:val="center"/>
              <w:rPr>
                <w:rFonts w:ascii="Times New Roman" w:hAnsi="Times New Roman" w:eastAsia="宋体" w:cs="Times New Roman"/>
                <w:color w:val="FF0000"/>
                <w:szCs w:val="21"/>
              </w:rPr>
            </w:pPr>
            <w:r>
              <w:rPr>
                <w:rFonts w:ascii="Times New Roman" w:hAnsi="Times New Roman" w:cs="Times New Roman"/>
                <w:szCs w:val="21"/>
              </w:rPr>
              <w:t>29.577861</w:t>
            </w:r>
            <w:r>
              <w:rPr>
                <w:rFonts w:ascii="Times New Roman" w:hAnsi="Times New Roman" w:eastAsia="黑体" w:cs="Times New Roman"/>
                <w:szCs w:val="21"/>
              </w:rPr>
              <w:t>°</w:t>
            </w:r>
            <w:r>
              <w:rPr>
                <w:rFonts w:ascii="Times New Roman" w:hAnsi="Times New Roman" w:cs="Times New Roman"/>
                <w:szCs w:val="21"/>
              </w:rPr>
              <w:t>N</w:t>
            </w:r>
          </w:p>
        </w:tc>
        <w:tc>
          <w:tcPr>
            <w:tcW w:w="1753" w:type="dxa"/>
            <w:vAlign w:val="center"/>
          </w:tcPr>
          <w:p>
            <w:pPr>
              <w:pStyle w:val="34"/>
              <w:jc w:val="center"/>
              <w:rPr>
                <w:rFonts w:ascii="Times New Roman" w:hAnsi="Times New Roman" w:cs="Times New Roman"/>
                <w:color w:val="FF0000"/>
                <w:sz w:val="21"/>
                <w:szCs w:val="21"/>
              </w:rPr>
            </w:pPr>
            <w:r>
              <w:rPr>
                <w:rFonts w:hint="eastAsia"/>
                <w:sz w:val="21"/>
                <w:szCs w:val="21"/>
              </w:rPr>
              <w:t>红棕色、潮、中量根系、砂壤土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pPr>
              <w:widowControl/>
              <w:adjustRightInd w:val="0"/>
              <w:spacing w:before="100" w:beforeAutospacing="1" w:after="100" w:afterAutospacing="1"/>
              <w:ind w:left="-105" w:leftChars="-50" w:right="-105" w:rightChars="-5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TR5#</w:t>
            </w:r>
          </w:p>
        </w:tc>
        <w:tc>
          <w:tcPr>
            <w:tcW w:w="1418" w:type="dxa"/>
            <w:vAlign w:val="center"/>
          </w:tcPr>
          <w:p>
            <w:pPr>
              <w:widowControl/>
              <w:adjustRightInd w:val="0"/>
              <w:spacing w:before="100" w:beforeAutospacing="1" w:after="100" w:afterAutospacing="1"/>
              <w:ind w:left="-105" w:leftChars="-50" w:right="-105" w:rightChars="-50"/>
              <w:jc w:val="center"/>
              <w:rPr>
                <w:rFonts w:ascii="Times New Roman" w:hAnsi="Times New Roman" w:eastAsia="宋体" w:cs="Times New Roman"/>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飞灰固化及暂存间</w:t>
            </w:r>
          </w:p>
        </w:tc>
        <w:tc>
          <w:tcPr>
            <w:tcW w:w="113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0~0.2m</w:t>
            </w:r>
          </w:p>
        </w:tc>
        <w:tc>
          <w:tcPr>
            <w:tcW w:w="1701" w:type="dxa"/>
            <w:vAlign w:val="center"/>
          </w:tcPr>
          <w:p>
            <w:pPr>
              <w:jc w:val="center"/>
              <w:rPr>
                <w:rFonts w:ascii="Times New Roman" w:hAnsi="Times New Roman" w:eastAsia="宋体" w:cs="Times New Roman"/>
                <w:bCs/>
                <w:color w:val="FF0000"/>
                <w:szCs w:val="21"/>
              </w:rPr>
            </w:pPr>
            <w:r>
              <w:rPr>
                <w:rFonts w:ascii="Times New Roman" w:hAnsi="Times New Roman" w:cs="Times New Roman"/>
                <w:szCs w:val="21"/>
              </w:rPr>
              <w:t>103.868088</w:t>
            </w:r>
            <w:r>
              <w:rPr>
                <w:rFonts w:ascii="Times New Roman" w:hAnsi="Times New Roman" w:eastAsia="黑体" w:cs="Times New Roman"/>
                <w:szCs w:val="21"/>
              </w:rPr>
              <w:t>°</w:t>
            </w:r>
            <w:r>
              <w:rPr>
                <w:rFonts w:ascii="Times New Roman" w:hAnsi="Times New Roman" w:cs="Times New Roman"/>
                <w:szCs w:val="21"/>
              </w:rPr>
              <w:t>E</w:t>
            </w:r>
          </w:p>
        </w:tc>
        <w:tc>
          <w:tcPr>
            <w:tcW w:w="1649" w:type="dxa"/>
            <w:vAlign w:val="center"/>
          </w:tcPr>
          <w:p>
            <w:pPr>
              <w:jc w:val="center"/>
              <w:rPr>
                <w:rFonts w:ascii="Times New Roman" w:hAnsi="Times New Roman" w:eastAsia="宋体" w:cs="Times New Roman"/>
                <w:color w:val="FF0000"/>
                <w:szCs w:val="21"/>
              </w:rPr>
            </w:pPr>
            <w:r>
              <w:rPr>
                <w:rFonts w:ascii="Times New Roman" w:hAnsi="Times New Roman" w:cs="Times New Roman"/>
                <w:szCs w:val="21"/>
              </w:rPr>
              <w:t>29.577726</w:t>
            </w:r>
            <w:r>
              <w:rPr>
                <w:rFonts w:ascii="Times New Roman" w:hAnsi="Times New Roman" w:eastAsia="黑体" w:cs="Times New Roman"/>
                <w:szCs w:val="21"/>
              </w:rPr>
              <w:t>°</w:t>
            </w:r>
            <w:r>
              <w:rPr>
                <w:rFonts w:ascii="Times New Roman" w:hAnsi="Times New Roman" w:cs="Times New Roman"/>
                <w:szCs w:val="21"/>
              </w:rPr>
              <w:t>N</w:t>
            </w:r>
          </w:p>
        </w:tc>
        <w:tc>
          <w:tcPr>
            <w:tcW w:w="1753" w:type="dxa"/>
            <w:vAlign w:val="center"/>
          </w:tcPr>
          <w:p>
            <w:pPr>
              <w:pStyle w:val="34"/>
              <w:jc w:val="center"/>
              <w:rPr>
                <w:rFonts w:ascii="Times New Roman" w:hAnsi="Times New Roman" w:cs="Times New Roman"/>
                <w:color w:val="FF0000"/>
                <w:sz w:val="21"/>
                <w:szCs w:val="21"/>
              </w:rPr>
            </w:pPr>
            <w:r>
              <w:rPr>
                <w:rFonts w:hint="eastAsia"/>
                <w:sz w:val="21"/>
                <w:szCs w:val="21"/>
              </w:rPr>
              <w:t>红棕色、潮、多量根系、砂壤土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pPr>
              <w:widowControl/>
              <w:adjustRightInd w:val="0"/>
              <w:spacing w:before="100" w:beforeAutospacing="1" w:after="100" w:afterAutospacing="1"/>
              <w:ind w:left="-105" w:leftChars="-50" w:right="-105" w:rightChars="-5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TR6#</w:t>
            </w:r>
          </w:p>
        </w:tc>
        <w:tc>
          <w:tcPr>
            <w:tcW w:w="1418" w:type="dxa"/>
            <w:vAlign w:val="center"/>
          </w:tcPr>
          <w:p>
            <w:pPr>
              <w:widowControl/>
              <w:adjustRightInd w:val="0"/>
              <w:spacing w:before="100" w:beforeAutospacing="1" w:after="100" w:afterAutospacing="1"/>
              <w:ind w:left="-105" w:leftChars="-50" w:right="-105" w:rightChars="-50"/>
              <w:jc w:val="center"/>
              <w:rPr>
                <w:rFonts w:ascii="Times New Roman" w:hAnsi="Times New Roman" w:eastAsia="宋体" w:cs="Times New Roman"/>
                <w:color w:val="000000" w:themeColor="text1"/>
                <w:szCs w:val="21"/>
                <w14:textFill>
                  <w14:solidFill>
                    <w14:schemeClr w14:val="tx1"/>
                  </w14:solidFill>
                </w14:textFill>
              </w:rPr>
            </w:pPr>
            <w:r>
              <w:rPr>
                <w:rFonts w:hint="eastAsia" w:ascii="Calibri" w:hAnsi="Calibri"/>
                <w:color w:val="000000" w:themeColor="text1"/>
                <w:szCs w:val="21"/>
                <w14:textFill>
                  <w14:solidFill>
                    <w14:schemeClr w14:val="tx1"/>
                  </w14:solidFill>
                </w14:textFill>
              </w:rPr>
              <w:t>危废暂存间</w:t>
            </w:r>
          </w:p>
        </w:tc>
        <w:tc>
          <w:tcPr>
            <w:tcW w:w="113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0~0.2m</w:t>
            </w:r>
          </w:p>
        </w:tc>
        <w:tc>
          <w:tcPr>
            <w:tcW w:w="1701" w:type="dxa"/>
            <w:vAlign w:val="center"/>
          </w:tcPr>
          <w:p>
            <w:pPr>
              <w:jc w:val="center"/>
              <w:rPr>
                <w:rFonts w:ascii="Times New Roman" w:hAnsi="Times New Roman" w:eastAsia="宋体" w:cs="Times New Roman"/>
                <w:bCs/>
                <w:color w:val="FF0000"/>
                <w:szCs w:val="21"/>
              </w:rPr>
            </w:pPr>
            <w:r>
              <w:rPr>
                <w:rFonts w:ascii="Times New Roman" w:hAnsi="Times New Roman" w:cs="Times New Roman"/>
                <w:szCs w:val="21"/>
              </w:rPr>
              <w:t>103.868976</w:t>
            </w:r>
            <w:r>
              <w:rPr>
                <w:rFonts w:ascii="Times New Roman" w:hAnsi="Times New Roman" w:eastAsia="黑体" w:cs="Times New Roman"/>
                <w:szCs w:val="21"/>
              </w:rPr>
              <w:t>°</w:t>
            </w:r>
            <w:r>
              <w:rPr>
                <w:rFonts w:ascii="Times New Roman" w:hAnsi="Times New Roman" w:cs="Times New Roman"/>
                <w:szCs w:val="21"/>
              </w:rPr>
              <w:t>E</w:t>
            </w:r>
          </w:p>
        </w:tc>
        <w:tc>
          <w:tcPr>
            <w:tcW w:w="1649" w:type="dxa"/>
            <w:vAlign w:val="center"/>
          </w:tcPr>
          <w:p>
            <w:pPr>
              <w:jc w:val="center"/>
              <w:rPr>
                <w:rFonts w:ascii="Times New Roman" w:hAnsi="Times New Roman" w:eastAsia="宋体" w:cs="Times New Roman"/>
                <w:color w:val="FF0000"/>
                <w:szCs w:val="21"/>
              </w:rPr>
            </w:pPr>
            <w:r>
              <w:rPr>
                <w:rFonts w:ascii="Times New Roman" w:hAnsi="Times New Roman" w:cs="Times New Roman"/>
                <w:szCs w:val="21"/>
              </w:rPr>
              <w:t>29.577735</w:t>
            </w:r>
            <w:r>
              <w:rPr>
                <w:rFonts w:ascii="Times New Roman" w:hAnsi="Times New Roman" w:eastAsia="黑体" w:cs="Times New Roman"/>
                <w:szCs w:val="21"/>
              </w:rPr>
              <w:t>°</w:t>
            </w:r>
            <w:r>
              <w:rPr>
                <w:rFonts w:ascii="Times New Roman" w:hAnsi="Times New Roman" w:cs="Times New Roman"/>
                <w:szCs w:val="21"/>
              </w:rPr>
              <w:t>N</w:t>
            </w:r>
          </w:p>
        </w:tc>
        <w:tc>
          <w:tcPr>
            <w:tcW w:w="1753" w:type="dxa"/>
            <w:vAlign w:val="center"/>
          </w:tcPr>
          <w:p>
            <w:pPr>
              <w:pStyle w:val="34"/>
              <w:jc w:val="center"/>
              <w:rPr>
                <w:rFonts w:ascii="Times New Roman" w:hAnsi="Times New Roman" w:cs="Times New Roman"/>
                <w:color w:val="FF0000"/>
                <w:sz w:val="21"/>
                <w:szCs w:val="21"/>
              </w:rPr>
            </w:pPr>
            <w:r>
              <w:rPr>
                <w:rFonts w:hint="eastAsia"/>
                <w:sz w:val="21"/>
                <w:szCs w:val="21"/>
              </w:rPr>
              <w:t>红棕色、潮、多量根系、砂壤土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pPr>
              <w:widowControl/>
              <w:adjustRightInd w:val="0"/>
              <w:spacing w:before="100" w:beforeAutospacing="1" w:after="100" w:afterAutospacing="1"/>
              <w:ind w:left="-105" w:leftChars="-50" w:right="-105" w:rightChars="-5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TR7#</w:t>
            </w:r>
          </w:p>
        </w:tc>
        <w:tc>
          <w:tcPr>
            <w:tcW w:w="1418" w:type="dxa"/>
            <w:vAlign w:val="center"/>
          </w:tcPr>
          <w:p>
            <w:pPr>
              <w:widowControl/>
              <w:adjustRightInd w:val="0"/>
              <w:spacing w:before="100" w:beforeAutospacing="1" w:after="100" w:afterAutospacing="1"/>
              <w:ind w:left="-105" w:leftChars="-50" w:right="-105" w:rightChars="-50"/>
              <w:jc w:val="center"/>
              <w:rPr>
                <w:rFonts w:ascii="Times New Roman" w:hAnsi="Times New Roman" w:eastAsia="宋体" w:cs="Times New Roman"/>
                <w:color w:val="000000" w:themeColor="text1"/>
                <w:szCs w:val="21"/>
                <w14:textFill>
                  <w14:solidFill>
                    <w14:schemeClr w14:val="tx1"/>
                  </w14:solidFill>
                </w14:textFill>
              </w:rPr>
            </w:pPr>
            <w:r>
              <w:rPr>
                <w:rFonts w:hint="eastAsia" w:ascii="Calibri" w:hAnsi="Calibri"/>
                <w:color w:val="000000" w:themeColor="text1"/>
                <w:szCs w:val="21"/>
                <w14:textFill>
                  <w14:solidFill>
                    <w14:schemeClr w14:val="tx1"/>
                  </w14:solidFill>
                </w14:textFill>
              </w:rPr>
              <w:t>油库</w:t>
            </w:r>
          </w:p>
        </w:tc>
        <w:tc>
          <w:tcPr>
            <w:tcW w:w="113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0~0.2m</w:t>
            </w:r>
          </w:p>
        </w:tc>
        <w:tc>
          <w:tcPr>
            <w:tcW w:w="1701" w:type="dxa"/>
            <w:vAlign w:val="center"/>
          </w:tcPr>
          <w:p>
            <w:pPr>
              <w:jc w:val="center"/>
              <w:rPr>
                <w:rFonts w:ascii="Times New Roman" w:hAnsi="Times New Roman" w:eastAsia="宋体" w:cs="Times New Roman"/>
                <w:bCs/>
                <w:color w:val="FF0000"/>
                <w:szCs w:val="21"/>
              </w:rPr>
            </w:pPr>
            <w:r>
              <w:rPr>
                <w:rFonts w:ascii="Times New Roman" w:hAnsi="Times New Roman" w:cs="Times New Roman"/>
                <w:szCs w:val="21"/>
              </w:rPr>
              <w:t>103.867493</w:t>
            </w:r>
            <w:r>
              <w:rPr>
                <w:rFonts w:ascii="Times New Roman" w:hAnsi="Times New Roman" w:eastAsia="黑体" w:cs="Times New Roman"/>
                <w:szCs w:val="21"/>
              </w:rPr>
              <w:t>°</w:t>
            </w:r>
            <w:r>
              <w:rPr>
                <w:rFonts w:ascii="Times New Roman" w:hAnsi="Times New Roman" w:cs="Times New Roman"/>
                <w:szCs w:val="21"/>
              </w:rPr>
              <w:t>E</w:t>
            </w:r>
          </w:p>
        </w:tc>
        <w:tc>
          <w:tcPr>
            <w:tcW w:w="1649" w:type="dxa"/>
            <w:vAlign w:val="center"/>
          </w:tcPr>
          <w:p>
            <w:pPr>
              <w:jc w:val="center"/>
              <w:rPr>
                <w:rFonts w:ascii="Times New Roman" w:hAnsi="Times New Roman" w:eastAsia="宋体" w:cs="Times New Roman"/>
                <w:color w:val="FF0000"/>
                <w:szCs w:val="21"/>
              </w:rPr>
            </w:pPr>
            <w:r>
              <w:rPr>
                <w:rFonts w:ascii="Times New Roman" w:hAnsi="Times New Roman" w:cs="Times New Roman"/>
                <w:szCs w:val="21"/>
              </w:rPr>
              <w:t>29.578011</w:t>
            </w:r>
            <w:r>
              <w:rPr>
                <w:rFonts w:ascii="Times New Roman" w:hAnsi="Times New Roman" w:eastAsia="黑体" w:cs="Times New Roman"/>
                <w:szCs w:val="21"/>
              </w:rPr>
              <w:t>°</w:t>
            </w:r>
            <w:r>
              <w:rPr>
                <w:rFonts w:ascii="Times New Roman" w:hAnsi="Times New Roman" w:cs="Times New Roman"/>
                <w:szCs w:val="21"/>
              </w:rPr>
              <w:t>N</w:t>
            </w:r>
          </w:p>
        </w:tc>
        <w:tc>
          <w:tcPr>
            <w:tcW w:w="1753" w:type="dxa"/>
            <w:vAlign w:val="center"/>
          </w:tcPr>
          <w:p>
            <w:pPr>
              <w:pStyle w:val="34"/>
              <w:jc w:val="center"/>
              <w:rPr>
                <w:rFonts w:ascii="Times New Roman" w:hAnsi="Times New Roman" w:cs="Times New Roman"/>
                <w:color w:val="FF0000"/>
                <w:sz w:val="21"/>
                <w:szCs w:val="21"/>
              </w:rPr>
            </w:pPr>
            <w:r>
              <w:rPr>
                <w:rFonts w:hint="eastAsia"/>
                <w:sz w:val="21"/>
                <w:szCs w:val="21"/>
              </w:rPr>
              <w:t>红棕色、潮、多量根系、砂壤土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pPr>
              <w:widowControl/>
              <w:adjustRightInd w:val="0"/>
              <w:spacing w:before="100" w:beforeAutospacing="1" w:after="100" w:afterAutospacing="1"/>
              <w:ind w:left="-105" w:leftChars="-50" w:right="-105" w:rightChars="-5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TR8#</w:t>
            </w:r>
          </w:p>
        </w:tc>
        <w:tc>
          <w:tcPr>
            <w:tcW w:w="1418" w:type="dxa"/>
            <w:vAlign w:val="center"/>
          </w:tcPr>
          <w:p>
            <w:pPr>
              <w:widowControl/>
              <w:adjustRightInd w:val="0"/>
              <w:spacing w:before="100" w:beforeAutospacing="1" w:after="100" w:afterAutospacing="1"/>
              <w:ind w:left="-105" w:leftChars="-50" w:right="-105" w:rightChars="-50"/>
              <w:jc w:val="center"/>
              <w:rPr>
                <w:rFonts w:ascii="Times New Roman" w:hAnsi="Times New Roman" w:eastAsia="宋体" w:cs="Times New Roman"/>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最大落地浓度点</w:t>
            </w:r>
          </w:p>
        </w:tc>
        <w:tc>
          <w:tcPr>
            <w:tcW w:w="113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0~0.2m</w:t>
            </w:r>
          </w:p>
        </w:tc>
        <w:tc>
          <w:tcPr>
            <w:tcW w:w="1701" w:type="dxa"/>
            <w:vAlign w:val="center"/>
          </w:tcPr>
          <w:p>
            <w:pPr>
              <w:jc w:val="center"/>
              <w:rPr>
                <w:rFonts w:ascii="Times New Roman" w:hAnsi="Times New Roman" w:eastAsia="宋体" w:cs="Times New Roman"/>
                <w:bCs/>
                <w:color w:val="FF0000"/>
                <w:szCs w:val="21"/>
              </w:rPr>
            </w:pPr>
            <w:r>
              <w:rPr>
                <w:rFonts w:ascii="Times New Roman" w:hAnsi="Times New Roman" w:cs="Times New Roman"/>
                <w:szCs w:val="21"/>
              </w:rPr>
              <w:t>103.875940</w:t>
            </w:r>
            <w:r>
              <w:rPr>
                <w:rFonts w:ascii="Times New Roman" w:hAnsi="Times New Roman" w:eastAsia="黑体" w:cs="Times New Roman"/>
                <w:szCs w:val="21"/>
              </w:rPr>
              <w:t>°</w:t>
            </w:r>
            <w:r>
              <w:rPr>
                <w:rFonts w:ascii="Times New Roman" w:hAnsi="Times New Roman" w:cs="Times New Roman"/>
                <w:szCs w:val="21"/>
              </w:rPr>
              <w:t>E</w:t>
            </w:r>
          </w:p>
        </w:tc>
        <w:tc>
          <w:tcPr>
            <w:tcW w:w="1649" w:type="dxa"/>
            <w:vAlign w:val="center"/>
          </w:tcPr>
          <w:p>
            <w:pPr>
              <w:jc w:val="center"/>
              <w:rPr>
                <w:rFonts w:ascii="Times New Roman" w:hAnsi="Times New Roman" w:eastAsia="宋体" w:cs="Times New Roman"/>
                <w:color w:val="FF0000"/>
                <w:szCs w:val="21"/>
              </w:rPr>
            </w:pPr>
            <w:r>
              <w:rPr>
                <w:rFonts w:ascii="Times New Roman" w:hAnsi="Times New Roman" w:cs="Times New Roman"/>
                <w:szCs w:val="21"/>
              </w:rPr>
              <w:t>29.570797</w:t>
            </w:r>
            <w:r>
              <w:rPr>
                <w:rFonts w:ascii="Times New Roman" w:hAnsi="Times New Roman" w:eastAsia="黑体" w:cs="Times New Roman"/>
                <w:szCs w:val="21"/>
              </w:rPr>
              <w:t>°</w:t>
            </w:r>
            <w:r>
              <w:rPr>
                <w:rFonts w:ascii="Times New Roman" w:hAnsi="Times New Roman" w:cs="Times New Roman"/>
                <w:szCs w:val="21"/>
              </w:rPr>
              <w:t>N</w:t>
            </w:r>
          </w:p>
        </w:tc>
        <w:tc>
          <w:tcPr>
            <w:tcW w:w="1753" w:type="dxa"/>
            <w:vAlign w:val="center"/>
          </w:tcPr>
          <w:p>
            <w:pPr>
              <w:snapToGrid w:val="0"/>
              <w:jc w:val="center"/>
              <w:rPr>
                <w:szCs w:val="21"/>
              </w:rPr>
            </w:pPr>
            <w:r>
              <w:rPr>
                <w:rFonts w:hint="eastAsia"/>
                <w:szCs w:val="21"/>
              </w:rPr>
              <w:t>红棕色、潮、少量根系、粘土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pPr>
              <w:widowControl/>
              <w:adjustRightInd w:val="0"/>
              <w:spacing w:before="100" w:beforeAutospacing="1" w:after="100" w:afterAutospacing="1"/>
              <w:ind w:left="-105" w:leftChars="-50" w:right="-105" w:rightChars="-5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BJTR</w:t>
            </w:r>
          </w:p>
        </w:tc>
        <w:tc>
          <w:tcPr>
            <w:tcW w:w="1418" w:type="dxa"/>
            <w:vAlign w:val="center"/>
          </w:tcPr>
          <w:p>
            <w:pPr>
              <w:widowControl/>
              <w:adjustRightInd w:val="0"/>
              <w:spacing w:before="100" w:beforeAutospacing="1" w:after="100" w:afterAutospacing="1"/>
              <w:ind w:left="-105" w:leftChars="-50" w:right="-105" w:rightChars="-50"/>
              <w:jc w:val="center"/>
              <w:rPr>
                <w:rFonts w:ascii="Times New Roman" w:hAnsi="Times New Roman" w:eastAsia="宋体" w:cs="Times New Roman"/>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土壤背景</w:t>
            </w:r>
          </w:p>
        </w:tc>
        <w:tc>
          <w:tcPr>
            <w:tcW w:w="1134" w:type="dxa"/>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0~0.2m</w:t>
            </w:r>
          </w:p>
        </w:tc>
        <w:tc>
          <w:tcPr>
            <w:tcW w:w="1701" w:type="dxa"/>
            <w:vAlign w:val="center"/>
          </w:tcPr>
          <w:p>
            <w:pPr>
              <w:jc w:val="center"/>
              <w:rPr>
                <w:rFonts w:ascii="Times New Roman" w:hAnsi="Times New Roman" w:eastAsia="宋体" w:cs="Times New Roman"/>
                <w:bCs/>
                <w:color w:val="FF0000"/>
                <w:szCs w:val="21"/>
              </w:rPr>
            </w:pPr>
            <w:r>
              <w:rPr>
                <w:rFonts w:ascii="Times New Roman" w:hAnsi="Times New Roman" w:cs="Times New Roman"/>
                <w:szCs w:val="21"/>
              </w:rPr>
              <w:t>103.867428</w:t>
            </w:r>
            <w:r>
              <w:rPr>
                <w:rFonts w:ascii="Times New Roman" w:hAnsi="Times New Roman" w:eastAsia="黑体" w:cs="Times New Roman"/>
                <w:szCs w:val="21"/>
              </w:rPr>
              <w:t>°</w:t>
            </w:r>
            <w:r>
              <w:rPr>
                <w:rFonts w:ascii="Times New Roman" w:hAnsi="Times New Roman" w:cs="Times New Roman"/>
                <w:szCs w:val="21"/>
              </w:rPr>
              <w:t>E</w:t>
            </w:r>
          </w:p>
        </w:tc>
        <w:tc>
          <w:tcPr>
            <w:tcW w:w="1649" w:type="dxa"/>
            <w:vAlign w:val="center"/>
          </w:tcPr>
          <w:p>
            <w:pPr>
              <w:jc w:val="center"/>
              <w:rPr>
                <w:rFonts w:ascii="Times New Roman" w:hAnsi="Times New Roman" w:eastAsia="宋体" w:cs="Times New Roman"/>
                <w:color w:val="FF0000"/>
                <w:szCs w:val="21"/>
              </w:rPr>
            </w:pPr>
            <w:r>
              <w:rPr>
                <w:rFonts w:ascii="Times New Roman" w:hAnsi="Times New Roman" w:cs="Times New Roman"/>
                <w:szCs w:val="21"/>
              </w:rPr>
              <w:t>29.583338</w:t>
            </w:r>
            <w:r>
              <w:rPr>
                <w:rFonts w:ascii="Times New Roman" w:hAnsi="Times New Roman" w:eastAsia="黑体" w:cs="Times New Roman"/>
                <w:szCs w:val="21"/>
              </w:rPr>
              <w:t>°</w:t>
            </w:r>
            <w:r>
              <w:rPr>
                <w:rFonts w:ascii="Times New Roman" w:hAnsi="Times New Roman" w:cs="Times New Roman"/>
                <w:szCs w:val="21"/>
              </w:rPr>
              <w:t>N</w:t>
            </w:r>
          </w:p>
        </w:tc>
        <w:tc>
          <w:tcPr>
            <w:tcW w:w="1753" w:type="dxa"/>
            <w:vAlign w:val="center"/>
          </w:tcPr>
          <w:p>
            <w:pPr>
              <w:pStyle w:val="34"/>
              <w:jc w:val="center"/>
              <w:rPr>
                <w:rFonts w:ascii="Times New Roman" w:hAnsi="Times New Roman" w:cs="Times New Roman"/>
                <w:color w:val="FF0000"/>
                <w:sz w:val="21"/>
                <w:szCs w:val="21"/>
              </w:rPr>
            </w:pPr>
            <w:r>
              <w:rPr>
                <w:rFonts w:hint="eastAsia"/>
                <w:sz w:val="21"/>
                <w:szCs w:val="21"/>
              </w:rPr>
              <w:t>红棕色、潮、少量根系、砂壤土</w:t>
            </w:r>
          </w:p>
        </w:tc>
      </w:tr>
    </w:tbl>
    <w:p>
      <w:pPr>
        <w:rPr>
          <w:rFonts w:ascii="Times New Roman" w:hAnsi="Times New Roman" w:cs="Times New Roman"/>
          <w:color w:val="FF0000"/>
        </w:rPr>
      </w:pPr>
    </w:p>
    <w:p>
      <w:pPr>
        <w:pStyle w:val="39"/>
        <w:numPr>
          <w:ilvl w:val="0"/>
          <w:numId w:val="9"/>
        </w:numPr>
        <w:ind w:firstLineChars="0"/>
        <w:jc w:val="center"/>
        <w:rPr>
          <w:rFonts w:cs="Times New Roman" w:eastAsiaTheme="minorEastAsia"/>
          <w:b/>
          <w:color w:val="000000" w:themeColor="text1"/>
          <w14:textFill>
            <w14:solidFill>
              <w14:schemeClr w14:val="tx1"/>
            </w14:solidFill>
          </w14:textFill>
        </w:rPr>
      </w:pPr>
      <w:r>
        <w:rPr>
          <w:rFonts w:cs="Times New Roman" w:eastAsiaTheme="minorEastAsia"/>
          <w:b/>
          <w:color w:val="000000" w:themeColor="text1"/>
          <w14:textFill>
            <w14:solidFill>
              <w14:schemeClr w14:val="tx1"/>
            </w14:solidFill>
          </w14:textFill>
        </w:rPr>
        <w:t>地下水监测点位及指标信息表</w:t>
      </w:r>
    </w:p>
    <w:tbl>
      <w:tblPr>
        <w:tblStyle w:val="16"/>
        <w:tblW w:w="4937"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8"/>
        <w:gridCol w:w="1962"/>
        <w:gridCol w:w="1986"/>
        <w:gridCol w:w="2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3" w:type="pct"/>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点位</w:t>
            </w:r>
            <w:r>
              <w:rPr>
                <w:rFonts w:hint="eastAsia" w:ascii="Times New Roman" w:hAnsi="Times New Roman" w:eastAsia="宋体" w:cs="Times New Roman"/>
                <w:b/>
                <w:color w:val="000000" w:themeColor="text1"/>
                <w:szCs w:val="21"/>
                <w14:textFill>
                  <w14:solidFill>
                    <w14:schemeClr w14:val="tx1"/>
                  </w14:solidFill>
                </w14:textFill>
              </w:rPr>
              <w:t>编号</w:t>
            </w:r>
          </w:p>
        </w:tc>
        <w:tc>
          <w:tcPr>
            <w:tcW w:w="1166" w:type="pct"/>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经度</w:t>
            </w:r>
          </w:p>
        </w:tc>
        <w:tc>
          <w:tcPr>
            <w:tcW w:w="1180" w:type="pct"/>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纬度</w:t>
            </w:r>
          </w:p>
        </w:tc>
        <w:tc>
          <w:tcPr>
            <w:tcW w:w="1461" w:type="pct"/>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样品状态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3" w:type="pct"/>
            <w:vAlign w:val="center"/>
          </w:tcPr>
          <w:p>
            <w:pPr>
              <w:pStyle w:val="24"/>
              <w:rPr>
                <w:rFonts w:ascii="Times New Roman" w:hAnsi="Times New Roman" w:cs="Times New Roman" w:eastAsiaTheme="minorEastAsia"/>
                <w:color w:val="FF0000"/>
                <w:szCs w:val="21"/>
              </w:rPr>
            </w:pPr>
            <w:r>
              <w:rPr>
                <w:rFonts w:ascii="Times New Roman" w:hAnsi="Times New Roman" w:cs="Times New Roman" w:eastAsiaTheme="minorEastAsia"/>
                <w:color w:val="000000"/>
                <w:szCs w:val="21"/>
              </w:rPr>
              <w:t>1#地下水监测井</w:t>
            </w:r>
          </w:p>
        </w:tc>
        <w:tc>
          <w:tcPr>
            <w:tcW w:w="1166" w:type="pct"/>
            <w:vAlign w:val="center"/>
          </w:tcPr>
          <w:p>
            <w:pPr>
              <w:pStyle w:val="34"/>
              <w:jc w:val="center"/>
              <w:rPr>
                <w:rFonts w:ascii="Times New Roman" w:hAnsi="Times New Roman" w:cs="Times New Roman" w:eastAsiaTheme="minorEastAsia"/>
                <w:bCs/>
                <w:color w:val="FF0000"/>
                <w:kern w:val="2"/>
                <w:sz w:val="21"/>
                <w:szCs w:val="21"/>
              </w:rPr>
            </w:pPr>
            <w:r>
              <w:rPr>
                <w:rFonts w:ascii="Times New Roman" w:hAnsi="Times New Roman" w:cs="Times New Roman" w:eastAsiaTheme="minorEastAsia"/>
                <w:sz w:val="21"/>
                <w:szCs w:val="21"/>
              </w:rPr>
              <w:t>103.868136°E</w:t>
            </w:r>
          </w:p>
        </w:tc>
        <w:tc>
          <w:tcPr>
            <w:tcW w:w="1180" w:type="pct"/>
            <w:vAlign w:val="center"/>
          </w:tcPr>
          <w:p>
            <w:pPr>
              <w:jc w:val="center"/>
              <w:rPr>
                <w:rFonts w:ascii="Times New Roman" w:hAnsi="Times New Roman" w:cs="Times New Roman"/>
                <w:bCs/>
                <w:color w:val="FF0000"/>
                <w:szCs w:val="21"/>
              </w:rPr>
            </w:pPr>
            <w:r>
              <w:rPr>
                <w:rFonts w:ascii="Times New Roman" w:hAnsi="Times New Roman" w:cs="Times New Roman"/>
                <w:szCs w:val="21"/>
              </w:rPr>
              <w:t>29.578696°N</w:t>
            </w:r>
          </w:p>
        </w:tc>
        <w:tc>
          <w:tcPr>
            <w:tcW w:w="1461" w:type="pct"/>
            <w:vAlign w:val="center"/>
          </w:tcPr>
          <w:p>
            <w:pPr>
              <w:pStyle w:val="34"/>
              <w:jc w:val="center"/>
              <w:rPr>
                <w:rFonts w:ascii="Times New Roman" w:hAnsi="Times New Roman" w:cs="Times New Roman"/>
                <w:color w:val="FF0000"/>
                <w:sz w:val="21"/>
                <w:szCs w:val="21"/>
              </w:rPr>
            </w:pPr>
            <w:r>
              <w:rPr>
                <w:rFonts w:hint="eastAsia"/>
                <w:sz w:val="21"/>
                <w:szCs w:val="21"/>
              </w:rPr>
              <w:t>无色、透明、无异味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3" w:type="pct"/>
            <w:vAlign w:val="center"/>
          </w:tcPr>
          <w:p>
            <w:pPr>
              <w:pStyle w:val="24"/>
              <w:rPr>
                <w:rFonts w:ascii="Times New Roman" w:hAnsi="Times New Roman" w:cs="Times New Roman" w:eastAsiaTheme="minorEastAsia"/>
                <w:color w:val="FF0000"/>
                <w:szCs w:val="21"/>
              </w:rPr>
            </w:pPr>
            <w:r>
              <w:rPr>
                <w:rFonts w:ascii="Times New Roman" w:hAnsi="Times New Roman" w:cs="Times New Roman" w:eastAsiaTheme="minorEastAsia"/>
                <w:color w:val="000000"/>
                <w:szCs w:val="21"/>
              </w:rPr>
              <w:t>2#地下水监测井</w:t>
            </w:r>
          </w:p>
        </w:tc>
        <w:tc>
          <w:tcPr>
            <w:tcW w:w="1166" w:type="pct"/>
            <w:vAlign w:val="center"/>
          </w:tcPr>
          <w:p>
            <w:pPr>
              <w:pStyle w:val="34"/>
              <w:jc w:val="center"/>
              <w:rPr>
                <w:rFonts w:ascii="Times New Roman" w:hAnsi="Times New Roman" w:cs="Times New Roman" w:eastAsiaTheme="minorEastAsia"/>
                <w:bCs/>
                <w:color w:val="FF0000"/>
                <w:kern w:val="2"/>
                <w:sz w:val="21"/>
                <w:szCs w:val="21"/>
              </w:rPr>
            </w:pPr>
            <w:r>
              <w:rPr>
                <w:rFonts w:ascii="Times New Roman" w:hAnsi="Times New Roman" w:cs="Times New Roman" w:eastAsiaTheme="minorEastAsia"/>
                <w:sz w:val="21"/>
                <w:szCs w:val="21"/>
              </w:rPr>
              <w:t xml:space="preserve">103.869596°E  </w:t>
            </w:r>
          </w:p>
        </w:tc>
        <w:tc>
          <w:tcPr>
            <w:tcW w:w="1180" w:type="pct"/>
            <w:vAlign w:val="center"/>
          </w:tcPr>
          <w:p>
            <w:pPr>
              <w:jc w:val="center"/>
              <w:rPr>
                <w:rFonts w:ascii="Times New Roman" w:hAnsi="Times New Roman" w:cs="Times New Roman"/>
                <w:bCs/>
                <w:color w:val="FF0000"/>
                <w:szCs w:val="21"/>
              </w:rPr>
            </w:pPr>
            <w:r>
              <w:rPr>
                <w:rFonts w:ascii="Times New Roman" w:hAnsi="Times New Roman" w:cs="Times New Roman"/>
                <w:szCs w:val="21"/>
              </w:rPr>
              <w:t>29.578710°N</w:t>
            </w:r>
          </w:p>
        </w:tc>
        <w:tc>
          <w:tcPr>
            <w:tcW w:w="1461" w:type="pct"/>
            <w:vAlign w:val="center"/>
          </w:tcPr>
          <w:p>
            <w:pPr>
              <w:pStyle w:val="34"/>
              <w:jc w:val="center"/>
              <w:rPr>
                <w:rFonts w:ascii="Times New Roman" w:hAnsi="Times New Roman" w:cs="Times New Roman"/>
                <w:color w:val="FF0000"/>
                <w:sz w:val="21"/>
                <w:szCs w:val="21"/>
              </w:rPr>
            </w:pPr>
            <w:r>
              <w:rPr>
                <w:rFonts w:hint="eastAsia"/>
                <w:sz w:val="21"/>
                <w:szCs w:val="21"/>
              </w:rPr>
              <w:t>无色、透明、无异味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3" w:type="pct"/>
            <w:vAlign w:val="center"/>
          </w:tcPr>
          <w:p>
            <w:pPr>
              <w:pStyle w:val="24"/>
              <w:rPr>
                <w:rFonts w:ascii="Times New Roman" w:hAnsi="Times New Roman" w:cs="Times New Roman" w:eastAsiaTheme="minorEastAsia"/>
                <w:color w:val="FF0000"/>
                <w:szCs w:val="21"/>
              </w:rPr>
            </w:pPr>
            <w:r>
              <w:rPr>
                <w:rFonts w:ascii="Times New Roman" w:hAnsi="Times New Roman" w:cs="Times New Roman" w:eastAsiaTheme="minorEastAsia"/>
                <w:color w:val="000000"/>
                <w:szCs w:val="21"/>
              </w:rPr>
              <w:t>3#地下水监测井</w:t>
            </w:r>
          </w:p>
        </w:tc>
        <w:tc>
          <w:tcPr>
            <w:tcW w:w="1166" w:type="pct"/>
            <w:vAlign w:val="center"/>
          </w:tcPr>
          <w:p>
            <w:pPr>
              <w:pStyle w:val="34"/>
              <w:jc w:val="center"/>
              <w:rPr>
                <w:rFonts w:ascii="Times New Roman" w:hAnsi="Times New Roman" w:cs="Times New Roman" w:eastAsiaTheme="minorEastAsia"/>
                <w:bCs/>
                <w:color w:val="FF0000"/>
                <w:kern w:val="2"/>
                <w:sz w:val="21"/>
                <w:szCs w:val="21"/>
              </w:rPr>
            </w:pPr>
            <w:r>
              <w:rPr>
                <w:rFonts w:ascii="Times New Roman" w:hAnsi="Times New Roman" w:cs="Times New Roman" w:eastAsiaTheme="minorEastAsia"/>
                <w:sz w:val="21"/>
                <w:szCs w:val="21"/>
              </w:rPr>
              <w:t>103.870840°E</w:t>
            </w:r>
          </w:p>
        </w:tc>
        <w:tc>
          <w:tcPr>
            <w:tcW w:w="1180" w:type="pct"/>
            <w:vAlign w:val="center"/>
          </w:tcPr>
          <w:p>
            <w:pPr>
              <w:jc w:val="center"/>
              <w:rPr>
                <w:rFonts w:ascii="Times New Roman" w:hAnsi="Times New Roman" w:cs="Times New Roman"/>
                <w:bCs/>
                <w:color w:val="FF0000"/>
                <w:szCs w:val="21"/>
              </w:rPr>
            </w:pPr>
            <w:r>
              <w:rPr>
                <w:rFonts w:ascii="Times New Roman" w:hAnsi="Times New Roman" w:cs="Times New Roman"/>
                <w:szCs w:val="21"/>
              </w:rPr>
              <w:t>29.578025°N</w:t>
            </w:r>
          </w:p>
        </w:tc>
        <w:tc>
          <w:tcPr>
            <w:tcW w:w="1461" w:type="pct"/>
            <w:vAlign w:val="center"/>
          </w:tcPr>
          <w:p>
            <w:pPr>
              <w:pStyle w:val="34"/>
              <w:jc w:val="center"/>
              <w:rPr>
                <w:rFonts w:ascii="Times New Roman" w:hAnsi="Times New Roman" w:cs="Times New Roman"/>
                <w:color w:val="FF0000"/>
                <w:sz w:val="21"/>
                <w:szCs w:val="21"/>
              </w:rPr>
            </w:pPr>
            <w:r>
              <w:rPr>
                <w:rFonts w:hint="eastAsia"/>
                <w:sz w:val="21"/>
                <w:szCs w:val="21"/>
              </w:rPr>
              <w:t>无色、透明、无异味</w:t>
            </w:r>
          </w:p>
        </w:tc>
      </w:tr>
    </w:tbl>
    <w:p>
      <w:pPr>
        <w:pStyle w:val="39"/>
        <w:numPr>
          <w:ilvl w:val="2"/>
          <w:numId w:val="2"/>
        </w:numPr>
        <w:ind w:left="0" w:firstLine="0" w:firstLineChars="0"/>
        <w:outlineLvl w:val="2"/>
        <w:rPr>
          <w:rFonts w:cs="Times New Roman"/>
          <w:b/>
          <w:color w:val="000000" w:themeColor="text1"/>
          <w14:textFill>
            <w14:solidFill>
              <w14:schemeClr w14:val="tx1"/>
            </w14:solidFill>
          </w14:textFill>
        </w:rPr>
      </w:pPr>
      <w:bookmarkStart w:id="56" w:name="_Toc11151"/>
      <w:r>
        <w:rPr>
          <w:rFonts w:cs="Times New Roman"/>
          <w:b/>
          <w:color w:val="000000" w:themeColor="text1"/>
          <w14:textFill>
            <w14:solidFill>
              <w14:schemeClr w14:val="tx1"/>
            </w14:solidFill>
          </w14:textFill>
        </w:rPr>
        <w:t>监测点情况说明</w:t>
      </w:r>
      <w:bookmarkEnd w:id="56"/>
    </w:p>
    <w:p>
      <w:pPr>
        <w:spacing w:line="360" w:lineRule="auto"/>
        <w:ind w:firstLine="480" w:firstLineChars="200"/>
        <w:rPr>
          <w:rFonts w:ascii="Times New Roman" w:hAnsi="Times New Roman" w:cs="Times New Roman"/>
          <w:iCs/>
          <w:color w:val="000000" w:themeColor="text1"/>
          <w:sz w:val="24"/>
          <w:szCs w:val="24"/>
          <w14:textFill>
            <w14:solidFill>
              <w14:schemeClr w14:val="tx1"/>
            </w14:solidFill>
          </w14:textFill>
        </w:rPr>
      </w:pPr>
      <w:r>
        <w:rPr>
          <w:rFonts w:ascii="Times New Roman" w:hAnsi="Times New Roman" w:cs="Times New Roman"/>
          <w:iCs/>
          <w:color w:val="000000" w:themeColor="text1"/>
          <w:sz w:val="24"/>
          <w:szCs w:val="24"/>
          <w14:textFill>
            <w14:solidFill>
              <w14:schemeClr w14:val="tx1"/>
            </w14:solidFill>
          </w14:textFill>
        </w:rPr>
        <w:t>对照自行监测方案，实际土壤和地下水监测点位和监测因子与自行监测方案保持一致，未发生变动。</w:t>
      </w:r>
    </w:p>
    <w:p>
      <w:pPr>
        <w:pStyle w:val="2"/>
        <w:jc w:val="center"/>
        <w:rPr>
          <w:rFonts w:eastAsia="宋体" w:cs="Times New Roman"/>
          <w:color w:val="FF0000"/>
          <w:highlight w:val="yellow"/>
        </w:rPr>
      </w:pPr>
      <w:r>
        <w:drawing>
          <wp:inline distT="0" distB="0" distL="0" distR="0">
            <wp:extent cx="5099050" cy="3125470"/>
            <wp:effectExtent l="0" t="0" r="635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7"/>
                    <a:stretch>
                      <a:fillRect/>
                    </a:stretch>
                  </pic:blipFill>
                  <pic:spPr>
                    <a:xfrm>
                      <a:off x="0" y="0"/>
                      <a:ext cx="5120296" cy="3138446"/>
                    </a:xfrm>
                    <a:prstGeom prst="rect">
                      <a:avLst/>
                    </a:prstGeom>
                  </pic:spPr>
                </pic:pic>
              </a:graphicData>
            </a:graphic>
          </wp:inline>
        </w:drawing>
      </w:r>
    </w:p>
    <w:p>
      <w:pPr>
        <w:jc w:val="center"/>
        <w:rPr>
          <w:highlight w:val="yellow"/>
        </w:rPr>
      </w:pPr>
      <w:r>
        <w:rPr>
          <w:rFonts w:eastAsia="宋体" w:cs="Times New Roman"/>
          <w:b/>
          <w:sz w:val="24"/>
        </w:rPr>
        <mc:AlternateContent>
          <mc:Choice Requires="wps">
            <w:drawing>
              <wp:anchor distT="0" distB="0" distL="114300" distR="114300" simplePos="0" relativeHeight="251674624" behindDoc="0" locked="0" layoutInCell="1" allowOverlap="1">
                <wp:simplePos x="0" y="0"/>
                <wp:positionH relativeFrom="column">
                  <wp:posOffset>-18415</wp:posOffset>
                </wp:positionH>
                <wp:positionV relativeFrom="paragraph">
                  <wp:posOffset>5622290</wp:posOffset>
                </wp:positionV>
                <wp:extent cx="1186180" cy="651510"/>
                <wp:effectExtent l="0" t="0" r="0" b="0"/>
                <wp:wrapNone/>
                <wp:docPr id="24" name="Text Box 162"/>
                <wp:cNvGraphicFramePr/>
                <a:graphic xmlns:a="http://schemas.openxmlformats.org/drawingml/2006/main">
                  <a:graphicData uri="http://schemas.microsoft.com/office/word/2010/wordprocessingShape">
                    <wps:wsp>
                      <wps:cNvSpPr txBox="1"/>
                      <wps:spPr bwMode="auto">
                        <a:xfrm>
                          <a:off x="0" y="0"/>
                          <a:ext cx="1186180" cy="651510"/>
                        </a:xfrm>
                        <a:prstGeom prst="rect">
                          <a:avLst/>
                        </a:prstGeom>
                        <a:solidFill>
                          <a:srgbClr val="FFFFFF"/>
                        </a:solidFill>
                        <a:ln>
                          <a:noFill/>
                        </a:ln>
                      </wps:spPr>
                      <wps:txbx>
                        <w:txbxContent>
                          <w:p>
                            <w:pPr>
                              <w:jc w:val="center"/>
                            </w:pPr>
                            <w:r>
                              <w:rPr>
                                <w:rFonts w:hint="eastAsia"/>
                              </w:rPr>
                              <w:t>图例</w:t>
                            </w:r>
                          </w:p>
                          <w:p>
                            <w:pPr>
                              <w:rPr>
                                <w:szCs w:val="21"/>
                              </w:rPr>
                            </w:pPr>
                            <w:r>
                              <w:rPr>
                                <w:szCs w:val="21"/>
                              </w:rPr>
                              <w:drawing>
                                <wp:inline distT="0" distB="0" distL="0" distR="0">
                                  <wp:extent cx="209550" cy="259080"/>
                                  <wp:effectExtent l="19050" t="0" r="0" b="0"/>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pic:cNvPicPr>
                                            <a:picLocks noChangeAspect="1" noChangeArrowheads="1"/>
                                          </pic:cNvPicPr>
                                        </pic:nvPicPr>
                                        <pic:blipFill>
                                          <a:blip r:embed="rId12"/>
                                          <a:srcRect/>
                                          <a:stretch>
                                            <a:fillRect/>
                                          </a:stretch>
                                        </pic:blipFill>
                                        <pic:spPr>
                                          <a:xfrm>
                                            <a:off x="0" y="0"/>
                                            <a:ext cx="211853" cy="262513"/>
                                          </a:xfrm>
                                          <a:prstGeom prst="rect">
                                            <a:avLst/>
                                          </a:prstGeom>
                                          <a:noFill/>
                                          <a:ln w="9525">
                                            <a:noFill/>
                                            <a:miter lim="800000"/>
                                            <a:headEnd/>
                                            <a:tailEnd/>
                                          </a:ln>
                                        </pic:spPr>
                                      </pic:pic>
                                    </a:graphicData>
                                  </a:graphic>
                                </wp:inline>
                              </w:drawing>
                            </w:r>
                            <w:r>
                              <w:rPr>
                                <w:szCs w:val="21"/>
                              </w:rPr>
                              <w:t>土壤监测点位</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1.45pt;margin-top:442.7pt;height:51.3pt;width:93.4pt;z-index:251674624;mso-width-relative:page;mso-height-relative:page;" fillcolor="#FFFFFF" filled="t" stroked="f" coordsize="21600,21600" o:gfxdata="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fzCbjYAAAACgEAAA8AAAAAAAAAAQAgAAAAIgAAAGRycy9k&#10;b3ducmV2LnhtbFBLAQIUABQAAAAIAIdO4kA02w14AgIAABAEAAAOAAAAAAAAAAEAIAAAACcBAABk&#10;cnMvZTJvRG9jLnhtbFBLBQYAAAAABgAGAFkBAACbBQAAAAA=&#10;">
                <v:fill on="t" focussize="0,0"/>
                <v:stroke on="f"/>
                <v:imagedata o:title=""/>
                <o:lock v:ext="edit" aspectratio="f"/>
                <v:textbox>
                  <w:txbxContent>
                    <w:p>
                      <w:pPr>
                        <w:jc w:val="center"/>
                      </w:pPr>
                      <w:r>
                        <w:rPr>
                          <w:rFonts w:hint="eastAsia"/>
                        </w:rPr>
                        <w:t>图例</w:t>
                      </w:r>
                    </w:p>
                    <w:p>
                      <w:pPr>
                        <w:rPr>
                          <w:szCs w:val="21"/>
                        </w:rPr>
                      </w:pPr>
                      <w:r>
                        <w:rPr>
                          <w:szCs w:val="21"/>
                        </w:rPr>
                        <w:drawing>
                          <wp:inline distT="0" distB="0" distL="0" distR="0">
                            <wp:extent cx="209550" cy="259080"/>
                            <wp:effectExtent l="19050" t="0" r="0" b="0"/>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pic:cNvPicPr>
                                      <a:picLocks noChangeAspect="1" noChangeArrowheads="1"/>
                                    </pic:cNvPicPr>
                                  </pic:nvPicPr>
                                  <pic:blipFill>
                                    <a:blip r:embed="rId12"/>
                                    <a:srcRect/>
                                    <a:stretch>
                                      <a:fillRect/>
                                    </a:stretch>
                                  </pic:blipFill>
                                  <pic:spPr>
                                    <a:xfrm>
                                      <a:off x="0" y="0"/>
                                      <a:ext cx="211853" cy="262513"/>
                                    </a:xfrm>
                                    <a:prstGeom prst="rect">
                                      <a:avLst/>
                                    </a:prstGeom>
                                    <a:noFill/>
                                    <a:ln w="9525">
                                      <a:noFill/>
                                      <a:miter lim="800000"/>
                                      <a:headEnd/>
                                      <a:tailEnd/>
                                    </a:ln>
                                  </pic:spPr>
                                </pic:pic>
                              </a:graphicData>
                            </a:graphic>
                          </wp:inline>
                        </w:drawing>
                      </w:r>
                      <w:r>
                        <w:rPr>
                          <w:szCs w:val="21"/>
                        </w:rPr>
                        <w:t>土壤监测点位</w:t>
                      </w:r>
                    </w:p>
                  </w:txbxContent>
                </v:textbox>
              </v:shape>
            </w:pict>
          </mc:Fallback>
        </mc:AlternateContent>
      </w:r>
      <w:r>
        <w:drawing>
          <wp:anchor distT="0" distB="0" distL="114935" distR="114935" simplePos="0" relativeHeight="251676672" behindDoc="0" locked="0" layoutInCell="1" allowOverlap="1">
            <wp:simplePos x="0" y="0"/>
            <wp:positionH relativeFrom="column">
              <wp:posOffset>4304665</wp:posOffset>
            </wp:positionH>
            <wp:positionV relativeFrom="paragraph">
              <wp:posOffset>27940</wp:posOffset>
            </wp:positionV>
            <wp:extent cx="975360" cy="939165"/>
            <wp:effectExtent l="0" t="0" r="2540" b="635"/>
            <wp:wrapNone/>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18" cstate="print"/>
                    <a:stretch>
                      <a:fillRect/>
                    </a:stretch>
                  </pic:blipFill>
                  <pic:spPr>
                    <a:xfrm>
                      <a:off x="0" y="0"/>
                      <a:ext cx="975360" cy="939165"/>
                    </a:xfrm>
                    <a:prstGeom prst="rect">
                      <a:avLst/>
                    </a:prstGeom>
                    <a:noFill/>
                    <a:ln>
                      <a:noFill/>
                    </a:ln>
                  </pic:spPr>
                </pic:pic>
              </a:graphicData>
            </a:graphic>
          </wp:anchor>
        </w:drawing>
      </w:r>
      <w:r>
        <w:drawing>
          <wp:inline distT="0" distB="0" distL="114300" distR="114300">
            <wp:extent cx="5274945" cy="6182995"/>
            <wp:effectExtent l="0" t="0" r="0" b="1905"/>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14"/>
                    <a:stretch>
                      <a:fillRect/>
                    </a:stretch>
                  </pic:blipFill>
                  <pic:spPr>
                    <a:xfrm>
                      <a:off x="0" y="0"/>
                      <a:ext cx="5328304" cy="6245383"/>
                    </a:xfrm>
                    <a:prstGeom prst="rect">
                      <a:avLst/>
                    </a:prstGeom>
                    <a:noFill/>
                    <a:ln>
                      <a:noFill/>
                    </a:ln>
                  </pic:spPr>
                </pic:pic>
              </a:graphicData>
            </a:graphic>
          </wp:inline>
        </w:drawing>
      </w:r>
    </w:p>
    <w:p>
      <w:pPr>
        <w:pStyle w:val="39"/>
        <w:numPr>
          <w:ilvl w:val="0"/>
          <w:numId w:val="10"/>
        </w:numPr>
        <w:ind w:firstLineChars="0"/>
        <w:jc w:val="center"/>
        <w:rPr>
          <w:rFonts w:cs="Times New Roman" w:eastAsiaTheme="minorEastAsia"/>
          <w:b/>
          <w:color w:val="000000" w:themeColor="text1"/>
          <w14:textFill>
            <w14:solidFill>
              <w14:schemeClr w14:val="tx1"/>
            </w14:solidFill>
          </w14:textFill>
        </w:rPr>
      </w:pPr>
      <w:r>
        <w:rPr>
          <w:rFonts w:cs="Times New Roman"/>
          <w:b/>
          <w:bCs/>
          <w:color w:val="000000" w:themeColor="text1"/>
          <w14:textFill>
            <w14:solidFill>
              <w14:schemeClr w14:val="tx1"/>
            </w14:solidFill>
          </w14:textFill>
        </w:rPr>
        <w:t>土壤实际采样点位图</w:t>
      </w:r>
    </w:p>
    <w:p>
      <w:pPr>
        <w:pStyle w:val="2"/>
        <w:rPr>
          <w:rFonts w:eastAsia="宋体" w:cs="Times New Roman"/>
          <w:color w:val="FF0000"/>
        </w:rPr>
      </w:pPr>
      <w:r>
        <mc:AlternateContent>
          <mc:Choice Requires="wps">
            <w:drawing>
              <wp:anchor distT="0" distB="0" distL="114300" distR="114300" simplePos="0" relativeHeight="251675648" behindDoc="0" locked="0" layoutInCell="1" allowOverlap="1">
                <wp:simplePos x="0" y="0"/>
                <wp:positionH relativeFrom="column">
                  <wp:posOffset>3997960</wp:posOffset>
                </wp:positionH>
                <wp:positionV relativeFrom="paragraph">
                  <wp:posOffset>3865245</wp:posOffset>
                </wp:positionV>
                <wp:extent cx="1291590" cy="683895"/>
                <wp:effectExtent l="0" t="0" r="3810" b="1905"/>
                <wp:wrapNone/>
                <wp:docPr id="29" name="Text Box 173"/>
                <wp:cNvGraphicFramePr/>
                <a:graphic xmlns:a="http://schemas.openxmlformats.org/drawingml/2006/main">
                  <a:graphicData uri="http://schemas.microsoft.com/office/word/2010/wordprocessingShape">
                    <wps:wsp>
                      <wps:cNvSpPr txBox="1"/>
                      <wps:spPr bwMode="auto">
                        <a:xfrm>
                          <a:off x="0" y="0"/>
                          <a:ext cx="1291590" cy="683895"/>
                        </a:xfrm>
                        <a:prstGeom prst="rect">
                          <a:avLst/>
                        </a:prstGeom>
                        <a:solidFill>
                          <a:srgbClr val="FFFFFF"/>
                        </a:solidFill>
                        <a:ln>
                          <a:noFill/>
                        </a:ln>
                      </wps:spPr>
                      <wps:txbx>
                        <w:txbxContent>
                          <w:p>
                            <w:pPr>
                              <w:jc w:val="center"/>
                            </w:pPr>
                            <w:r>
                              <w:rPr>
                                <w:rFonts w:hint="eastAsia"/>
                              </w:rPr>
                              <w:t>图 例</w:t>
                            </w:r>
                          </w:p>
                          <w:p>
                            <w:pPr>
                              <w:rPr>
                                <w:szCs w:val="21"/>
                              </w:rPr>
                            </w:pPr>
                            <w:r>
                              <w:rPr>
                                <w:szCs w:val="21"/>
                              </w:rPr>
                              <w:drawing>
                                <wp:inline distT="0" distB="0" distL="0" distR="0">
                                  <wp:extent cx="214630" cy="238125"/>
                                  <wp:effectExtent l="0" t="0" r="0" b="0"/>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pic:cNvPicPr>
                                            <a:picLocks noChangeAspect="1" noChangeArrowheads="1"/>
                                          </pic:cNvPicPr>
                                        </pic:nvPicPr>
                                        <pic:blipFill>
                                          <a:blip r:embed="rId16"/>
                                          <a:srcRect/>
                                          <a:stretch>
                                            <a:fillRect/>
                                          </a:stretch>
                                        </pic:blipFill>
                                        <pic:spPr>
                                          <a:xfrm>
                                            <a:off x="0" y="0"/>
                                            <a:ext cx="215068" cy="238963"/>
                                          </a:xfrm>
                                          <a:prstGeom prst="rect">
                                            <a:avLst/>
                                          </a:prstGeom>
                                          <a:noFill/>
                                          <a:ln w="9525">
                                            <a:noFill/>
                                            <a:miter lim="800000"/>
                                            <a:headEnd/>
                                            <a:tailEnd/>
                                          </a:ln>
                                        </pic:spPr>
                                      </pic:pic>
                                    </a:graphicData>
                                  </a:graphic>
                                </wp:inline>
                              </w:drawing>
                            </w:r>
                            <w:r>
                              <w:rPr>
                                <w:szCs w:val="21"/>
                              </w:rPr>
                              <w:t>地下水监测点位</w:t>
                            </w:r>
                          </w:p>
                        </w:txbxContent>
                      </wps:txbx>
                      <wps:bodyPr rot="0" vert="horz" wrap="square" lIns="91440" tIns="45720" rIns="91440" bIns="45720" anchor="t" anchorCtr="0" upright="1">
                        <a:noAutofit/>
                      </wps:bodyPr>
                    </wps:wsp>
                  </a:graphicData>
                </a:graphic>
              </wp:anchor>
            </w:drawing>
          </mc:Choice>
          <mc:Fallback>
            <w:pict>
              <v:shape id="Text Box 173" o:spid="_x0000_s1026" o:spt="202" type="#_x0000_t202" style="position:absolute;left:0pt;margin-left:314.8pt;margin-top:304.35pt;height:53.85pt;width:101.7pt;z-index:251675648;mso-width-relative:page;mso-height-relative:page;" fillcolor="#FFFFFF" filled="t" stroked="f" coordsize="21600,21600" o:gfxdata="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2tlF2QAAAAsBAAAPAAAAAAAAAAEAIAAAACIAAABkcnMv&#10;ZG93bnJldi54bWxQSwECFAAUAAAACACHTuJAtGkQkwICAAAQBAAADgAAAAAAAAABACAAAAAoAQAA&#10;ZHJzL2Uyb0RvYy54bWxQSwUGAAAAAAYABgBZAQAAnAUAAAAA&#10;">
                <v:fill on="t" focussize="0,0"/>
                <v:stroke on="f"/>
                <v:imagedata o:title=""/>
                <o:lock v:ext="edit" aspectratio="f"/>
                <v:textbox>
                  <w:txbxContent>
                    <w:p>
                      <w:pPr>
                        <w:jc w:val="center"/>
                      </w:pPr>
                      <w:r>
                        <w:rPr>
                          <w:rFonts w:hint="eastAsia"/>
                        </w:rPr>
                        <w:t>图 例</w:t>
                      </w:r>
                    </w:p>
                    <w:p>
                      <w:pPr>
                        <w:rPr>
                          <w:szCs w:val="21"/>
                        </w:rPr>
                      </w:pPr>
                      <w:r>
                        <w:rPr>
                          <w:szCs w:val="21"/>
                        </w:rPr>
                        <w:drawing>
                          <wp:inline distT="0" distB="0" distL="0" distR="0">
                            <wp:extent cx="214630" cy="238125"/>
                            <wp:effectExtent l="0" t="0" r="0" b="0"/>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pic:cNvPicPr>
                                      <a:picLocks noChangeAspect="1" noChangeArrowheads="1"/>
                                    </pic:cNvPicPr>
                                  </pic:nvPicPr>
                                  <pic:blipFill>
                                    <a:blip r:embed="rId16"/>
                                    <a:srcRect/>
                                    <a:stretch>
                                      <a:fillRect/>
                                    </a:stretch>
                                  </pic:blipFill>
                                  <pic:spPr>
                                    <a:xfrm>
                                      <a:off x="0" y="0"/>
                                      <a:ext cx="215068" cy="238963"/>
                                    </a:xfrm>
                                    <a:prstGeom prst="rect">
                                      <a:avLst/>
                                    </a:prstGeom>
                                    <a:noFill/>
                                    <a:ln w="9525">
                                      <a:noFill/>
                                      <a:miter lim="800000"/>
                                      <a:headEnd/>
                                      <a:tailEnd/>
                                    </a:ln>
                                  </pic:spPr>
                                </pic:pic>
                              </a:graphicData>
                            </a:graphic>
                          </wp:inline>
                        </w:drawing>
                      </w:r>
                      <w:r>
                        <w:rPr>
                          <w:szCs w:val="21"/>
                        </w:rPr>
                        <w:t>地下水监测点位</w:t>
                      </w:r>
                    </w:p>
                  </w:txbxContent>
                </v:textbox>
              </v:shape>
            </w:pict>
          </mc:Fallback>
        </mc:AlternateContent>
      </w:r>
      <w:r>
        <w:drawing>
          <wp:anchor distT="0" distB="0" distL="114935" distR="114935" simplePos="0" relativeHeight="251677696" behindDoc="0" locked="0" layoutInCell="1" allowOverlap="1">
            <wp:simplePos x="0" y="0"/>
            <wp:positionH relativeFrom="column">
              <wp:posOffset>4098925</wp:posOffset>
            </wp:positionH>
            <wp:positionV relativeFrom="paragraph">
              <wp:posOffset>12065</wp:posOffset>
            </wp:positionV>
            <wp:extent cx="1188720" cy="1144270"/>
            <wp:effectExtent l="0" t="0" r="5080" b="0"/>
            <wp:wrapNone/>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13" cstate="print"/>
                    <a:stretch>
                      <a:fillRect/>
                    </a:stretch>
                  </pic:blipFill>
                  <pic:spPr>
                    <a:xfrm>
                      <a:off x="0" y="0"/>
                      <a:ext cx="1188720" cy="1144270"/>
                    </a:xfrm>
                    <a:prstGeom prst="rect">
                      <a:avLst/>
                    </a:prstGeom>
                    <a:noFill/>
                    <a:ln>
                      <a:noFill/>
                    </a:ln>
                  </pic:spPr>
                </pic:pic>
              </a:graphicData>
            </a:graphic>
          </wp:anchor>
        </w:drawing>
      </w:r>
      <w:r>
        <w:drawing>
          <wp:inline distT="0" distB="0" distL="114300" distR="114300">
            <wp:extent cx="5267325" cy="4524375"/>
            <wp:effectExtent l="0" t="0" r="9525" b="952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5"/>
                    <a:stretch>
                      <a:fillRect/>
                    </a:stretch>
                  </pic:blipFill>
                  <pic:spPr>
                    <a:xfrm>
                      <a:off x="0" y="0"/>
                      <a:ext cx="5267325" cy="4524375"/>
                    </a:xfrm>
                    <a:prstGeom prst="rect">
                      <a:avLst/>
                    </a:prstGeom>
                    <a:noFill/>
                    <a:ln>
                      <a:noFill/>
                    </a:ln>
                  </pic:spPr>
                </pic:pic>
              </a:graphicData>
            </a:graphic>
          </wp:inline>
        </w:drawing>
      </w:r>
    </w:p>
    <w:p>
      <w:pPr>
        <w:pStyle w:val="39"/>
        <w:numPr>
          <w:ilvl w:val="0"/>
          <w:numId w:val="10"/>
        </w:numPr>
        <w:ind w:firstLineChars="0"/>
        <w:jc w:val="center"/>
        <w:rPr>
          <w:rFonts w:cs="Times New Roman" w:eastAsiaTheme="minorEastAsia"/>
          <w:b/>
          <w:color w:val="000000" w:themeColor="text1"/>
          <w14:textFill>
            <w14:solidFill>
              <w14:schemeClr w14:val="tx1"/>
            </w14:solidFill>
          </w14:textFill>
        </w:rPr>
      </w:pPr>
      <w:r>
        <w:rPr>
          <w:rFonts w:cs="Times New Roman"/>
          <w:b/>
          <w:bCs/>
          <w:color w:val="000000" w:themeColor="text1"/>
          <w14:textFill>
            <w14:solidFill>
              <w14:schemeClr w14:val="tx1"/>
            </w14:solidFill>
          </w14:textFill>
        </w:rPr>
        <w:t>地下水实际采样点位图</w:t>
      </w:r>
    </w:p>
    <w:p>
      <w:pPr>
        <w:pStyle w:val="39"/>
        <w:numPr>
          <w:ilvl w:val="1"/>
          <w:numId w:val="2"/>
        </w:numPr>
        <w:ind w:left="0" w:firstLine="0" w:firstLineChars="0"/>
        <w:outlineLvl w:val="1"/>
        <w:rPr>
          <w:rFonts w:cs="Times New Roman"/>
          <w:b/>
          <w:color w:val="000000" w:themeColor="text1"/>
          <w:sz w:val="28"/>
          <w14:textFill>
            <w14:solidFill>
              <w14:schemeClr w14:val="tx1"/>
            </w14:solidFill>
          </w14:textFill>
        </w:rPr>
      </w:pPr>
      <w:bookmarkStart w:id="57" w:name="_Toc13840"/>
      <w:r>
        <w:rPr>
          <w:rFonts w:cs="Times New Roman"/>
          <w:b/>
          <w:color w:val="000000" w:themeColor="text1"/>
          <w:sz w:val="28"/>
          <w14:textFill>
            <w14:solidFill>
              <w14:schemeClr w14:val="tx1"/>
            </w14:solidFill>
          </w14:textFill>
        </w:rPr>
        <w:t>土壤样品采集、保存与流转</w:t>
      </w:r>
      <w:bookmarkEnd w:id="57"/>
    </w:p>
    <w:p>
      <w:pPr>
        <w:pStyle w:val="39"/>
        <w:numPr>
          <w:ilvl w:val="2"/>
          <w:numId w:val="2"/>
        </w:numPr>
        <w:ind w:left="0" w:firstLine="0" w:firstLineChars="0"/>
        <w:outlineLvl w:val="2"/>
        <w:rPr>
          <w:rFonts w:cs="Times New Roman"/>
          <w:b/>
          <w:color w:val="000000" w:themeColor="text1"/>
          <w14:textFill>
            <w14:solidFill>
              <w14:schemeClr w14:val="tx1"/>
            </w14:solidFill>
          </w14:textFill>
        </w:rPr>
      </w:pPr>
      <w:bookmarkStart w:id="58" w:name="_Toc26350"/>
      <w:r>
        <w:rPr>
          <w:rFonts w:cs="Times New Roman"/>
          <w:b/>
          <w:color w:val="000000" w:themeColor="text1"/>
          <w14:textFill>
            <w14:solidFill>
              <w14:schemeClr w14:val="tx1"/>
            </w14:solidFill>
          </w14:textFill>
        </w:rPr>
        <w:t>土壤样品采集</w:t>
      </w:r>
      <w:bookmarkEnd w:id="58"/>
    </w:p>
    <w:p>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hint="eastAsia" w:ascii="Times New Roman" w:hAnsi="Times New Roman" w:eastAsia="宋体" w:cs="Times New Roman"/>
          <w:color w:val="000000" w:themeColor="text1"/>
          <w:sz w:val="24"/>
          <w:szCs w:val="28"/>
          <w14:textFill>
            <w14:solidFill>
              <w14:schemeClr w14:val="tx1"/>
            </w14:solidFill>
          </w14:textFill>
        </w:rPr>
        <w:t>1、现场定点</w:t>
      </w:r>
    </w:p>
    <w:p>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hint="eastAsia" w:ascii="Times New Roman" w:hAnsi="Times New Roman" w:eastAsia="宋体" w:cs="Times New Roman"/>
          <w:color w:val="000000" w:themeColor="text1"/>
          <w:sz w:val="24"/>
          <w:szCs w:val="28"/>
          <w14:textFill>
            <w14:solidFill>
              <w14:schemeClr w14:val="tx1"/>
            </w14:solidFill>
          </w14:textFill>
        </w:rPr>
        <w:t>使用较高精度GPS仪记录点位坐标。</w:t>
      </w:r>
    </w:p>
    <w:p>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hint="eastAsia" w:ascii="Times New Roman" w:hAnsi="Times New Roman" w:eastAsia="宋体" w:cs="Times New Roman"/>
          <w:color w:val="000000" w:themeColor="text1"/>
          <w:sz w:val="24"/>
          <w:szCs w:val="28"/>
          <w14:textFill>
            <w14:solidFill>
              <w14:schemeClr w14:val="tx1"/>
            </w14:solidFill>
          </w14:textFill>
        </w:rPr>
        <w:t>2、土壤样品采集方法</w:t>
      </w:r>
    </w:p>
    <w:p>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hint="eastAsia" w:ascii="Times New Roman" w:hAnsi="Times New Roman" w:eastAsia="宋体" w:cs="Times New Roman"/>
          <w:color w:val="000000" w:themeColor="text1"/>
          <w:sz w:val="24"/>
          <w:szCs w:val="28"/>
          <w14:textFill>
            <w14:solidFill>
              <w14:schemeClr w14:val="tx1"/>
            </w14:solidFill>
          </w14:textFill>
        </w:rPr>
        <w:t>（1）采样前准备好记录表格、钻探设备、测量设备、采样工具和样品保存容器，并满足样品采集质量控制要求。</w:t>
      </w:r>
    </w:p>
    <w:p>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hint="eastAsia" w:ascii="Times New Roman" w:hAnsi="Times New Roman" w:eastAsia="宋体" w:cs="Times New Roman"/>
          <w:color w:val="000000" w:themeColor="text1"/>
          <w:sz w:val="24"/>
          <w:szCs w:val="28"/>
          <w14:textFill>
            <w14:solidFill>
              <w14:schemeClr w14:val="tx1"/>
            </w14:solidFill>
          </w14:textFill>
        </w:rPr>
        <w:t>（2）表层土采样使用手工采样。先用铲子将地表物质去除，并挖掘到指定深度，然后用不锈钢铲子进行样本采集，不使用铬合金或其他相似质地的工具。收集土壤样时，把表层硬化地面和一些大的砾石、树枝剔除。对于无机和有机样品区分使用采样工具的材质。土壤采样的基本要求为尽量减少土壤扰动，防止污染物散失，同时还保证土壤样品在采样过程不被二次污染。</w:t>
      </w:r>
    </w:p>
    <w:p>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hint="eastAsia" w:ascii="Times New Roman" w:hAnsi="Times New Roman" w:eastAsia="宋体" w:cs="Times New Roman"/>
          <w:color w:val="000000" w:themeColor="text1"/>
          <w:sz w:val="24"/>
          <w:szCs w:val="28"/>
          <w14:textFill>
            <w14:solidFill>
              <w14:schemeClr w14:val="tx1"/>
            </w14:solidFill>
          </w14:textFill>
        </w:rPr>
        <w:t>（3）挥发性有机物污染、易分解有机物污染土壤的采样，采用非扰动式的采样方法和工具。钻孔取样采用快速击入法，主要工具包括土壤原状取土器和回转取土器。采样后立即将样品装入密封的容器，以减少暴露时间。</w:t>
      </w:r>
    </w:p>
    <w:p>
      <w:pPr>
        <w:pStyle w:val="39"/>
        <w:numPr>
          <w:ilvl w:val="2"/>
          <w:numId w:val="2"/>
        </w:numPr>
        <w:ind w:left="0" w:firstLine="0" w:firstLineChars="0"/>
        <w:outlineLvl w:val="2"/>
        <w:rPr>
          <w:rFonts w:cs="Times New Roman"/>
          <w:b/>
          <w:color w:val="000000" w:themeColor="text1"/>
          <w14:textFill>
            <w14:solidFill>
              <w14:schemeClr w14:val="tx1"/>
            </w14:solidFill>
          </w14:textFill>
        </w:rPr>
      </w:pPr>
      <w:bookmarkStart w:id="59" w:name="_Toc15393"/>
      <w:r>
        <w:rPr>
          <w:rFonts w:cs="Times New Roman"/>
          <w:b/>
          <w:color w:val="000000" w:themeColor="text1"/>
          <w14:textFill>
            <w14:solidFill>
              <w14:schemeClr w14:val="tx1"/>
            </w14:solidFill>
          </w14:textFill>
        </w:rPr>
        <w:t>土壤样品保存与流转</w:t>
      </w:r>
      <w:bookmarkEnd w:id="59"/>
    </w:p>
    <w:p>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hint="eastAsia" w:ascii="Times New Roman" w:hAnsi="Times New Roman" w:eastAsia="宋体" w:cs="Times New Roman"/>
          <w:color w:val="000000" w:themeColor="text1"/>
          <w:sz w:val="24"/>
          <w:szCs w:val="28"/>
          <w14:textFill>
            <w14:solidFill>
              <w14:schemeClr w14:val="tx1"/>
            </w14:solidFill>
          </w14:textFill>
        </w:rPr>
        <w:t>挥发性有机物污染、恶臭污染的土壤样品采用密封性的采样瓶封装，样品充满容器整个空间。样品采集后置于4℃以下的低温环境（如冰箱）中运输、保存，避免运输、保存过程中的挥发损失，送至实验室后尽快分析测试。具体土壤样品保存与流转按照HJ/T 166</w:t>
      </w:r>
      <w:r>
        <w:rPr>
          <w:rFonts w:ascii="Times New Roman" w:hAnsi="Times New Roman" w:eastAsia="宋体" w:cs="Times New Roman"/>
          <w:color w:val="000000" w:themeColor="text1"/>
          <w:sz w:val="24"/>
          <w:szCs w:val="28"/>
          <w14:textFill>
            <w14:solidFill>
              <w14:schemeClr w14:val="tx1"/>
            </w14:solidFill>
          </w14:textFill>
        </w:rPr>
        <w:t>-2004</w:t>
      </w:r>
      <w:r>
        <w:rPr>
          <w:rFonts w:hint="eastAsia" w:ascii="Times New Roman" w:hAnsi="Times New Roman" w:eastAsia="宋体" w:cs="Times New Roman"/>
          <w:color w:val="000000" w:themeColor="text1"/>
          <w:sz w:val="24"/>
          <w:szCs w:val="28"/>
          <w14:textFill>
            <w14:solidFill>
              <w14:schemeClr w14:val="tx1"/>
            </w14:solidFill>
          </w14:textFill>
        </w:rPr>
        <w:t>的要求执行。</w:t>
      </w:r>
    </w:p>
    <w:p>
      <w:pPr>
        <w:pStyle w:val="39"/>
        <w:numPr>
          <w:ilvl w:val="1"/>
          <w:numId w:val="2"/>
        </w:numPr>
        <w:ind w:left="0" w:firstLine="0" w:firstLineChars="0"/>
        <w:outlineLvl w:val="1"/>
        <w:rPr>
          <w:rFonts w:cs="Times New Roman"/>
          <w:b/>
          <w:color w:val="000000" w:themeColor="text1"/>
          <w:sz w:val="28"/>
          <w14:textFill>
            <w14:solidFill>
              <w14:schemeClr w14:val="tx1"/>
            </w14:solidFill>
          </w14:textFill>
        </w:rPr>
      </w:pPr>
      <w:bookmarkStart w:id="60" w:name="_Toc14933"/>
      <w:r>
        <w:rPr>
          <w:rFonts w:cs="Times New Roman"/>
          <w:b/>
          <w:color w:val="000000" w:themeColor="text1"/>
          <w:sz w:val="28"/>
          <w14:textFill>
            <w14:solidFill>
              <w14:schemeClr w14:val="tx1"/>
            </w14:solidFill>
          </w14:textFill>
        </w:rPr>
        <w:t>地下水样品采集、保存与流转</w:t>
      </w:r>
      <w:bookmarkEnd w:id="60"/>
    </w:p>
    <w:p>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hint="eastAsia" w:ascii="Times New Roman" w:hAnsi="Times New Roman" w:eastAsia="宋体" w:cs="Times New Roman"/>
          <w:color w:val="000000" w:themeColor="text1"/>
          <w:sz w:val="24"/>
          <w:szCs w:val="28"/>
          <w14:textFill>
            <w14:solidFill>
              <w14:schemeClr w14:val="tx1"/>
            </w14:solidFill>
          </w14:textFill>
        </w:rPr>
        <w:t>1、采样前的洗井</w:t>
      </w:r>
    </w:p>
    <w:p>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hint="eastAsia" w:ascii="Times New Roman" w:hAnsi="Times New Roman" w:eastAsia="宋体" w:cs="Times New Roman"/>
          <w:color w:val="000000" w:themeColor="text1"/>
          <w:sz w:val="24"/>
          <w:szCs w:val="28"/>
          <w14:textFill>
            <w14:solidFill>
              <w14:schemeClr w14:val="tx1"/>
            </w14:solidFill>
          </w14:textFill>
        </w:rPr>
        <w:t>采样前的洗井是为了消除井内土壤颗粒物对样品水质的影响，具体的技术要求按照《地下水环境监测技术规范》（HJ 164-2020）。</w:t>
      </w:r>
    </w:p>
    <w:p>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hint="eastAsia" w:ascii="Times New Roman" w:hAnsi="Times New Roman" w:eastAsia="宋体" w:cs="Times New Roman"/>
          <w:color w:val="000000" w:themeColor="text1"/>
          <w:sz w:val="24"/>
          <w:szCs w:val="28"/>
          <w14:textFill>
            <w14:solidFill>
              <w14:schemeClr w14:val="tx1"/>
            </w14:solidFill>
          </w14:textFill>
        </w:rPr>
        <w:t>2、地下水采集</w:t>
      </w:r>
    </w:p>
    <w:p>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hint="eastAsia" w:ascii="Times New Roman" w:hAnsi="Times New Roman" w:eastAsia="宋体" w:cs="Times New Roman"/>
          <w:color w:val="000000" w:themeColor="text1"/>
          <w:sz w:val="24"/>
          <w:szCs w:val="28"/>
          <w14:textFill>
            <w14:solidFill>
              <w14:schemeClr w14:val="tx1"/>
            </w14:solidFill>
          </w14:textFill>
        </w:rPr>
        <w:t>（1）地下水样品采集在洗井完成后2h内完成，采样前先测地下水位，采用贝勒管采样，一管一井，防止交叉污染。采集挥发性有机物，按照《地块土壤和地下水中挥发性有机物采样技术导则》（HJ 1019-2019）。</w:t>
      </w:r>
    </w:p>
    <w:p>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hint="eastAsia" w:ascii="Times New Roman" w:hAnsi="Times New Roman" w:eastAsia="宋体" w:cs="Times New Roman"/>
          <w:color w:val="000000" w:themeColor="text1"/>
          <w:sz w:val="24"/>
          <w:szCs w:val="28"/>
          <w14:textFill>
            <w14:solidFill>
              <w14:schemeClr w14:val="tx1"/>
            </w14:solidFill>
          </w14:textFill>
        </w:rPr>
        <w:t>（2）取样位置在监测井水面下0.5m以下。</w:t>
      </w:r>
    </w:p>
    <w:p>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hint="eastAsia" w:ascii="Times New Roman" w:hAnsi="Times New Roman" w:eastAsia="宋体" w:cs="Times New Roman"/>
          <w:color w:val="000000" w:themeColor="text1"/>
          <w:sz w:val="24"/>
          <w:szCs w:val="28"/>
          <w14:textFill>
            <w14:solidFill>
              <w14:schemeClr w14:val="tx1"/>
            </w14:solidFill>
          </w14:textFill>
        </w:rPr>
        <w:t>（3）用于分析挥发性有机物的水样保存在40mL的棕色密闭螺纹口玻璃瓶内，瓶盖内侧带特氟龙衬垫。采样前，瓶内添加HCl至pH&lt;2。</w:t>
      </w:r>
    </w:p>
    <w:p>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hint="eastAsia" w:ascii="Times New Roman" w:hAnsi="Times New Roman" w:eastAsia="宋体" w:cs="Times New Roman"/>
          <w:color w:val="000000" w:themeColor="text1"/>
          <w:sz w:val="24"/>
          <w:szCs w:val="28"/>
          <w14:textFill>
            <w14:solidFill>
              <w14:schemeClr w14:val="tx1"/>
            </w14:solidFill>
          </w14:textFill>
        </w:rPr>
        <w:t>3、</w:t>
      </w:r>
      <w:r>
        <w:rPr>
          <w:rFonts w:ascii="Times New Roman" w:hAnsi="Times New Roman" w:eastAsia="宋体" w:cs="Times New Roman"/>
          <w:color w:val="000000" w:themeColor="text1"/>
          <w:sz w:val="24"/>
          <w:szCs w:val="28"/>
          <w14:textFill>
            <w14:solidFill>
              <w14:schemeClr w14:val="tx1"/>
            </w14:solidFill>
          </w14:textFill>
        </w:rPr>
        <w:t>地下水样品的采集、保存与流转</w:t>
      </w:r>
    </w:p>
    <w:p>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hint="eastAsia" w:ascii="Times New Roman" w:hAnsi="Times New Roman" w:eastAsia="宋体" w:cs="Times New Roman"/>
          <w:color w:val="000000" w:themeColor="text1"/>
          <w:sz w:val="24"/>
          <w:szCs w:val="28"/>
          <w14:textFill>
            <w14:solidFill>
              <w14:schemeClr w14:val="tx1"/>
            </w14:solidFill>
          </w14:textFill>
        </w:rPr>
        <w:t>地下水样品采集方法、样品容器、采集量、保存方式（如加保存剂、冷藏等）、前处理（或预处理）等按照HJ 164</w:t>
      </w:r>
      <w:r>
        <w:rPr>
          <w:rFonts w:ascii="Times New Roman" w:hAnsi="Times New Roman" w:eastAsia="宋体" w:cs="Times New Roman"/>
          <w:color w:val="000000" w:themeColor="text1"/>
          <w:sz w:val="24"/>
          <w:szCs w:val="28"/>
          <w14:textFill>
            <w14:solidFill>
              <w14:schemeClr w14:val="tx1"/>
            </w14:solidFill>
          </w14:textFill>
        </w:rPr>
        <w:t>-2020</w:t>
      </w:r>
      <w:r>
        <w:rPr>
          <w:rFonts w:hint="eastAsia" w:ascii="Times New Roman" w:hAnsi="Times New Roman" w:eastAsia="宋体" w:cs="Times New Roman"/>
          <w:color w:val="000000" w:themeColor="text1"/>
          <w:sz w:val="24"/>
          <w:szCs w:val="28"/>
          <w14:textFill>
            <w14:solidFill>
              <w14:schemeClr w14:val="tx1"/>
            </w14:solidFill>
          </w14:textFill>
        </w:rPr>
        <w:t>的要求执行。</w:t>
      </w:r>
    </w:p>
    <w:p>
      <w:pPr>
        <w:pStyle w:val="2"/>
        <w:rPr>
          <w:color w:val="FF0000"/>
        </w:rPr>
      </w:pPr>
    </w:p>
    <w:p>
      <w:pPr>
        <w:rPr>
          <w:color w:val="FF0000"/>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9"/>
        <w:numPr>
          <w:ilvl w:val="0"/>
          <w:numId w:val="2"/>
        </w:numPr>
        <w:ind w:firstLineChars="0"/>
        <w:jc w:val="center"/>
        <w:outlineLvl w:val="0"/>
        <w:rPr>
          <w:rFonts w:cs="Times New Roman"/>
          <w:b/>
          <w:color w:val="000000" w:themeColor="text1"/>
          <w:sz w:val="32"/>
          <w14:textFill>
            <w14:solidFill>
              <w14:schemeClr w14:val="tx1"/>
            </w14:solidFill>
          </w14:textFill>
        </w:rPr>
      </w:pPr>
      <w:bookmarkStart w:id="61" w:name="_Toc26304"/>
      <w:r>
        <w:rPr>
          <w:rFonts w:cs="Times New Roman"/>
          <w:b/>
          <w:color w:val="000000" w:themeColor="text1"/>
          <w:sz w:val="32"/>
          <w14:textFill>
            <w14:solidFill>
              <w14:schemeClr w14:val="tx1"/>
            </w14:solidFill>
          </w14:textFill>
        </w:rPr>
        <w:t>样品分析测试</w:t>
      </w:r>
      <w:bookmarkEnd w:id="61"/>
    </w:p>
    <w:p>
      <w:pPr>
        <w:pStyle w:val="39"/>
        <w:numPr>
          <w:ilvl w:val="1"/>
          <w:numId w:val="2"/>
        </w:numPr>
        <w:ind w:left="0" w:firstLine="0" w:firstLineChars="0"/>
        <w:outlineLvl w:val="1"/>
        <w:rPr>
          <w:rFonts w:cs="Times New Roman"/>
          <w:b/>
          <w:color w:val="000000" w:themeColor="text1"/>
          <w:sz w:val="28"/>
          <w14:textFill>
            <w14:solidFill>
              <w14:schemeClr w14:val="tx1"/>
            </w14:solidFill>
          </w14:textFill>
        </w:rPr>
      </w:pPr>
      <w:bookmarkStart w:id="62" w:name="_Toc19224"/>
      <w:r>
        <w:rPr>
          <w:rFonts w:cs="Times New Roman"/>
          <w:b/>
          <w:color w:val="000000" w:themeColor="text1"/>
          <w:sz w:val="28"/>
          <w14:textFill>
            <w14:solidFill>
              <w14:schemeClr w14:val="tx1"/>
            </w14:solidFill>
          </w14:textFill>
        </w:rPr>
        <w:t>各点位选取的特征污染物</w:t>
      </w:r>
      <w:bookmarkEnd w:id="62"/>
    </w:p>
    <w:p>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根</w:t>
      </w:r>
      <w:r>
        <w:rPr>
          <w:rFonts w:hint="eastAsia" w:ascii="Times New Roman" w:hAnsi="Times New Roman" w:eastAsia="宋体" w:cs="Times New Roman"/>
          <w:color w:val="000000" w:themeColor="text1"/>
          <w:sz w:val="24"/>
          <w:szCs w:val="28"/>
          <w14:textFill>
            <w14:solidFill>
              <w14:schemeClr w14:val="tx1"/>
            </w14:solidFill>
          </w14:textFill>
        </w:rPr>
        <w:t>据重点区域及设施识别结果，参照技术指南附录2中企业所属行业类型及特征污染物，选择确定每个重点区域或设施需监测的特征污染物类别及项目。原则上每个重点区域或设施监测的污染物项目不少于2项。</w:t>
      </w:r>
    </w:p>
    <w:p>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hint="eastAsia" w:ascii="Times New Roman" w:hAnsi="Times New Roman" w:eastAsia="宋体" w:cs="Times New Roman"/>
          <w:color w:val="000000" w:themeColor="text1"/>
          <w:sz w:val="24"/>
          <w:szCs w:val="28"/>
          <w14:textFill>
            <w14:solidFill>
              <w14:schemeClr w14:val="tx1"/>
            </w14:solidFill>
          </w14:textFill>
        </w:rPr>
        <w:t>光大环保能源（乐山）有限公司属于附录2中“4417生物质能发电”，行业特征因子有A1类和A2类。</w:t>
      </w:r>
    </w:p>
    <w:p>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hint="eastAsia" w:ascii="Times New Roman" w:hAnsi="Times New Roman" w:eastAsia="宋体" w:cs="Times New Roman"/>
          <w:color w:val="000000" w:themeColor="text1"/>
          <w:sz w:val="24"/>
          <w:szCs w:val="28"/>
          <w14:textFill>
            <w14:solidFill>
              <w14:schemeClr w14:val="tx1"/>
            </w14:solidFill>
          </w14:textFill>
        </w:rPr>
        <w:t>其中，重金属增加六价铬，国家评价标准中对土壤重金属铬、锌、锰、硒、铊、钼没有要求，且四川暂无地方标准要求，故重金属测镉、铅、铬、铜、锌、镍、汞、砷、钴、钒、锑、铍；油库和危废暂存间特征因子增加石油烃；飞灰固化间、烟气净化间、最大落地浓度点增加二噁英类；渗滤液除重金属，还涉及有机污染，考虑渗滤液有机污染成分复杂，按照GB 36600-2018表1中基本项目增加有机指标和石油烃。同时，所有点位测土壤pH。</w:t>
      </w:r>
    </w:p>
    <w:p>
      <w:pPr>
        <w:pStyle w:val="45"/>
        <w:spacing w:line="360" w:lineRule="auto"/>
        <w:ind w:firstLine="480" w:firstLineChars="200"/>
        <w:jc w:val="both"/>
        <w:rPr>
          <w:rFonts w:ascii="Times New Roman" w:hAnsi="Times New Roman" w:eastAsia="宋体" w:cs="Times New Roman"/>
          <w:bCs/>
          <w:sz w:val="24"/>
        </w:rPr>
      </w:pPr>
      <w:r>
        <w:rPr>
          <w:rFonts w:hint="eastAsia" w:ascii="Times New Roman" w:hAnsi="Times New Roman" w:eastAsia="宋体" w:cs="Times New Roman"/>
          <w:sz w:val="24"/>
        </w:rPr>
        <w:t>另根据《地下水质量标准》（GB/T</w:t>
      </w:r>
      <w:r>
        <w:rPr>
          <w:rFonts w:ascii="Times New Roman" w:hAnsi="Times New Roman" w:eastAsia="宋体" w:cs="Times New Roman"/>
          <w:sz w:val="24"/>
        </w:rPr>
        <w:t xml:space="preserve"> </w:t>
      </w:r>
      <w:r>
        <w:rPr>
          <w:rFonts w:hint="eastAsia" w:ascii="Times New Roman" w:hAnsi="Times New Roman" w:eastAsia="宋体" w:cs="Times New Roman"/>
          <w:sz w:val="24"/>
        </w:rPr>
        <w:t>14848-2017）</w:t>
      </w:r>
      <w:r>
        <w:rPr>
          <w:rFonts w:ascii="Times New Roman" w:hAnsi="Times New Roman" w:eastAsia="宋体" w:cs="Times New Roman"/>
          <w:sz w:val="24"/>
        </w:rPr>
        <w:t>对厂区地下水的分析，确定厂区地下水监测指标为：《地下水质量标准》（GB/T 14848-2017）</w:t>
      </w:r>
      <w:r>
        <w:rPr>
          <w:rFonts w:hint="eastAsia" w:ascii="Times New Roman" w:hAnsi="Times New Roman" w:eastAsia="宋体" w:cs="Times New Roman"/>
          <w:sz w:val="24"/>
        </w:rPr>
        <w:t>表1 基本项目（放射性指标和微生物指标除外）、镍、铍、锑、钡、钴、钼、铊</w:t>
      </w:r>
      <w:r>
        <w:rPr>
          <w:rFonts w:ascii="Times New Roman" w:hAnsi="Times New Roman" w:eastAsia="宋体" w:cs="Times New Roman"/>
          <w:bCs/>
          <w:sz w:val="24"/>
        </w:rPr>
        <w:t>。</w:t>
      </w:r>
    </w:p>
    <w:p>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本次选择的监测因子已经覆盖了企业和指南中规定的特征因子，检测项目数量满足指南要求。</w:t>
      </w:r>
    </w:p>
    <w:p>
      <w:pPr>
        <w:pStyle w:val="39"/>
        <w:numPr>
          <w:ilvl w:val="1"/>
          <w:numId w:val="2"/>
        </w:numPr>
        <w:ind w:left="0" w:firstLine="0" w:firstLineChars="0"/>
        <w:outlineLvl w:val="1"/>
        <w:rPr>
          <w:rFonts w:cs="Times New Roman"/>
          <w:b/>
          <w:color w:val="000000" w:themeColor="text1"/>
          <w:sz w:val="28"/>
          <w14:textFill>
            <w14:solidFill>
              <w14:schemeClr w14:val="tx1"/>
            </w14:solidFill>
          </w14:textFill>
        </w:rPr>
      </w:pPr>
      <w:bookmarkStart w:id="63" w:name="_Toc1335"/>
      <w:r>
        <w:rPr>
          <w:rFonts w:cs="Times New Roman"/>
          <w:b/>
          <w:color w:val="000000" w:themeColor="text1"/>
          <w:sz w:val="28"/>
          <w14:textFill>
            <w14:solidFill>
              <w14:schemeClr w14:val="tx1"/>
            </w14:solidFill>
          </w14:textFill>
        </w:rPr>
        <w:t>检测项目分析方法</w:t>
      </w:r>
      <w:bookmarkEnd w:id="63"/>
    </w:p>
    <w:p>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（1）土壤样品分析</w:t>
      </w:r>
    </w:p>
    <w:p>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土壤样品污染物的分析测试优先按照评价标准推荐方法执行，分析方法检出限满足评价标准限值要求，具有CMA资质。</w:t>
      </w:r>
    </w:p>
    <w:p>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（2）地下水样品分析</w:t>
      </w:r>
    </w:p>
    <w:p>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地下水样品的分析按照GB/T 14848-2017中的指定方法，具有CMA资质。</w:t>
      </w:r>
    </w:p>
    <w:p>
      <w:pPr>
        <w:spacing w:line="360" w:lineRule="auto"/>
        <w:ind w:firstLine="480" w:firstLineChars="200"/>
        <w:rPr>
          <w:rFonts w:ascii="Times New Roman" w:hAnsi="Times New Roman" w:eastAsia="宋体" w:cs="Times New Roman"/>
          <w:color w:val="000000" w:themeColor="text1"/>
          <w:sz w:val="24"/>
          <w:szCs w:val="28"/>
          <w14:textFill>
            <w14:solidFill>
              <w14:schemeClr w14:val="tx1"/>
            </w14:solidFill>
          </w14:textFill>
        </w:rPr>
      </w:pPr>
      <w:r>
        <w:rPr>
          <w:rFonts w:ascii="Times New Roman" w:hAnsi="Times New Roman" w:eastAsia="宋体" w:cs="Times New Roman"/>
          <w:color w:val="000000" w:themeColor="text1"/>
          <w:sz w:val="24"/>
          <w:szCs w:val="28"/>
          <w14:textFill>
            <w14:solidFill>
              <w14:schemeClr w14:val="tx1"/>
            </w14:solidFill>
          </w14:textFill>
        </w:rPr>
        <w:t>土壤分析方法见表</w:t>
      </w:r>
      <w:r>
        <w:rPr>
          <w:rFonts w:hint="eastAsia" w:ascii="Times New Roman" w:hAnsi="Times New Roman" w:eastAsia="宋体" w:cs="Times New Roman"/>
          <w:color w:val="000000" w:themeColor="text1"/>
          <w:sz w:val="24"/>
          <w:szCs w:val="28"/>
          <w14:textFill>
            <w14:solidFill>
              <w14:schemeClr w14:val="tx1"/>
            </w14:solidFill>
          </w14:textFill>
        </w:rPr>
        <w:t>4</w:t>
      </w:r>
      <w:r>
        <w:rPr>
          <w:rFonts w:ascii="Times New Roman" w:hAnsi="Times New Roman" w:eastAsia="宋体" w:cs="Times New Roman"/>
          <w:color w:val="000000" w:themeColor="text1"/>
          <w:sz w:val="24"/>
          <w:szCs w:val="28"/>
          <w14:textFill>
            <w14:solidFill>
              <w14:schemeClr w14:val="tx1"/>
            </w14:solidFill>
          </w14:textFill>
        </w:rPr>
        <w:t>-1，地下水分析方法见表</w:t>
      </w:r>
      <w:r>
        <w:rPr>
          <w:rFonts w:hint="eastAsia" w:ascii="Times New Roman" w:hAnsi="Times New Roman" w:eastAsia="宋体" w:cs="Times New Roman"/>
          <w:color w:val="000000" w:themeColor="text1"/>
          <w:sz w:val="24"/>
          <w:szCs w:val="28"/>
          <w14:textFill>
            <w14:solidFill>
              <w14:schemeClr w14:val="tx1"/>
            </w14:solidFill>
          </w14:textFill>
        </w:rPr>
        <w:t>4</w:t>
      </w:r>
      <w:r>
        <w:rPr>
          <w:rFonts w:ascii="Times New Roman" w:hAnsi="Times New Roman" w:eastAsia="宋体" w:cs="Times New Roman"/>
          <w:color w:val="000000" w:themeColor="text1"/>
          <w:sz w:val="24"/>
          <w:szCs w:val="28"/>
          <w14:textFill>
            <w14:solidFill>
              <w14:schemeClr w14:val="tx1"/>
            </w14:solidFill>
          </w14:textFill>
        </w:rPr>
        <w:t>-2。</w:t>
      </w:r>
    </w:p>
    <w:p>
      <w:pPr>
        <w:rPr>
          <w:rFonts w:ascii="Times New Roman" w:hAnsi="Times New Roman" w:eastAsia="宋体" w:cs="Times New Roman"/>
          <w:color w:val="FF0000"/>
          <w:sz w:val="24"/>
          <w:szCs w:val="28"/>
        </w:rPr>
      </w:pPr>
      <w:r>
        <w:rPr>
          <w:rFonts w:ascii="Times New Roman" w:hAnsi="Times New Roman" w:eastAsia="宋体" w:cs="Times New Roman"/>
          <w:color w:val="FF0000"/>
          <w:sz w:val="24"/>
          <w:szCs w:val="28"/>
        </w:rPr>
        <w:br w:type="page"/>
      </w:r>
    </w:p>
    <w:p>
      <w:pPr>
        <w:numPr>
          <w:ilvl w:val="0"/>
          <w:numId w:val="11"/>
        </w:numPr>
        <w:jc w:val="center"/>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土壤分析方法一览表</w:t>
      </w:r>
    </w:p>
    <w:tbl>
      <w:tblPr>
        <w:tblStyle w:val="15"/>
        <w:tblW w:w="83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2"/>
        <w:gridCol w:w="2977"/>
        <w:gridCol w:w="1276"/>
        <w:gridCol w:w="2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szCs w:val="21"/>
              </w:rPr>
            </w:pPr>
            <w:r>
              <w:rPr>
                <w:rFonts w:ascii="Times New Roman" w:hAnsi="Times New Roman" w:cs="Times New Roman"/>
                <w:b/>
                <w:szCs w:val="21"/>
              </w:rPr>
              <w:t>检测项目</w:t>
            </w:r>
          </w:p>
        </w:tc>
        <w:tc>
          <w:tcPr>
            <w:tcW w:w="297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szCs w:val="21"/>
              </w:rPr>
            </w:pPr>
            <w:r>
              <w:rPr>
                <w:rFonts w:ascii="Times New Roman" w:hAnsi="Times New Roman" w:cs="Times New Roman"/>
                <w:b/>
                <w:szCs w:val="21"/>
              </w:rPr>
              <w:t>检测方法及方法来源</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szCs w:val="21"/>
              </w:rPr>
            </w:pPr>
            <w:r>
              <w:rPr>
                <w:rFonts w:ascii="Times New Roman" w:hAnsi="Times New Roman" w:cs="Times New Roman"/>
                <w:b/>
                <w:szCs w:val="21"/>
              </w:rPr>
              <w:t>检出限</w:t>
            </w:r>
          </w:p>
          <w:p>
            <w:pPr>
              <w:pStyle w:val="2"/>
              <w:jc w:val="center"/>
              <w:rPr>
                <w:rFonts w:cs="Times New Roman"/>
                <w:b/>
              </w:rPr>
            </w:pPr>
            <w:r>
              <w:rPr>
                <w:rFonts w:cs="Times New Roman"/>
                <w:b/>
              </w:rPr>
              <w:t>（mg/kg）</w:t>
            </w:r>
          </w:p>
        </w:tc>
        <w:tc>
          <w:tcPr>
            <w:tcW w:w="223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szCs w:val="21"/>
              </w:rPr>
            </w:pPr>
            <w:r>
              <w:rPr>
                <w:rFonts w:ascii="Times New Roman" w:hAnsi="Times New Roman" w:cs="Times New Roman"/>
                <w:b/>
                <w:szCs w:val="21"/>
              </w:rPr>
              <w:t>主要仪器</w:t>
            </w:r>
          </w:p>
          <w:p>
            <w:pPr>
              <w:ind w:left="-105" w:leftChars="-50" w:right="-105" w:rightChars="-50"/>
              <w:jc w:val="center"/>
              <w:rPr>
                <w:rFonts w:ascii="Times New Roman" w:hAnsi="Times New Roman" w:cs="Times New Roman"/>
                <w:b/>
                <w:szCs w:val="21"/>
              </w:rPr>
            </w:pPr>
            <w:r>
              <w:rPr>
                <w:rFonts w:ascii="Times New Roman" w:hAnsi="Times New Roman" w:cs="Times New Roman"/>
                <w:b/>
                <w:szCs w:val="21"/>
              </w:rPr>
              <w:t>（名称、型号及编号）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Cs w:val="21"/>
              </w:rPr>
            </w:pPr>
            <w:r>
              <w:rPr>
                <w:rFonts w:ascii="Times New Roman" w:hAnsi="Times New Roman" w:cs="Times New Roman"/>
                <w:szCs w:val="21"/>
              </w:rPr>
              <w:t>pH</w:t>
            </w:r>
          </w:p>
        </w:tc>
        <w:tc>
          <w:tcPr>
            <w:tcW w:w="297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 xml:space="preserve">土壤 pH值的测定 电位法 </w:t>
            </w:r>
          </w:p>
          <w:p>
            <w:pPr>
              <w:jc w:val="center"/>
              <w:rPr>
                <w:rFonts w:ascii="Times New Roman" w:hAnsi="Times New Roman" w:cs="Times New Roman"/>
                <w:bCs/>
                <w:color w:val="FF0000"/>
                <w:szCs w:val="21"/>
              </w:rPr>
            </w:pPr>
            <w:r>
              <w:rPr>
                <w:rFonts w:ascii="Times New Roman" w:hAnsi="Times New Roman" w:cs="Times New Roman"/>
                <w:szCs w:val="21"/>
              </w:rPr>
              <w:t>HJ 962-2018</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w:t>
            </w:r>
          </w:p>
          <w:p>
            <w:pPr>
              <w:ind w:left="-105" w:leftChars="-50" w:right="-105" w:rightChars="-50"/>
              <w:jc w:val="center"/>
              <w:rPr>
                <w:rFonts w:ascii="Times New Roman" w:hAnsi="Times New Roman" w:cs="Times New Roman"/>
                <w:bCs/>
                <w:color w:val="000000"/>
                <w:szCs w:val="21"/>
              </w:rPr>
            </w:pPr>
            <w:r>
              <w:rPr>
                <w:rFonts w:ascii="Times New Roman" w:hAnsi="Times New Roman" w:cs="Times New Roman"/>
                <w:bCs/>
                <w:color w:val="000000"/>
                <w:szCs w:val="21"/>
              </w:rPr>
              <w:t>（无量纲）</w:t>
            </w:r>
          </w:p>
        </w:tc>
        <w:tc>
          <w:tcPr>
            <w:tcW w:w="223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台式多参数测量仪</w:t>
            </w:r>
          </w:p>
          <w:p>
            <w:pPr>
              <w:jc w:val="center"/>
              <w:rPr>
                <w:rFonts w:ascii="Times New Roman" w:hAnsi="Times New Roman" w:cs="Times New Roman"/>
                <w:szCs w:val="21"/>
              </w:rPr>
            </w:pPr>
            <w:r>
              <w:rPr>
                <w:rFonts w:ascii="Times New Roman" w:hAnsi="Times New Roman" w:cs="Times New Roman"/>
                <w:szCs w:val="21"/>
              </w:rPr>
              <w:t>S220-K</w:t>
            </w:r>
          </w:p>
          <w:p>
            <w:pPr>
              <w:jc w:val="center"/>
              <w:rPr>
                <w:rFonts w:ascii="Times New Roman" w:hAnsi="Times New Roman" w:cs="Times New Roman"/>
                <w:bCs/>
                <w:szCs w:val="21"/>
              </w:rPr>
            </w:pPr>
            <w:r>
              <w:rPr>
                <w:rFonts w:ascii="Times New Roman" w:hAnsi="Times New Roman" w:cs="Times New Roman"/>
                <w:szCs w:val="21"/>
              </w:rPr>
              <w:t>（TTE20192489）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汞</w:t>
            </w:r>
          </w:p>
        </w:tc>
        <w:tc>
          <w:tcPr>
            <w:tcW w:w="297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szCs w:val="21"/>
              </w:rPr>
            </w:pPr>
            <w:r>
              <w:rPr>
                <w:rFonts w:ascii="Times New Roman" w:hAnsi="Times New Roman" w:cs="Times New Roman"/>
                <w:szCs w:val="21"/>
              </w:rPr>
              <w:t xml:space="preserve">土壤和沉积物 总汞的测定 催化热解-冷原子吸收分光光度法 </w:t>
            </w:r>
          </w:p>
          <w:p>
            <w:pPr>
              <w:spacing w:line="280" w:lineRule="exact"/>
              <w:jc w:val="center"/>
              <w:rPr>
                <w:rFonts w:ascii="Times New Roman" w:hAnsi="Times New Roman" w:cs="Times New Roman"/>
                <w:bCs/>
                <w:szCs w:val="21"/>
              </w:rPr>
            </w:pPr>
            <w:r>
              <w:rPr>
                <w:rFonts w:ascii="Times New Roman" w:hAnsi="Times New Roman" w:cs="Times New Roman"/>
                <w:szCs w:val="21"/>
              </w:rPr>
              <w:t>HJ 923-2017</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bCs/>
                <w:szCs w:val="21"/>
              </w:rPr>
            </w:pPr>
            <w:r>
              <w:rPr>
                <w:rFonts w:ascii="Times New Roman" w:hAnsi="Times New Roman" w:cs="Times New Roman"/>
                <w:bCs/>
                <w:szCs w:val="21"/>
              </w:rPr>
              <w:t>0.0002</w:t>
            </w:r>
          </w:p>
        </w:tc>
        <w:tc>
          <w:tcPr>
            <w:tcW w:w="223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Cs w:val="21"/>
              </w:rPr>
            </w:pPr>
            <w:r>
              <w:rPr>
                <w:rFonts w:ascii="Times New Roman" w:hAnsi="Times New Roman" w:cs="Times New Roman"/>
                <w:bCs/>
                <w:szCs w:val="21"/>
              </w:rPr>
              <w:t>测汞仪</w:t>
            </w:r>
          </w:p>
          <w:p>
            <w:pPr>
              <w:jc w:val="center"/>
              <w:rPr>
                <w:rFonts w:ascii="Times New Roman" w:hAnsi="Times New Roman" w:cs="Times New Roman"/>
                <w:bCs/>
                <w:szCs w:val="21"/>
              </w:rPr>
            </w:pPr>
            <w:r>
              <w:rPr>
                <w:rFonts w:ascii="Times New Roman" w:hAnsi="Times New Roman" w:cs="Times New Roman"/>
                <w:bCs/>
                <w:szCs w:val="21"/>
              </w:rPr>
              <w:t>DMA-80</w:t>
            </w:r>
          </w:p>
          <w:p>
            <w:pPr>
              <w:spacing w:line="280" w:lineRule="exact"/>
              <w:jc w:val="center"/>
              <w:rPr>
                <w:rFonts w:ascii="Times New Roman" w:hAnsi="Times New Roman" w:cs="Times New Roman"/>
                <w:bCs/>
                <w:szCs w:val="21"/>
              </w:rPr>
            </w:pPr>
            <w:r>
              <w:rPr>
                <w:rFonts w:ascii="Times New Roman" w:hAnsi="Times New Roman" w:cs="Times New Roman"/>
                <w:bCs/>
                <w:szCs w:val="21"/>
              </w:rPr>
              <w:t>（TTE20177449）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砷</w:t>
            </w:r>
          </w:p>
        </w:tc>
        <w:tc>
          <w:tcPr>
            <w:tcW w:w="2977" w:type="dxa"/>
            <w:tcBorders>
              <w:top w:val="single" w:color="auto" w:sz="4" w:space="0"/>
              <w:left w:val="single" w:color="auto" w:sz="4" w:space="0"/>
              <w:bottom w:val="single" w:color="auto" w:sz="4" w:space="0"/>
              <w:right w:val="single" w:color="auto" w:sz="4" w:space="0"/>
            </w:tcBorders>
            <w:vAlign w:val="center"/>
          </w:tcPr>
          <w:p>
            <w:pPr>
              <w:tabs>
                <w:tab w:val="left" w:pos="5775"/>
              </w:tabs>
              <w:adjustRightInd w:val="0"/>
              <w:snapToGrid w:val="0"/>
              <w:jc w:val="center"/>
              <w:rPr>
                <w:rFonts w:ascii="Times New Roman" w:hAnsi="Times New Roman" w:cs="Times New Roman"/>
                <w:szCs w:val="21"/>
              </w:rPr>
            </w:pPr>
            <w:r>
              <w:rPr>
                <w:rFonts w:ascii="Times New Roman" w:hAnsi="Times New Roman" w:cs="Times New Roman"/>
                <w:szCs w:val="21"/>
              </w:rPr>
              <w:t xml:space="preserve">土壤质量 总汞、总砷、总铅的测定 </w:t>
            </w:r>
          </w:p>
          <w:p>
            <w:pPr>
              <w:tabs>
                <w:tab w:val="left" w:pos="5775"/>
              </w:tabs>
              <w:adjustRightInd w:val="0"/>
              <w:snapToGrid w:val="0"/>
              <w:jc w:val="center"/>
              <w:rPr>
                <w:rFonts w:ascii="Times New Roman" w:hAnsi="Times New Roman" w:cs="Times New Roman"/>
                <w:szCs w:val="21"/>
              </w:rPr>
            </w:pPr>
            <w:r>
              <w:rPr>
                <w:rFonts w:ascii="Times New Roman" w:hAnsi="Times New Roman" w:cs="Times New Roman"/>
                <w:szCs w:val="21"/>
              </w:rPr>
              <w:t>原子荧光法 第2部分：</w:t>
            </w:r>
          </w:p>
          <w:p>
            <w:pPr>
              <w:tabs>
                <w:tab w:val="left" w:pos="5775"/>
              </w:tabs>
              <w:adjustRightInd w:val="0"/>
              <w:snapToGrid w:val="0"/>
              <w:jc w:val="center"/>
              <w:rPr>
                <w:rFonts w:ascii="Times New Roman" w:hAnsi="Times New Roman" w:cs="Times New Roman"/>
                <w:szCs w:val="21"/>
              </w:rPr>
            </w:pPr>
            <w:r>
              <w:rPr>
                <w:rFonts w:ascii="Times New Roman" w:hAnsi="Times New Roman" w:cs="Times New Roman"/>
                <w:szCs w:val="21"/>
              </w:rPr>
              <w:t xml:space="preserve">土壤中总砷的测定 </w:t>
            </w:r>
          </w:p>
          <w:p>
            <w:pPr>
              <w:tabs>
                <w:tab w:val="left" w:pos="5775"/>
              </w:tabs>
              <w:adjustRightInd w:val="0"/>
              <w:snapToGrid w:val="0"/>
              <w:jc w:val="center"/>
              <w:rPr>
                <w:rFonts w:ascii="Times New Roman" w:hAnsi="Times New Roman" w:cs="Times New Roman"/>
                <w:szCs w:val="21"/>
              </w:rPr>
            </w:pPr>
            <w:r>
              <w:rPr>
                <w:rFonts w:ascii="Times New Roman" w:hAnsi="Times New Roman" w:cs="Times New Roman"/>
                <w:szCs w:val="21"/>
              </w:rPr>
              <w:t>GB/T 22105.2-2008</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Cs w:val="21"/>
              </w:rPr>
            </w:pPr>
            <w:r>
              <w:rPr>
                <w:rFonts w:ascii="Times New Roman" w:hAnsi="Times New Roman" w:cs="Times New Roman"/>
                <w:bCs/>
                <w:szCs w:val="21"/>
              </w:rPr>
              <w:t>0.01</w:t>
            </w:r>
          </w:p>
        </w:tc>
        <w:tc>
          <w:tcPr>
            <w:tcW w:w="223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原子荧光分光光度计</w:t>
            </w:r>
          </w:p>
          <w:p>
            <w:pPr>
              <w:jc w:val="center"/>
              <w:rPr>
                <w:rFonts w:ascii="Times New Roman" w:hAnsi="Times New Roman" w:cs="Times New Roman"/>
                <w:szCs w:val="21"/>
              </w:rPr>
            </w:pPr>
            <w:r>
              <w:rPr>
                <w:rFonts w:ascii="Times New Roman" w:hAnsi="Times New Roman" w:cs="Times New Roman"/>
                <w:szCs w:val="21"/>
              </w:rPr>
              <w:t>AFS-930</w:t>
            </w:r>
          </w:p>
          <w:p>
            <w:pPr>
              <w:jc w:val="center"/>
              <w:rPr>
                <w:rFonts w:ascii="Times New Roman" w:hAnsi="Times New Roman" w:cs="Times New Roman"/>
                <w:szCs w:val="21"/>
              </w:rPr>
            </w:pPr>
            <w:r>
              <w:rPr>
                <w:rFonts w:ascii="Times New Roman" w:hAnsi="Times New Roman" w:cs="Times New Roman"/>
                <w:szCs w:val="21"/>
              </w:rPr>
              <w:t>（TTE20130888）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镉</w:t>
            </w:r>
          </w:p>
        </w:tc>
        <w:tc>
          <w:tcPr>
            <w:tcW w:w="2977"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cs="Times New Roman"/>
                <w:bCs/>
                <w:szCs w:val="21"/>
              </w:rPr>
            </w:pPr>
            <w:r>
              <w:rPr>
                <w:rFonts w:ascii="Times New Roman" w:hAnsi="Times New Roman" w:cs="Times New Roman"/>
                <w:bCs/>
                <w:szCs w:val="21"/>
              </w:rPr>
              <w:t xml:space="preserve">土壤质量 铅、镉的测定 </w:t>
            </w:r>
          </w:p>
          <w:p>
            <w:pPr>
              <w:jc w:val="center"/>
              <w:rPr>
                <w:rFonts w:ascii="Times New Roman" w:hAnsi="Times New Roman" w:cs="Times New Roman"/>
                <w:bCs/>
                <w:szCs w:val="21"/>
              </w:rPr>
            </w:pPr>
            <w:r>
              <w:rPr>
                <w:rFonts w:ascii="Times New Roman" w:hAnsi="Times New Roman" w:cs="Times New Roman"/>
                <w:bCs/>
                <w:szCs w:val="21"/>
              </w:rPr>
              <w:t xml:space="preserve">石墨炉原子吸收分光光度法 </w:t>
            </w:r>
          </w:p>
          <w:p>
            <w:pPr>
              <w:jc w:val="center"/>
              <w:rPr>
                <w:rFonts w:ascii="Times New Roman" w:hAnsi="Times New Roman" w:cs="Times New Roman"/>
                <w:bCs/>
                <w:szCs w:val="21"/>
              </w:rPr>
            </w:pPr>
            <w:r>
              <w:rPr>
                <w:rFonts w:ascii="Times New Roman" w:hAnsi="Times New Roman" w:cs="Times New Roman"/>
                <w:bCs/>
                <w:szCs w:val="21"/>
              </w:rPr>
              <w:t>GB/T 17141-1997</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Cs w:val="21"/>
              </w:rPr>
            </w:pPr>
            <w:r>
              <w:rPr>
                <w:rFonts w:ascii="Times New Roman" w:hAnsi="Times New Roman" w:cs="Times New Roman"/>
                <w:bCs/>
                <w:szCs w:val="21"/>
              </w:rPr>
              <w:t>0.01</w:t>
            </w:r>
          </w:p>
        </w:tc>
        <w:tc>
          <w:tcPr>
            <w:tcW w:w="2239"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原子吸收分光光度计AA900T</w:t>
            </w:r>
          </w:p>
          <w:p>
            <w:pPr>
              <w:jc w:val="center"/>
              <w:rPr>
                <w:rFonts w:ascii="Times New Roman" w:hAnsi="Times New Roman" w:cs="Times New Roman"/>
                <w:bCs/>
                <w:color w:val="000000"/>
                <w:szCs w:val="21"/>
              </w:rPr>
            </w:pPr>
            <w:r>
              <w:rPr>
                <w:rFonts w:ascii="Times New Roman" w:hAnsi="Times New Roman" w:cs="Times New Roman"/>
                <w:bCs/>
                <w:color w:val="000000"/>
                <w:szCs w:val="21"/>
              </w:rPr>
              <w:t>（TTE20171536）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铅</w:t>
            </w:r>
          </w:p>
        </w:tc>
        <w:tc>
          <w:tcPr>
            <w:tcW w:w="2977"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0.1</w:t>
            </w:r>
          </w:p>
        </w:tc>
        <w:tc>
          <w:tcPr>
            <w:tcW w:w="2239"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cs="Times New Roman"/>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铜</w:t>
            </w:r>
          </w:p>
        </w:tc>
        <w:tc>
          <w:tcPr>
            <w:tcW w:w="2977" w:type="dxa"/>
            <w:vMerge w:val="restart"/>
            <w:tcBorders>
              <w:top w:val="single" w:color="auto" w:sz="4" w:space="0"/>
              <w:left w:val="single" w:color="auto" w:sz="4" w:space="0"/>
              <w:right w:val="single" w:color="auto" w:sz="4" w:space="0"/>
            </w:tcBorders>
            <w:vAlign w:val="center"/>
          </w:tcPr>
          <w:p>
            <w:pPr>
              <w:tabs>
                <w:tab w:val="left" w:pos="5775"/>
              </w:tabs>
              <w:jc w:val="center"/>
              <w:rPr>
                <w:rFonts w:ascii="Times New Roman" w:hAnsi="Times New Roman" w:cs="Times New Roman"/>
                <w:szCs w:val="21"/>
              </w:rPr>
            </w:pPr>
            <w:r>
              <w:rPr>
                <w:rFonts w:ascii="Times New Roman" w:hAnsi="Times New Roman" w:cs="Times New Roman"/>
                <w:szCs w:val="21"/>
              </w:rPr>
              <w:t xml:space="preserve">土壤和沉积物 </w:t>
            </w:r>
          </w:p>
          <w:p>
            <w:pPr>
              <w:tabs>
                <w:tab w:val="left" w:pos="5775"/>
              </w:tabs>
              <w:jc w:val="center"/>
              <w:rPr>
                <w:rFonts w:ascii="Times New Roman" w:hAnsi="Times New Roman" w:cs="Times New Roman"/>
                <w:szCs w:val="21"/>
              </w:rPr>
            </w:pPr>
            <w:r>
              <w:rPr>
                <w:rFonts w:ascii="Times New Roman" w:hAnsi="Times New Roman" w:cs="Times New Roman"/>
                <w:szCs w:val="21"/>
              </w:rPr>
              <w:t>铜、锌、铅、镍、铬的测定</w:t>
            </w:r>
          </w:p>
          <w:p>
            <w:pPr>
              <w:tabs>
                <w:tab w:val="left" w:pos="5775"/>
              </w:tabs>
              <w:jc w:val="center"/>
              <w:rPr>
                <w:rFonts w:ascii="Times New Roman" w:hAnsi="Times New Roman" w:cs="Times New Roman"/>
                <w:szCs w:val="21"/>
              </w:rPr>
            </w:pPr>
            <w:r>
              <w:rPr>
                <w:rFonts w:ascii="Times New Roman" w:hAnsi="Times New Roman" w:cs="Times New Roman"/>
                <w:szCs w:val="21"/>
              </w:rPr>
              <w:t>火焰原子吸收分光光度法</w:t>
            </w:r>
          </w:p>
          <w:p>
            <w:pPr>
              <w:jc w:val="center"/>
              <w:rPr>
                <w:rFonts w:ascii="Times New Roman" w:hAnsi="Times New Roman" w:cs="Times New Roman"/>
                <w:bCs/>
                <w:szCs w:val="21"/>
              </w:rPr>
            </w:pPr>
            <w:r>
              <w:rPr>
                <w:rFonts w:ascii="Times New Roman" w:hAnsi="Times New Roman" w:cs="Times New Roman"/>
                <w:szCs w:val="21"/>
              </w:rPr>
              <w:t>HJ 491-2019</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Cs w:val="21"/>
              </w:rPr>
            </w:pPr>
            <w:r>
              <w:rPr>
                <w:rFonts w:ascii="Times New Roman" w:hAnsi="Times New Roman" w:cs="Times New Roman"/>
                <w:bCs/>
                <w:szCs w:val="21"/>
              </w:rPr>
              <w:t>1</w:t>
            </w:r>
          </w:p>
        </w:tc>
        <w:tc>
          <w:tcPr>
            <w:tcW w:w="2239"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原子吸收光谱仪AA900T</w:t>
            </w:r>
          </w:p>
          <w:p>
            <w:pPr>
              <w:jc w:val="center"/>
              <w:rPr>
                <w:rFonts w:ascii="Times New Roman" w:hAnsi="Times New Roman" w:cs="Times New Roman"/>
                <w:bCs/>
                <w:szCs w:val="21"/>
              </w:rPr>
            </w:pPr>
            <w:r>
              <w:rPr>
                <w:rFonts w:ascii="Times New Roman" w:hAnsi="Times New Roman" w:cs="Times New Roman"/>
                <w:szCs w:val="21"/>
              </w:rPr>
              <w:t>（TTE20200137）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镍</w:t>
            </w:r>
          </w:p>
        </w:tc>
        <w:tc>
          <w:tcPr>
            <w:tcW w:w="2977"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3</w:t>
            </w:r>
          </w:p>
        </w:tc>
        <w:tc>
          <w:tcPr>
            <w:tcW w:w="2239"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六价铬</w:t>
            </w:r>
          </w:p>
        </w:tc>
        <w:tc>
          <w:tcPr>
            <w:tcW w:w="2977" w:type="dxa"/>
            <w:tcBorders>
              <w:left w:val="single" w:color="auto" w:sz="4" w:space="0"/>
              <w:right w:val="single" w:color="auto" w:sz="4" w:space="0"/>
            </w:tcBorders>
            <w:vAlign w:val="center"/>
          </w:tcPr>
          <w:p>
            <w:pPr>
              <w:tabs>
                <w:tab w:val="left" w:pos="5775"/>
              </w:tabs>
              <w:jc w:val="center"/>
              <w:rPr>
                <w:rFonts w:ascii="Times New Roman" w:hAnsi="Times New Roman" w:cs="Times New Roman"/>
                <w:color w:val="000000"/>
                <w:szCs w:val="21"/>
              </w:rPr>
            </w:pPr>
            <w:r>
              <w:rPr>
                <w:rFonts w:ascii="Times New Roman" w:hAnsi="Times New Roman" w:cs="Times New Roman"/>
                <w:color w:val="000000"/>
                <w:szCs w:val="21"/>
              </w:rPr>
              <w:t xml:space="preserve">土壤和沉积物 六价铬的测定 </w:t>
            </w:r>
          </w:p>
          <w:p>
            <w:pPr>
              <w:tabs>
                <w:tab w:val="left" w:pos="5775"/>
              </w:tabs>
              <w:jc w:val="center"/>
              <w:rPr>
                <w:rFonts w:ascii="Times New Roman" w:hAnsi="Times New Roman" w:cs="Times New Roman"/>
                <w:color w:val="000000"/>
                <w:szCs w:val="21"/>
              </w:rPr>
            </w:pPr>
            <w:r>
              <w:rPr>
                <w:rFonts w:ascii="Times New Roman" w:hAnsi="Times New Roman" w:cs="Times New Roman"/>
                <w:color w:val="000000"/>
                <w:szCs w:val="21"/>
              </w:rPr>
              <w:t>碱溶液提取-火焰原子吸收分光光度法</w:t>
            </w:r>
          </w:p>
          <w:p>
            <w:pPr>
              <w:widowControl/>
              <w:jc w:val="center"/>
              <w:rPr>
                <w:rFonts w:ascii="Times New Roman" w:hAnsi="Times New Roman" w:cs="Times New Roman"/>
                <w:bCs/>
                <w:szCs w:val="21"/>
              </w:rPr>
            </w:pPr>
            <w:r>
              <w:rPr>
                <w:rFonts w:ascii="Times New Roman" w:hAnsi="Times New Roman" w:cs="Times New Roman"/>
                <w:color w:val="000000"/>
                <w:szCs w:val="21"/>
              </w:rPr>
              <w:t>HJ 1082-2019</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0.5</w:t>
            </w:r>
          </w:p>
        </w:tc>
        <w:tc>
          <w:tcPr>
            <w:tcW w:w="2239" w:type="dxa"/>
            <w:tcBorders>
              <w:left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原子吸收光谱仪AA900T</w:t>
            </w:r>
          </w:p>
          <w:p>
            <w:pPr>
              <w:widowControl/>
              <w:jc w:val="center"/>
              <w:rPr>
                <w:rFonts w:ascii="Times New Roman" w:hAnsi="Times New Roman" w:cs="Times New Roman"/>
                <w:bCs/>
                <w:szCs w:val="21"/>
              </w:rPr>
            </w:pPr>
            <w:r>
              <w:rPr>
                <w:rFonts w:ascii="Times New Roman" w:hAnsi="Times New Roman" w:cs="Times New Roman"/>
                <w:szCs w:val="21"/>
              </w:rPr>
              <w:t>（TTE20200137）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氯甲烷</w:t>
            </w:r>
          </w:p>
        </w:tc>
        <w:tc>
          <w:tcPr>
            <w:tcW w:w="2977" w:type="dxa"/>
            <w:vMerge w:val="restart"/>
            <w:tcBorders>
              <w:left w:val="single" w:color="auto" w:sz="4" w:space="0"/>
              <w:right w:val="single" w:color="auto" w:sz="4" w:space="0"/>
            </w:tcBorders>
            <w:vAlign w:val="center"/>
          </w:tcPr>
          <w:p>
            <w:pPr>
              <w:jc w:val="center"/>
              <w:rPr>
                <w:rFonts w:ascii="Times New Roman" w:hAnsi="Times New Roman" w:cs="Times New Roman"/>
                <w:bCs/>
                <w:szCs w:val="21"/>
              </w:rPr>
            </w:pPr>
            <w:r>
              <w:rPr>
                <w:rFonts w:ascii="Times New Roman" w:hAnsi="Times New Roman" w:cs="Times New Roman"/>
                <w:bCs/>
                <w:szCs w:val="21"/>
              </w:rPr>
              <w:t>土壤和沉积物 挥发性有机物的测定 吹扫捕集/气相色谱-质谱法</w:t>
            </w:r>
          </w:p>
          <w:p>
            <w:pPr>
              <w:widowControl/>
              <w:jc w:val="center"/>
              <w:rPr>
                <w:rFonts w:ascii="Times New Roman" w:hAnsi="Times New Roman" w:cs="Times New Roman"/>
                <w:bCs/>
                <w:szCs w:val="21"/>
              </w:rPr>
            </w:pPr>
            <w:r>
              <w:rPr>
                <w:rFonts w:ascii="Times New Roman" w:hAnsi="Times New Roman" w:cs="Times New Roman"/>
                <w:bCs/>
                <w:szCs w:val="21"/>
              </w:rPr>
              <w:t>HJ 605-2011</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0.0010</w:t>
            </w:r>
          </w:p>
        </w:tc>
        <w:tc>
          <w:tcPr>
            <w:tcW w:w="2239" w:type="dxa"/>
            <w:vMerge w:val="restart"/>
            <w:tcBorders>
              <w:left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气相色谱/质谱联用仪</w:t>
            </w:r>
          </w:p>
          <w:p>
            <w:pPr>
              <w:jc w:val="center"/>
              <w:rPr>
                <w:rFonts w:ascii="Times New Roman" w:hAnsi="Times New Roman" w:cs="Times New Roman"/>
                <w:szCs w:val="21"/>
              </w:rPr>
            </w:pPr>
            <w:r>
              <w:rPr>
                <w:rFonts w:ascii="Times New Roman" w:hAnsi="Times New Roman" w:cs="Times New Roman"/>
                <w:szCs w:val="21"/>
              </w:rPr>
              <w:t>岛津 GC-MS</w:t>
            </w:r>
          </w:p>
          <w:p>
            <w:pPr>
              <w:widowControl/>
              <w:jc w:val="center"/>
              <w:rPr>
                <w:rFonts w:ascii="Times New Roman" w:hAnsi="Times New Roman" w:cs="Times New Roman"/>
                <w:bCs/>
                <w:szCs w:val="21"/>
              </w:rPr>
            </w:pPr>
            <w:r>
              <w:rPr>
                <w:rFonts w:ascii="Times New Roman" w:hAnsi="Times New Roman" w:cs="Times New Roman"/>
                <w:szCs w:val="21"/>
              </w:rPr>
              <w:t>QP-2020（TTE20177495）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1,1-二氯乙烷</w:t>
            </w:r>
          </w:p>
        </w:tc>
        <w:tc>
          <w:tcPr>
            <w:tcW w:w="2977"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0.0007</w:t>
            </w:r>
          </w:p>
        </w:tc>
        <w:tc>
          <w:tcPr>
            <w:tcW w:w="2239"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氯乙烯</w:t>
            </w:r>
          </w:p>
        </w:tc>
        <w:tc>
          <w:tcPr>
            <w:tcW w:w="2977"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color w:val="000000"/>
                <w:szCs w:val="21"/>
              </w:rPr>
              <w:t>0.0010</w:t>
            </w:r>
          </w:p>
        </w:tc>
        <w:tc>
          <w:tcPr>
            <w:tcW w:w="2239"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1,1-二氯乙烯</w:t>
            </w:r>
          </w:p>
        </w:tc>
        <w:tc>
          <w:tcPr>
            <w:tcW w:w="2977"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0.0010</w:t>
            </w:r>
          </w:p>
        </w:tc>
        <w:tc>
          <w:tcPr>
            <w:tcW w:w="2239"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二氯甲烷</w:t>
            </w:r>
          </w:p>
        </w:tc>
        <w:tc>
          <w:tcPr>
            <w:tcW w:w="2977"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0.0011</w:t>
            </w:r>
          </w:p>
        </w:tc>
        <w:tc>
          <w:tcPr>
            <w:tcW w:w="2239"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(反)1,2-二氯乙烯</w:t>
            </w:r>
          </w:p>
        </w:tc>
        <w:tc>
          <w:tcPr>
            <w:tcW w:w="2977"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0.0007</w:t>
            </w:r>
          </w:p>
        </w:tc>
        <w:tc>
          <w:tcPr>
            <w:tcW w:w="2239"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(顺)1,2-二氯乙烯</w:t>
            </w:r>
          </w:p>
        </w:tc>
        <w:tc>
          <w:tcPr>
            <w:tcW w:w="2977"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0.0011</w:t>
            </w:r>
          </w:p>
        </w:tc>
        <w:tc>
          <w:tcPr>
            <w:tcW w:w="2239"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三氯甲烷</w:t>
            </w:r>
          </w:p>
        </w:tc>
        <w:tc>
          <w:tcPr>
            <w:tcW w:w="2977"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0.0013</w:t>
            </w:r>
          </w:p>
        </w:tc>
        <w:tc>
          <w:tcPr>
            <w:tcW w:w="2239"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1,1,1-三氯乙烷</w:t>
            </w:r>
          </w:p>
        </w:tc>
        <w:tc>
          <w:tcPr>
            <w:tcW w:w="2977"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0.0007</w:t>
            </w:r>
          </w:p>
        </w:tc>
        <w:tc>
          <w:tcPr>
            <w:tcW w:w="2239"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四氯化碳</w:t>
            </w:r>
          </w:p>
        </w:tc>
        <w:tc>
          <w:tcPr>
            <w:tcW w:w="2977"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0.0005</w:t>
            </w:r>
          </w:p>
        </w:tc>
        <w:tc>
          <w:tcPr>
            <w:tcW w:w="2239"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szCs w:val="21"/>
              </w:rPr>
            </w:pPr>
            <w:r>
              <w:rPr>
                <w:rFonts w:ascii="Times New Roman" w:hAnsi="Times New Roman" w:cs="Times New Roman"/>
                <w:szCs w:val="21"/>
              </w:rPr>
              <w:t>1,2-二氯乙烷</w:t>
            </w:r>
          </w:p>
        </w:tc>
        <w:tc>
          <w:tcPr>
            <w:tcW w:w="2977" w:type="dxa"/>
            <w:vMerge w:val="restart"/>
            <w:tcBorders>
              <w:left w:val="single" w:color="auto" w:sz="4" w:space="0"/>
              <w:right w:val="single" w:color="auto" w:sz="4" w:space="0"/>
            </w:tcBorders>
            <w:vAlign w:val="center"/>
          </w:tcPr>
          <w:p>
            <w:pPr>
              <w:jc w:val="center"/>
              <w:rPr>
                <w:rFonts w:ascii="Times New Roman" w:hAnsi="Times New Roman" w:cs="Times New Roman"/>
                <w:bCs/>
                <w:szCs w:val="21"/>
              </w:rPr>
            </w:pPr>
            <w:r>
              <w:rPr>
                <w:rFonts w:ascii="Times New Roman" w:hAnsi="Times New Roman" w:cs="Times New Roman"/>
                <w:bCs/>
                <w:szCs w:val="21"/>
              </w:rPr>
              <w:t>土壤和沉积物 挥发性有机物的测定 吹扫捕集/气相色谱-质谱法</w:t>
            </w:r>
          </w:p>
          <w:p>
            <w:pPr>
              <w:jc w:val="center"/>
              <w:rPr>
                <w:rFonts w:ascii="Times New Roman" w:hAnsi="Times New Roman" w:cs="Times New Roman"/>
                <w:b/>
                <w:szCs w:val="21"/>
              </w:rPr>
            </w:pPr>
            <w:r>
              <w:rPr>
                <w:rFonts w:ascii="Times New Roman" w:hAnsi="Times New Roman" w:cs="Times New Roman"/>
                <w:bCs/>
                <w:szCs w:val="21"/>
              </w:rPr>
              <w:t>HJ 605-2011</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color w:val="000000"/>
                <w:szCs w:val="21"/>
              </w:rPr>
            </w:pPr>
            <w:r>
              <w:rPr>
                <w:rFonts w:ascii="Times New Roman" w:hAnsi="Times New Roman" w:cs="Times New Roman"/>
                <w:bCs/>
                <w:color w:val="000000"/>
                <w:szCs w:val="21"/>
              </w:rPr>
              <w:t>0.0007</w:t>
            </w:r>
          </w:p>
        </w:tc>
        <w:tc>
          <w:tcPr>
            <w:tcW w:w="2239" w:type="dxa"/>
            <w:vMerge w:val="restart"/>
            <w:tcBorders>
              <w:left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气相色谱/质谱联用仪</w:t>
            </w:r>
          </w:p>
          <w:p>
            <w:pPr>
              <w:jc w:val="center"/>
              <w:rPr>
                <w:rFonts w:ascii="Times New Roman" w:hAnsi="Times New Roman" w:cs="Times New Roman"/>
                <w:szCs w:val="21"/>
              </w:rPr>
            </w:pPr>
            <w:r>
              <w:rPr>
                <w:rFonts w:ascii="Times New Roman" w:hAnsi="Times New Roman" w:cs="Times New Roman"/>
                <w:szCs w:val="21"/>
              </w:rPr>
              <w:t>岛津 GC-MS</w:t>
            </w:r>
          </w:p>
          <w:p>
            <w:pPr>
              <w:jc w:val="center"/>
              <w:rPr>
                <w:rFonts w:ascii="Times New Roman" w:hAnsi="Times New Roman" w:cs="Times New Roman"/>
                <w:b/>
                <w:szCs w:val="21"/>
              </w:rPr>
            </w:pPr>
            <w:r>
              <w:rPr>
                <w:rFonts w:ascii="Times New Roman" w:hAnsi="Times New Roman" w:cs="Times New Roman"/>
                <w:szCs w:val="21"/>
              </w:rPr>
              <w:t>QP-2020（TTE20177495）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苯</w:t>
            </w:r>
          </w:p>
        </w:tc>
        <w:tc>
          <w:tcPr>
            <w:tcW w:w="2977"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0.0009</w:t>
            </w:r>
          </w:p>
        </w:tc>
        <w:tc>
          <w:tcPr>
            <w:tcW w:w="2239"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三氯乙烯</w:t>
            </w:r>
          </w:p>
        </w:tc>
        <w:tc>
          <w:tcPr>
            <w:tcW w:w="2977"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0.0008</w:t>
            </w:r>
          </w:p>
        </w:tc>
        <w:tc>
          <w:tcPr>
            <w:tcW w:w="2239"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1,2-二氯丙烷</w:t>
            </w:r>
          </w:p>
        </w:tc>
        <w:tc>
          <w:tcPr>
            <w:tcW w:w="2977"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0.0008</w:t>
            </w:r>
          </w:p>
        </w:tc>
        <w:tc>
          <w:tcPr>
            <w:tcW w:w="2239"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甲苯</w:t>
            </w:r>
          </w:p>
        </w:tc>
        <w:tc>
          <w:tcPr>
            <w:tcW w:w="2977"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0.0009</w:t>
            </w:r>
          </w:p>
        </w:tc>
        <w:tc>
          <w:tcPr>
            <w:tcW w:w="2239"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1,1,2-三氯乙烷</w:t>
            </w:r>
          </w:p>
        </w:tc>
        <w:tc>
          <w:tcPr>
            <w:tcW w:w="2977"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0.0009</w:t>
            </w:r>
          </w:p>
        </w:tc>
        <w:tc>
          <w:tcPr>
            <w:tcW w:w="2239"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四氯乙烯</w:t>
            </w:r>
          </w:p>
        </w:tc>
        <w:tc>
          <w:tcPr>
            <w:tcW w:w="2977"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0.0008</w:t>
            </w:r>
          </w:p>
        </w:tc>
        <w:tc>
          <w:tcPr>
            <w:tcW w:w="2239"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氯苯</w:t>
            </w:r>
          </w:p>
        </w:tc>
        <w:tc>
          <w:tcPr>
            <w:tcW w:w="2977"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0.0010</w:t>
            </w:r>
          </w:p>
        </w:tc>
        <w:tc>
          <w:tcPr>
            <w:tcW w:w="2239"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1,1,1,2-四氯乙烷</w:t>
            </w:r>
          </w:p>
        </w:tc>
        <w:tc>
          <w:tcPr>
            <w:tcW w:w="2977"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0.0008</w:t>
            </w:r>
          </w:p>
        </w:tc>
        <w:tc>
          <w:tcPr>
            <w:tcW w:w="2239"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乙苯</w:t>
            </w:r>
          </w:p>
        </w:tc>
        <w:tc>
          <w:tcPr>
            <w:tcW w:w="2977"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0.0009</w:t>
            </w:r>
          </w:p>
        </w:tc>
        <w:tc>
          <w:tcPr>
            <w:tcW w:w="2239"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1,2,3-三氯丙烷</w:t>
            </w:r>
          </w:p>
        </w:tc>
        <w:tc>
          <w:tcPr>
            <w:tcW w:w="2977"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0.0009</w:t>
            </w:r>
          </w:p>
        </w:tc>
        <w:tc>
          <w:tcPr>
            <w:tcW w:w="2239"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对（间）二甲苯</w:t>
            </w:r>
          </w:p>
        </w:tc>
        <w:tc>
          <w:tcPr>
            <w:tcW w:w="2977"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0.0008</w:t>
            </w:r>
          </w:p>
        </w:tc>
        <w:tc>
          <w:tcPr>
            <w:tcW w:w="2239"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邻二甲苯</w:t>
            </w:r>
          </w:p>
        </w:tc>
        <w:tc>
          <w:tcPr>
            <w:tcW w:w="2977"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0.0008</w:t>
            </w:r>
          </w:p>
        </w:tc>
        <w:tc>
          <w:tcPr>
            <w:tcW w:w="2239"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苯乙烯</w:t>
            </w:r>
          </w:p>
        </w:tc>
        <w:tc>
          <w:tcPr>
            <w:tcW w:w="2977"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0.0007</w:t>
            </w:r>
          </w:p>
        </w:tc>
        <w:tc>
          <w:tcPr>
            <w:tcW w:w="2239"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1,1,2,2-四氯乙烷</w:t>
            </w:r>
          </w:p>
        </w:tc>
        <w:tc>
          <w:tcPr>
            <w:tcW w:w="2977"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0.0010</w:t>
            </w:r>
          </w:p>
        </w:tc>
        <w:tc>
          <w:tcPr>
            <w:tcW w:w="2239"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1,4-二氯苯</w:t>
            </w:r>
          </w:p>
        </w:tc>
        <w:tc>
          <w:tcPr>
            <w:tcW w:w="2977"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0.0008</w:t>
            </w:r>
          </w:p>
        </w:tc>
        <w:tc>
          <w:tcPr>
            <w:tcW w:w="2239"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1,2-二氯苯</w:t>
            </w:r>
          </w:p>
        </w:tc>
        <w:tc>
          <w:tcPr>
            <w:tcW w:w="2977"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0.0009</w:t>
            </w:r>
          </w:p>
        </w:tc>
        <w:tc>
          <w:tcPr>
            <w:tcW w:w="2239"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萘</w:t>
            </w:r>
          </w:p>
        </w:tc>
        <w:tc>
          <w:tcPr>
            <w:tcW w:w="2977"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0.0004</w:t>
            </w:r>
          </w:p>
        </w:tc>
        <w:tc>
          <w:tcPr>
            <w:tcW w:w="2239"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苯胺</w:t>
            </w:r>
          </w:p>
        </w:tc>
        <w:tc>
          <w:tcPr>
            <w:tcW w:w="2977" w:type="dxa"/>
            <w:vMerge w:val="restart"/>
            <w:tcBorders>
              <w:left w:val="single" w:color="auto" w:sz="4" w:space="0"/>
              <w:right w:val="single" w:color="auto" w:sz="4" w:space="0"/>
            </w:tcBorders>
            <w:vAlign w:val="center"/>
          </w:tcPr>
          <w:p>
            <w:pPr>
              <w:tabs>
                <w:tab w:val="left" w:pos="5775"/>
              </w:tabs>
              <w:jc w:val="center"/>
              <w:rPr>
                <w:rFonts w:ascii="Times New Roman" w:hAnsi="Times New Roman" w:cs="Times New Roman"/>
                <w:color w:val="000000"/>
                <w:szCs w:val="21"/>
              </w:rPr>
            </w:pPr>
            <w:r>
              <w:rPr>
                <w:rFonts w:ascii="Times New Roman" w:hAnsi="Times New Roman" w:cs="Times New Roman"/>
                <w:color w:val="000000"/>
                <w:szCs w:val="21"/>
              </w:rPr>
              <w:t>土壤和沉积物 半挥发性有机物的测定</w:t>
            </w:r>
          </w:p>
          <w:p>
            <w:pPr>
              <w:tabs>
                <w:tab w:val="left" w:pos="5775"/>
              </w:tabs>
              <w:jc w:val="center"/>
              <w:rPr>
                <w:rFonts w:ascii="Times New Roman" w:hAnsi="Times New Roman" w:cs="Times New Roman"/>
                <w:color w:val="000000"/>
                <w:szCs w:val="21"/>
              </w:rPr>
            </w:pPr>
            <w:r>
              <w:rPr>
                <w:rFonts w:ascii="Times New Roman" w:hAnsi="Times New Roman" w:cs="Times New Roman"/>
                <w:color w:val="000000"/>
                <w:szCs w:val="21"/>
              </w:rPr>
              <w:t>气相色谱-质谱法</w:t>
            </w:r>
          </w:p>
          <w:p>
            <w:pPr>
              <w:widowControl/>
              <w:jc w:val="center"/>
              <w:rPr>
                <w:rFonts w:ascii="Times New Roman" w:hAnsi="Times New Roman" w:cs="Times New Roman"/>
                <w:bCs/>
                <w:szCs w:val="21"/>
              </w:rPr>
            </w:pPr>
            <w:r>
              <w:rPr>
                <w:rFonts w:ascii="Times New Roman" w:hAnsi="Times New Roman" w:cs="Times New Roman"/>
                <w:color w:val="000000"/>
                <w:szCs w:val="21"/>
              </w:rPr>
              <w:t>HJ 834-2017</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szCs w:val="21"/>
              </w:rPr>
              <w:t>0.01</w:t>
            </w:r>
          </w:p>
        </w:tc>
        <w:tc>
          <w:tcPr>
            <w:tcW w:w="2239" w:type="dxa"/>
            <w:vMerge w:val="restart"/>
            <w:tcBorders>
              <w:left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气相色谱质谱联用仪（GCMS）</w:t>
            </w:r>
          </w:p>
          <w:p>
            <w:pPr>
              <w:jc w:val="center"/>
              <w:rPr>
                <w:rFonts w:ascii="Times New Roman" w:hAnsi="Times New Roman" w:cs="Times New Roman"/>
                <w:bCs/>
                <w:szCs w:val="21"/>
              </w:rPr>
            </w:pPr>
            <w:r>
              <w:rPr>
                <w:rFonts w:ascii="Times New Roman" w:hAnsi="Times New Roman" w:cs="Times New Roman"/>
                <w:bCs/>
                <w:szCs w:val="21"/>
              </w:rPr>
              <w:t>QP2020 NX</w:t>
            </w:r>
          </w:p>
          <w:p>
            <w:pPr>
              <w:widowControl/>
              <w:jc w:val="center"/>
              <w:rPr>
                <w:rFonts w:ascii="Times New Roman" w:hAnsi="Times New Roman" w:cs="Times New Roman"/>
                <w:bCs/>
                <w:szCs w:val="21"/>
              </w:rPr>
            </w:pPr>
            <w:r>
              <w:rPr>
                <w:rFonts w:ascii="Times New Roman" w:hAnsi="Times New Roman" w:cs="Times New Roman"/>
                <w:bCs/>
                <w:szCs w:val="21"/>
              </w:rPr>
              <w:t>（TTE20201843）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硝基苯</w:t>
            </w:r>
          </w:p>
        </w:tc>
        <w:tc>
          <w:tcPr>
            <w:tcW w:w="2977"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szCs w:val="21"/>
              </w:rPr>
              <w:t>0.09</w:t>
            </w:r>
          </w:p>
        </w:tc>
        <w:tc>
          <w:tcPr>
            <w:tcW w:w="2239" w:type="dxa"/>
            <w:vMerge w:val="continue"/>
            <w:tcBorders>
              <w:left w:val="single" w:color="auto" w:sz="4" w:space="0"/>
              <w:right w:val="single" w:color="auto" w:sz="4" w:space="0"/>
            </w:tcBorders>
            <w:vAlign w:val="center"/>
          </w:tcPr>
          <w:p>
            <w:pPr>
              <w:widowControl/>
              <w:jc w:val="left"/>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2-氯酚</w:t>
            </w:r>
          </w:p>
        </w:tc>
        <w:tc>
          <w:tcPr>
            <w:tcW w:w="2977" w:type="dxa"/>
            <w:tcBorders>
              <w:left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土壤和沉积物 酚类化合物的测定</w:t>
            </w:r>
          </w:p>
          <w:p>
            <w:pPr>
              <w:jc w:val="center"/>
              <w:rPr>
                <w:rFonts w:ascii="Times New Roman" w:hAnsi="Times New Roman" w:cs="Times New Roman"/>
                <w:szCs w:val="21"/>
              </w:rPr>
            </w:pPr>
            <w:r>
              <w:rPr>
                <w:rFonts w:ascii="Times New Roman" w:hAnsi="Times New Roman" w:cs="Times New Roman"/>
                <w:szCs w:val="21"/>
              </w:rPr>
              <w:t>气相色谱法</w:t>
            </w:r>
          </w:p>
          <w:p>
            <w:pPr>
              <w:widowControl/>
              <w:jc w:val="center"/>
              <w:rPr>
                <w:rFonts w:ascii="Times New Roman" w:hAnsi="Times New Roman" w:cs="Times New Roman"/>
                <w:bCs/>
                <w:szCs w:val="21"/>
              </w:rPr>
            </w:pPr>
            <w:r>
              <w:rPr>
                <w:rFonts w:ascii="Times New Roman" w:hAnsi="Times New Roman" w:cs="Times New Roman"/>
                <w:szCs w:val="21"/>
              </w:rPr>
              <w:t>HJ 703-2014</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szCs w:val="21"/>
              </w:rPr>
              <w:t>0.04</w:t>
            </w:r>
          </w:p>
        </w:tc>
        <w:tc>
          <w:tcPr>
            <w:tcW w:w="2239" w:type="dxa"/>
            <w:tcBorders>
              <w:left w:val="single" w:color="auto" w:sz="4" w:space="0"/>
              <w:right w:val="single" w:color="auto" w:sz="4" w:space="0"/>
            </w:tcBorders>
            <w:vAlign w:val="center"/>
          </w:tcPr>
          <w:p>
            <w:pPr>
              <w:jc w:val="center"/>
              <w:rPr>
                <w:rFonts w:ascii="Times New Roman" w:hAnsi="Times New Roman" w:cs="Times New Roman"/>
                <w:bCs/>
                <w:szCs w:val="21"/>
              </w:rPr>
            </w:pPr>
            <w:r>
              <w:rPr>
                <w:rFonts w:ascii="Times New Roman" w:hAnsi="Times New Roman" w:cs="Times New Roman"/>
                <w:bCs/>
                <w:szCs w:val="21"/>
              </w:rPr>
              <w:t>气相色谱仪</w:t>
            </w:r>
          </w:p>
          <w:p>
            <w:pPr>
              <w:jc w:val="center"/>
              <w:rPr>
                <w:rFonts w:ascii="Times New Roman" w:hAnsi="Times New Roman" w:cs="Times New Roman"/>
                <w:bCs/>
                <w:szCs w:val="21"/>
              </w:rPr>
            </w:pPr>
            <w:r>
              <w:rPr>
                <w:rFonts w:ascii="Times New Roman" w:hAnsi="Times New Roman" w:cs="Times New Roman"/>
                <w:bCs/>
                <w:szCs w:val="21"/>
              </w:rPr>
              <w:t>Nexis GC-2030</w:t>
            </w:r>
          </w:p>
          <w:p>
            <w:pPr>
              <w:widowControl/>
              <w:jc w:val="center"/>
              <w:rPr>
                <w:rFonts w:ascii="Times New Roman" w:hAnsi="Times New Roman" w:cs="Times New Roman"/>
                <w:bCs/>
                <w:szCs w:val="21"/>
              </w:rPr>
            </w:pPr>
            <w:r>
              <w:rPr>
                <w:rFonts w:ascii="Times New Roman" w:hAnsi="Times New Roman" w:cs="Times New Roman"/>
                <w:bCs/>
                <w:szCs w:val="21"/>
              </w:rPr>
              <w:t>(TTE20182068)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苯并[a]蒽</w:t>
            </w:r>
          </w:p>
        </w:tc>
        <w:tc>
          <w:tcPr>
            <w:tcW w:w="2977" w:type="dxa"/>
            <w:vMerge w:val="restart"/>
            <w:tcBorders>
              <w:left w:val="single" w:color="auto" w:sz="4" w:space="0"/>
              <w:right w:val="single" w:color="auto" w:sz="4" w:space="0"/>
            </w:tcBorders>
            <w:vAlign w:val="center"/>
          </w:tcPr>
          <w:p>
            <w:pPr>
              <w:tabs>
                <w:tab w:val="left" w:pos="5775"/>
              </w:tabs>
              <w:adjustRightInd w:val="0"/>
              <w:snapToGrid w:val="0"/>
              <w:jc w:val="center"/>
              <w:rPr>
                <w:rFonts w:ascii="Times New Roman" w:hAnsi="Times New Roman" w:cs="Times New Roman"/>
                <w:szCs w:val="21"/>
              </w:rPr>
            </w:pPr>
            <w:r>
              <w:rPr>
                <w:rFonts w:ascii="Times New Roman" w:hAnsi="Times New Roman" w:cs="Times New Roman"/>
                <w:szCs w:val="21"/>
              </w:rPr>
              <w:t>土壤和沉积物 多环芳烃的测定</w:t>
            </w:r>
          </w:p>
          <w:p>
            <w:pPr>
              <w:tabs>
                <w:tab w:val="left" w:pos="5775"/>
              </w:tabs>
              <w:adjustRightInd w:val="0"/>
              <w:snapToGrid w:val="0"/>
              <w:jc w:val="center"/>
              <w:rPr>
                <w:rFonts w:ascii="Times New Roman" w:hAnsi="Times New Roman" w:cs="Times New Roman"/>
                <w:szCs w:val="21"/>
              </w:rPr>
            </w:pPr>
            <w:r>
              <w:rPr>
                <w:rFonts w:ascii="Times New Roman" w:hAnsi="Times New Roman" w:cs="Times New Roman"/>
                <w:szCs w:val="21"/>
              </w:rPr>
              <w:t>气相色谱-质谱法</w:t>
            </w:r>
          </w:p>
          <w:p>
            <w:pPr>
              <w:widowControl/>
              <w:jc w:val="center"/>
              <w:rPr>
                <w:rFonts w:ascii="Times New Roman" w:hAnsi="Times New Roman" w:cs="Times New Roman"/>
                <w:bCs/>
                <w:szCs w:val="21"/>
              </w:rPr>
            </w:pPr>
            <w:r>
              <w:rPr>
                <w:rFonts w:ascii="Times New Roman" w:hAnsi="Times New Roman" w:cs="Times New Roman"/>
                <w:szCs w:val="21"/>
              </w:rPr>
              <w:t>HJ 805-2016</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szCs w:val="21"/>
              </w:rPr>
              <w:t>0.12</w:t>
            </w:r>
          </w:p>
        </w:tc>
        <w:tc>
          <w:tcPr>
            <w:tcW w:w="2239" w:type="dxa"/>
            <w:vMerge w:val="restart"/>
            <w:tcBorders>
              <w:left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气相色谱质谱联用仪（GCMS）</w:t>
            </w:r>
          </w:p>
          <w:p>
            <w:pPr>
              <w:jc w:val="center"/>
              <w:rPr>
                <w:rFonts w:ascii="Times New Roman" w:hAnsi="Times New Roman" w:cs="Times New Roman"/>
                <w:bCs/>
                <w:szCs w:val="21"/>
              </w:rPr>
            </w:pPr>
            <w:r>
              <w:rPr>
                <w:rFonts w:ascii="Times New Roman" w:hAnsi="Times New Roman" w:cs="Times New Roman"/>
                <w:bCs/>
                <w:szCs w:val="21"/>
              </w:rPr>
              <w:t>QP2020 NX</w:t>
            </w:r>
          </w:p>
          <w:p>
            <w:pPr>
              <w:widowControl/>
              <w:jc w:val="center"/>
              <w:rPr>
                <w:rFonts w:ascii="Times New Roman" w:hAnsi="Times New Roman" w:cs="Times New Roman"/>
                <w:bCs/>
                <w:szCs w:val="21"/>
              </w:rPr>
            </w:pPr>
            <w:r>
              <w:rPr>
                <w:rFonts w:ascii="Times New Roman" w:hAnsi="Times New Roman" w:cs="Times New Roman"/>
                <w:bCs/>
                <w:szCs w:val="21"/>
              </w:rPr>
              <w:t>（TTE20201843）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szCs w:val="21"/>
              </w:rPr>
            </w:pPr>
            <w:r>
              <w:rPr>
                <w:rFonts w:ascii="Times New Roman" w:hAnsi="Times New Roman" w:cs="Times New Roman"/>
                <w:szCs w:val="21"/>
              </w:rPr>
              <w:t>䓛</w:t>
            </w:r>
          </w:p>
        </w:tc>
        <w:tc>
          <w:tcPr>
            <w:tcW w:w="2977" w:type="dxa"/>
            <w:vMerge w:val="continue"/>
            <w:tcBorders>
              <w:left w:val="single" w:color="auto" w:sz="4" w:space="0"/>
              <w:right w:val="single" w:color="auto" w:sz="4" w:space="0"/>
            </w:tcBorders>
            <w:vAlign w:val="center"/>
          </w:tcPr>
          <w:p>
            <w:pPr>
              <w:widowControl/>
              <w:jc w:val="center"/>
              <w:rPr>
                <w:rFonts w:ascii="Times New Roman" w:hAnsi="Times New Roman" w:cs="Times New Roman"/>
                <w:b/>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szCs w:val="21"/>
              </w:rPr>
            </w:pPr>
            <w:r>
              <w:rPr>
                <w:rFonts w:ascii="Times New Roman" w:hAnsi="Times New Roman" w:cs="Times New Roman"/>
                <w:bCs/>
                <w:szCs w:val="21"/>
              </w:rPr>
              <w:t>0.14</w:t>
            </w:r>
          </w:p>
        </w:tc>
        <w:tc>
          <w:tcPr>
            <w:tcW w:w="2239" w:type="dxa"/>
            <w:vMerge w:val="continue"/>
            <w:tcBorders>
              <w:left w:val="single" w:color="auto" w:sz="4" w:space="0"/>
              <w:right w:val="single" w:color="auto" w:sz="4" w:space="0"/>
            </w:tcBorders>
            <w:vAlign w:val="center"/>
          </w:tcPr>
          <w:p>
            <w:pPr>
              <w:widowControl/>
              <w:jc w:val="left"/>
              <w:rPr>
                <w:rFonts w:ascii="Times New Roman" w:hAnsi="Times New Roman"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苯并[b]荧蒽</w:t>
            </w:r>
          </w:p>
        </w:tc>
        <w:tc>
          <w:tcPr>
            <w:tcW w:w="2977"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szCs w:val="21"/>
              </w:rPr>
              <w:t>0.17</w:t>
            </w:r>
          </w:p>
        </w:tc>
        <w:tc>
          <w:tcPr>
            <w:tcW w:w="2239"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苯并[k]荧蒽</w:t>
            </w:r>
          </w:p>
        </w:tc>
        <w:tc>
          <w:tcPr>
            <w:tcW w:w="2977"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szCs w:val="21"/>
              </w:rPr>
              <w:t>0.11</w:t>
            </w:r>
          </w:p>
        </w:tc>
        <w:tc>
          <w:tcPr>
            <w:tcW w:w="2239"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苯并[a]芘</w:t>
            </w:r>
          </w:p>
        </w:tc>
        <w:tc>
          <w:tcPr>
            <w:tcW w:w="2977"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szCs w:val="21"/>
              </w:rPr>
              <w:t>0.17</w:t>
            </w:r>
          </w:p>
        </w:tc>
        <w:tc>
          <w:tcPr>
            <w:tcW w:w="2239"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茚并[1,2,3-c,d]芘</w:t>
            </w:r>
          </w:p>
        </w:tc>
        <w:tc>
          <w:tcPr>
            <w:tcW w:w="2977"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szCs w:val="21"/>
              </w:rPr>
              <w:t>0.13</w:t>
            </w:r>
          </w:p>
        </w:tc>
        <w:tc>
          <w:tcPr>
            <w:tcW w:w="2239"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二苯并[a,h]蒽</w:t>
            </w:r>
          </w:p>
        </w:tc>
        <w:tc>
          <w:tcPr>
            <w:tcW w:w="2977"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szCs w:val="21"/>
              </w:rPr>
              <w:t>0.13</w:t>
            </w:r>
          </w:p>
        </w:tc>
        <w:tc>
          <w:tcPr>
            <w:tcW w:w="2239"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cs="Times New Roman"/>
                <w:szCs w:val="21"/>
              </w:rPr>
            </w:pPr>
            <w:r>
              <w:rPr>
                <w:rFonts w:ascii="Times New Roman" w:hAnsi="Times New Roman" w:cs="Times New Roman"/>
                <w:szCs w:val="21"/>
              </w:rPr>
              <w:t>石油烃</w:t>
            </w:r>
          </w:p>
          <w:p>
            <w:pPr>
              <w:jc w:val="center"/>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szCs w:val="21"/>
                <w:vertAlign w:val="subscript"/>
              </w:rPr>
              <w:t>10</w:t>
            </w:r>
            <w:r>
              <w:rPr>
                <w:rFonts w:ascii="Times New Roman" w:hAnsi="Times New Roman" w:cs="Times New Roman"/>
                <w:szCs w:val="21"/>
              </w:rPr>
              <w:t>-C</w:t>
            </w:r>
            <w:r>
              <w:rPr>
                <w:rFonts w:ascii="Times New Roman" w:hAnsi="Times New Roman" w:cs="Times New Roman"/>
                <w:szCs w:val="21"/>
                <w:vertAlign w:val="subscript"/>
              </w:rPr>
              <w:t>40</w:t>
            </w:r>
            <w:r>
              <w:rPr>
                <w:rFonts w:ascii="Times New Roman" w:hAnsi="Times New Roman" w:cs="Times New Roman"/>
                <w:szCs w:val="21"/>
              </w:rPr>
              <w:t>）</w:t>
            </w:r>
          </w:p>
        </w:tc>
        <w:tc>
          <w:tcPr>
            <w:tcW w:w="2977" w:type="dxa"/>
            <w:tcBorders>
              <w:left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土壤和沉积物</w:t>
            </w:r>
          </w:p>
          <w:p>
            <w:pPr>
              <w:ind w:left="-105" w:leftChars="-50" w:right="-105" w:rightChars="-50"/>
              <w:jc w:val="center"/>
              <w:rPr>
                <w:rFonts w:ascii="Times New Roman" w:hAnsi="Times New Roman" w:cs="Times New Roman"/>
                <w:szCs w:val="21"/>
              </w:rPr>
            </w:pPr>
            <w:r>
              <w:rPr>
                <w:rFonts w:ascii="Times New Roman" w:hAnsi="Times New Roman" w:cs="Times New Roman"/>
                <w:szCs w:val="21"/>
              </w:rPr>
              <w:t>石油烃（C</w:t>
            </w:r>
            <w:r>
              <w:rPr>
                <w:rFonts w:ascii="Times New Roman" w:hAnsi="Times New Roman" w:cs="Times New Roman"/>
                <w:szCs w:val="21"/>
                <w:vertAlign w:val="subscript"/>
              </w:rPr>
              <w:t>10</w:t>
            </w:r>
            <w:r>
              <w:rPr>
                <w:rFonts w:ascii="Times New Roman" w:hAnsi="Times New Roman" w:cs="Times New Roman"/>
                <w:szCs w:val="21"/>
              </w:rPr>
              <w:t>-C</w:t>
            </w:r>
            <w:r>
              <w:rPr>
                <w:rFonts w:ascii="Times New Roman" w:hAnsi="Times New Roman" w:cs="Times New Roman"/>
                <w:szCs w:val="21"/>
                <w:vertAlign w:val="subscript"/>
              </w:rPr>
              <w:t>40</w:t>
            </w:r>
            <w:r>
              <w:rPr>
                <w:rFonts w:ascii="Times New Roman" w:hAnsi="Times New Roman" w:cs="Times New Roman"/>
                <w:szCs w:val="21"/>
              </w:rPr>
              <w:t>）的测定 气相色谱法</w:t>
            </w:r>
          </w:p>
          <w:p>
            <w:pPr>
              <w:widowControl/>
              <w:jc w:val="center"/>
              <w:rPr>
                <w:rFonts w:ascii="Times New Roman" w:hAnsi="Times New Roman" w:cs="Times New Roman"/>
                <w:bCs/>
                <w:szCs w:val="21"/>
              </w:rPr>
            </w:pPr>
            <w:r>
              <w:rPr>
                <w:rFonts w:ascii="Times New Roman" w:hAnsi="Times New Roman" w:cs="Times New Roman"/>
                <w:szCs w:val="21"/>
              </w:rPr>
              <w:t>HJ 1021-2019</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szCs w:val="21"/>
              </w:rPr>
              <w:t>6</w:t>
            </w:r>
          </w:p>
        </w:tc>
        <w:tc>
          <w:tcPr>
            <w:tcW w:w="2239" w:type="dxa"/>
            <w:tcBorders>
              <w:left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气相色谱仪</w:t>
            </w:r>
          </w:p>
          <w:p>
            <w:pPr>
              <w:jc w:val="center"/>
              <w:rPr>
                <w:rFonts w:ascii="Times New Roman" w:hAnsi="Times New Roman" w:cs="Times New Roman"/>
                <w:szCs w:val="21"/>
              </w:rPr>
            </w:pPr>
            <w:r>
              <w:rPr>
                <w:rFonts w:ascii="Times New Roman" w:hAnsi="Times New Roman" w:cs="Times New Roman"/>
                <w:szCs w:val="21"/>
              </w:rPr>
              <w:t>GC-2010plus</w:t>
            </w:r>
          </w:p>
          <w:p>
            <w:pPr>
              <w:widowControl/>
              <w:jc w:val="center"/>
              <w:rPr>
                <w:rFonts w:ascii="Times New Roman" w:hAnsi="Times New Roman" w:cs="Times New Roman"/>
                <w:bCs/>
                <w:szCs w:val="21"/>
              </w:rPr>
            </w:pPr>
            <w:r>
              <w:rPr>
                <w:rFonts w:ascii="Times New Roman" w:hAnsi="Times New Roman" w:cs="Times New Roman"/>
                <w:szCs w:val="21"/>
              </w:rPr>
              <w:t>(TTE20140666)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钴</w:t>
            </w:r>
          </w:p>
        </w:tc>
        <w:tc>
          <w:tcPr>
            <w:tcW w:w="2977" w:type="dxa"/>
            <w:vMerge w:val="restart"/>
            <w:tcBorders>
              <w:left w:val="single" w:color="auto" w:sz="4" w:space="0"/>
              <w:right w:val="single" w:color="auto" w:sz="4" w:space="0"/>
            </w:tcBorders>
            <w:vAlign w:val="center"/>
          </w:tcPr>
          <w:p>
            <w:pPr>
              <w:tabs>
                <w:tab w:val="left" w:pos="5775"/>
              </w:tabs>
              <w:adjustRightInd w:val="0"/>
              <w:snapToGrid w:val="0"/>
              <w:jc w:val="center"/>
              <w:rPr>
                <w:rFonts w:ascii="Times New Roman" w:hAnsi="Times New Roman" w:cs="Times New Roman"/>
                <w:color w:val="000000"/>
              </w:rPr>
            </w:pPr>
            <w:r>
              <w:rPr>
                <w:rFonts w:ascii="Times New Roman" w:hAnsi="Times New Roman" w:cs="Times New Roman"/>
                <w:color w:val="000000"/>
              </w:rPr>
              <w:t>土壤和沉积物 12种金属元素的测定</w:t>
            </w:r>
          </w:p>
          <w:p>
            <w:pPr>
              <w:tabs>
                <w:tab w:val="left" w:pos="5775"/>
              </w:tabs>
              <w:adjustRightInd w:val="0"/>
              <w:snapToGrid w:val="0"/>
              <w:jc w:val="center"/>
              <w:rPr>
                <w:rFonts w:ascii="Times New Roman" w:hAnsi="Times New Roman" w:cs="Times New Roman"/>
                <w:color w:val="000000"/>
              </w:rPr>
            </w:pPr>
            <w:r>
              <w:rPr>
                <w:rFonts w:ascii="Times New Roman" w:hAnsi="Times New Roman" w:cs="Times New Roman"/>
                <w:color w:val="000000"/>
              </w:rPr>
              <w:t>王水提取-电感耦合等离子体质谱法</w:t>
            </w:r>
          </w:p>
          <w:p>
            <w:pPr>
              <w:widowControl/>
              <w:jc w:val="center"/>
              <w:rPr>
                <w:rFonts w:ascii="Times New Roman" w:hAnsi="Times New Roman" w:cs="Times New Roman"/>
                <w:bCs/>
                <w:szCs w:val="21"/>
              </w:rPr>
            </w:pPr>
            <w:r>
              <w:rPr>
                <w:rFonts w:ascii="Times New Roman" w:hAnsi="Times New Roman" w:cs="Times New Roman"/>
                <w:color w:val="000000"/>
              </w:rPr>
              <w:t>HJ 803-2016</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szCs w:val="21"/>
              </w:rPr>
              <w:t>0.004</w:t>
            </w:r>
          </w:p>
        </w:tc>
        <w:tc>
          <w:tcPr>
            <w:tcW w:w="2239" w:type="dxa"/>
            <w:vMerge w:val="restart"/>
            <w:tcBorders>
              <w:left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电感耦合等离子体</w:t>
            </w:r>
          </w:p>
          <w:p>
            <w:pPr>
              <w:jc w:val="center"/>
              <w:rPr>
                <w:rFonts w:ascii="Times New Roman" w:hAnsi="Times New Roman" w:cs="Times New Roman"/>
                <w:szCs w:val="21"/>
              </w:rPr>
            </w:pPr>
            <w:r>
              <w:rPr>
                <w:rFonts w:ascii="Times New Roman" w:hAnsi="Times New Roman" w:cs="Times New Roman"/>
                <w:szCs w:val="21"/>
              </w:rPr>
              <w:t>质谱仪</w:t>
            </w:r>
          </w:p>
          <w:p>
            <w:pPr>
              <w:widowControl/>
              <w:jc w:val="center"/>
              <w:rPr>
                <w:rFonts w:ascii="Times New Roman" w:hAnsi="Times New Roman" w:cs="Times New Roman"/>
                <w:bCs/>
                <w:szCs w:val="21"/>
              </w:rPr>
            </w:pPr>
            <w:r>
              <w:rPr>
                <w:rFonts w:ascii="Times New Roman" w:hAnsi="Times New Roman" w:cs="Times New Roman"/>
                <w:szCs w:val="21"/>
              </w:rPr>
              <w:t>NexION 350X (TTE20151922)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铍</w:t>
            </w:r>
          </w:p>
        </w:tc>
        <w:tc>
          <w:tcPr>
            <w:tcW w:w="2977"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szCs w:val="21"/>
              </w:rPr>
              <w:t>0.001</w:t>
            </w:r>
          </w:p>
        </w:tc>
        <w:tc>
          <w:tcPr>
            <w:tcW w:w="2239"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锑</w:t>
            </w:r>
          </w:p>
        </w:tc>
        <w:tc>
          <w:tcPr>
            <w:tcW w:w="2977"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szCs w:val="21"/>
              </w:rPr>
              <w:t>0.04</w:t>
            </w:r>
          </w:p>
        </w:tc>
        <w:tc>
          <w:tcPr>
            <w:tcW w:w="2239"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钒</w:t>
            </w:r>
          </w:p>
        </w:tc>
        <w:tc>
          <w:tcPr>
            <w:tcW w:w="2977" w:type="dxa"/>
            <w:vMerge w:val="continue"/>
            <w:tcBorders>
              <w:left w:val="single" w:color="auto" w:sz="4" w:space="0"/>
              <w:bottom w:val="single" w:color="auto" w:sz="4" w:space="0"/>
              <w:right w:val="single" w:color="auto" w:sz="4" w:space="0"/>
            </w:tcBorders>
            <w:vAlign w:val="center"/>
          </w:tcPr>
          <w:p>
            <w:pPr>
              <w:widowControl/>
              <w:jc w:val="center"/>
              <w:rPr>
                <w:rFonts w:ascii="Times New Roman" w:hAnsi="Times New Roman" w:cs="Times New Roman"/>
                <w:bCs/>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szCs w:val="21"/>
              </w:rPr>
              <w:t>0.7</w:t>
            </w:r>
          </w:p>
        </w:tc>
        <w:tc>
          <w:tcPr>
            <w:tcW w:w="2239" w:type="dxa"/>
            <w:vMerge w:val="continue"/>
            <w:tcBorders>
              <w:left w:val="single" w:color="auto" w:sz="4" w:space="0"/>
              <w:bottom w:val="single" w:color="auto" w:sz="4" w:space="0"/>
              <w:right w:val="single" w:color="auto" w:sz="4" w:space="0"/>
            </w:tcBorders>
            <w:vAlign w:val="center"/>
          </w:tcPr>
          <w:p>
            <w:pPr>
              <w:widowControl/>
              <w:jc w:val="center"/>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锌</w:t>
            </w:r>
          </w:p>
        </w:tc>
        <w:tc>
          <w:tcPr>
            <w:tcW w:w="2977" w:type="dxa"/>
            <w:tcBorders>
              <w:left w:val="single" w:color="auto" w:sz="4" w:space="0"/>
              <w:bottom w:val="single" w:color="auto" w:sz="4" w:space="0"/>
              <w:right w:val="single" w:color="auto" w:sz="4" w:space="0"/>
            </w:tcBorders>
            <w:vAlign w:val="center"/>
          </w:tcPr>
          <w:p>
            <w:pPr>
              <w:tabs>
                <w:tab w:val="left" w:pos="5775"/>
              </w:tabs>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土壤和沉积物 铜、锌、铅、镍、铬的测定</w:t>
            </w:r>
          </w:p>
          <w:p>
            <w:pPr>
              <w:tabs>
                <w:tab w:val="left" w:pos="5775"/>
              </w:tabs>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火焰原子吸收分光光度法</w:t>
            </w:r>
          </w:p>
          <w:p>
            <w:pPr>
              <w:widowControl/>
              <w:jc w:val="center"/>
              <w:rPr>
                <w:rFonts w:ascii="Times New Roman" w:hAnsi="Times New Roman" w:cs="Times New Roman"/>
                <w:bCs/>
                <w:szCs w:val="21"/>
              </w:rPr>
            </w:pPr>
            <w:r>
              <w:rPr>
                <w:rFonts w:ascii="Times New Roman" w:hAnsi="Times New Roman" w:cs="Times New Roman"/>
                <w:color w:val="000000"/>
                <w:szCs w:val="21"/>
              </w:rPr>
              <w:t>HJ 491-2019</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szCs w:val="21"/>
              </w:rPr>
              <w:t>1</w:t>
            </w:r>
          </w:p>
        </w:tc>
        <w:tc>
          <w:tcPr>
            <w:tcW w:w="2239" w:type="dxa"/>
            <w:tcBorders>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原子吸收光谱仪AA900T</w:t>
            </w:r>
          </w:p>
          <w:p>
            <w:pPr>
              <w:widowControl/>
              <w:jc w:val="center"/>
              <w:rPr>
                <w:rFonts w:ascii="Times New Roman" w:hAnsi="Times New Roman" w:cs="Times New Roman"/>
                <w:bCs/>
                <w:szCs w:val="21"/>
              </w:rPr>
            </w:pPr>
            <w:r>
              <w:rPr>
                <w:rFonts w:ascii="Times New Roman" w:hAnsi="Times New Roman" w:cs="Times New Roman"/>
                <w:szCs w:val="21"/>
              </w:rPr>
              <w:t>（TTE20200137）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二噁英类</w:t>
            </w:r>
          </w:p>
        </w:tc>
        <w:tc>
          <w:tcPr>
            <w:tcW w:w="2977" w:type="dxa"/>
            <w:tcBorders>
              <w:left w:val="single" w:color="auto" w:sz="4" w:space="0"/>
              <w:bottom w:val="single" w:color="auto" w:sz="4" w:space="0"/>
              <w:right w:val="single" w:color="auto" w:sz="4" w:space="0"/>
            </w:tcBorders>
            <w:vAlign w:val="center"/>
          </w:tcPr>
          <w:p>
            <w:pPr>
              <w:jc w:val="center"/>
              <w:rPr>
                <w:rFonts w:ascii="Times New Roman" w:hAnsi="Times New Roman" w:cs="Times New Roman"/>
                <w:bCs/>
                <w:szCs w:val="21"/>
              </w:rPr>
            </w:pPr>
            <w:r>
              <w:rPr>
                <w:rFonts w:ascii="Times New Roman" w:hAnsi="Times New Roman" w:cs="Times New Roman"/>
                <w:bCs/>
                <w:szCs w:val="21"/>
              </w:rPr>
              <w:t>土壤和沉积物 二噁英类的测定</w:t>
            </w:r>
          </w:p>
          <w:p>
            <w:pPr>
              <w:jc w:val="center"/>
              <w:rPr>
                <w:rFonts w:ascii="Times New Roman" w:hAnsi="Times New Roman" w:cs="Times New Roman"/>
                <w:bCs/>
                <w:szCs w:val="21"/>
              </w:rPr>
            </w:pPr>
            <w:r>
              <w:rPr>
                <w:rFonts w:ascii="Times New Roman" w:hAnsi="Times New Roman" w:cs="Times New Roman"/>
                <w:bCs/>
                <w:szCs w:val="21"/>
              </w:rPr>
              <w:t>同位素稀释高分辨气相色谱-高分辨质谱法</w:t>
            </w:r>
          </w:p>
          <w:p>
            <w:pPr>
              <w:widowControl/>
              <w:jc w:val="center"/>
              <w:rPr>
                <w:rFonts w:ascii="Times New Roman" w:hAnsi="Times New Roman" w:cs="Times New Roman"/>
                <w:bCs/>
                <w:szCs w:val="21"/>
              </w:rPr>
            </w:pPr>
            <w:r>
              <w:rPr>
                <w:rFonts w:ascii="Times New Roman" w:hAnsi="Times New Roman" w:cs="Times New Roman"/>
                <w:bCs/>
                <w:szCs w:val="21"/>
              </w:rPr>
              <w:t>HJ 77.4-2008</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Cs w:val="21"/>
              </w:rPr>
            </w:pPr>
            <w:r>
              <w:rPr>
                <w:rFonts w:ascii="Times New Roman" w:hAnsi="Times New Roman" w:cs="Times New Roman"/>
                <w:bCs/>
                <w:szCs w:val="21"/>
              </w:rPr>
              <w:t>/</w:t>
            </w:r>
          </w:p>
          <w:p>
            <w:pPr>
              <w:jc w:val="center"/>
              <w:rPr>
                <w:rFonts w:ascii="Times New Roman" w:hAnsi="Times New Roman" w:cs="Times New Roman"/>
                <w:bCs/>
                <w:color w:val="000000"/>
                <w:szCs w:val="21"/>
              </w:rPr>
            </w:pPr>
            <w:r>
              <w:rPr>
                <w:rFonts w:ascii="Times New Roman" w:hAnsi="Times New Roman" w:cs="Times New Roman"/>
                <w:bCs/>
                <w:szCs w:val="21"/>
              </w:rPr>
              <w:t>（ng/kg）</w:t>
            </w:r>
          </w:p>
        </w:tc>
        <w:tc>
          <w:tcPr>
            <w:tcW w:w="2239" w:type="dxa"/>
            <w:tcBorders>
              <w:left w:val="single" w:color="auto" w:sz="4" w:space="0"/>
              <w:bottom w:val="single" w:color="auto" w:sz="4" w:space="0"/>
              <w:right w:val="single" w:color="auto" w:sz="4" w:space="0"/>
            </w:tcBorders>
            <w:vAlign w:val="center"/>
          </w:tcPr>
          <w:p>
            <w:pPr>
              <w:jc w:val="center"/>
              <w:rPr>
                <w:rFonts w:ascii="Times New Roman" w:hAnsi="Times New Roman" w:cs="Times New Roman"/>
                <w:bCs/>
                <w:szCs w:val="21"/>
              </w:rPr>
            </w:pPr>
            <w:r>
              <w:rPr>
                <w:rFonts w:ascii="Times New Roman" w:hAnsi="Times New Roman" w:cs="Times New Roman"/>
                <w:bCs/>
                <w:szCs w:val="21"/>
              </w:rPr>
              <w:t>磁质谱仪</w:t>
            </w:r>
          </w:p>
          <w:p>
            <w:pPr>
              <w:jc w:val="center"/>
              <w:rPr>
                <w:rFonts w:ascii="Times New Roman" w:hAnsi="Times New Roman" w:cs="Times New Roman"/>
                <w:bCs/>
                <w:szCs w:val="21"/>
              </w:rPr>
            </w:pPr>
            <w:r>
              <w:rPr>
                <w:rFonts w:ascii="Times New Roman" w:hAnsi="Times New Roman" w:cs="Times New Roman"/>
                <w:bCs/>
                <w:szCs w:val="21"/>
              </w:rPr>
              <w:t>AutoSpec Premier</w:t>
            </w:r>
          </w:p>
          <w:p>
            <w:pPr>
              <w:widowControl/>
              <w:jc w:val="center"/>
              <w:rPr>
                <w:rFonts w:ascii="Times New Roman" w:hAnsi="Times New Roman" w:cs="Times New Roman"/>
                <w:bCs/>
                <w:szCs w:val="21"/>
              </w:rPr>
            </w:pPr>
            <w:r>
              <w:rPr>
                <w:rFonts w:ascii="Times New Roman" w:hAnsi="Times New Roman" w:cs="Times New Roman"/>
                <w:bCs/>
                <w:szCs w:val="21"/>
              </w:rPr>
              <w:t>（TTE20151719）</w:t>
            </w:r>
          </w:p>
        </w:tc>
      </w:tr>
    </w:tbl>
    <w:p>
      <w:pPr>
        <w:pStyle w:val="2"/>
      </w:pPr>
    </w:p>
    <w:p>
      <w:p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numPr>
          <w:ilvl w:val="0"/>
          <w:numId w:val="11"/>
        </w:numPr>
        <w:jc w:val="center"/>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地下水分析方法一览表</w:t>
      </w:r>
    </w:p>
    <w:tbl>
      <w:tblPr>
        <w:tblStyle w:val="15"/>
        <w:tblW w:w="84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3686"/>
        <w:gridCol w:w="1275"/>
        <w:gridCol w:w="2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szCs w:val="21"/>
              </w:rPr>
            </w:pPr>
            <w:r>
              <w:rPr>
                <w:rFonts w:ascii="Times New Roman" w:hAnsi="Times New Roman" w:cs="Times New Roman"/>
                <w:b/>
                <w:szCs w:val="21"/>
              </w:rPr>
              <w:t>检测项目</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szCs w:val="21"/>
              </w:rPr>
            </w:pPr>
            <w:r>
              <w:rPr>
                <w:rFonts w:ascii="Times New Roman" w:hAnsi="Times New Roman" w:cs="Times New Roman"/>
                <w:b/>
                <w:szCs w:val="21"/>
              </w:rPr>
              <w:t>检测方法及方法来源</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szCs w:val="21"/>
              </w:rPr>
            </w:pPr>
            <w:r>
              <w:rPr>
                <w:rFonts w:ascii="Times New Roman" w:hAnsi="Times New Roman" w:cs="Times New Roman"/>
                <w:b/>
                <w:szCs w:val="21"/>
              </w:rPr>
              <w:t>检出限</w:t>
            </w:r>
          </w:p>
          <w:p>
            <w:pPr>
              <w:pStyle w:val="2"/>
              <w:jc w:val="center"/>
              <w:rPr>
                <w:rFonts w:cs="Times New Roman"/>
                <w:b/>
              </w:rPr>
            </w:pPr>
            <w:r>
              <w:rPr>
                <w:rFonts w:cs="Times New Roman"/>
                <w:b/>
              </w:rPr>
              <w:t>（mg/L）</w:t>
            </w:r>
          </w:p>
        </w:tc>
        <w:tc>
          <w:tcPr>
            <w:tcW w:w="214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szCs w:val="21"/>
              </w:rPr>
            </w:pPr>
            <w:r>
              <w:rPr>
                <w:rFonts w:ascii="Times New Roman" w:hAnsi="Times New Roman" w:cs="Times New Roman"/>
                <w:b/>
                <w:szCs w:val="21"/>
              </w:rPr>
              <w:t>主要仪器</w:t>
            </w:r>
          </w:p>
          <w:p>
            <w:pPr>
              <w:ind w:left="-105" w:leftChars="-50" w:right="-105" w:rightChars="-50"/>
              <w:jc w:val="center"/>
              <w:rPr>
                <w:rFonts w:ascii="Times New Roman" w:hAnsi="Times New Roman" w:cs="Times New Roman"/>
                <w:b/>
                <w:szCs w:val="21"/>
              </w:rPr>
            </w:pPr>
            <w:r>
              <w:rPr>
                <w:rFonts w:ascii="Times New Roman" w:hAnsi="Times New Roman" w:cs="Times New Roman"/>
                <w:b/>
                <w:szCs w:val="21"/>
              </w:rPr>
              <w:t>（名称、型号及编号）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Cs w:val="21"/>
              </w:rPr>
            </w:pPr>
            <w:r>
              <w:rPr>
                <w:rFonts w:ascii="Times New Roman" w:hAnsi="Times New Roman" w:cs="Times New Roman"/>
                <w:szCs w:val="21"/>
              </w:rPr>
              <w:t>电导率</w:t>
            </w:r>
          </w:p>
        </w:tc>
        <w:tc>
          <w:tcPr>
            <w:tcW w:w="368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便携式电导率仪法 《水和废水监测</w:t>
            </w:r>
          </w:p>
          <w:p>
            <w:pPr>
              <w:widowControl/>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分析方法》(第四版增补版)</w:t>
            </w:r>
          </w:p>
          <w:p>
            <w:pPr>
              <w:jc w:val="center"/>
              <w:rPr>
                <w:rFonts w:ascii="Times New Roman" w:hAnsi="Times New Roman" w:cs="Times New Roman"/>
                <w:bCs/>
                <w:color w:val="FF0000"/>
                <w:szCs w:val="21"/>
              </w:rPr>
            </w:pPr>
            <w:r>
              <w:rPr>
                <w:rFonts w:ascii="Times New Roman" w:hAnsi="Times New Roman" w:cs="Times New Roman"/>
                <w:color w:val="000000"/>
                <w:szCs w:val="21"/>
              </w:rPr>
              <w:t>第三篇 第一章 九（一）</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Cs w:val="21"/>
              </w:rPr>
            </w:pPr>
            <w:r>
              <w:rPr>
                <w:rFonts w:ascii="Times New Roman" w:hAnsi="Times New Roman" w:cs="Times New Roman"/>
                <w:bCs/>
                <w:szCs w:val="21"/>
              </w:rPr>
              <w:t>/</w:t>
            </w:r>
          </w:p>
          <w:p>
            <w:pPr>
              <w:ind w:left="-105" w:leftChars="-50" w:right="-105" w:rightChars="-50"/>
              <w:jc w:val="center"/>
              <w:rPr>
                <w:rFonts w:ascii="Times New Roman" w:hAnsi="Times New Roman" w:cs="Times New Roman"/>
                <w:bCs/>
                <w:color w:val="000000"/>
                <w:szCs w:val="21"/>
              </w:rPr>
            </w:pPr>
            <w:r>
              <w:rPr>
                <w:rFonts w:ascii="Times New Roman" w:hAnsi="Times New Roman" w:cs="Times New Roman"/>
                <w:bCs/>
                <w:szCs w:val="21"/>
              </w:rPr>
              <w:t>（</w:t>
            </w:r>
            <w:r>
              <w:rPr>
                <w:rFonts w:ascii="Times New Roman" w:hAnsi="Times New Roman" w:cs="Times New Roman"/>
                <w:szCs w:val="21"/>
              </w:rPr>
              <w:t>μ</w:t>
            </w:r>
            <w:r>
              <w:rPr>
                <w:rFonts w:ascii="Times New Roman" w:hAnsi="Times New Roman" w:cs="Times New Roman"/>
                <w:bCs/>
                <w:szCs w:val="21"/>
              </w:rPr>
              <w:t>S/cm）</w:t>
            </w:r>
          </w:p>
        </w:tc>
        <w:tc>
          <w:tcPr>
            <w:tcW w:w="2141"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便携式pH/ORP/电导率/溶解氧测试仪</w:t>
            </w:r>
          </w:p>
          <w:p>
            <w:pPr>
              <w:jc w:val="center"/>
              <w:rPr>
                <w:rFonts w:ascii="Times New Roman" w:hAnsi="Times New Roman" w:cs="Times New Roman"/>
                <w:szCs w:val="21"/>
              </w:rPr>
            </w:pPr>
            <w:r>
              <w:rPr>
                <w:rFonts w:ascii="Times New Roman" w:hAnsi="Times New Roman" w:cs="Times New Roman"/>
                <w:szCs w:val="21"/>
              </w:rPr>
              <w:t>SX751</w:t>
            </w:r>
          </w:p>
          <w:p>
            <w:pPr>
              <w:jc w:val="center"/>
              <w:rPr>
                <w:rFonts w:ascii="Times New Roman" w:hAnsi="Times New Roman" w:cs="Times New Roman"/>
                <w:bCs/>
                <w:szCs w:val="21"/>
              </w:rPr>
            </w:pPr>
            <w:r>
              <w:rPr>
                <w:rFonts w:ascii="Times New Roman" w:hAnsi="Times New Roman" w:cs="Times New Roman"/>
                <w:szCs w:val="21"/>
              </w:rPr>
              <w:t>（TTE20110582）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溶解氧</w:t>
            </w:r>
          </w:p>
        </w:tc>
        <w:tc>
          <w:tcPr>
            <w:tcW w:w="368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szCs w:val="21"/>
              </w:rPr>
            </w:pPr>
            <w:r>
              <w:rPr>
                <w:rFonts w:ascii="Times New Roman" w:hAnsi="Times New Roman" w:cs="Times New Roman"/>
                <w:szCs w:val="21"/>
              </w:rPr>
              <w:t>便携式溶解氧仪法</w:t>
            </w:r>
          </w:p>
          <w:p>
            <w:pPr>
              <w:spacing w:line="280" w:lineRule="exact"/>
              <w:jc w:val="center"/>
              <w:rPr>
                <w:rFonts w:ascii="Times New Roman" w:hAnsi="Times New Roman" w:cs="Times New Roman"/>
                <w:bCs/>
                <w:szCs w:val="21"/>
              </w:rPr>
            </w:pPr>
            <w:r>
              <w:rPr>
                <w:rFonts w:ascii="Times New Roman" w:hAnsi="Times New Roman" w:cs="Times New Roman"/>
                <w:szCs w:val="21"/>
              </w:rPr>
              <w:t>《水和废水监测分析方法》（第四版 增补版） 第三篇 第三章 一（三）</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bCs/>
                <w:szCs w:val="21"/>
              </w:rPr>
            </w:pPr>
            <w:r>
              <w:rPr>
                <w:rFonts w:ascii="Times New Roman" w:hAnsi="Times New Roman" w:cs="Times New Roman"/>
                <w:szCs w:val="21"/>
              </w:rPr>
              <w:t>/</w:t>
            </w:r>
          </w:p>
        </w:tc>
        <w:tc>
          <w:tcPr>
            <w:tcW w:w="2141" w:type="dxa"/>
            <w:vMerge w:val="continue"/>
            <w:tcBorders>
              <w:left w:val="single" w:color="auto" w:sz="4" w:space="0"/>
              <w:right w:val="single" w:color="auto" w:sz="4" w:space="0"/>
            </w:tcBorders>
            <w:vAlign w:val="center"/>
          </w:tcPr>
          <w:p>
            <w:pPr>
              <w:spacing w:line="280" w:lineRule="exact"/>
              <w:jc w:val="center"/>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氧化还原电位</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氧化还原电位</w:t>
            </w:r>
          </w:p>
          <w:p>
            <w:pPr>
              <w:jc w:val="center"/>
              <w:rPr>
                <w:rFonts w:ascii="Times New Roman" w:hAnsi="Times New Roman" w:cs="Times New Roman"/>
                <w:szCs w:val="21"/>
              </w:rPr>
            </w:pPr>
            <w:r>
              <w:rPr>
                <w:rFonts w:ascii="Times New Roman" w:hAnsi="Times New Roman" w:cs="Times New Roman"/>
                <w:szCs w:val="21"/>
              </w:rPr>
              <w:t xml:space="preserve"> 《水和废水监测分析方法》(第四版</w:t>
            </w:r>
          </w:p>
          <w:p>
            <w:pPr>
              <w:tabs>
                <w:tab w:val="left" w:pos="5775"/>
              </w:tabs>
              <w:adjustRightInd w:val="0"/>
              <w:snapToGrid w:val="0"/>
              <w:jc w:val="center"/>
              <w:rPr>
                <w:rFonts w:ascii="Times New Roman" w:hAnsi="Times New Roman" w:cs="Times New Roman"/>
                <w:szCs w:val="21"/>
              </w:rPr>
            </w:pPr>
            <w:r>
              <w:rPr>
                <w:rFonts w:ascii="Times New Roman" w:hAnsi="Times New Roman" w:cs="Times New Roman"/>
                <w:szCs w:val="21"/>
              </w:rPr>
              <w:t>增补版) 第三篇 第一章 十</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Cs w:val="21"/>
              </w:rPr>
            </w:pPr>
            <w:r>
              <w:rPr>
                <w:rFonts w:ascii="Times New Roman" w:hAnsi="Times New Roman" w:cs="Times New Roman"/>
                <w:bCs/>
                <w:szCs w:val="21"/>
              </w:rPr>
              <w:t>/</w:t>
            </w:r>
          </w:p>
          <w:p>
            <w:pPr>
              <w:jc w:val="center"/>
              <w:rPr>
                <w:rFonts w:ascii="Times New Roman" w:hAnsi="Times New Roman" w:cs="Times New Roman"/>
                <w:bCs/>
                <w:szCs w:val="21"/>
              </w:rPr>
            </w:pPr>
            <w:r>
              <w:rPr>
                <w:rFonts w:ascii="Times New Roman" w:hAnsi="Times New Roman" w:cs="Times New Roman"/>
                <w:bCs/>
                <w:szCs w:val="21"/>
              </w:rPr>
              <w:t>（</w:t>
            </w:r>
            <w:r>
              <w:rPr>
                <w:rFonts w:ascii="Times New Roman" w:hAnsi="Times New Roman" w:cs="Times New Roman"/>
                <w:szCs w:val="21"/>
              </w:rPr>
              <w:t>mV</w:t>
            </w:r>
            <w:r>
              <w:rPr>
                <w:rFonts w:ascii="Times New Roman" w:hAnsi="Times New Roman" w:cs="Times New Roman"/>
                <w:bCs/>
                <w:szCs w:val="21"/>
              </w:rPr>
              <w:t>）</w:t>
            </w:r>
          </w:p>
        </w:tc>
        <w:tc>
          <w:tcPr>
            <w:tcW w:w="2141" w:type="dxa"/>
            <w:vMerge w:val="continue"/>
            <w:tcBorders>
              <w:left w:val="single" w:color="auto" w:sz="4" w:space="0"/>
              <w:right w:val="single" w:color="auto" w:sz="4" w:space="0"/>
            </w:tcBorders>
            <w:vAlign w:val="center"/>
          </w:tcPr>
          <w:p>
            <w:pPr>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pH</w:t>
            </w:r>
          </w:p>
        </w:tc>
        <w:tc>
          <w:tcPr>
            <w:tcW w:w="3686" w:type="dxa"/>
            <w:tcBorders>
              <w:top w:val="single" w:color="auto" w:sz="4" w:space="0"/>
              <w:left w:val="single" w:color="auto" w:sz="4" w:space="0"/>
              <w:right w:val="single" w:color="auto" w:sz="4" w:space="0"/>
            </w:tcBorders>
            <w:vAlign w:val="center"/>
          </w:tcPr>
          <w:p>
            <w:pPr>
              <w:spacing w:line="280" w:lineRule="exact"/>
              <w:jc w:val="center"/>
              <w:rPr>
                <w:rFonts w:ascii="Times New Roman" w:hAnsi="Times New Roman" w:cs="Times New Roman"/>
                <w:szCs w:val="21"/>
              </w:rPr>
            </w:pPr>
            <w:r>
              <w:rPr>
                <w:rFonts w:ascii="Times New Roman" w:hAnsi="Times New Roman" w:cs="Times New Roman"/>
                <w:szCs w:val="21"/>
              </w:rPr>
              <w:t xml:space="preserve">水质 pH 值的测定 电极法 </w:t>
            </w:r>
          </w:p>
          <w:p>
            <w:pPr>
              <w:jc w:val="center"/>
              <w:rPr>
                <w:rFonts w:ascii="Times New Roman" w:hAnsi="Times New Roman" w:cs="Times New Roman"/>
                <w:bCs/>
                <w:szCs w:val="21"/>
              </w:rPr>
            </w:pPr>
            <w:r>
              <w:rPr>
                <w:rFonts w:ascii="Times New Roman" w:hAnsi="Times New Roman" w:cs="Times New Roman"/>
                <w:szCs w:val="21"/>
              </w:rPr>
              <w:t>HJ 1147-2020</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szCs w:val="21"/>
              </w:rPr>
            </w:pPr>
            <w:r>
              <w:rPr>
                <w:rFonts w:ascii="Times New Roman" w:hAnsi="Times New Roman" w:cs="Times New Roman"/>
                <w:szCs w:val="21"/>
              </w:rPr>
              <w:t>/</w:t>
            </w:r>
          </w:p>
          <w:p>
            <w:pPr>
              <w:jc w:val="center"/>
              <w:rPr>
                <w:rFonts w:ascii="Times New Roman" w:hAnsi="Times New Roman" w:cs="Times New Roman"/>
                <w:bCs/>
                <w:szCs w:val="21"/>
              </w:rPr>
            </w:pPr>
            <w:r>
              <w:rPr>
                <w:rFonts w:ascii="Times New Roman" w:hAnsi="Times New Roman" w:cs="Times New Roman"/>
                <w:szCs w:val="21"/>
              </w:rPr>
              <w:t>(无量纲)</w:t>
            </w:r>
          </w:p>
        </w:tc>
        <w:tc>
          <w:tcPr>
            <w:tcW w:w="2141" w:type="dxa"/>
            <w:vMerge w:val="continue"/>
            <w:tcBorders>
              <w:left w:val="single" w:color="auto" w:sz="4" w:space="0"/>
              <w:right w:val="single" w:color="auto" w:sz="4" w:space="0"/>
            </w:tcBorders>
            <w:vAlign w:val="center"/>
          </w:tcPr>
          <w:p>
            <w:pPr>
              <w:jc w:val="center"/>
              <w:rPr>
                <w:rFonts w:ascii="Times New Roman" w:hAnsi="Times New Roman" w:cs="Times New Roman"/>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水温</w:t>
            </w:r>
          </w:p>
        </w:tc>
        <w:tc>
          <w:tcPr>
            <w:tcW w:w="3686" w:type="dxa"/>
            <w:tcBorders>
              <w:left w:val="single" w:color="auto" w:sz="4" w:space="0"/>
              <w:bottom w:val="single" w:color="auto" w:sz="4" w:space="0"/>
              <w:right w:val="single" w:color="auto" w:sz="4" w:space="0"/>
            </w:tcBorders>
            <w:vAlign w:val="center"/>
          </w:tcPr>
          <w:p>
            <w:pPr>
              <w:spacing w:line="280" w:lineRule="exact"/>
              <w:ind w:left="105" w:hanging="105" w:hangingChars="50"/>
              <w:jc w:val="center"/>
              <w:rPr>
                <w:rFonts w:ascii="Times New Roman" w:hAnsi="Times New Roman" w:cs="Times New Roman"/>
                <w:color w:val="000000"/>
                <w:szCs w:val="21"/>
              </w:rPr>
            </w:pPr>
            <w:r>
              <w:rPr>
                <w:rFonts w:ascii="Times New Roman" w:hAnsi="Times New Roman" w:cs="Times New Roman"/>
                <w:color w:val="000000"/>
                <w:szCs w:val="21"/>
              </w:rPr>
              <w:t xml:space="preserve">水质 水温的测定 </w:t>
            </w:r>
          </w:p>
          <w:p>
            <w:pPr>
              <w:spacing w:line="280" w:lineRule="exact"/>
              <w:ind w:left="105" w:hanging="105" w:hangingChars="50"/>
              <w:jc w:val="center"/>
              <w:rPr>
                <w:rFonts w:ascii="Times New Roman" w:hAnsi="Times New Roman" w:cs="Times New Roman"/>
                <w:color w:val="000000"/>
                <w:szCs w:val="21"/>
              </w:rPr>
            </w:pPr>
            <w:r>
              <w:rPr>
                <w:rFonts w:ascii="Times New Roman" w:hAnsi="Times New Roman" w:cs="Times New Roman"/>
                <w:color w:val="000000"/>
                <w:szCs w:val="21"/>
              </w:rPr>
              <w:t>温度计或颠倒温度计测定法</w:t>
            </w:r>
          </w:p>
          <w:p>
            <w:pPr>
              <w:widowControl/>
              <w:jc w:val="center"/>
              <w:rPr>
                <w:rFonts w:ascii="Times New Roman" w:hAnsi="Times New Roman" w:cs="Times New Roman"/>
                <w:bCs/>
                <w:szCs w:val="21"/>
              </w:rPr>
            </w:pPr>
            <w:r>
              <w:rPr>
                <w:rFonts w:ascii="Times New Roman" w:hAnsi="Times New Roman" w:cs="Times New Roman"/>
                <w:color w:val="000000"/>
                <w:szCs w:val="21"/>
              </w:rPr>
              <w:t>GB/T 13195-1991</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w:t>
            </w:r>
          </w:p>
          <w:p>
            <w:pPr>
              <w:jc w:val="center"/>
              <w:rPr>
                <w:rFonts w:ascii="Times New Roman" w:hAnsi="Times New Roman" w:cs="Times New Roman"/>
                <w:bCs/>
                <w:color w:val="000000"/>
                <w:szCs w:val="21"/>
              </w:rPr>
            </w:pPr>
            <w:r>
              <w:rPr>
                <w:rFonts w:ascii="Times New Roman" w:hAnsi="Times New Roman" w:cs="Times New Roman"/>
                <w:color w:val="000000"/>
                <w:szCs w:val="21"/>
              </w:rPr>
              <w:t>(℃)</w:t>
            </w:r>
          </w:p>
        </w:tc>
        <w:tc>
          <w:tcPr>
            <w:tcW w:w="2141" w:type="dxa"/>
            <w:tcBorders>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szCs w:val="21"/>
              </w:rPr>
            </w:pPr>
            <w:r>
              <w:rPr>
                <w:rFonts w:ascii="Times New Roman" w:hAnsi="Times New Roman" w:cs="Times New Roman"/>
                <w:szCs w:val="21"/>
              </w:rPr>
              <w:t>水银温度计</w:t>
            </w:r>
          </w:p>
          <w:p>
            <w:pPr>
              <w:widowControl/>
              <w:jc w:val="center"/>
              <w:rPr>
                <w:rFonts w:ascii="Times New Roman" w:hAnsi="Times New Roman" w:cs="Times New Roman"/>
                <w:bCs/>
                <w:color w:val="000000"/>
                <w:szCs w:val="21"/>
              </w:rPr>
            </w:pPr>
            <w:r>
              <w:rPr>
                <w:rFonts w:ascii="Times New Roman" w:hAnsi="Times New Roman" w:cs="Times New Roman"/>
                <w:szCs w:val="21"/>
              </w:rPr>
              <w:t>（EDD19JL21042）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六价铬</w:t>
            </w:r>
          </w:p>
        </w:tc>
        <w:tc>
          <w:tcPr>
            <w:tcW w:w="3686" w:type="dxa"/>
            <w:tcBorders>
              <w:top w:val="single" w:color="auto" w:sz="4" w:space="0"/>
              <w:left w:val="single" w:color="auto" w:sz="4" w:space="0"/>
              <w:right w:val="single" w:color="auto" w:sz="4" w:space="0"/>
            </w:tcBorders>
            <w:vAlign w:val="center"/>
          </w:tcPr>
          <w:p>
            <w:pPr>
              <w:widowControl/>
              <w:adjustRightInd w:val="0"/>
              <w:snapToGrid w:val="0"/>
              <w:jc w:val="center"/>
              <w:rPr>
                <w:rFonts w:ascii="Times New Roman" w:hAnsi="Times New Roman" w:cs="Times New Roman"/>
                <w:color w:val="000000"/>
              </w:rPr>
            </w:pPr>
            <w:r>
              <w:rPr>
                <w:rFonts w:ascii="Times New Roman" w:hAnsi="Times New Roman" w:cs="Times New Roman"/>
                <w:color w:val="000000"/>
              </w:rPr>
              <w:t xml:space="preserve">水质 六价铬的测定 </w:t>
            </w:r>
          </w:p>
          <w:p>
            <w:pPr>
              <w:widowControl/>
              <w:adjustRightInd w:val="0"/>
              <w:snapToGrid w:val="0"/>
              <w:jc w:val="center"/>
              <w:rPr>
                <w:rFonts w:ascii="Times New Roman" w:hAnsi="Times New Roman" w:cs="Times New Roman"/>
                <w:color w:val="000000"/>
              </w:rPr>
            </w:pPr>
            <w:r>
              <w:rPr>
                <w:rFonts w:ascii="Times New Roman" w:hAnsi="Times New Roman" w:cs="Times New Roman"/>
                <w:color w:val="000000"/>
              </w:rPr>
              <w:t xml:space="preserve">二苯碳酰二肼分光光度法 </w:t>
            </w:r>
          </w:p>
          <w:p>
            <w:pPr>
              <w:jc w:val="center"/>
              <w:rPr>
                <w:rFonts w:ascii="Times New Roman" w:hAnsi="Times New Roman" w:cs="Times New Roman"/>
                <w:bCs/>
                <w:szCs w:val="21"/>
              </w:rPr>
            </w:pPr>
            <w:r>
              <w:rPr>
                <w:rFonts w:ascii="Times New Roman" w:hAnsi="Times New Roman" w:cs="Times New Roman"/>
                <w:color w:val="000000"/>
              </w:rPr>
              <w:t>GB/T 7467-1987</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Cs w:val="21"/>
              </w:rPr>
            </w:pPr>
            <w:r>
              <w:rPr>
                <w:rFonts w:ascii="Times New Roman" w:hAnsi="Times New Roman" w:cs="Times New Roman"/>
                <w:bCs/>
                <w:szCs w:val="21"/>
              </w:rPr>
              <w:t>0.004</w:t>
            </w:r>
          </w:p>
        </w:tc>
        <w:tc>
          <w:tcPr>
            <w:tcW w:w="2141" w:type="dxa"/>
            <w:tcBorders>
              <w:top w:val="single" w:color="auto" w:sz="4" w:space="0"/>
              <w:left w:val="single" w:color="auto" w:sz="4" w:space="0"/>
              <w:right w:val="single" w:color="auto" w:sz="4" w:space="0"/>
            </w:tcBorders>
            <w:vAlign w:val="center"/>
          </w:tcPr>
          <w:p>
            <w:pPr>
              <w:spacing w:line="280" w:lineRule="exact"/>
              <w:jc w:val="center"/>
              <w:rPr>
                <w:rFonts w:ascii="Times New Roman" w:hAnsi="Times New Roman" w:cs="Times New Roman"/>
                <w:szCs w:val="21"/>
              </w:rPr>
            </w:pPr>
            <w:r>
              <w:rPr>
                <w:rFonts w:ascii="Times New Roman" w:hAnsi="Times New Roman" w:cs="Times New Roman"/>
                <w:szCs w:val="21"/>
              </w:rPr>
              <w:t>紫外可见分光光度计UV-7504</w:t>
            </w:r>
          </w:p>
          <w:p>
            <w:pPr>
              <w:jc w:val="center"/>
              <w:rPr>
                <w:rFonts w:ascii="Times New Roman" w:hAnsi="Times New Roman" w:cs="Times New Roman"/>
                <w:bCs/>
                <w:szCs w:val="21"/>
              </w:rPr>
            </w:pPr>
            <w:r>
              <w:rPr>
                <w:rFonts w:ascii="Times New Roman" w:hAnsi="Times New Roman" w:cs="Times New Roman"/>
                <w:szCs w:val="21"/>
              </w:rPr>
              <w:t>(TTE20131341)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氨氮</w:t>
            </w:r>
          </w:p>
        </w:tc>
        <w:tc>
          <w:tcPr>
            <w:tcW w:w="3686" w:type="dxa"/>
            <w:tcBorders>
              <w:left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水质 氨氮的测定</w:t>
            </w:r>
          </w:p>
          <w:p>
            <w:pPr>
              <w:jc w:val="center"/>
              <w:rPr>
                <w:rFonts w:ascii="Times New Roman" w:hAnsi="Times New Roman" w:cs="Times New Roman"/>
                <w:szCs w:val="21"/>
              </w:rPr>
            </w:pPr>
            <w:r>
              <w:rPr>
                <w:rFonts w:ascii="Times New Roman" w:hAnsi="Times New Roman" w:cs="Times New Roman"/>
                <w:szCs w:val="21"/>
              </w:rPr>
              <w:t>纳氏试剂分光光度法</w:t>
            </w:r>
          </w:p>
          <w:p>
            <w:pPr>
              <w:widowControl/>
              <w:jc w:val="center"/>
              <w:rPr>
                <w:rFonts w:ascii="Times New Roman" w:hAnsi="Times New Roman" w:cs="Times New Roman"/>
                <w:bCs/>
                <w:szCs w:val="21"/>
              </w:rPr>
            </w:pPr>
            <w:r>
              <w:rPr>
                <w:rFonts w:ascii="Times New Roman" w:hAnsi="Times New Roman" w:cs="Times New Roman"/>
                <w:szCs w:val="21"/>
              </w:rPr>
              <w:t>HJ 535-2009</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szCs w:val="21"/>
              </w:rPr>
              <w:t>0.025</w:t>
            </w:r>
          </w:p>
        </w:tc>
        <w:tc>
          <w:tcPr>
            <w:tcW w:w="2141" w:type="dxa"/>
            <w:tcBorders>
              <w:left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紫外可见分光光度计UV-7504</w:t>
            </w:r>
          </w:p>
          <w:p>
            <w:pPr>
              <w:widowControl/>
              <w:jc w:val="center"/>
              <w:rPr>
                <w:rFonts w:ascii="Times New Roman" w:hAnsi="Times New Roman" w:cs="Times New Roman"/>
                <w:bCs/>
                <w:szCs w:val="21"/>
              </w:rPr>
            </w:pPr>
            <w:r>
              <w:rPr>
                <w:rFonts w:ascii="Times New Roman" w:hAnsi="Times New Roman" w:cs="Times New Roman"/>
                <w:szCs w:val="21"/>
              </w:rPr>
              <w:t>(TTE20140224)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cs="Times New Roman"/>
                <w:szCs w:val="21"/>
              </w:rPr>
            </w:pPr>
            <w:r>
              <w:rPr>
                <w:rFonts w:ascii="Times New Roman" w:hAnsi="Times New Roman" w:cs="Times New Roman"/>
                <w:szCs w:val="21"/>
              </w:rPr>
              <w:t>总硬度</w:t>
            </w:r>
          </w:p>
          <w:p>
            <w:pPr>
              <w:jc w:val="center"/>
              <w:rPr>
                <w:rFonts w:ascii="Times New Roman" w:hAnsi="Times New Roman" w:cs="Times New Roman"/>
                <w:szCs w:val="21"/>
              </w:rPr>
            </w:pPr>
            <w:r>
              <w:rPr>
                <w:rFonts w:ascii="Times New Roman" w:hAnsi="Times New Roman" w:cs="Times New Roman"/>
                <w:szCs w:val="21"/>
              </w:rPr>
              <w:t>(以CaCO</w:t>
            </w:r>
            <w:r>
              <w:rPr>
                <w:rFonts w:ascii="Times New Roman" w:hAnsi="Times New Roman" w:cs="Times New Roman"/>
                <w:szCs w:val="21"/>
                <w:vertAlign w:val="subscript"/>
              </w:rPr>
              <w:t>3</w:t>
            </w:r>
            <w:r>
              <w:rPr>
                <w:rFonts w:ascii="Times New Roman" w:hAnsi="Times New Roman" w:cs="Times New Roman"/>
                <w:szCs w:val="21"/>
              </w:rPr>
              <w:t>计)</w:t>
            </w:r>
          </w:p>
        </w:tc>
        <w:tc>
          <w:tcPr>
            <w:tcW w:w="3686" w:type="dxa"/>
            <w:tcBorders>
              <w:left w:val="single" w:color="auto" w:sz="4" w:space="0"/>
              <w:right w:val="single" w:color="auto" w:sz="4" w:space="0"/>
            </w:tcBorders>
            <w:vAlign w:val="center"/>
          </w:tcPr>
          <w:p>
            <w:pPr>
              <w:widowControl/>
              <w:adjustRightInd w:val="0"/>
              <w:snapToGrid w:val="0"/>
              <w:jc w:val="center"/>
              <w:rPr>
                <w:rFonts w:ascii="Times New Roman" w:hAnsi="Times New Roman" w:cs="Times New Roman"/>
                <w:color w:val="000000"/>
              </w:rPr>
            </w:pPr>
            <w:r>
              <w:rPr>
                <w:rFonts w:ascii="Times New Roman" w:hAnsi="Times New Roman" w:cs="Times New Roman"/>
                <w:color w:val="000000"/>
              </w:rPr>
              <w:t>水质 钙和镁总量的测定 EDTA滴定法</w:t>
            </w:r>
          </w:p>
          <w:p>
            <w:pPr>
              <w:widowControl/>
              <w:jc w:val="center"/>
              <w:rPr>
                <w:rFonts w:ascii="Times New Roman" w:hAnsi="Times New Roman" w:cs="Times New Roman"/>
                <w:bCs/>
                <w:szCs w:val="21"/>
              </w:rPr>
            </w:pPr>
            <w:r>
              <w:rPr>
                <w:rFonts w:ascii="Times New Roman" w:hAnsi="Times New Roman" w:cs="Times New Roman"/>
                <w:color w:val="000000"/>
              </w:rPr>
              <w:t>GB/T 7477-1987</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szCs w:val="21"/>
              </w:rPr>
              <w:t>5</w:t>
            </w:r>
          </w:p>
        </w:tc>
        <w:tc>
          <w:tcPr>
            <w:tcW w:w="2141" w:type="dxa"/>
            <w:tcBorders>
              <w:left w:val="single" w:color="auto" w:sz="4" w:space="0"/>
              <w:right w:val="single" w:color="auto" w:sz="4" w:space="0"/>
            </w:tcBorders>
            <w:vAlign w:val="center"/>
          </w:tcPr>
          <w:p>
            <w:pPr>
              <w:jc w:val="center"/>
              <w:rPr>
                <w:rFonts w:ascii="Times New Roman" w:hAnsi="Times New Roman" w:cs="Times New Roman"/>
                <w:bCs/>
                <w:szCs w:val="21"/>
              </w:rPr>
            </w:pPr>
            <w:r>
              <w:rPr>
                <w:rFonts w:ascii="Times New Roman" w:hAnsi="Times New Roman" w:cs="Times New Roman"/>
                <w:bCs/>
                <w:szCs w:val="21"/>
              </w:rPr>
              <w:t>数字滴定器</w:t>
            </w:r>
          </w:p>
          <w:p>
            <w:pPr>
              <w:widowControl/>
              <w:jc w:val="center"/>
              <w:rPr>
                <w:rFonts w:ascii="Times New Roman" w:hAnsi="Times New Roman" w:cs="Times New Roman"/>
                <w:bCs/>
                <w:szCs w:val="21"/>
              </w:rPr>
            </w:pPr>
            <w:r>
              <w:rPr>
                <w:rFonts w:ascii="Times New Roman" w:hAnsi="Times New Roman" w:cs="Times New Roman"/>
                <w:bCs/>
                <w:szCs w:val="21"/>
              </w:rPr>
              <w:t>（EDD19JL21033）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耗氧量</w:t>
            </w:r>
          </w:p>
          <w:p>
            <w:pPr>
              <w:jc w:val="center"/>
              <w:rPr>
                <w:rFonts w:ascii="Times New Roman" w:hAnsi="Times New Roman" w:cs="Times New Roman"/>
                <w:szCs w:val="21"/>
              </w:rPr>
            </w:pPr>
            <w:r>
              <w:rPr>
                <w:rFonts w:ascii="Times New Roman" w:hAnsi="Times New Roman" w:cs="Times New Roman"/>
                <w:szCs w:val="21"/>
              </w:rPr>
              <w:t>（COD</w:t>
            </w:r>
            <w:r>
              <w:rPr>
                <w:rFonts w:ascii="Times New Roman" w:hAnsi="Times New Roman" w:cs="Times New Roman"/>
                <w:szCs w:val="21"/>
                <w:vertAlign w:val="subscript"/>
              </w:rPr>
              <w:t>Mn</w:t>
            </w:r>
            <w:r>
              <w:rPr>
                <w:rFonts w:ascii="Times New Roman" w:hAnsi="Times New Roman" w:cs="Times New Roman"/>
                <w:szCs w:val="21"/>
              </w:rPr>
              <w:t>法，</w:t>
            </w:r>
          </w:p>
          <w:p>
            <w:pPr>
              <w:jc w:val="center"/>
              <w:rPr>
                <w:rFonts w:ascii="Times New Roman" w:hAnsi="Times New Roman" w:cs="Times New Roman"/>
                <w:szCs w:val="21"/>
              </w:rPr>
            </w:pPr>
            <w:r>
              <w:rPr>
                <w:rFonts w:ascii="Times New Roman" w:hAnsi="Times New Roman" w:cs="Times New Roman"/>
                <w:szCs w:val="21"/>
              </w:rPr>
              <w:t>以O</w:t>
            </w:r>
            <w:r>
              <w:rPr>
                <w:rFonts w:ascii="Times New Roman" w:hAnsi="Times New Roman" w:cs="Times New Roman"/>
                <w:szCs w:val="21"/>
                <w:vertAlign w:val="subscript"/>
              </w:rPr>
              <w:t>2</w:t>
            </w:r>
            <w:r>
              <w:rPr>
                <w:rFonts w:ascii="Times New Roman" w:hAnsi="Times New Roman" w:cs="Times New Roman"/>
                <w:szCs w:val="21"/>
              </w:rPr>
              <w:t>计）</w:t>
            </w:r>
          </w:p>
        </w:tc>
        <w:tc>
          <w:tcPr>
            <w:tcW w:w="3686" w:type="dxa"/>
            <w:tcBorders>
              <w:left w:val="single" w:color="auto" w:sz="4" w:space="0"/>
              <w:right w:val="single" w:color="auto" w:sz="4" w:space="0"/>
            </w:tcBorders>
            <w:vAlign w:val="center"/>
          </w:tcPr>
          <w:p>
            <w:pPr>
              <w:widowControl/>
              <w:adjustRightInd w:val="0"/>
              <w:snapToGrid w:val="0"/>
              <w:jc w:val="center"/>
              <w:rPr>
                <w:rFonts w:ascii="Times New Roman" w:hAnsi="Times New Roman" w:cs="Times New Roman"/>
                <w:szCs w:val="21"/>
              </w:rPr>
            </w:pPr>
            <w:r>
              <w:rPr>
                <w:rFonts w:ascii="Times New Roman" w:hAnsi="Times New Roman" w:cs="Times New Roman"/>
                <w:szCs w:val="21"/>
              </w:rPr>
              <w:t>水质 高锰酸盐指数的测定</w:t>
            </w:r>
          </w:p>
          <w:p>
            <w:pPr>
              <w:widowControl/>
              <w:jc w:val="center"/>
              <w:rPr>
                <w:rFonts w:ascii="Times New Roman" w:hAnsi="Times New Roman" w:cs="Times New Roman"/>
                <w:bCs/>
                <w:szCs w:val="21"/>
              </w:rPr>
            </w:pPr>
            <w:r>
              <w:rPr>
                <w:rFonts w:ascii="Times New Roman" w:hAnsi="Times New Roman" w:cs="Times New Roman"/>
                <w:szCs w:val="21"/>
              </w:rPr>
              <w:t>GB/T 11892-1989</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szCs w:val="21"/>
              </w:rPr>
              <w:t>0.5</w:t>
            </w:r>
          </w:p>
        </w:tc>
        <w:tc>
          <w:tcPr>
            <w:tcW w:w="2141" w:type="dxa"/>
            <w:tcBorders>
              <w:left w:val="single" w:color="auto" w:sz="4" w:space="0"/>
              <w:right w:val="single" w:color="auto" w:sz="4" w:space="0"/>
            </w:tcBorders>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数字滴定器</w:t>
            </w:r>
          </w:p>
          <w:p>
            <w:pPr>
              <w:widowControl/>
              <w:jc w:val="center"/>
              <w:rPr>
                <w:rFonts w:ascii="Times New Roman" w:hAnsi="Times New Roman" w:cs="Times New Roman"/>
                <w:bCs/>
                <w:szCs w:val="21"/>
              </w:rPr>
            </w:pPr>
            <w:r>
              <w:rPr>
                <w:rFonts w:ascii="Times New Roman" w:hAnsi="Times New Roman" w:cs="Times New Roman"/>
                <w:color w:val="000000"/>
                <w:szCs w:val="21"/>
              </w:rPr>
              <w:t>（EDD19JL21004）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硫化物</w:t>
            </w:r>
          </w:p>
        </w:tc>
        <w:tc>
          <w:tcPr>
            <w:tcW w:w="3686" w:type="dxa"/>
            <w:tcBorders>
              <w:left w:val="single" w:color="auto" w:sz="4" w:space="0"/>
              <w:right w:val="single" w:color="auto" w:sz="4" w:space="0"/>
            </w:tcBorders>
            <w:vAlign w:val="center"/>
          </w:tcPr>
          <w:p>
            <w:pPr>
              <w:widowControl/>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水质 硫化物的测定</w:t>
            </w:r>
          </w:p>
          <w:p>
            <w:pPr>
              <w:widowControl/>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亚甲基蓝分光光度法</w:t>
            </w:r>
          </w:p>
          <w:p>
            <w:pPr>
              <w:widowControl/>
              <w:jc w:val="center"/>
              <w:rPr>
                <w:rFonts w:ascii="Times New Roman" w:hAnsi="Times New Roman" w:cs="Times New Roman"/>
                <w:bCs/>
                <w:szCs w:val="21"/>
              </w:rPr>
            </w:pPr>
            <w:r>
              <w:rPr>
                <w:rFonts w:ascii="Times New Roman" w:hAnsi="Times New Roman" w:cs="Times New Roman"/>
                <w:color w:val="000000"/>
                <w:szCs w:val="21"/>
              </w:rPr>
              <w:t>GB/T 16489-1996</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szCs w:val="21"/>
              </w:rPr>
              <w:t>0.005</w:t>
            </w:r>
          </w:p>
        </w:tc>
        <w:tc>
          <w:tcPr>
            <w:tcW w:w="2141" w:type="dxa"/>
            <w:tcBorders>
              <w:left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紫外可见分光光度计UV-7504</w:t>
            </w:r>
          </w:p>
          <w:p>
            <w:pPr>
              <w:widowControl/>
              <w:jc w:val="center"/>
              <w:rPr>
                <w:rFonts w:ascii="Times New Roman" w:hAnsi="Times New Roman" w:cs="Times New Roman"/>
                <w:bCs/>
                <w:szCs w:val="21"/>
              </w:rPr>
            </w:pPr>
            <w:r>
              <w:rPr>
                <w:rFonts w:ascii="Times New Roman" w:hAnsi="Times New Roman" w:cs="Times New Roman"/>
                <w:szCs w:val="21"/>
              </w:rPr>
              <w:t>(TTE20140224)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挥发酚</w:t>
            </w:r>
          </w:p>
        </w:tc>
        <w:tc>
          <w:tcPr>
            <w:tcW w:w="3686" w:type="dxa"/>
            <w:tcBorders>
              <w:left w:val="single" w:color="auto" w:sz="4" w:space="0"/>
              <w:right w:val="single" w:color="auto" w:sz="4" w:space="0"/>
            </w:tcBorders>
            <w:vAlign w:val="center"/>
          </w:tcPr>
          <w:p>
            <w:pPr>
              <w:widowControl/>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水质 挥发酚的测定</w:t>
            </w:r>
          </w:p>
          <w:p>
            <w:pPr>
              <w:widowControl/>
              <w:adjustRightInd w:val="0"/>
              <w:snapToGrid w:val="0"/>
              <w:jc w:val="center"/>
              <w:rPr>
                <w:rFonts w:ascii="Times New Roman" w:hAnsi="Times New Roman" w:cs="Times New Roman"/>
                <w:color w:val="000000"/>
                <w:szCs w:val="21"/>
              </w:rPr>
            </w:pPr>
            <w:r>
              <w:rPr>
                <w:rFonts w:ascii="Times New Roman" w:hAnsi="Times New Roman" w:cs="Times New Roman"/>
                <w:color w:val="000000"/>
                <w:szCs w:val="21"/>
              </w:rPr>
              <w:t>4-氨基安替比林分光光度法</w:t>
            </w:r>
          </w:p>
          <w:p>
            <w:pPr>
              <w:widowControl/>
              <w:jc w:val="center"/>
              <w:rPr>
                <w:rFonts w:ascii="Times New Roman" w:hAnsi="Times New Roman" w:cs="Times New Roman"/>
                <w:bCs/>
                <w:szCs w:val="21"/>
              </w:rPr>
            </w:pPr>
            <w:r>
              <w:rPr>
                <w:rFonts w:ascii="Times New Roman" w:hAnsi="Times New Roman" w:cs="Times New Roman"/>
                <w:color w:val="000000"/>
                <w:szCs w:val="21"/>
              </w:rPr>
              <w:t>HJ 503-2009</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szCs w:val="21"/>
              </w:rPr>
              <w:t>0.0003</w:t>
            </w:r>
          </w:p>
        </w:tc>
        <w:tc>
          <w:tcPr>
            <w:tcW w:w="2141" w:type="dxa"/>
            <w:tcBorders>
              <w:left w:val="single" w:color="auto" w:sz="4" w:space="0"/>
              <w:right w:val="single" w:color="auto" w:sz="4" w:space="0"/>
            </w:tcBorders>
            <w:vAlign w:val="center"/>
          </w:tcPr>
          <w:p>
            <w:pPr>
              <w:widowControl/>
              <w:jc w:val="center"/>
              <w:rPr>
                <w:rFonts w:ascii="Times New Roman" w:hAnsi="Times New Roman" w:cs="Times New Roman"/>
              </w:rPr>
            </w:pPr>
            <w:r>
              <w:rPr>
                <w:rFonts w:ascii="Times New Roman" w:hAnsi="Times New Roman" w:cs="Times New Roman"/>
              </w:rPr>
              <w:t>紫外可见分光光度计</w:t>
            </w:r>
          </w:p>
          <w:p>
            <w:pPr>
              <w:widowControl/>
              <w:jc w:val="center"/>
              <w:rPr>
                <w:rFonts w:ascii="Times New Roman" w:hAnsi="Times New Roman" w:cs="Times New Roman"/>
              </w:rPr>
            </w:pPr>
            <w:r>
              <w:rPr>
                <w:rFonts w:ascii="Times New Roman" w:hAnsi="Times New Roman" w:cs="Times New Roman"/>
              </w:rPr>
              <w:t>UV-7504</w:t>
            </w:r>
          </w:p>
          <w:p>
            <w:pPr>
              <w:widowControl/>
              <w:jc w:val="center"/>
              <w:rPr>
                <w:rFonts w:ascii="Times New Roman" w:hAnsi="Times New Roman" w:cs="Times New Roman"/>
                <w:bCs/>
                <w:szCs w:val="21"/>
              </w:rPr>
            </w:pPr>
            <w:r>
              <w:rPr>
                <w:rFonts w:ascii="Times New Roman" w:hAnsi="Times New Roman" w:cs="Times New Roman"/>
              </w:rPr>
              <w:t>（TTE20131341）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氟化物</w:t>
            </w:r>
          </w:p>
        </w:tc>
        <w:tc>
          <w:tcPr>
            <w:tcW w:w="3686" w:type="dxa"/>
            <w:vMerge w:val="restart"/>
            <w:tcBorders>
              <w:left w:val="single" w:color="auto" w:sz="4" w:space="0"/>
              <w:right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水质 无机阴离子的测定 离子色谱法</w:t>
            </w:r>
          </w:p>
          <w:p>
            <w:pPr>
              <w:widowControl/>
              <w:jc w:val="center"/>
              <w:rPr>
                <w:rFonts w:ascii="Times New Roman" w:hAnsi="Times New Roman" w:cs="Times New Roman"/>
                <w:bCs/>
                <w:szCs w:val="21"/>
              </w:rPr>
            </w:pPr>
            <w:r>
              <w:rPr>
                <w:rFonts w:ascii="Times New Roman" w:hAnsi="Times New Roman" w:cs="Times New Roman"/>
                <w:color w:val="000000"/>
                <w:szCs w:val="21"/>
              </w:rPr>
              <w:t>HJ 84-2016</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color w:val="000000"/>
                <w:szCs w:val="21"/>
              </w:rPr>
              <w:t>0.006</w:t>
            </w:r>
          </w:p>
        </w:tc>
        <w:tc>
          <w:tcPr>
            <w:tcW w:w="2141" w:type="dxa"/>
            <w:vMerge w:val="restart"/>
            <w:tcBorders>
              <w:left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离子色谱仪</w:t>
            </w:r>
          </w:p>
          <w:p>
            <w:pPr>
              <w:widowControl/>
              <w:jc w:val="center"/>
              <w:rPr>
                <w:rFonts w:ascii="Times New Roman" w:hAnsi="Times New Roman" w:cs="Times New Roman"/>
                <w:bCs/>
                <w:szCs w:val="21"/>
              </w:rPr>
            </w:pPr>
            <w:r>
              <w:rPr>
                <w:rFonts w:ascii="Times New Roman" w:hAnsi="Times New Roman" w:cs="Times New Roman"/>
                <w:szCs w:val="21"/>
              </w:rPr>
              <w:t>ICS-1100（TTE20131301）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氯化物</w:t>
            </w:r>
          </w:p>
        </w:tc>
        <w:tc>
          <w:tcPr>
            <w:tcW w:w="3686"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color w:val="000000"/>
                <w:szCs w:val="21"/>
              </w:rPr>
              <w:t>0.007</w:t>
            </w:r>
          </w:p>
        </w:tc>
        <w:tc>
          <w:tcPr>
            <w:tcW w:w="2141"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硝酸盐（以N计）</w:t>
            </w:r>
          </w:p>
        </w:tc>
        <w:tc>
          <w:tcPr>
            <w:tcW w:w="3686"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szCs w:val="21"/>
              </w:rPr>
              <w:t>0.004</w:t>
            </w:r>
          </w:p>
        </w:tc>
        <w:tc>
          <w:tcPr>
            <w:tcW w:w="2141"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硫酸盐</w:t>
            </w:r>
          </w:p>
        </w:tc>
        <w:tc>
          <w:tcPr>
            <w:tcW w:w="3686"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color w:val="000000"/>
                <w:szCs w:val="21"/>
              </w:rPr>
              <w:t>0.018</w:t>
            </w:r>
          </w:p>
        </w:tc>
        <w:tc>
          <w:tcPr>
            <w:tcW w:w="2141"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溶解性总固体</w:t>
            </w:r>
          </w:p>
        </w:tc>
        <w:tc>
          <w:tcPr>
            <w:tcW w:w="3686" w:type="dxa"/>
            <w:tcBorders>
              <w:left w:val="single" w:color="auto" w:sz="4" w:space="0"/>
              <w:right w:val="single" w:color="auto" w:sz="4" w:space="0"/>
            </w:tcBorders>
            <w:vAlign w:val="center"/>
          </w:tcPr>
          <w:p>
            <w:pPr>
              <w:spacing w:line="280" w:lineRule="exact"/>
              <w:jc w:val="center"/>
              <w:rPr>
                <w:rFonts w:ascii="Times New Roman" w:hAnsi="Times New Roman" w:cs="Times New Roman"/>
                <w:color w:val="000000"/>
              </w:rPr>
            </w:pPr>
            <w:r>
              <w:rPr>
                <w:rFonts w:ascii="Times New Roman" w:hAnsi="Times New Roman" w:cs="Times New Roman"/>
                <w:color w:val="000000"/>
              </w:rPr>
              <w:t>103～105℃烘干的可滤残渣 《水和废水监测分析方法》(第四版 增补版)</w:t>
            </w:r>
          </w:p>
          <w:p>
            <w:pPr>
              <w:widowControl/>
              <w:jc w:val="center"/>
              <w:rPr>
                <w:rFonts w:ascii="Times New Roman" w:hAnsi="Times New Roman" w:cs="Times New Roman"/>
                <w:bCs/>
                <w:szCs w:val="21"/>
              </w:rPr>
            </w:pPr>
            <w:r>
              <w:rPr>
                <w:rFonts w:ascii="Times New Roman" w:hAnsi="Times New Roman" w:cs="Times New Roman"/>
                <w:color w:val="000000"/>
              </w:rPr>
              <w:t>第三篇 第一章 七 (二)</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hint="eastAsia" w:ascii="Times New Roman" w:hAnsi="Times New Roman" w:cs="Times New Roman"/>
                <w:bCs/>
                <w:color w:val="000000"/>
                <w:szCs w:val="21"/>
              </w:rPr>
              <w:t>4</w:t>
            </w:r>
          </w:p>
        </w:tc>
        <w:tc>
          <w:tcPr>
            <w:tcW w:w="2141" w:type="dxa"/>
            <w:tcBorders>
              <w:left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电子天平</w:t>
            </w:r>
          </w:p>
          <w:p>
            <w:pPr>
              <w:jc w:val="center"/>
              <w:rPr>
                <w:rFonts w:ascii="Times New Roman" w:hAnsi="Times New Roman" w:cs="Times New Roman"/>
                <w:szCs w:val="21"/>
              </w:rPr>
            </w:pPr>
            <w:r>
              <w:rPr>
                <w:rFonts w:ascii="Times New Roman" w:hAnsi="Times New Roman" w:cs="Times New Roman"/>
                <w:szCs w:val="21"/>
              </w:rPr>
              <w:t>SECURA225D-1CN</w:t>
            </w:r>
          </w:p>
          <w:p>
            <w:pPr>
              <w:widowControl/>
              <w:jc w:val="center"/>
              <w:rPr>
                <w:rFonts w:ascii="Times New Roman" w:hAnsi="Times New Roman" w:cs="Times New Roman"/>
                <w:bCs/>
                <w:szCs w:val="21"/>
              </w:rPr>
            </w:pPr>
            <w:r>
              <w:rPr>
                <w:rFonts w:ascii="Times New Roman" w:hAnsi="Times New Roman" w:cs="Times New Roman"/>
                <w:szCs w:val="21"/>
              </w:rPr>
              <w:t>（TTE20192553）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亚硝酸盐</w:t>
            </w:r>
          </w:p>
          <w:p>
            <w:pPr>
              <w:jc w:val="center"/>
              <w:rPr>
                <w:rFonts w:ascii="Times New Roman" w:hAnsi="Times New Roman" w:cs="Times New Roman"/>
                <w:szCs w:val="21"/>
              </w:rPr>
            </w:pPr>
            <w:r>
              <w:rPr>
                <w:rFonts w:ascii="Times New Roman" w:hAnsi="Times New Roman" w:cs="Times New Roman"/>
                <w:szCs w:val="21"/>
              </w:rPr>
              <w:t>（以N计）</w:t>
            </w:r>
          </w:p>
        </w:tc>
        <w:tc>
          <w:tcPr>
            <w:tcW w:w="3686" w:type="dxa"/>
            <w:tcBorders>
              <w:left w:val="single" w:color="auto" w:sz="4" w:space="0"/>
              <w:right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 xml:space="preserve">水质 </w:t>
            </w:r>
            <w:r>
              <w:rPr>
                <w:rFonts w:ascii="Times New Roman" w:hAnsi="Times New Roman" w:cs="Times New Roman"/>
                <w:szCs w:val="21"/>
              </w:rPr>
              <w:t>亚硝酸盐氮</w:t>
            </w:r>
            <w:r>
              <w:rPr>
                <w:rFonts w:ascii="Times New Roman" w:hAnsi="Times New Roman" w:cs="Times New Roman"/>
                <w:color w:val="000000"/>
                <w:szCs w:val="21"/>
              </w:rPr>
              <w:t>的测定 分光光度法</w:t>
            </w:r>
          </w:p>
          <w:p>
            <w:pPr>
              <w:widowControl/>
              <w:jc w:val="center"/>
              <w:rPr>
                <w:rFonts w:ascii="Times New Roman" w:hAnsi="Times New Roman" w:cs="Times New Roman"/>
                <w:bCs/>
                <w:szCs w:val="21"/>
              </w:rPr>
            </w:pPr>
            <w:r>
              <w:rPr>
                <w:rFonts w:ascii="Times New Roman" w:hAnsi="Times New Roman" w:cs="Times New Roman"/>
                <w:szCs w:val="21"/>
              </w:rPr>
              <w:t>GB/T</w:t>
            </w:r>
            <w:r>
              <w:rPr>
                <w:rFonts w:ascii="Times New Roman" w:hAnsi="Times New Roman" w:cs="Times New Roman"/>
                <w:color w:val="000000"/>
                <w:szCs w:val="21"/>
              </w:rPr>
              <w:t xml:space="preserve"> 7493-1987</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color w:val="000000"/>
                <w:szCs w:val="21"/>
              </w:rPr>
              <w:t>0.003</w:t>
            </w:r>
          </w:p>
        </w:tc>
        <w:tc>
          <w:tcPr>
            <w:tcW w:w="2141" w:type="dxa"/>
            <w:tcBorders>
              <w:left w:val="single" w:color="auto" w:sz="4" w:space="0"/>
              <w:right w:val="single" w:color="auto" w:sz="4" w:space="0"/>
            </w:tcBorders>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紫外可见分光光度计UV-7504</w:t>
            </w:r>
          </w:p>
          <w:p>
            <w:pPr>
              <w:widowControl/>
              <w:jc w:val="center"/>
              <w:rPr>
                <w:rFonts w:ascii="Times New Roman" w:hAnsi="Times New Roman" w:cs="Times New Roman"/>
                <w:bCs/>
                <w:szCs w:val="21"/>
              </w:rPr>
            </w:pPr>
            <w:r>
              <w:rPr>
                <w:rFonts w:ascii="Times New Roman" w:hAnsi="Times New Roman" w:cs="Times New Roman"/>
                <w:color w:val="000000"/>
                <w:szCs w:val="21"/>
              </w:rPr>
              <w:t>（TTE20140224）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肉眼可见物</w:t>
            </w:r>
          </w:p>
        </w:tc>
        <w:tc>
          <w:tcPr>
            <w:tcW w:w="3686" w:type="dxa"/>
            <w:tcBorders>
              <w:left w:val="single" w:color="auto" w:sz="4" w:space="0"/>
              <w:right w:val="single" w:color="auto" w:sz="4" w:space="0"/>
            </w:tcBorders>
            <w:vAlign w:val="center"/>
          </w:tcPr>
          <w:p>
            <w:pPr>
              <w:spacing w:line="280" w:lineRule="exact"/>
              <w:jc w:val="center"/>
              <w:rPr>
                <w:rFonts w:ascii="Times New Roman" w:hAnsi="Times New Roman" w:cs="Times New Roman"/>
                <w:szCs w:val="21"/>
              </w:rPr>
            </w:pPr>
            <w:r>
              <w:rPr>
                <w:rFonts w:ascii="Times New Roman" w:hAnsi="Times New Roman" w:cs="Times New Roman"/>
                <w:szCs w:val="21"/>
              </w:rPr>
              <w:t>生活饮用水标准检验方法 感官性状</w:t>
            </w:r>
          </w:p>
          <w:p>
            <w:pPr>
              <w:spacing w:line="280" w:lineRule="exact"/>
              <w:jc w:val="center"/>
              <w:rPr>
                <w:rFonts w:ascii="Times New Roman" w:hAnsi="Times New Roman" w:cs="Times New Roman"/>
                <w:szCs w:val="21"/>
              </w:rPr>
            </w:pPr>
            <w:r>
              <w:rPr>
                <w:rFonts w:ascii="Times New Roman" w:hAnsi="Times New Roman" w:cs="Times New Roman"/>
                <w:szCs w:val="21"/>
              </w:rPr>
              <w:t>和物理指标 直接观察法</w:t>
            </w:r>
          </w:p>
          <w:p>
            <w:pPr>
              <w:widowControl/>
              <w:jc w:val="center"/>
              <w:rPr>
                <w:rFonts w:ascii="Times New Roman" w:hAnsi="Times New Roman" w:cs="Times New Roman"/>
                <w:bCs/>
                <w:szCs w:val="21"/>
              </w:rPr>
            </w:pPr>
            <w:r>
              <w:rPr>
                <w:rFonts w:ascii="Times New Roman" w:hAnsi="Times New Roman" w:cs="Times New Roman"/>
                <w:szCs w:val="21"/>
              </w:rPr>
              <w:t>GB/T 5750.4-2006 4.1</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szCs w:val="21"/>
              </w:rPr>
              <w:t>/</w:t>
            </w:r>
          </w:p>
        </w:tc>
        <w:tc>
          <w:tcPr>
            <w:tcW w:w="2141" w:type="dxa"/>
            <w:tcBorders>
              <w:left w:val="single" w:color="auto" w:sz="4" w:space="0"/>
              <w:right w:val="single" w:color="auto" w:sz="4" w:space="0"/>
            </w:tcBorders>
            <w:vAlign w:val="center"/>
          </w:tcPr>
          <w:p>
            <w:pPr>
              <w:widowControl/>
              <w:jc w:val="center"/>
              <w:rPr>
                <w:rFonts w:ascii="Times New Roman" w:hAnsi="Times New Roman" w:cs="Times New Roman"/>
                <w:bCs/>
                <w:szCs w:val="21"/>
              </w:rPr>
            </w:pPr>
            <w:r>
              <w:rPr>
                <w:rFonts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szCs w:val="21"/>
              </w:rPr>
            </w:pPr>
            <w:r>
              <w:rPr>
                <w:rFonts w:ascii="Times New Roman" w:hAnsi="Times New Roman" w:cs="Times New Roman"/>
                <w:szCs w:val="21"/>
              </w:rPr>
              <w:t>臭和味</w:t>
            </w:r>
          </w:p>
        </w:tc>
        <w:tc>
          <w:tcPr>
            <w:tcW w:w="3686" w:type="dxa"/>
            <w:tcBorders>
              <w:left w:val="single" w:color="auto" w:sz="4" w:space="0"/>
              <w:right w:val="single" w:color="auto" w:sz="4" w:space="0"/>
            </w:tcBorders>
            <w:vAlign w:val="center"/>
          </w:tcPr>
          <w:p>
            <w:pPr>
              <w:spacing w:line="280" w:lineRule="exact"/>
              <w:jc w:val="center"/>
              <w:rPr>
                <w:rFonts w:ascii="Times New Roman" w:hAnsi="Times New Roman" w:cs="Times New Roman"/>
                <w:szCs w:val="21"/>
              </w:rPr>
            </w:pPr>
            <w:r>
              <w:rPr>
                <w:rFonts w:ascii="Times New Roman" w:hAnsi="Times New Roman" w:cs="Times New Roman"/>
                <w:szCs w:val="21"/>
              </w:rPr>
              <w:t>生活饮用水标准检验方法 感官性状和物理指标 嗅气和尝味法</w:t>
            </w:r>
          </w:p>
          <w:p>
            <w:pPr>
              <w:widowControl/>
              <w:jc w:val="center"/>
              <w:rPr>
                <w:rFonts w:ascii="Times New Roman" w:hAnsi="Times New Roman" w:cs="Times New Roman"/>
                <w:b/>
                <w:szCs w:val="21"/>
              </w:rPr>
            </w:pPr>
            <w:r>
              <w:rPr>
                <w:rFonts w:ascii="Times New Roman" w:hAnsi="Times New Roman" w:cs="Times New Roman"/>
                <w:szCs w:val="21"/>
              </w:rPr>
              <w:t>GB/T 5750.4-2006 3.1</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color w:val="000000"/>
                <w:szCs w:val="21"/>
              </w:rPr>
            </w:pPr>
            <w:r>
              <w:rPr>
                <w:rFonts w:ascii="Times New Roman" w:hAnsi="Times New Roman" w:cs="Times New Roman"/>
                <w:szCs w:val="21"/>
              </w:rPr>
              <w:t>/</w:t>
            </w:r>
          </w:p>
        </w:tc>
        <w:tc>
          <w:tcPr>
            <w:tcW w:w="2141" w:type="dxa"/>
            <w:tcBorders>
              <w:left w:val="single" w:color="auto" w:sz="4" w:space="0"/>
              <w:right w:val="single" w:color="auto" w:sz="4" w:space="0"/>
            </w:tcBorders>
            <w:vAlign w:val="center"/>
          </w:tcPr>
          <w:p>
            <w:pPr>
              <w:widowControl/>
              <w:jc w:val="center"/>
              <w:rPr>
                <w:rFonts w:ascii="Times New Roman" w:hAnsi="Times New Roman" w:cs="Times New Roman"/>
                <w:b/>
                <w:szCs w:val="21"/>
              </w:rPr>
            </w:pPr>
            <w:r>
              <w:rPr>
                <w:rFonts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氰化物</w:t>
            </w:r>
          </w:p>
        </w:tc>
        <w:tc>
          <w:tcPr>
            <w:tcW w:w="3686" w:type="dxa"/>
            <w:tcBorders>
              <w:left w:val="single" w:color="auto" w:sz="4" w:space="0"/>
              <w:right w:val="single" w:color="auto" w:sz="4" w:space="0"/>
            </w:tcBorders>
            <w:vAlign w:val="center"/>
          </w:tcPr>
          <w:p>
            <w:pPr>
              <w:widowControl/>
              <w:adjustRightInd w:val="0"/>
              <w:snapToGrid w:val="0"/>
              <w:jc w:val="center"/>
              <w:rPr>
                <w:rFonts w:ascii="Times New Roman" w:hAnsi="Times New Roman" w:cs="Times New Roman"/>
                <w:color w:val="000000"/>
              </w:rPr>
            </w:pPr>
            <w:r>
              <w:rPr>
                <w:rFonts w:ascii="Times New Roman" w:hAnsi="Times New Roman" w:cs="Times New Roman"/>
                <w:color w:val="000000"/>
              </w:rPr>
              <w:t xml:space="preserve">水质 氰化物的测定 </w:t>
            </w:r>
          </w:p>
          <w:p>
            <w:pPr>
              <w:widowControl/>
              <w:adjustRightInd w:val="0"/>
              <w:snapToGrid w:val="0"/>
              <w:jc w:val="center"/>
              <w:rPr>
                <w:rFonts w:ascii="Times New Roman" w:hAnsi="Times New Roman" w:cs="Times New Roman"/>
                <w:color w:val="000000"/>
              </w:rPr>
            </w:pPr>
            <w:r>
              <w:rPr>
                <w:rFonts w:ascii="Times New Roman" w:hAnsi="Times New Roman" w:cs="Times New Roman"/>
                <w:color w:val="000000"/>
              </w:rPr>
              <w:t xml:space="preserve">容量法和分光光度法 </w:t>
            </w:r>
          </w:p>
          <w:p>
            <w:pPr>
              <w:widowControl/>
              <w:jc w:val="center"/>
              <w:rPr>
                <w:rFonts w:ascii="Times New Roman" w:hAnsi="Times New Roman" w:cs="Times New Roman"/>
                <w:bCs/>
                <w:szCs w:val="21"/>
              </w:rPr>
            </w:pPr>
            <w:r>
              <w:rPr>
                <w:rFonts w:ascii="Times New Roman" w:hAnsi="Times New Roman" w:cs="Times New Roman"/>
                <w:color w:val="000000"/>
              </w:rPr>
              <w:t>HJ 484-2009</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szCs w:val="21"/>
              </w:rPr>
              <w:t>0.004</w:t>
            </w:r>
          </w:p>
        </w:tc>
        <w:tc>
          <w:tcPr>
            <w:tcW w:w="2141" w:type="dxa"/>
            <w:tcBorders>
              <w:left w:val="single" w:color="auto" w:sz="4" w:space="0"/>
              <w:right w:val="single" w:color="auto" w:sz="4" w:space="0"/>
            </w:tcBorders>
            <w:vAlign w:val="center"/>
          </w:tcPr>
          <w:p>
            <w:pPr>
              <w:widowControl/>
              <w:jc w:val="center"/>
              <w:rPr>
                <w:rFonts w:ascii="Times New Roman" w:hAnsi="Times New Roman" w:cs="Times New Roman"/>
              </w:rPr>
            </w:pPr>
            <w:r>
              <w:rPr>
                <w:rFonts w:ascii="Times New Roman" w:hAnsi="Times New Roman" w:cs="Times New Roman"/>
              </w:rPr>
              <w:t>紫外可见分光光度计</w:t>
            </w:r>
          </w:p>
          <w:p>
            <w:pPr>
              <w:widowControl/>
              <w:jc w:val="center"/>
              <w:rPr>
                <w:rFonts w:ascii="Times New Roman" w:hAnsi="Times New Roman" w:cs="Times New Roman"/>
              </w:rPr>
            </w:pPr>
            <w:r>
              <w:rPr>
                <w:rFonts w:ascii="Times New Roman" w:hAnsi="Times New Roman" w:cs="Times New Roman"/>
              </w:rPr>
              <w:t>UV-7504</w:t>
            </w:r>
          </w:p>
          <w:p>
            <w:pPr>
              <w:widowControl/>
              <w:jc w:val="center"/>
              <w:rPr>
                <w:rFonts w:ascii="Times New Roman" w:hAnsi="Times New Roman" w:cs="Times New Roman"/>
                <w:bCs/>
                <w:szCs w:val="21"/>
              </w:rPr>
            </w:pPr>
            <w:r>
              <w:rPr>
                <w:rFonts w:ascii="Times New Roman" w:hAnsi="Times New Roman" w:cs="Times New Roman"/>
              </w:rPr>
              <w:t>（TTE20131341）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碘化物</w:t>
            </w:r>
          </w:p>
        </w:tc>
        <w:tc>
          <w:tcPr>
            <w:tcW w:w="3686" w:type="dxa"/>
            <w:tcBorders>
              <w:left w:val="single" w:color="auto" w:sz="4" w:space="0"/>
              <w:right w:val="single" w:color="auto" w:sz="4" w:space="0"/>
            </w:tcBorders>
            <w:vAlign w:val="center"/>
          </w:tcPr>
          <w:p>
            <w:pPr>
              <w:spacing w:line="280" w:lineRule="exact"/>
              <w:jc w:val="center"/>
              <w:rPr>
                <w:rFonts w:ascii="Times New Roman" w:hAnsi="Times New Roman" w:cs="Times New Roman"/>
              </w:rPr>
            </w:pPr>
            <w:r>
              <w:rPr>
                <w:rFonts w:ascii="Times New Roman" w:hAnsi="Times New Roman" w:cs="Times New Roman"/>
              </w:rPr>
              <w:t xml:space="preserve">水质 碘化物的测定 离子色谱法 </w:t>
            </w:r>
          </w:p>
          <w:p>
            <w:pPr>
              <w:widowControl/>
              <w:jc w:val="center"/>
              <w:rPr>
                <w:rFonts w:ascii="Times New Roman" w:hAnsi="Times New Roman" w:cs="Times New Roman"/>
                <w:bCs/>
                <w:szCs w:val="21"/>
              </w:rPr>
            </w:pPr>
            <w:r>
              <w:rPr>
                <w:rFonts w:ascii="Times New Roman" w:hAnsi="Times New Roman" w:cs="Times New Roman"/>
              </w:rPr>
              <w:t>HJ 778-2015</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color w:val="000000"/>
                <w:szCs w:val="21"/>
              </w:rPr>
              <w:t>0.002</w:t>
            </w:r>
          </w:p>
        </w:tc>
        <w:tc>
          <w:tcPr>
            <w:tcW w:w="2141" w:type="dxa"/>
            <w:tcBorders>
              <w:left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离子色谱仪</w:t>
            </w:r>
          </w:p>
          <w:p>
            <w:pPr>
              <w:widowControl/>
              <w:jc w:val="center"/>
              <w:rPr>
                <w:rFonts w:ascii="Times New Roman" w:hAnsi="Times New Roman" w:cs="Times New Roman"/>
                <w:bCs/>
                <w:szCs w:val="21"/>
              </w:rPr>
            </w:pPr>
            <w:r>
              <w:rPr>
                <w:rFonts w:ascii="Times New Roman" w:hAnsi="Times New Roman" w:cs="Times New Roman"/>
                <w:szCs w:val="21"/>
              </w:rPr>
              <w:t>ECOIC（TTE20175883）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阴离子表面活性剂</w:t>
            </w:r>
          </w:p>
        </w:tc>
        <w:tc>
          <w:tcPr>
            <w:tcW w:w="3686" w:type="dxa"/>
            <w:tcBorders>
              <w:left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水质 阴离子表面活性剂的测定</w:t>
            </w:r>
          </w:p>
          <w:p>
            <w:pPr>
              <w:jc w:val="center"/>
              <w:rPr>
                <w:rFonts w:ascii="Times New Roman" w:hAnsi="Times New Roman" w:cs="Times New Roman"/>
                <w:szCs w:val="21"/>
              </w:rPr>
            </w:pPr>
            <w:r>
              <w:rPr>
                <w:rFonts w:ascii="Times New Roman" w:hAnsi="Times New Roman" w:cs="Times New Roman"/>
                <w:szCs w:val="21"/>
              </w:rPr>
              <w:t>亚甲蓝分光光度法</w:t>
            </w:r>
          </w:p>
          <w:p>
            <w:pPr>
              <w:widowControl/>
              <w:jc w:val="center"/>
              <w:rPr>
                <w:rFonts w:ascii="Times New Roman" w:hAnsi="Times New Roman" w:cs="Times New Roman"/>
                <w:bCs/>
                <w:szCs w:val="21"/>
              </w:rPr>
            </w:pPr>
            <w:r>
              <w:rPr>
                <w:rFonts w:ascii="Times New Roman" w:hAnsi="Times New Roman" w:cs="Times New Roman"/>
                <w:szCs w:val="21"/>
              </w:rPr>
              <w:t>GB/T 7494-1987</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szCs w:val="21"/>
              </w:rPr>
              <w:t>0.05</w:t>
            </w:r>
          </w:p>
        </w:tc>
        <w:tc>
          <w:tcPr>
            <w:tcW w:w="2141" w:type="dxa"/>
            <w:tcBorders>
              <w:left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紫外可见分光光度计</w:t>
            </w:r>
          </w:p>
          <w:p>
            <w:pPr>
              <w:jc w:val="center"/>
              <w:rPr>
                <w:rFonts w:ascii="Times New Roman" w:hAnsi="Times New Roman" w:cs="Times New Roman"/>
                <w:szCs w:val="21"/>
              </w:rPr>
            </w:pPr>
            <w:r>
              <w:rPr>
                <w:rFonts w:ascii="Times New Roman" w:hAnsi="Times New Roman" w:cs="Times New Roman"/>
                <w:szCs w:val="21"/>
              </w:rPr>
              <w:t>UV-7504</w:t>
            </w:r>
          </w:p>
          <w:p>
            <w:pPr>
              <w:widowControl/>
              <w:jc w:val="center"/>
              <w:rPr>
                <w:rFonts w:ascii="Times New Roman" w:hAnsi="Times New Roman" w:cs="Times New Roman"/>
                <w:bCs/>
                <w:szCs w:val="21"/>
              </w:rPr>
            </w:pPr>
            <w:r>
              <w:rPr>
                <w:rFonts w:ascii="Times New Roman" w:hAnsi="Times New Roman" w:cs="Times New Roman"/>
                <w:szCs w:val="21"/>
              </w:rPr>
              <w:t>(TTE20131341)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砷</w:t>
            </w:r>
          </w:p>
        </w:tc>
        <w:tc>
          <w:tcPr>
            <w:tcW w:w="3686" w:type="dxa"/>
            <w:vMerge w:val="restart"/>
            <w:tcBorders>
              <w:left w:val="single" w:color="auto" w:sz="4" w:space="0"/>
              <w:right w:val="single" w:color="auto" w:sz="4" w:space="0"/>
            </w:tcBorders>
            <w:vAlign w:val="center"/>
          </w:tcPr>
          <w:p>
            <w:pPr>
              <w:widowControl/>
              <w:adjustRightInd w:val="0"/>
              <w:snapToGrid w:val="0"/>
              <w:jc w:val="center"/>
              <w:rPr>
                <w:rFonts w:ascii="Times New Roman" w:hAnsi="Times New Roman" w:cs="Times New Roman"/>
                <w:color w:val="000000"/>
              </w:rPr>
            </w:pPr>
            <w:r>
              <w:rPr>
                <w:rFonts w:ascii="Times New Roman" w:hAnsi="Times New Roman" w:cs="Times New Roman"/>
                <w:color w:val="000000"/>
              </w:rPr>
              <w:t>水质 65种元素的测定</w:t>
            </w:r>
          </w:p>
          <w:p>
            <w:pPr>
              <w:widowControl/>
              <w:adjustRightInd w:val="0"/>
              <w:snapToGrid w:val="0"/>
              <w:jc w:val="center"/>
              <w:rPr>
                <w:rFonts w:ascii="Times New Roman" w:hAnsi="Times New Roman" w:cs="Times New Roman"/>
                <w:color w:val="000000"/>
              </w:rPr>
            </w:pPr>
            <w:r>
              <w:rPr>
                <w:rFonts w:ascii="Times New Roman" w:hAnsi="Times New Roman" w:cs="Times New Roman"/>
                <w:color w:val="000000"/>
              </w:rPr>
              <w:t>电感耦合等离子体质谱法</w:t>
            </w:r>
          </w:p>
          <w:p>
            <w:pPr>
              <w:widowControl/>
              <w:jc w:val="center"/>
              <w:rPr>
                <w:rFonts w:ascii="Times New Roman" w:hAnsi="Times New Roman" w:cs="Times New Roman"/>
                <w:bCs/>
                <w:szCs w:val="21"/>
              </w:rPr>
            </w:pPr>
            <w:r>
              <w:rPr>
                <w:rFonts w:ascii="Times New Roman" w:hAnsi="Times New Roman" w:cs="Times New Roman"/>
                <w:color w:val="000000"/>
              </w:rPr>
              <w:t>HJ 700-2014</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szCs w:val="21"/>
              </w:rPr>
              <w:t>0.00012</w:t>
            </w:r>
          </w:p>
        </w:tc>
        <w:tc>
          <w:tcPr>
            <w:tcW w:w="2141" w:type="dxa"/>
            <w:vMerge w:val="restart"/>
            <w:tcBorders>
              <w:left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电感耦合等离子体</w:t>
            </w:r>
          </w:p>
          <w:p>
            <w:pPr>
              <w:jc w:val="center"/>
              <w:rPr>
                <w:rFonts w:ascii="Times New Roman" w:hAnsi="Times New Roman" w:cs="Times New Roman"/>
                <w:szCs w:val="21"/>
              </w:rPr>
            </w:pPr>
            <w:r>
              <w:rPr>
                <w:rFonts w:ascii="Times New Roman" w:hAnsi="Times New Roman" w:cs="Times New Roman"/>
                <w:szCs w:val="21"/>
              </w:rPr>
              <w:t>质谱仪</w:t>
            </w:r>
          </w:p>
          <w:p>
            <w:pPr>
              <w:jc w:val="center"/>
              <w:rPr>
                <w:rFonts w:ascii="Times New Roman" w:hAnsi="Times New Roman" w:cs="Times New Roman"/>
                <w:szCs w:val="21"/>
              </w:rPr>
            </w:pPr>
            <w:r>
              <w:rPr>
                <w:rFonts w:ascii="Times New Roman" w:hAnsi="Times New Roman" w:cs="Times New Roman"/>
                <w:szCs w:val="21"/>
              </w:rPr>
              <w:t>NexION 350X</w:t>
            </w:r>
          </w:p>
          <w:p>
            <w:pPr>
              <w:widowControl/>
              <w:jc w:val="center"/>
              <w:rPr>
                <w:rFonts w:ascii="Times New Roman" w:hAnsi="Times New Roman" w:cs="Times New Roman"/>
                <w:bCs/>
                <w:szCs w:val="21"/>
              </w:rPr>
            </w:pPr>
            <w:r>
              <w:rPr>
                <w:rFonts w:ascii="Times New Roman" w:hAnsi="Times New Roman" w:cs="Times New Roman"/>
                <w:szCs w:val="21"/>
              </w:rPr>
              <w:t>（TTE20151922）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钡</w:t>
            </w:r>
          </w:p>
        </w:tc>
        <w:tc>
          <w:tcPr>
            <w:tcW w:w="3686"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color w:val="000000"/>
                <w:szCs w:val="21"/>
              </w:rPr>
              <w:t>0.00020</w:t>
            </w:r>
          </w:p>
        </w:tc>
        <w:tc>
          <w:tcPr>
            <w:tcW w:w="2141"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铍</w:t>
            </w:r>
          </w:p>
        </w:tc>
        <w:tc>
          <w:tcPr>
            <w:tcW w:w="3686"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color w:val="000000"/>
                <w:szCs w:val="21"/>
              </w:rPr>
              <w:t>0.00004</w:t>
            </w:r>
          </w:p>
        </w:tc>
        <w:tc>
          <w:tcPr>
            <w:tcW w:w="2141"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镉</w:t>
            </w:r>
          </w:p>
        </w:tc>
        <w:tc>
          <w:tcPr>
            <w:tcW w:w="3686"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color w:val="000000"/>
                <w:szCs w:val="21"/>
              </w:rPr>
              <w:t>0.00005</w:t>
            </w:r>
          </w:p>
        </w:tc>
        <w:tc>
          <w:tcPr>
            <w:tcW w:w="2141"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钴</w:t>
            </w:r>
          </w:p>
        </w:tc>
        <w:tc>
          <w:tcPr>
            <w:tcW w:w="3686"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color w:val="000000"/>
                <w:szCs w:val="21"/>
              </w:rPr>
              <w:t>0.00003</w:t>
            </w:r>
          </w:p>
        </w:tc>
        <w:tc>
          <w:tcPr>
            <w:tcW w:w="2141"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铜</w:t>
            </w:r>
          </w:p>
        </w:tc>
        <w:tc>
          <w:tcPr>
            <w:tcW w:w="3686"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color w:val="000000"/>
                <w:szCs w:val="21"/>
              </w:rPr>
              <w:t>0.00008</w:t>
            </w:r>
          </w:p>
        </w:tc>
        <w:tc>
          <w:tcPr>
            <w:tcW w:w="2141"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铁</w:t>
            </w:r>
          </w:p>
        </w:tc>
        <w:tc>
          <w:tcPr>
            <w:tcW w:w="3686"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color w:val="000000"/>
                <w:szCs w:val="21"/>
              </w:rPr>
              <w:t>0.00082</w:t>
            </w:r>
          </w:p>
        </w:tc>
        <w:tc>
          <w:tcPr>
            <w:tcW w:w="2141"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锰</w:t>
            </w:r>
          </w:p>
        </w:tc>
        <w:tc>
          <w:tcPr>
            <w:tcW w:w="3686"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color w:val="000000"/>
                <w:szCs w:val="21"/>
              </w:rPr>
              <w:t>0.00012</w:t>
            </w:r>
          </w:p>
        </w:tc>
        <w:tc>
          <w:tcPr>
            <w:tcW w:w="2141"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钼</w:t>
            </w:r>
          </w:p>
        </w:tc>
        <w:tc>
          <w:tcPr>
            <w:tcW w:w="3686"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color w:val="000000"/>
                <w:szCs w:val="21"/>
              </w:rPr>
              <w:t>0.00006</w:t>
            </w:r>
          </w:p>
        </w:tc>
        <w:tc>
          <w:tcPr>
            <w:tcW w:w="2141"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铅</w:t>
            </w:r>
          </w:p>
        </w:tc>
        <w:tc>
          <w:tcPr>
            <w:tcW w:w="3686"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color w:val="000000"/>
                <w:szCs w:val="21"/>
              </w:rPr>
              <w:t>0.00009</w:t>
            </w:r>
          </w:p>
        </w:tc>
        <w:tc>
          <w:tcPr>
            <w:tcW w:w="2141"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锑</w:t>
            </w:r>
          </w:p>
        </w:tc>
        <w:tc>
          <w:tcPr>
            <w:tcW w:w="3686"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color w:val="000000"/>
                <w:szCs w:val="21"/>
              </w:rPr>
              <w:t>0.00015</w:t>
            </w:r>
          </w:p>
        </w:tc>
        <w:tc>
          <w:tcPr>
            <w:tcW w:w="2141"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硒</w:t>
            </w:r>
          </w:p>
        </w:tc>
        <w:tc>
          <w:tcPr>
            <w:tcW w:w="3686" w:type="dxa"/>
            <w:vMerge w:val="restart"/>
            <w:tcBorders>
              <w:left w:val="single" w:color="auto" w:sz="4" w:space="0"/>
              <w:right w:val="single" w:color="auto" w:sz="4" w:space="0"/>
            </w:tcBorders>
            <w:vAlign w:val="center"/>
          </w:tcPr>
          <w:p>
            <w:pPr>
              <w:widowControl/>
              <w:adjustRightInd w:val="0"/>
              <w:snapToGrid w:val="0"/>
              <w:jc w:val="center"/>
              <w:rPr>
                <w:rFonts w:ascii="Times New Roman" w:hAnsi="Times New Roman" w:cs="Times New Roman"/>
                <w:color w:val="000000"/>
              </w:rPr>
            </w:pPr>
            <w:r>
              <w:rPr>
                <w:rFonts w:ascii="Times New Roman" w:hAnsi="Times New Roman" w:cs="Times New Roman"/>
                <w:color w:val="000000"/>
              </w:rPr>
              <w:t>水质 65种元素的测定</w:t>
            </w:r>
          </w:p>
          <w:p>
            <w:pPr>
              <w:widowControl/>
              <w:adjustRightInd w:val="0"/>
              <w:snapToGrid w:val="0"/>
              <w:jc w:val="center"/>
              <w:rPr>
                <w:rFonts w:ascii="Times New Roman" w:hAnsi="Times New Roman" w:cs="Times New Roman"/>
                <w:color w:val="000000"/>
              </w:rPr>
            </w:pPr>
            <w:r>
              <w:rPr>
                <w:rFonts w:ascii="Times New Roman" w:hAnsi="Times New Roman" w:cs="Times New Roman"/>
                <w:color w:val="000000"/>
              </w:rPr>
              <w:t>电感耦合等离子体质谱法</w:t>
            </w:r>
          </w:p>
          <w:p>
            <w:pPr>
              <w:widowControl/>
              <w:jc w:val="center"/>
              <w:rPr>
                <w:rFonts w:ascii="Times New Roman" w:hAnsi="Times New Roman" w:cs="Times New Roman"/>
                <w:bCs/>
                <w:szCs w:val="21"/>
              </w:rPr>
            </w:pPr>
            <w:r>
              <w:rPr>
                <w:rFonts w:ascii="Times New Roman" w:hAnsi="Times New Roman" w:cs="Times New Roman"/>
                <w:color w:val="000000"/>
              </w:rPr>
              <w:t>HJ 700-2014</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color w:val="000000"/>
                <w:szCs w:val="21"/>
              </w:rPr>
              <w:t>0.00041</w:t>
            </w:r>
          </w:p>
        </w:tc>
        <w:tc>
          <w:tcPr>
            <w:tcW w:w="2141" w:type="dxa"/>
            <w:vMerge w:val="restart"/>
            <w:tcBorders>
              <w:left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电感耦合等离子体</w:t>
            </w:r>
          </w:p>
          <w:p>
            <w:pPr>
              <w:jc w:val="center"/>
              <w:rPr>
                <w:rFonts w:ascii="Times New Roman" w:hAnsi="Times New Roman" w:cs="Times New Roman"/>
                <w:szCs w:val="21"/>
              </w:rPr>
            </w:pPr>
            <w:r>
              <w:rPr>
                <w:rFonts w:ascii="Times New Roman" w:hAnsi="Times New Roman" w:cs="Times New Roman"/>
                <w:szCs w:val="21"/>
              </w:rPr>
              <w:t>质谱仪</w:t>
            </w:r>
          </w:p>
          <w:p>
            <w:pPr>
              <w:jc w:val="center"/>
              <w:rPr>
                <w:rFonts w:ascii="Times New Roman" w:hAnsi="Times New Roman" w:cs="Times New Roman"/>
                <w:szCs w:val="21"/>
              </w:rPr>
            </w:pPr>
            <w:r>
              <w:rPr>
                <w:rFonts w:ascii="Times New Roman" w:hAnsi="Times New Roman" w:cs="Times New Roman"/>
                <w:szCs w:val="21"/>
              </w:rPr>
              <w:t>NexION 350X</w:t>
            </w:r>
          </w:p>
          <w:p>
            <w:pPr>
              <w:widowControl/>
              <w:jc w:val="center"/>
              <w:rPr>
                <w:rFonts w:ascii="Times New Roman" w:hAnsi="Times New Roman" w:cs="Times New Roman"/>
                <w:bCs/>
                <w:szCs w:val="21"/>
              </w:rPr>
            </w:pPr>
            <w:r>
              <w:rPr>
                <w:rFonts w:ascii="Times New Roman" w:hAnsi="Times New Roman" w:cs="Times New Roman"/>
                <w:szCs w:val="21"/>
              </w:rPr>
              <w:t>（TTE20151922）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铊</w:t>
            </w:r>
          </w:p>
        </w:tc>
        <w:tc>
          <w:tcPr>
            <w:tcW w:w="3686"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color w:val="000000"/>
                <w:szCs w:val="21"/>
              </w:rPr>
              <w:t>0.00002</w:t>
            </w:r>
          </w:p>
        </w:tc>
        <w:tc>
          <w:tcPr>
            <w:tcW w:w="2141"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镍</w:t>
            </w:r>
          </w:p>
        </w:tc>
        <w:tc>
          <w:tcPr>
            <w:tcW w:w="3686"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color w:val="000000"/>
                <w:szCs w:val="21"/>
              </w:rPr>
              <w:t>0.00006</w:t>
            </w:r>
          </w:p>
        </w:tc>
        <w:tc>
          <w:tcPr>
            <w:tcW w:w="2141"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锌</w:t>
            </w:r>
          </w:p>
        </w:tc>
        <w:tc>
          <w:tcPr>
            <w:tcW w:w="3686" w:type="dxa"/>
            <w:vMerge w:val="continue"/>
            <w:tcBorders>
              <w:left w:val="single" w:color="auto" w:sz="4" w:space="0"/>
              <w:right w:val="single" w:color="auto" w:sz="4" w:space="0"/>
            </w:tcBorders>
            <w:vAlign w:val="center"/>
          </w:tcPr>
          <w:p>
            <w:pPr>
              <w:widowControl/>
              <w:rPr>
                <w:rFonts w:ascii="Times New Roman" w:hAnsi="Times New Roman" w:cs="Times New Roman"/>
                <w:bCs/>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color w:val="000000"/>
                <w:szCs w:val="21"/>
              </w:rPr>
              <w:t>0.00067</w:t>
            </w:r>
          </w:p>
        </w:tc>
        <w:tc>
          <w:tcPr>
            <w:tcW w:w="2141"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铝</w:t>
            </w:r>
          </w:p>
        </w:tc>
        <w:tc>
          <w:tcPr>
            <w:tcW w:w="3686"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szCs w:val="21"/>
              </w:rPr>
              <w:t>0.00115</w:t>
            </w:r>
          </w:p>
        </w:tc>
        <w:tc>
          <w:tcPr>
            <w:tcW w:w="2141"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汞</w:t>
            </w:r>
          </w:p>
        </w:tc>
        <w:tc>
          <w:tcPr>
            <w:tcW w:w="3686" w:type="dxa"/>
            <w:tcBorders>
              <w:left w:val="single" w:color="auto" w:sz="4" w:space="0"/>
              <w:right w:val="single" w:color="auto" w:sz="4" w:space="0"/>
            </w:tcBorders>
            <w:vAlign w:val="center"/>
          </w:tcPr>
          <w:p>
            <w:pPr>
              <w:widowControl/>
              <w:adjustRightInd w:val="0"/>
              <w:snapToGrid w:val="0"/>
              <w:jc w:val="center"/>
              <w:rPr>
                <w:rFonts w:ascii="Times New Roman" w:hAnsi="Times New Roman" w:cs="Times New Roman"/>
                <w:color w:val="000000"/>
              </w:rPr>
            </w:pPr>
            <w:r>
              <w:rPr>
                <w:rFonts w:ascii="Times New Roman" w:hAnsi="Times New Roman" w:cs="Times New Roman"/>
                <w:color w:val="000000"/>
              </w:rPr>
              <w:t>水质 汞、砷、硒、铋和锑的测定</w:t>
            </w:r>
          </w:p>
          <w:p>
            <w:pPr>
              <w:widowControl/>
              <w:adjustRightInd w:val="0"/>
              <w:snapToGrid w:val="0"/>
              <w:jc w:val="center"/>
              <w:rPr>
                <w:rFonts w:ascii="Times New Roman" w:hAnsi="Times New Roman" w:cs="Times New Roman"/>
                <w:color w:val="000000"/>
              </w:rPr>
            </w:pPr>
            <w:r>
              <w:rPr>
                <w:rFonts w:ascii="Times New Roman" w:hAnsi="Times New Roman" w:cs="Times New Roman"/>
                <w:color w:val="000000"/>
              </w:rPr>
              <w:t xml:space="preserve">原子荧光法 </w:t>
            </w:r>
          </w:p>
          <w:p>
            <w:pPr>
              <w:widowControl/>
              <w:jc w:val="center"/>
              <w:rPr>
                <w:rFonts w:ascii="Times New Roman" w:hAnsi="Times New Roman" w:cs="Times New Roman"/>
                <w:bCs/>
                <w:szCs w:val="21"/>
              </w:rPr>
            </w:pPr>
            <w:r>
              <w:rPr>
                <w:rFonts w:ascii="Times New Roman" w:hAnsi="Times New Roman" w:cs="Times New Roman"/>
                <w:color w:val="000000"/>
              </w:rPr>
              <w:t>HJ 694-2014</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szCs w:val="21"/>
              </w:rPr>
              <w:t>0.00004</w:t>
            </w:r>
          </w:p>
        </w:tc>
        <w:tc>
          <w:tcPr>
            <w:tcW w:w="2141" w:type="dxa"/>
            <w:tcBorders>
              <w:left w:val="single" w:color="auto" w:sz="4" w:space="0"/>
              <w:right w:val="single" w:color="auto" w:sz="4" w:space="0"/>
            </w:tcBorders>
            <w:vAlign w:val="center"/>
          </w:tcPr>
          <w:p>
            <w:pPr>
              <w:spacing w:line="280" w:lineRule="exact"/>
              <w:ind w:left="-105" w:leftChars="-50" w:right="-105" w:rightChars="-50"/>
              <w:jc w:val="center"/>
              <w:rPr>
                <w:rFonts w:ascii="Times New Roman" w:hAnsi="Times New Roman" w:cs="Times New Roman"/>
                <w:szCs w:val="21"/>
              </w:rPr>
            </w:pPr>
            <w:r>
              <w:rPr>
                <w:rFonts w:ascii="Times New Roman" w:hAnsi="Times New Roman" w:cs="Times New Roman"/>
                <w:szCs w:val="21"/>
              </w:rPr>
              <w:t>原子荧光分光光度计</w:t>
            </w:r>
          </w:p>
          <w:p>
            <w:pPr>
              <w:spacing w:line="280" w:lineRule="exact"/>
              <w:jc w:val="center"/>
              <w:rPr>
                <w:rFonts w:ascii="Times New Roman" w:hAnsi="Times New Roman" w:cs="Times New Roman"/>
                <w:szCs w:val="21"/>
              </w:rPr>
            </w:pPr>
            <w:r>
              <w:rPr>
                <w:rFonts w:ascii="Times New Roman" w:hAnsi="Times New Roman" w:cs="Times New Roman"/>
                <w:szCs w:val="21"/>
              </w:rPr>
              <w:t>AFS-930</w:t>
            </w:r>
          </w:p>
          <w:p>
            <w:pPr>
              <w:widowControl/>
              <w:jc w:val="center"/>
              <w:rPr>
                <w:rFonts w:ascii="Times New Roman" w:hAnsi="Times New Roman" w:cs="Times New Roman"/>
                <w:bCs/>
                <w:szCs w:val="21"/>
              </w:rPr>
            </w:pPr>
            <w:r>
              <w:rPr>
                <w:rFonts w:ascii="Times New Roman" w:hAnsi="Times New Roman" w:cs="Times New Roman"/>
                <w:szCs w:val="21"/>
              </w:rPr>
              <w:t>（TTE20130888）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钠</w:t>
            </w:r>
          </w:p>
        </w:tc>
        <w:tc>
          <w:tcPr>
            <w:tcW w:w="3686" w:type="dxa"/>
            <w:tcBorders>
              <w:left w:val="single" w:color="auto" w:sz="4" w:space="0"/>
              <w:right w:val="single" w:color="auto" w:sz="4" w:space="0"/>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 xml:space="preserve">水质 钾和钠的测定 </w:t>
            </w:r>
          </w:p>
          <w:p>
            <w:pPr>
              <w:jc w:val="center"/>
              <w:rPr>
                <w:rFonts w:ascii="Times New Roman" w:hAnsi="Times New Roman" w:cs="Times New Roman"/>
                <w:color w:val="000000"/>
                <w:szCs w:val="21"/>
              </w:rPr>
            </w:pPr>
            <w:r>
              <w:rPr>
                <w:rFonts w:ascii="Times New Roman" w:hAnsi="Times New Roman" w:cs="Times New Roman"/>
                <w:color w:val="000000"/>
                <w:szCs w:val="21"/>
              </w:rPr>
              <w:t>火焰原子吸收分光光度法</w:t>
            </w:r>
          </w:p>
          <w:p>
            <w:pPr>
              <w:widowControl/>
              <w:jc w:val="center"/>
              <w:rPr>
                <w:rFonts w:ascii="Times New Roman" w:hAnsi="Times New Roman" w:cs="Times New Roman"/>
                <w:bCs/>
                <w:szCs w:val="21"/>
              </w:rPr>
            </w:pPr>
            <w:r>
              <w:rPr>
                <w:rFonts w:ascii="Times New Roman" w:hAnsi="Times New Roman" w:cs="Times New Roman"/>
                <w:color w:val="000000"/>
                <w:szCs w:val="21"/>
              </w:rPr>
              <w:t>GB/T 11904-1989</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color w:val="000000"/>
                <w:szCs w:val="21"/>
              </w:rPr>
              <w:t>0.01</w:t>
            </w:r>
          </w:p>
        </w:tc>
        <w:tc>
          <w:tcPr>
            <w:tcW w:w="2141" w:type="dxa"/>
            <w:tcBorders>
              <w:left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原子吸收光谱仪AA900T</w:t>
            </w:r>
          </w:p>
          <w:p>
            <w:pPr>
              <w:widowControl/>
              <w:jc w:val="center"/>
              <w:rPr>
                <w:rFonts w:ascii="Times New Roman" w:hAnsi="Times New Roman" w:cs="Times New Roman"/>
                <w:bCs/>
                <w:szCs w:val="21"/>
              </w:rPr>
            </w:pPr>
            <w:r>
              <w:rPr>
                <w:rFonts w:ascii="Times New Roman" w:hAnsi="Times New Roman" w:cs="Times New Roman"/>
                <w:szCs w:val="21"/>
              </w:rPr>
              <w:t>（TTE20200137）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szCs w:val="21"/>
              </w:rPr>
            </w:pPr>
            <w:r>
              <w:rPr>
                <w:rFonts w:ascii="Times New Roman" w:hAnsi="Times New Roman" w:cs="Times New Roman"/>
                <w:szCs w:val="21"/>
              </w:rPr>
              <w:t>三氯甲烷</w:t>
            </w:r>
          </w:p>
        </w:tc>
        <w:tc>
          <w:tcPr>
            <w:tcW w:w="3686" w:type="dxa"/>
            <w:vMerge w:val="restart"/>
            <w:tcBorders>
              <w:left w:val="single" w:color="auto" w:sz="4" w:space="0"/>
              <w:right w:val="single" w:color="auto" w:sz="4" w:space="0"/>
            </w:tcBorders>
            <w:vAlign w:val="center"/>
          </w:tcPr>
          <w:p>
            <w:pPr>
              <w:widowControl/>
              <w:adjustRightInd w:val="0"/>
              <w:snapToGrid w:val="0"/>
              <w:jc w:val="center"/>
              <w:rPr>
                <w:rFonts w:ascii="Times New Roman" w:hAnsi="Times New Roman" w:cs="Times New Roman"/>
                <w:color w:val="000000"/>
              </w:rPr>
            </w:pPr>
            <w:r>
              <w:rPr>
                <w:rFonts w:ascii="Times New Roman" w:hAnsi="Times New Roman" w:cs="Times New Roman"/>
                <w:color w:val="000000"/>
              </w:rPr>
              <w:t>水质 挥发性有机物的测定</w:t>
            </w:r>
          </w:p>
          <w:p>
            <w:pPr>
              <w:widowControl/>
              <w:adjustRightInd w:val="0"/>
              <w:snapToGrid w:val="0"/>
              <w:jc w:val="center"/>
              <w:rPr>
                <w:rFonts w:ascii="Times New Roman" w:hAnsi="Times New Roman" w:cs="Times New Roman"/>
                <w:color w:val="000000"/>
              </w:rPr>
            </w:pPr>
            <w:r>
              <w:rPr>
                <w:rFonts w:ascii="Times New Roman" w:hAnsi="Times New Roman" w:cs="Times New Roman"/>
                <w:color w:val="000000"/>
              </w:rPr>
              <w:t>吹扫捕集/气相色谱-质谱法</w:t>
            </w:r>
          </w:p>
          <w:p>
            <w:pPr>
              <w:widowControl/>
              <w:jc w:val="center"/>
              <w:rPr>
                <w:rFonts w:ascii="Times New Roman" w:hAnsi="Times New Roman" w:cs="Times New Roman"/>
                <w:b/>
                <w:szCs w:val="21"/>
              </w:rPr>
            </w:pPr>
            <w:r>
              <w:rPr>
                <w:rFonts w:ascii="Times New Roman" w:hAnsi="Times New Roman" w:cs="Times New Roman"/>
                <w:color w:val="000000"/>
              </w:rPr>
              <w:t>HJ 639-2012</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szCs w:val="21"/>
              </w:rPr>
            </w:pPr>
            <w:r>
              <w:rPr>
                <w:rFonts w:ascii="Times New Roman" w:hAnsi="Times New Roman" w:cs="Times New Roman"/>
                <w:bCs/>
                <w:szCs w:val="21"/>
              </w:rPr>
              <w:t>0.0003</w:t>
            </w:r>
          </w:p>
        </w:tc>
        <w:tc>
          <w:tcPr>
            <w:tcW w:w="2141" w:type="dxa"/>
            <w:vMerge w:val="restart"/>
            <w:tcBorders>
              <w:left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气相色谱质谱联用仪（GCMS）</w:t>
            </w:r>
          </w:p>
          <w:p>
            <w:pPr>
              <w:jc w:val="center"/>
              <w:rPr>
                <w:rFonts w:ascii="Times New Roman" w:hAnsi="Times New Roman" w:cs="Times New Roman"/>
                <w:bCs/>
                <w:szCs w:val="21"/>
              </w:rPr>
            </w:pPr>
            <w:r>
              <w:rPr>
                <w:rFonts w:ascii="Times New Roman" w:hAnsi="Times New Roman" w:cs="Times New Roman"/>
                <w:bCs/>
                <w:szCs w:val="21"/>
              </w:rPr>
              <w:t>QP2020 NX</w:t>
            </w:r>
          </w:p>
          <w:p>
            <w:pPr>
              <w:widowControl/>
              <w:jc w:val="left"/>
              <w:rPr>
                <w:rFonts w:ascii="Times New Roman" w:hAnsi="Times New Roman" w:cs="Times New Roman"/>
                <w:b/>
                <w:szCs w:val="21"/>
              </w:rPr>
            </w:pPr>
            <w:r>
              <w:rPr>
                <w:rFonts w:ascii="Times New Roman" w:hAnsi="Times New Roman" w:cs="Times New Roman"/>
                <w:bCs/>
                <w:szCs w:val="21"/>
              </w:rPr>
              <w:t>（TTE20201842）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四氯化碳</w:t>
            </w:r>
          </w:p>
        </w:tc>
        <w:tc>
          <w:tcPr>
            <w:tcW w:w="3686"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szCs w:val="21"/>
              </w:rPr>
              <w:t>0.0001</w:t>
            </w:r>
          </w:p>
        </w:tc>
        <w:tc>
          <w:tcPr>
            <w:tcW w:w="2141"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苯</w:t>
            </w:r>
          </w:p>
        </w:tc>
        <w:tc>
          <w:tcPr>
            <w:tcW w:w="3686"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bCs/>
                <w:szCs w:val="21"/>
              </w:rPr>
              <w:t>0.0001</w:t>
            </w:r>
          </w:p>
        </w:tc>
        <w:tc>
          <w:tcPr>
            <w:tcW w:w="2141"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甲苯</w:t>
            </w:r>
          </w:p>
        </w:tc>
        <w:tc>
          <w:tcPr>
            <w:tcW w:w="3686"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color w:val="000000"/>
                <w:szCs w:val="21"/>
              </w:rPr>
            </w:pPr>
            <w:r>
              <w:rPr>
                <w:rFonts w:ascii="Times New Roman" w:hAnsi="Times New Roman" w:cs="Times New Roman"/>
                <w:color w:val="000000"/>
                <w:szCs w:val="21"/>
              </w:rPr>
              <w:t>0.0001</w:t>
            </w:r>
          </w:p>
        </w:tc>
        <w:tc>
          <w:tcPr>
            <w:tcW w:w="2141" w:type="dxa"/>
            <w:vMerge w:val="continue"/>
            <w:tcBorders>
              <w:left w:val="single" w:color="auto" w:sz="4" w:space="0"/>
              <w:right w:val="single" w:color="auto" w:sz="4" w:space="0"/>
            </w:tcBorders>
            <w:vAlign w:val="center"/>
          </w:tcPr>
          <w:p>
            <w:pPr>
              <w:widowControl/>
              <w:jc w:val="center"/>
              <w:rPr>
                <w:rFonts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色度</w:t>
            </w:r>
          </w:p>
        </w:tc>
        <w:tc>
          <w:tcPr>
            <w:tcW w:w="3686" w:type="dxa"/>
            <w:tcBorders>
              <w:left w:val="single" w:color="auto" w:sz="4" w:space="0"/>
              <w:right w:val="single" w:color="auto" w:sz="4" w:space="0"/>
            </w:tcBorders>
            <w:vAlign w:val="center"/>
          </w:tcPr>
          <w:p>
            <w:pPr>
              <w:spacing w:line="280" w:lineRule="exact"/>
              <w:jc w:val="center"/>
              <w:rPr>
                <w:rFonts w:ascii="Times New Roman" w:hAnsi="Times New Roman" w:cs="Times New Roman"/>
                <w:szCs w:val="21"/>
              </w:rPr>
            </w:pPr>
            <w:r>
              <w:rPr>
                <w:rFonts w:ascii="Times New Roman" w:hAnsi="Times New Roman" w:cs="Times New Roman"/>
                <w:szCs w:val="21"/>
              </w:rPr>
              <w:t xml:space="preserve">生活饮用水标准检验方法 </w:t>
            </w:r>
          </w:p>
          <w:p>
            <w:pPr>
              <w:spacing w:line="280" w:lineRule="exact"/>
              <w:jc w:val="center"/>
              <w:rPr>
                <w:rFonts w:ascii="Times New Roman" w:hAnsi="Times New Roman" w:cs="Times New Roman"/>
                <w:szCs w:val="21"/>
              </w:rPr>
            </w:pPr>
            <w:r>
              <w:rPr>
                <w:rFonts w:ascii="Times New Roman" w:hAnsi="Times New Roman" w:cs="Times New Roman"/>
                <w:szCs w:val="21"/>
              </w:rPr>
              <w:t>感官性状和物理指标 铂-钴标准比色法</w:t>
            </w:r>
          </w:p>
          <w:p>
            <w:pPr>
              <w:widowControl/>
              <w:jc w:val="center"/>
              <w:rPr>
                <w:rFonts w:ascii="Times New Roman" w:hAnsi="Times New Roman" w:cs="Times New Roman"/>
                <w:bCs/>
                <w:szCs w:val="21"/>
              </w:rPr>
            </w:pPr>
            <w:r>
              <w:rPr>
                <w:rFonts w:ascii="Times New Roman" w:hAnsi="Times New Roman" w:cs="Times New Roman"/>
                <w:szCs w:val="21"/>
              </w:rPr>
              <w:t>GB/T 5750.4-2006 1.1</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Times New Roman" w:hAnsi="Times New Roman" w:cs="Times New Roman"/>
                <w:szCs w:val="21"/>
              </w:rPr>
            </w:pPr>
            <w:r>
              <w:rPr>
                <w:rFonts w:ascii="Times New Roman" w:hAnsi="Times New Roman" w:cs="Times New Roman"/>
                <w:szCs w:val="21"/>
              </w:rPr>
              <w:t>5</w:t>
            </w:r>
          </w:p>
          <w:p>
            <w:pPr>
              <w:jc w:val="center"/>
              <w:rPr>
                <w:rFonts w:ascii="Times New Roman" w:hAnsi="Times New Roman" w:cs="Times New Roman"/>
                <w:bCs/>
                <w:color w:val="000000"/>
                <w:szCs w:val="21"/>
              </w:rPr>
            </w:pPr>
            <w:r>
              <w:rPr>
                <w:rFonts w:ascii="Times New Roman" w:hAnsi="Times New Roman" w:cs="Times New Roman"/>
                <w:szCs w:val="21"/>
              </w:rPr>
              <w:t>（度）</w:t>
            </w:r>
          </w:p>
        </w:tc>
        <w:tc>
          <w:tcPr>
            <w:tcW w:w="2141" w:type="dxa"/>
            <w:tcBorders>
              <w:left w:val="single" w:color="auto" w:sz="4" w:space="0"/>
              <w:right w:val="single" w:color="auto" w:sz="4" w:space="0"/>
            </w:tcBorders>
            <w:vAlign w:val="center"/>
          </w:tcPr>
          <w:p>
            <w:pPr>
              <w:widowControl/>
              <w:jc w:val="center"/>
              <w:rPr>
                <w:rFonts w:ascii="Times New Roman" w:hAnsi="Times New Roman" w:cs="Times New Roman"/>
                <w:bCs/>
                <w:szCs w:val="21"/>
              </w:rPr>
            </w:pPr>
            <w:r>
              <w:rPr>
                <w:rFonts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rPr>
            </w:pPr>
            <w:r>
              <w:rPr>
                <w:rFonts w:ascii="Times New Roman" w:hAnsi="Times New Roman" w:cs="Times New Roman"/>
                <w:szCs w:val="21"/>
              </w:rPr>
              <w:t>浑浊度</w:t>
            </w:r>
          </w:p>
        </w:tc>
        <w:tc>
          <w:tcPr>
            <w:tcW w:w="3686" w:type="dxa"/>
            <w:tcBorders>
              <w:left w:val="single" w:color="auto" w:sz="4" w:space="0"/>
              <w:right w:val="single" w:color="auto" w:sz="4" w:space="0"/>
            </w:tcBorders>
            <w:vAlign w:val="center"/>
          </w:tcPr>
          <w:p>
            <w:pPr>
              <w:widowControl/>
              <w:adjustRightInd w:val="0"/>
              <w:snapToGrid w:val="0"/>
              <w:jc w:val="center"/>
              <w:rPr>
                <w:rFonts w:ascii="Times New Roman" w:hAnsi="Times New Roman" w:cs="Times New Roman"/>
                <w:color w:val="000000"/>
              </w:rPr>
            </w:pPr>
            <w:r>
              <w:rPr>
                <w:rFonts w:ascii="Times New Roman" w:hAnsi="Times New Roman" w:cs="Times New Roman"/>
                <w:color w:val="000000"/>
              </w:rPr>
              <w:t>水质 浊度的测定 浊度计法</w:t>
            </w:r>
          </w:p>
          <w:p>
            <w:pPr>
              <w:widowControl/>
              <w:jc w:val="center"/>
              <w:rPr>
                <w:rFonts w:ascii="Times New Roman" w:hAnsi="Times New Roman" w:cs="Times New Roman"/>
                <w:bCs/>
                <w:szCs w:val="21"/>
              </w:rPr>
            </w:pPr>
            <w:r>
              <w:rPr>
                <w:rFonts w:ascii="Times New Roman" w:hAnsi="Times New Roman" w:cs="Times New Roman"/>
                <w:color w:val="000000"/>
              </w:rPr>
              <w:t xml:space="preserve"> HJ 1075-2019</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Cs/>
                <w:szCs w:val="21"/>
              </w:rPr>
            </w:pPr>
            <w:r>
              <w:rPr>
                <w:rFonts w:ascii="Times New Roman" w:hAnsi="Times New Roman" w:cs="Times New Roman"/>
                <w:bCs/>
                <w:szCs w:val="21"/>
              </w:rPr>
              <w:t>0.3</w:t>
            </w:r>
          </w:p>
          <w:p>
            <w:pPr>
              <w:jc w:val="center"/>
              <w:rPr>
                <w:rFonts w:ascii="Times New Roman" w:hAnsi="Times New Roman" w:cs="Times New Roman"/>
                <w:bCs/>
                <w:color w:val="000000"/>
                <w:szCs w:val="21"/>
              </w:rPr>
            </w:pPr>
            <w:r>
              <w:rPr>
                <w:rFonts w:ascii="Times New Roman" w:hAnsi="Times New Roman" w:cs="Times New Roman"/>
                <w:bCs/>
                <w:szCs w:val="21"/>
              </w:rPr>
              <w:t>（NTU）</w:t>
            </w:r>
          </w:p>
        </w:tc>
        <w:tc>
          <w:tcPr>
            <w:tcW w:w="2141" w:type="dxa"/>
            <w:tcBorders>
              <w:left w:val="single" w:color="auto" w:sz="4" w:space="0"/>
              <w:right w:val="single" w:color="auto" w:sz="4" w:space="0"/>
            </w:tcBorders>
            <w:vAlign w:val="center"/>
          </w:tcPr>
          <w:p>
            <w:pPr>
              <w:widowControl/>
              <w:jc w:val="center"/>
              <w:rPr>
                <w:rFonts w:ascii="Times New Roman" w:hAnsi="Times New Roman" w:cs="Times New Roman"/>
                <w:bCs/>
                <w:szCs w:val="21"/>
              </w:rPr>
            </w:pPr>
            <w:r>
              <w:rPr>
                <w:rFonts w:ascii="Times New Roman" w:hAnsi="Times New Roman" w:cs="Times New Roman"/>
                <w:szCs w:val="21"/>
              </w:rPr>
              <w:t>便携式浊度仪 WGZ-200B （TTE20212291）</w:t>
            </w:r>
          </w:p>
        </w:tc>
      </w:tr>
    </w:tbl>
    <w:p>
      <w:pPr>
        <w:pStyle w:val="39"/>
        <w:numPr>
          <w:ilvl w:val="1"/>
          <w:numId w:val="2"/>
        </w:numPr>
        <w:ind w:left="0" w:firstLine="0" w:firstLineChars="0"/>
        <w:outlineLvl w:val="1"/>
        <w:rPr>
          <w:rFonts w:cs="Times New Roman"/>
          <w:b/>
          <w:color w:val="000000" w:themeColor="text1"/>
          <w:sz w:val="28"/>
          <w14:textFill>
            <w14:solidFill>
              <w14:schemeClr w14:val="tx1"/>
            </w14:solidFill>
          </w14:textFill>
        </w:rPr>
      </w:pPr>
      <w:bookmarkStart w:id="64" w:name="_Toc30101"/>
      <w:r>
        <w:rPr>
          <w:rFonts w:cs="Times New Roman"/>
          <w:b/>
          <w:color w:val="000000" w:themeColor="text1"/>
          <w:sz w:val="28"/>
          <w14:textFill>
            <w14:solidFill>
              <w14:schemeClr w14:val="tx1"/>
            </w14:solidFill>
          </w14:textFill>
        </w:rPr>
        <w:t>实验室质量保证及质量控制</w:t>
      </w:r>
      <w:bookmarkEnd w:id="64"/>
    </w:p>
    <w:p>
      <w:pPr>
        <w:spacing w:line="360" w:lineRule="auto"/>
        <w:ind w:firstLine="480" w:firstLineChars="200"/>
        <w:rPr>
          <w:rFonts w:ascii="Times New Roman" w:hAnsi="Times New Roman" w:eastAsia="宋体" w:cs="Times New Roman"/>
          <w:color w:val="FF0000"/>
          <w:sz w:val="24"/>
          <w:szCs w:val="28"/>
        </w:rPr>
      </w:pPr>
      <w:r>
        <w:rPr>
          <w:rFonts w:ascii="Times New Roman" w:hAnsi="Times New Roman" w:eastAsia="宋体" w:cs="Times New Roman"/>
          <w:color w:val="000000" w:themeColor="text1"/>
          <w:sz w:val="24"/>
          <w:szCs w:val="28"/>
          <w14:textFill>
            <w14:solidFill>
              <w14:schemeClr w14:val="tx1"/>
            </w14:solidFill>
          </w14:textFill>
        </w:rPr>
        <w:t>实验室主要采取实验室平行样和质控样等措施开展质控，平行样相对偏差满足分析方法要求，分析方法没有规定的，按照HJ/T 166-2014、HJ 164-2020执行。质控样满足标准样品证书或标准溶液要求。</w:t>
      </w:r>
      <w:r>
        <w:rPr>
          <w:rFonts w:ascii="Times New Roman" w:hAnsi="Times New Roman" w:eastAsia="宋体" w:cs="Times New Roman"/>
          <w:color w:val="FF0000"/>
          <w:sz w:val="24"/>
          <w:szCs w:val="28"/>
        </w:rPr>
        <w:br w:type="page"/>
      </w:r>
    </w:p>
    <w:p>
      <w:pPr>
        <w:pStyle w:val="39"/>
        <w:numPr>
          <w:ilvl w:val="2"/>
          <w:numId w:val="2"/>
        </w:numPr>
        <w:ind w:left="0" w:firstLine="0" w:firstLineChars="0"/>
        <w:outlineLvl w:val="2"/>
        <w:rPr>
          <w:rFonts w:cs="Times New Roman"/>
          <w:b/>
          <w:color w:val="000000" w:themeColor="text1"/>
          <w14:textFill>
            <w14:solidFill>
              <w14:schemeClr w14:val="tx1"/>
            </w14:solidFill>
          </w14:textFill>
        </w:rPr>
      </w:pPr>
      <w:bookmarkStart w:id="65" w:name="_Toc3005"/>
      <w:r>
        <w:rPr>
          <w:rFonts w:cs="Times New Roman"/>
          <w:b/>
          <w:color w:val="000000" w:themeColor="text1"/>
          <w14:textFill>
            <w14:solidFill>
              <w14:schemeClr w14:val="tx1"/>
            </w14:solidFill>
          </w14:textFill>
        </w:rPr>
        <w:t>土壤</w:t>
      </w:r>
      <w:bookmarkEnd w:id="65"/>
    </w:p>
    <w:p>
      <w:pPr>
        <w:spacing w:line="360" w:lineRule="auto"/>
        <w:ind w:firstLine="480" w:firstLineChars="200"/>
        <w:rPr>
          <w:rFonts w:ascii="Times New Roman" w:hAnsi="Times New Roman" w:cs="Times New Roman"/>
          <w:iCs/>
          <w:color w:val="000000" w:themeColor="text1"/>
          <w:sz w:val="24"/>
          <w:szCs w:val="24"/>
          <w14:textFill>
            <w14:solidFill>
              <w14:schemeClr w14:val="tx1"/>
            </w14:solidFill>
          </w14:textFill>
        </w:rPr>
      </w:pPr>
      <w:r>
        <w:rPr>
          <w:rFonts w:ascii="Times New Roman" w:hAnsi="Times New Roman" w:cs="Times New Roman"/>
          <w:iCs/>
          <w:color w:val="000000" w:themeColor="text1"/>
          <w:sz w:val="24"/>
          <w:szCs w:val="24"/>
          <w14:textFill>
            <w14:solidFill>
              <w14:schemeClr w14:val="tx1"/>
            </w14:solidFill>
          </w14:textFill>
        </w:rPr>
        <w:t>土壤实验室平行样统计见表4-3、质控样统计见表4-4</w:t>
      </w:r>
      <w:r>
        <w:rPr>
          <w:rFonts w:hint="eastAsia" w:ascii="Times New Roman" w:hAnsi="Times New Roman" w:cs="Times New Roman"/>
          <w:iCs/>
          <w:color w:val="000000" w:themeColor="text1"/>
          <w:sz w:val="24"/>
          <w:szCs w:val="24"/>
          <w14:textFill>
            <w14:solidFill>
              <w14:schemeClr w14:val="tx1"/>
            </w14:solidFill>
          </w14:textFill>
        </w:rPr>
        <w:t>。</w:t>
      </w:r>
    </w:p>
    <w:p>
      <w:pPr>
        <w:numPr>
          <w:ilvl w:val="0"/>
          <w:numId w:val="11"/>
        </w:numPr>
        <w:jc w:val="center"/>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土壤实验室平行样质控一览表</w:t>
      </w:r>
    </w:p>
    <w:tbl>
      <w:tblPr>
        <w:tblStyle w:val="15"/>
        <w:tblW w:w="836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1162"/>
        <w:gridCol w:w="1461"/>
        <w:gridCol w:w="1374"/>
        <w:gridCol w:w="1435"/>
        <w:gridCol w:w="1400"/>
        <w:gridCol w:w="15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blHeader/>
          <w:jc w:val="center"/>
        </w:trPr>
        <w:tc>
          <w:tcPr>
            <w:tcW w:w="1162" w:type="dxa"/>
            <w:tcBorders>
              <w:tl2br w:val="nil"/>
              <w:tr2bl w:val="nil"/>
            </w:tcBorders>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检测项目</w:t>
            </w:r>
          </w:p>
        </w:tc>
        <w:tc>
          <w:tcPr>
            <w:tcW w:w="2835" w:type="dxa"/>
            <w:gridSpan w:val="2"/>
            <w:tcBorders>
              <w:tl2br w:val="nil"/>
              <w:tr2bl w:val="nil"/>
            </w:tcBorders>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测定浓度</w:t>
            </w:r>
          </w:p>
        </w:tc>
        <w:tc>
          <w:tcPr>
            <w:tcW w:w="1435" w:type="dxa"/>
            <w:tcBorders>
              <w:tl2br w:val="nil"/>
              <w:tr2bl w:val="nil"/>
            </w:tcBorders>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相对偏差%</w:t>
            </w:r>
          </w:p>
        </w:tc>
        <w:tc>
          <w:tcPr>
            <w:tcW w:w="1400" w:type="dxa"/>
            <w:tcBorders>
              <w:tl2br w:val="nil"/>
              <w:tr2bl w:val="nil"/>
            </w:tcBorders>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允许偏差%</w:t>
            </w:r>
          </w:p>
        </w:tc>
        <w:tc>
          <w:tcPr>
            <w:tcW w:w="153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是否合格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162"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钴</w:t>
            </w:r>
          </w:p>
        </w:tc>
        <w:tc>
          <w:tcPr>
            <w:tcW w:w="1461" w:type="dxa"/>
            <w:tcBorders>
              <w:righ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w:t>
            </w:r>
            <w:r>
              <w:rPr>
                <w:rFonts w:hint="eastAsia" w:ascii="Times New Roman" w:hAnsi="Times New Roman" w:eastAsia="宋体" w:cs="Times New Roman"/>
                <w:color w:val="000000" w:themeColor="text1"/>
                <w:szCs w:val="21"/>
                <w14:textFill>
                  <w14:solidFill>
                    <w14:schemeClr w14:val="tx1"/>
                  </w14:solidFill>
                </w14:textFill>
              </w:rPr>
              <w:t>.19</w:t>
            </w:r>
            <w:r>
              <w:rPr>
                <w:rFonts w:ascii="Times New Roman" w:hAnsi="Times New Roman" w:eastAsia="宋体" w:cs="Times New Roman"/>
                <w:bCs/>
                <w:color w:val="000000" w:themeColor="text1"/>
                <w:szCs w:val="21"/>
                <w14:textFill>
                  <w14:solidFill>
                    <w14:schemeClr w14:val="tx1"/>
                  </w14:solidFill>
                </w14:textFill>
              </w:rPr>
              <w:t>mg/kg</w:t>
            </w:r>
          </w:p>
        </w:tc>
        <w:tc>
          <w:tcPr>
            <w:tcW w:w="1374" w:type="dxa"/>
            <w:tcBorders>
              <w:lef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3</w:t>
            </w: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bCs/>
                <w:color w:val="000000" w:themeColor="text1"/>
                <w:szCs w:val="21"/>
                <w14:textFill>
                  <w14:solidFill>
                    <w14:schemeClr w14:val="tx1"/>
                  </w14:solidFill>
                </w14:textFill>
              </w:rPr>
              <w:t>mg/kg</w:t>
            </w:r>
          </w:p>
        </w:tc>
        <w:tc>
          <w:tcPr>
            <w:tcW w:w="143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p>
        </w:tc>
        <w:tc>
          <w:tcPr>
            <w:tcW w:w="140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30</w:t>
            </w:r>
          </w:p>
        </w:tc>
        <w:tc>
          <w:tcPr>
            <w:tcW w:w="153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162"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铅</w:t>
            </w:r>
          </w:p>
        </w:tc>
        <w:tc>
          <w:tcPr>
            <w:tcW w:w="1461" w:type="dxa"/>
            <w:tcBorders>
              <w:righ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16.4</w:t>
            </w:r>
            <w:r>
              <w:rPr>
                <w:rFonts w:ascii="Times New Roman" w:hAnsi="Times New Roman" w:eastAsia="宋体" w:cs="Times New Roman"/>
                <w:bCs/>
                <w:color w:val="000000" w:themeColor="text1"/>
                <w:szCs w:val="21"/>
                <w14:textFill>
                  <w14:solidFill>
                    <w14:schemeClr w14:val="tx1"/>
                  </w14:solidFill>
                </w14:textFill>
              </w:rPr>
              <w:t>mg/kg</w:t>
            </w:r>
          </w:p>
        </w:tc>
        <w:tc>
          <w:tcPr>
            <w:tcW w:w="1374" w:type="dxa"/>
            <w:tcBorders>
              <w:lef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16.2</w:t>
            </w:r>
            <w:r>
              <w:rPr>
                <w:rFonts w:ascii="Times New Roman" w:hAnsi="Times New Roman" w:eastAsia="宋体" w:cs="Times New Roman"/>
                <w:bCs/>
                <w:color w:val="000000" w:themeColor="text1"/>
                <w:szCs w:val="21"/>
                <w14:textFill>
                  <w14:solidFill>
                    <w14:schemeClr w14:val="tx1"/>
                  </w14:solidFill>
                </w14:textFill>
              </w:rPr>
              <w:t>mg/kg</w:t>
            </w:r>
          </w:p>
        </w:tc>
        <w:tc>
          <w:tcPr>
            <w:tcW w:w="143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p>
        </w:tc>
        <w:tc>
          <w:tcPr>
            <w:tcW w:w="140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w:t>
            </w:r>
          </w:p>
        </w:tc>
        <w:tc>
          <w:tcPr>
            <w:tcW w:w="153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162"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铜</w:t>
            </w:r>
          </w:p>
        </w:tc>
        <w:tc>
          <w:tcPr>
            <w:tcW w:w="1461" w:type="dxa"/>
            <w:tcBorders>
              <w:righ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w:t>
            </w:r>
            <w:r>
              <w:rPr>
                <w:rFonts w:ascii="Times New Roman" w:hAnsi="Times New Roman" w:eastAsia="宋体" w:cs="Times New Roman"/>
                <w:bCs/>
                <w:color w:val="000000" w:themeColor="text1"/>
                <w:szCs w:val="21"/>
                <w14:textFill>
                  <w14:solidFill>
                    <w14:schemeClr w14:val="tx1"/>
                  </w14:solidFill>
                </w14:textFill>
              </w:rPr>
              <w:t>mg/kg</w:t>
            </w:r>
          </w:p>
        </w:tc>
        <w:tc>
          <w:tcPr>
            <w:tcW w:w="1374" w:type="dxa"/>
            <w:tcBorders>
              <w:lef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w:t>
            </w:r>
            <w:r>
              <w:rPr>
                <w:rFonts w:ascii="Times New Roman" w:hAnsi="Times New Roman" w:eastAsia="宋体" w:cs="Times New Roman"/>
                <w:bCs/>
                <w:color w:val="000000" w:themeColor="text1"/>
                <w:szCs w:val="21"/>
                <w14:textFill>
                  <w14:solidFill>
                    <w14:schemeClr w14:val="tx1"/>
                  </w14:solidFill>
                </w14:textFill>
              </w:rPr>
              <w:t>mg/kg</w:t>
            </w:r>
          </w:p>
        </w:tc>
        <w:tc>
          <w:tcPr>
            <w:tcW w:w="143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140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w:t>
            </w:r>
          </w:p>
        </w:tc>
        <w:tc>
          <w:tcPr>
            <w:tcW w:w="153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162"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铍</w:t>
            </w:r>
          </w:p>
        </w:tc>
        <w:tc>
          <w:tcPr>
            <w:tcW w:w="1461" w:type="dxa"/>
            <w:tcBorders>
              <w:righ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1.79</w:t>
            </w:r>
            <w:r>
              <w:rPr>
                <w:rFonts w:ascii="Times New Roman" w:hAnsi="Times New Roman" w:eastAsia="宋体" w:cs="Times New Roman"/>
                <w:bCs/>
                <w:color w:val="000000" w:themeColor="text1"/>
                <w:szCs w:val="21"/>
                <w14:textFill>
                  <w14:solidFill>
                    <w14:schemeClr w14:val="tx1"/>
                  </w14:solidFill>
                </w14:textFill>
              </w:rPr>
              <w:t>mg/kg</w:t>
            </w:r>
          </w:p>
        </w:tc>
        <w:tc>
          <w:tcPr>
            <w:tcW w:w="1374" w:type="dxa"/>
            <w:tcBorders>
              <w:lef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1.78</w:t>
            </w:r>
            <w:r>
              <w:rPr>
                <w:rFonts w:ascii="Times New Roman" w:hAnsi="Times New Roman" w:eastAsia="宋体" w:cs="Times New Roman"/>
                <w:bCs/>
                <w:color w:val="000000" w:themeColor="text1"/>
                <w:szCs w:val="21"/>
                <w14:textFill>
                  <w14:solidFill>
                    <w14:schemeClr w14:val="tx1"/>
                  </w14:solidFill>
                </w14:textFill>
              </w:rPr>
              <w:t>mg/kg</w:t>
            </w:r>
          </w:p>
        </w:tc>
        <w:tc>
          <w:tcPr>
            <w:tcW w:w="143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0.3</w:t>
            </w:r>
          </w:p>
        </w:tc>
        <w:tc>
          <w:tcPr>
            <w:tcW w:w="140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40</w:t>
            </w:r>
          </w:p>
        </w:tc>
        <w:tc>
          <w:tcPr>
            <w:tcW w:w="153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162"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镍</w:t>
            </w:r>
          </w:p>
        </w:tc>
        <w:tc>
          <w:tcPr>
            <w:tcW w:w="1461" w:type="dxa"/>
            <w:tcBorders>
              <w:righ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w:t>
            </w:r>
            <w:r>
              <w:rPr>
                <w:rFonts w:ascii="Times New Roman" w:hAnsi="Times New Roman" w:eastAsia="宋体" w:cs="Times New Roman"/>
                <w:bCs/>
                <w:color w:val="000000" w:themeColor="text1"/>
                <w:szCs w:val="21"/>
                <w14:textFill>
                  <w14:solidFill>
                    <w14:schemeClr w14:val="tx1"/>
                  </w14:solidFill>
                </w14:textFill>
              </w:rPr>
              <w:t>mg/kg</w:t>
            </w:r>
          </w:p>
        </w:tc>
        <w:tc>
          <w:tcPr>
            <w:tcW w:w="1374" w:type="dxa"/>
            <w:tcBorders>
              <w:lef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w:t>
            </w:r>
            <w:r>
              <w:rPr>
                <w:rFonts w:ascii="Times New Roman" w:hAnsi="Times New Roman" w:eastAsia="宋体" w:cs="Times New Roman"/>
                <w:bCs/>
                <w:color w:val="000000" w:themeColor="text1"/>
                <w:szCs w:val="21"/>
                <w14:textFill>
                  <w14:solidFill>
                    <w14:schemeClr w14:val="tx1"/>
                  </w14:solidFill>
                </w14:textFill>
              </w:rPr>
              <w:t>mg/kg</w:t>
            </w:r>
          </w:p>
        </w:tc>
        <w:tc>
          <w:tcPr>
            <w:tcW w:w="143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140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w:t>
            </w:r>
          </w:p>
        </w:tc>
        <w:tc>
          <w:tcPr>
            <w:tcW w:w="153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162"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汞</w:t>
            </w:r>
          </w:p>
        </w:tc>
        <w:tc>
          <w:tcPr>
            <w:tcW w:w="1461" w:type="dxa"/>
            <w:tcBorders>
              <w:righ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0.0084</w:t>
            </w:r>
            <w:r>
              <w:rPr>
                <w:rFonts w:ascii="Times New Roman" w:hAnsi="Times New Roman" w:eastAsia="宋体" w:cs="Times New Roman"/>
                <w:bCs/>
                <w:color w:val="000000" w:themeColor="text1"/>
                <w:szCs w:val="21"/>
                <w14:textFill>
                  <w14:solidFill>
                    <w14:schemeClr w14:val="tx1"/>
                  </w14:solidFill>
                </w14:textFill>
              </w:rPr>
              <w:t>mg/kg</w:t>
            </w:r>
          </w:p>
        </w:tc>
        <w:tc>
          <w:tcPr>
            <w:tcW w:w="1374" w:type="dxa"/>
            <w:tcBorders>
              <w:lef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0.0088</w:t>
            </w:r>
            <w:r>
              <w:rPr>
                <w:rFonts w:ascii="Times New Roman" w:hAnsi="Times New Roman" w:eastAsia="宋体" w:cs="Times New Roman"/>
                <w:bCs/>
                <w:color w:val="000000" w:themeColor="text1"/>
                <w:szCs w:val="21"/>
                <w14:textFill>
                  <w14:solidFill>
                    <w14:schemeClr w14:val="tx1"/>
                  </w14:solidFill>
                </w14:textFill>
              </w:rPr>
              <w:t>mg/kg</w:t>
            </w:r>
          </w:p>
        </w:tc>
        <w:tc>
          <w:tcPr>
            <w:tcW w:w="143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w:t>
            </w:r>
          </w:p>
        </w:tc>
        <w:tc>
          <w:tcPr>
            <w:tcW w:w="140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25</w:t>
            </w:r>
          </w:p>
        </w:tc>
        <w:tc>
          <w:tcPr>
            <w:tcW w:w="153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162"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砷</w:t>
            </w:r>
          </w:p>
        </w:tc>
        <w:tc>
          <w:tcPr>
            <w:tcW w:w="1461" w:type="dxa"/>
            <w:tcBorders>
              <w:righ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3.87</w:t>
            </w:r>
            <w:r>
              <w:rPr>
                <w:rFonts w:ascii="Times New Roman" w:hAnsi="Times New Roman" w:eastAsia="宋体" w:cs="Times New Roman"/>
                <w:bCs/>
                <w:color w:val="000000" w:themeColor="text1"/>
                <w:szCs w:val="21"/>
                <w14:textFill>
                  <w14:solidFill>
                    <w14:schemeClr w14:val="tx1"/>
                  </w14:solidFill>
                </w14:textFill>
              </w:rPr>
              <w:t>mg/kg</w:t>
            </w:r>
          </w:p>
        </w:tc>
        <w:tc>
          <w:tcPr>
            <w:tcW w:w="1374" w:type="dxa"/>
            <w:tcBorders>
              <w:lef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3.78</w:t>
            </w:r>
            <w:r>
              <w:rPr>
                <w:rFonts w:ascii="Times New Roman" w:hAnsi="Times New Roman" w:eastAsia="宋体" w:cs="Times New Roman"/>
                <w:bCs/>
                <w:color w:val="000000" w:themeColor="text1"/>
                <w:szCs w:val="21"/>
                <w14:textFill>
                  <w14:solidFill>
                    <w14:schemeClr w14:val="tx1"/>
                  </w14:solidFill>
                </w14:textFill>
              </w:rPr>
              <w:t>mg/kg</w:t>
            </w:r>
          </w:p>
        </w:tc>
        <w:tc>
          <w:tcPr>
            <w:tcW w:w="143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p>
        </w:tc>
        <w:tc>
          <w:tcPr>
            <w:tcW w:w="140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w:t>
            </w:r>
          </w:p>
        </w:tc>
        <w:tc>
          <w:tcPr>
            <w:tcW w:w="153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162"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锑</w:t>
            </w:r>
          </w:p>
        </w:tc>
        <w:tc>
          <w:tcPr>
            <w:tcW w:w="1461" w:type="dxa"/>
            <w:tcBorders>
              <w:righ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0.68</w:t>
            </w:r>
            <w:r>
              <w:rPr>
                <w:rFonts w:ascii="Times New Roman" w:hAnsi="Times New Roman" w:eastAsia="宋体" w:cs="Times New Roman"/>
                <w:bCs/>
                <w:color w:val="000000" w:themeColor="text1"/>
                <w:szCs w:val="21"/>
                <w14:textFill>
                  <w14:solidFill>
                    <w14:schemeClr w14:val="tx1"/>
                  </w14:solidFill>
                </w14:textFill>
              </w:rPr>
              <w:t>mg/kg</w:t>
            </w:r>
          </w:p>
        </w:tc>
        <w:tc>
          <w:tcPr>
            <w:tcW w:w="1374" w:type="dxa"/>
            <w:tcBorders>
              <w:lef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0.68</w:t>
            </w:r>
            <w:r>
              <w:rPr>
                <w:rFonts w:ascii="Times New Roman" w:hAnsi="Times New Roman" w:eastAsia="宋体" w:cs="Times New Roman"/>
                <w:bCs/>
                <w:color w:val="000000" w:themeColor="text1"/>
                <w:szCs w:val="21"/>
                <w14:textFill>
                  <w14:solidFill>
                    <w14:schemeClr w14:val="tx1"/>
                  </w14:solidFill>
                </w14:textFill>
              </w:rPr>
              <w:t>mg/kg</w:t>
            </w:r>
          </w:p>
        </w:tc>
        <w:tc>
          <w:tcPr>
            <w:tcW w:w="143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140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40</w:t>
            </w:r>
          </w:p>
        </w:tc>
        <w:tc>
          <w:tcPr>
            <w:tcW w:w="153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162"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钒</w:t>
            </w:r>
          </w:p>
        </w:tc>
        <w:tc>
          <w:tcPr>
            <w:tcW w:w="1461" w:type="dxa"/>
            <w:tcBorders>
              <w:righ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43.1</w:t>
            </w:r>
            <w:r>
              <w:rPr>
                <w:rFonts w:ascii="Times New Roman" w:hAnsi="Times New Roman" w:eastAsia="宋体" w:cs="Times New Roman"/>
                <w:bCs/>
                <w:color w:val="000000" w:themeColor="text1"/>
                <w:szCs w:val="21"/>
                <w14:textFill>
                  <w14:solidFill>
                    <w14:schemeClr w14:val="tx1"/>
                  </w14:solidFill>
                </w14:textFill>
              </w:rPr>
              <w:t>mg/kg</w:t>
            </w:r>
          </w:p>
        </w:tc>
        <w:tc>
          <w:tcPr>
            <w:tcW w:w="1374" w:type="dxa"/>
            <w:tcBorders>
              <w:lef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43.5</w:t>
            </w:r>
            <w:r>
              <w:rPr>
                <w:rFonts w:ascii="Times New Roman" w:hAnsi="Times New Roman" w:eastAsia="宋体" w:cs="Times New Roman"/>
                <w:bCs/>
                <w:color w:val="000000" w:themeColor="text1"/>
                <w:szCs w:val="21"/>
                <w14:textFill>
                  <w14:solidFill>
                    <w14:schemeClr w14:val="tx1"/>
                  </w14:solidFill>
                </w14:textFill>
              </w:rPr>
              <w:t>mg/kg</w:t>
            </w:r>
          </w:p>
        </w:tc>
        <w:tc>
          <w:tcPr>
            <w:tcW w:w="143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140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30</w:t>
            </w:r>
          </w:p>
        </w:tc>
        <w:tc>
          <w:tcPr>
            <w:tcW w:w="153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162"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锌</w:t>
            </w:r>
          </w:p>
        </w:tc>
        <w:tc>
          <w:tcPr>
            <w:tcW w:w="1461" w:type="dxa"/>
            <w:tcBorders>
              <w:righ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8</w:t>
            </w:r>
            <w:r>
              <w:rPr>
                <w:rFonts w:ascii="Times New Roman" w:hAnsi="Times New Roman" w:eastAsia="宋体" w:cs="Times New Roman"/>
                <w:bCs/>
                <w:color w:val="000000" w:themeColor="text1"/>
                <w:szCs w:val="21"/>
                <w14:textFill>
                  <w14:solidFill>
                    <w14:schemeClr w14:val="tx1"/>
                  </w14:solidFill>
                </w14:textFill>
              </w:rPr>
              <w:t>mg/kg</w:t>
            </w:r>
          </w:p>
        </w:tc>
        <w:tc>
          <w:tcPr>
            <w:tcW w:w="1374" w:type="dxa"/>
            <w:tcBorders>
              <w:lef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7</w:t>
            </w:r>
            <w:r>
              <w:rPr>
                <w:rFonts w:ascii="Times New Roman" w:hAnsi="Times New Roman" w:eastAsia="宋体" w:cs="Times New Roman"/>
                <w:bCs/>
                <w:color w:val="000000" w:themeColor="text1"/>
                <w:szCs w:val="21"/>
                <w14:textFill>
                  <w14:solidFill>
                    <w14:schemeClr w14:val="tx1"/>
                  </w14:solidFill>
                </w14:textFill>
              </w:rPr>
              <w:t>mg/kg</w:t>
            </w:r>
          </w:p>
        </w:tc>
        <w:tc>
          <w:tcPr>
            <w:tcW w:w="143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p>
        </w:tc>
        <w:tc>
          <w:tcPr>
            <w:tcW w:w="140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0</w:t>
            </w:r>
          </w:p>
        </w:tc>
        <w:tc>
          <w:tcPr>
            <w:tcW w:w="153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162"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镉</w:t>
            </w:r>
          </w:p>
        </w:tc>
        <w:tc>
          <w:tcPr>
            <w:tcW w:w="1461" w:type="dxa"/>
            <w:tcBorders>
              <w:righ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.21</w:t>
            </w:r>
            <w:r>
              <w:rPr>
                <w:rFonts w:ascii="Times New Roman" w:hAnsi="Times New Roman" w:eastAsia="宋体" w:cs="Times New Roman"/>
                <w:bCs/>
                <w:color w:val="000000" w:themeColor="text1"/>
                <w:szCs w:val="21"/>
                <w14:textFill>
                  <w14:solidFill>
                    <w14:schemeClr w14:val="tx1"/>
                  </w14:solidFill>
                </w14:textFill>
              </w:rPr>
              <w:t>mg/kg</w:t>
            </w:r>
          </w:p>
        </w:tc>
        <w:tc>
          <w:tcPr>
            <w:tcW w:w="1374" w:type="dxa"/>
            <w:tcBorders>
              <w:lef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.21</w:t>
            </w:r>
            <w:r>
              <w:rPr>
                <w:rFonts w:ascii="Times New Roman" w:hAnsi="Times New Roman" w:eastAsia="宋体" w:cs="Times New Roman"/>
                <w:bCs/>
                <w:color w:val="000000" w:themeColor="text1"/>
                <w:szCs w:val="21"/>
                <w14:textFill>
                  <w14:solidFill>
                    <w14:schemeClr w14:val="tx1"/>
                  </w14:solidFill>
                </w14:textFill>
              </w:rPr>
              <w:t>mg/kg</w:t>
            </w:r>
          </w:p>
        </w:tc>
        <w:tc>
          <w:tcPr>
            <w:tcW w:w="143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p>
        </w:tc>
        <w:tc>
          <w:tcPr>
            <w:tcW w:w="140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5</w:t>
            </w:r>
          </w:p>
        </w:tc>
        <w:tc>
          <w:tcPr>
            <w:tcW w:w="153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162"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六价铬</w:t>
            </w:r>
          </w:p>
        </w:tc>
        <w:tc>
          <w:tcPr>
            <w:tcW w:w="1461" w:type="dxa"/>
            <w:tcBorders>
              <w:righ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&lt;0.5</w:t>
            </w:r>
            <w:r>
              <w:rPr>
                <w:rFonts w:ascii="Times New Roman" w:hAnsi="Times New Roman" w:eastAsia="宋体" w:cs="Times New Roman"/>
                <w:bCs/>
                <w:color w:val="000000" w:themeColor="text1"/>
                <w:szCs w:val="21"/>
                <w14:textFill>
                  <w14:solidFill>
                    <w14:schemeClr w14:val="tx1"/>
                  </w14:solidFill>
                </w14:textFill>
              </w:rPr>
              <w:t>mg/kg</w:t>
            </w:r>
          </w:p>
        </w:tc>
        <w:tc>
          <w:tcPr>
            <w:tcW w:w="1374" w:type="dxa"/>
            <w:tcBorders>
              <w:lef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&lt;0.5</w:t>
            </w:r>
            <w:r>
              <w:rPr>
                <w:rFonts w:ascii="Times New Roman" w:hAnsi="Times New Roman" w:eastAsia="宋体" w:cs="Times New Roman"/>
                <w:bCs/>
                <w:color w:val="000000" w:themeColor="text1"/>
                <w:szCs w:val="21"/>
                <w14:textFill>
                  <w14:solidFill>
                    <w14:schemeClr w14:val="tx1"/>
                  </w14:solidFill>
                </w14:textFill>
              </w:rPr>
              <w:t>mg/kg</w:t>
            </w:r>
          </w:p>
        </w:tc>
        <w:tc>
          <w:tcPr>
            <w:tcW w:w="143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p>
        </w:tc>
        <w:tc>
          <w:tcPr>
            <w:tcW w:w="140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0</w:t>
            </w:r>
          </w:p>
        </w:tc>
        <w:tc>
          <w:tcPr>
            <w:tcW w:w="153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合格</w:t>
            </w:r>
          </w:p>
        </w:tc>
      </w:tr>
    </w:tbl>
    <w:p>
      <w:pPr>
        <w:jc w:val="center"/>
        <w:rPr>
          <w:rFonts w:ascii="Times New Roman" w:hAnsi="Times New Roman" w:eastAsia="宋体" w:cs="Times New Roman"/>
          <w:b/>
          <w:bCs/>
          <w:color w:val="FF0000"/>
          <w:sz w:val="24"/>
          <w:szCs w:val="32"/>
        </w:rPr>
      </w:pPr>
    </w:p>
    <w:p>
      <w:pPr>
        <w:numPr>
          <w:ilvl w:val="0"/>
          <w:numId w:val="11"/>
        </w:numPr>
        <w:jc w:val="center"/>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土壤质控样统计一览表</w:t>
      </w:r>
    </w:p>
    <w:tbl>
      <w:tblPr>
        <w:tblStyle w:val="15"/>
        <w:tblW w:w="836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1588"/>
        <w:gridCol w:w="1701"/>
        <w:gridCol w:w="1940"/>
        <w:gridCol w:w="1688"/>
        <w:gridCol w:w="14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tblHeader/>
          <w:jc w:val="center"/>
        </w:trPr>
        <w:tc>
          <w:tcPr>
            <w:tcW w:w="1588" w:type="dxa"/>
            <w:tcBorders>
              <w:tl2br w:val="nil"/>
              <w:tr2bl w:val="nil"/>
            </w:tcBorders>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检测项目</w:t>
            </w:r>
          </w:p>
        </w:tc>
        <w:tc>
          <w:tcPr>
            <w:tcW w:w="1701" w:type="dxa"/>
            <w:tcBorders>
              <w:tl2br w:val="nil"/>
              <w:tr2bl w:val="nil"/>
            </w:tcBorders>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质控样编号</w:t>
            </w:r>
          </w:p>
        </w:tc>
        <w:tc>
          <w:tcPr>
            <w:tcW w:w="1940" w:type="dxa"/>
            <w:tcBorders>
              <w:tl2br w:val="nil"/>
              <w:tr2bl w:val="nil"/>
            </w:tcBorders>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质控样范围</w:t>
            </w:r>
          </w:p>
        </w:tc>
        <w:tc>
          <w:tcPr>
            <w:tcW w:w="1688" w:type="dxa"/>
            <w:tcBorders>
              <w:tl2br w:val="nil"/>
              <w:tr2bl w:val="nil"/>
            </w:tcBorders>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测定结果</w:t>
            </w:r>
          </w:p>
        </w:tc>
        <w:tc>
          <w:tcPr>
            <w:tcW w:w="1445" w:type="dxa"/>
            <w:tcBorders>
              <w:tl2br w:val="nil"/>
              <w:tr2bl w:val="nil"/>
            </w:tcBorders>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是否合格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588"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pH</w:t>
            </w:r>
          </w:p>
        </w:tc>
        <w:tc>
          <w:tcPr>
            <w:tcW w:w="1701"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H</w:t>
            </w:r>
            <w:r>
              <w:rPr>
                <w:rFonts w:ascii="Times New Roman" w:hAnsi="Times New Roman" w:eastAsia="宋体" w:cs="Times New Roman"/>
                <w:color w:val="000000" w:themeColor="text1"/>
                <w:szCs w:val="21"/>
                <w14:textFill>
                  <w14:solidFill>
                    <w14:schemeClr w14:val="tx1"/>
                  </w14:solidFill>
                </w14:textFill>
              </w:rPr>
              <w:t>TSB-3</w:t>
            </w:r>
          </w:p>
        </w:tc>
        <w:tc>
          <w:tcPr>
            <w:tcW w:w="194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8.34±0.07</w:t>
            </w:r>
          </w:p>
        </w:tc>
        <w:tc>
          <w:tcPr>
            <w:tcW w:w="1688"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8</w:t>
            </w:r>
            <w:r>
              <w:rPr>
                <w:rFonts w:ascii="Times New Roman" w:hAnsi="Times New Roman" w:eastAsia="宋体" w:cs="Times New Roman"/>
                <w:color w:val="000000" w:themeColor="text1"/>
                <w:szCs w:val="21"/>
                <w14:textFill>
                  <w14:solidFill>
                    <w14:schemeClr w14:val="tx1"/>
                  </w14:solidFill>
                </w14:textFill>
              </w:rPr>
              <w:t>.31</w:t>
            </w:r>
          </w:p>
        </w:tc>
        <w:tc>
          <w:tcPr>
            <w:tcW w:w="1445" w:type="dxa"/>
            <w:tcBorders>
              <w:tl2br w:val="nil"/>
              <w:tr2bl w:val="nil"/>
            </w:tcBorders>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588"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钴</w:t>
            </w:r>
          </w:p>
        </w:tc>
        <w:tc>
          <w:tcPr>
            <w:tcW w:w="1701"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GSS-</w:t>
            </w:r>
            <w:r>
              <w:rPr>
                <w:rFonts w:hint="eastAsia" w:ascii="Times New Roman" w:hAnsi="Times New Roman" w:eastAsia="宋体" w:cs="Times New Roman"/>
                <w:color w:val="000000" w:themeColor="text1"/>
                <w:szCs w:val="21"/>
                <w14:textFill>
                  <w14:solidFill>
                    <w14:schemeClr w14:val="tx1"/>
                  </w14:solidFill>
                </w14:textFill>
              </w:rPr>
              <w:t>31</w:t>
            </w:r>
          </w:p>
        </w:tc>
        <w:tc>
          <w:tcPr>
            <w:tcW w:w="194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16.9±0.7mg/kg</w:t>
            </w:r>
          </w:p>
        </w:tc>
        <w:tc>
          <w:tcPr>
            <w:tcW w:w="1688"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16.7mg/kg</w:t>
            </w:r>
          </w:p>
        </w:tc>
        <w:tc>
          <w:tcPr>
            <w:tcW w:w="1445" w:type="dxa"/>
            <w:tcBorders>
              <w:tl2br w:val="nil"/>
              <w:tr2bl w:val="nil"/>
            </w:tcBorders>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588"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铅</w:t>
            </w:r>
          </w:p>
        </w:tc>
        <w:tc>
          <w:tcPr>
            <w:tcW w:w="1701"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GSS-</w:t>
            </w:r>
            <w:r>
              <w:rPr>
                <w:rFonts w:hint="eastAsia" w:ascii="Times New Roman" w:hAnsi="Times New Roman" w:eastAsia="宋体" w:cs="Times New Roman"/>
                <w:color w:val="000000" w:themeColor="text1"/>
                <w:szCs w:val="21"/>
                <w14:textFill>
                  <w14:solidFill>
                    <w14:schemeClr w14:val="tx1"/>
                  </w14:solidFill>
                </w14:textFill>
              </w:rPr>
              <w:t>31</w:t>
            </w:r>
          </w:p>
        </w:tc>
        <w:tc>
          <w:tcPr>
            <w:tcW w:w="194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28±3mg/kg</w:t>
            </w:r>
          </w:p>
        </w:tc>
        <w:tc>
          <w:tcPr>
            <w:tcW w:w="1688"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29mg/kg</w:t>
            </w:r>
          </w:p>
        </w:tc>
        <w:tc>
          <w:tcPr>
            <w:tcW w:w="144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588"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铜</w:t>
            </w:r>
          </w:p>
        </w:tc>
        <w:tc>
          <w:tcPr>
            <w:tcW w:w="1701"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GSS-</w:t>
            </w:r>
            <w:r>
              <w:rPr>
                <w:rFonts w:hint="eastAsia" w:ascii="Times New Roman" w:hAnsi="Times New Roman" w:eastAsia="宋体" w:cs="Times New Roman"/>
                <w:color w:val="000000" w:themeColor="text1"/>
                <w:szCs w:val="21"/>
                <w14:textFill>
                  <w14:solidFill>
                    <w14:schemeClr w14:val="tx1"/>
                  </w14:solidFill>
                </w14:textFill>
              </w:rPr>
              <w:t>31</w:t>
            </w:r>
          </w:p>
        </w:tc>
        <w:tc>
          <w:tcPr>
            <w:tcW w:w="194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w:t>
            </w:r>
            <w:r>
              <w:rPr>
                <w:rFonts w:hint="eastAsia" w:ascii="Times New Roman" w:hAnsi="Times New Roman" w:eastAsia="宋体" w:cs="Times New Roman"/>
                <w:color w:val="000000" w:themeColor="text1"/>
                <w:szCs w:val="21"/>
                <w14:textFill>
                  <w14:solidFill>
                    <w14:schemeClr w14:val="tx1"/>
                  </w14:solidFill>
                </w14:textFill>
              </w:rPr>
              <w:t>7</w:t>
            </w:r>
            <w:r>
              <w:rPr>
                <w:rFonts w:ascii="Times New Roman" w:hAnsi="Times New Roman" w:eastAsia="宋体" w:cs="Times New Roman"/>
                <w:color w:val="000000" w:themeColor="text1"/>
                <w:szCs w:val="21"/>
                <w14:textFill>
                  <w14:solidFill>
                    <w14:schemeClr w14:val="tx1"/>
                  </w14:solidFill>
                </w14:textFill>
              </w:rPr>
              <w:t>±2mg/kg</w:t>
            </w:r>
          </w:p>
        </w:tc>
        <w:tc>
          <w:tcPr>
            <w:tcW w:w="1688"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35mg/kg</w:t>
            </w:r>
          </w:p>
        </w:tc>
        <w:tc>
          <w:tcPr>
            <w:tcW w:w="144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588" w:type="dxa"/>
            <w:tcBorders>
              <w:tl2br w:val="nil"/>
              <w:tr2bl w:val="nil"/>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000000" w:themeColor="text1"/>
                <w:szCs w:val="21"/>
                <w14:textFill>
                  <w14:solidFill>
                    <w14:schemeClr w14:val="tx1"/>
                  </w14:solidFill>
                </w14:textFill>
              </w:rPr>
              <w:t>铍</w:t>
            </w:r>
          </w:p>
        </w:tc>
        <w:tc>
          <w:tcPr>
            <w:tcW w:w="1701"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GSS-</w:t>
            </w:r>
            <w:r>
              <w:rPr>
                <w:rFonts w:hint="eastAsia" w:ascii="Times New Roman" w:hAnsi="Times New Roman" w:eastAsia="宋体" w:cs="Times New Roman"/>
                <w:color w:val="000000" w:themeColor="text1"/>
                <w:szCs w:val="21"/>
                <w14:textFill>
                  <w14:solidFill>
                    <w14:schemeClr w14:val="tx1"/>
                  </w14:solidFill>
                </w14:textFill>
              </w:rPr>
              <w:t>31</w:t>
            </w:r>
          </w:p>
        </w:tc>
        <w:tc>
          <w:tcPr>
            <w:tcW w:w="194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2.5±0.2mg/kg</w:t>
            </w:r>
          </w:p>
        </w:tc>
        <w:tc>
          <w:tcPr>
            <w:tcW w:w="1688"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2.4mg/kg</w:t>
            </w:r>
          </w:p>
        </w:tc>
        <w:tc>
          <w:tcPr>
            <w:tcW w:w="1445" w:type="dxa"/>
            <w:tcBorders>
              <w:tl2br w:val="nil"/>
              <w:tr2bl w:val="nil"/>
            </w:tcBorders>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588"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镍</w:t>
            </w:r>
          </w:p>
        </w:tc>
        <w:tc>
          <w:tcPr>
            <w:tcW w:w="1701"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GSS-</w:t>
            </w:r>
            <w:r>
              <w:rPr>
                <w:rFonts w:hint="eastAsia" w:ascii="Times New Roman" w:hAnsi="Times New Roman" w:eastAsia="宋体" w:cs="Times New Roman"/>
                <w:color w:val="000000" w:themeColor="text1"/>
                <w:szCs w:val="21"/>
                <w14:textFill>
                  <w14:solidFill>
                    <w14:schemeClr w14:val="tx1"/>
                  </w14:solidFill>
                </w14:textFill>
              </w:rPr>
              <w:t>31</w:t>
            </w:r>
          </w:p>
        </w:tc>
        <w:tc>
          <w:tcPr>
            <w:tcW w:w="194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41±3mg/kg</w:t>
            </w:r>
          </w:p>
        </w:tc>
        <w:tc>
          <w:tcPr>
            <w:tcW w:w="1688"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39mg/kg</w:t>
            </w:r>
          </w:p>
        </w:tc>
        <w:tc>
          <w:tcPr>
            <w:tcW w:w="144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588"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000000" w:themeColor="text1"/>
                <w:szCs w:val="21"/>
                <w14:textFill>
                  <w14:solidFill>
                    <w14:schemeClr w14:val="tx1"/>
                  </w14:solidFill>
                </w14:textFill>
              </w:rPr>
              <w:t>汞</w:t>
            </w:r>
          </w:p>
        </w:tc>
        <w:tc>
          <w:tcPr>
            <w:tcW w:w="1701"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000000" w:themeColor="text1"/>
                <w:szCs w:val="21"/>
                <w14:textFill>
                  <w14:solidFill>
                    <w14:schemeClr w14:val="tx1"/>
                  </w14:solidFill>
                </w14:textFill>
              </w:rPr>
              <w:t>GSS-2</w:t>
            </w:r>
            <w:r>
              <w:rPr>
                <w:rFonts w:hint="eastAsia" w:ascii="Times New Roman" w:hAnsi="Times New Roman" w:eastAsia="宋体" w:cs="Times New Roman"/>
                <w:color w:val="000000" w:themeColor="text1"/>
                <w:szCs w:val="21"/>
                <w14:textFill>
                  <w14:solidFill>
                    <w14:schemeClr w14:val="tx1"/>
                  </w14:solidFill>
                </w14:textFill>
              </w:rPr>
              <w:t>7</w:t>
            </w:r>
          </w:p>
        </w:tc>
        <w:tc>
          <w:tcPr>
            <w:tcW w:w="194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0.116±0.012mg/kg</w:t>
            </w:r>
          </w:p>
        </w:tc>
        <w:tc>
          <w:tcPr>
            <w:tcW w:w="1688"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0.114mg/kg</w:t>
            </w:r>
          </w:p>
        </w:tc>
        <w:tc>
          <w:tcPr>
            <w:tcW w:w="1445" w:type="dxa"/>
            <w:tcBorders>
              <w:tl2br w:val="nil"/>
              <w:tr2bl w:val="nil"/>
            </w:tcBorders>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588"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砷</w:t>
            </w:r>
          </w:p>
        </w:tc>
        <w:tc>
          <w:tcPr>
            <w:tcW w:w="1701"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GSS-</w:t>
            </w:r>
            <w:r>
              <w:rPr>
                <w:rFonts w:hint="eastAsia" w:ascii="Times New Roman" w:hAnsi="Times New Roman" w:eastAsia="宋体" w:cs="Times New Roman"/>
                <w:color w:val="000000" w:themeColor="text1"/>
                <w:szCs w:val="21"/>
                <w14:textFill>
                  <w14:solidFill>
                    <w14:schemeClr w14:val="tx1"/>
                  </w14:solidFill>
                </w14:textFill>
              </w:rPr>
              <w:t>31</w:t>
            </w:r>
          </w:p>
        </w:tc>
        <w:tc>
          <w:tcPr>
            <w:tcW w:w="194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13.0±1.2</w:t>
            </w:r>
            <w:r>
              <w:rPr>
                <w:rFonts w:ascii="Times New Roman" w:hAnsi="Times New Roman" w:eastAsia="宋体" w:cs="Times New Roman"/>
                <w:bCs/>
                <w:color w:val="000000" w:themeColor="text1"/>
                <w:szCs w:val="21"/>
                <w14:textFill>
                  <w14:solidFill>
                    <w14:schemeClr w14:val="tx1"/>
                  </w14:solidFill>
                </w14:textFill>
              </w:rPr>
              <w:t>mg/kg</w:t>
            </w:r>
          </w:p>
        </w:tc>
        <w:tc>
          <w:tcPr>
            <w:tcW w:w="1688"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13.6</w:t>
            </w:r>
            <w:r>
              <w:rPr>
                <w:rFonts w:ascii="Times New Roman" w:hAnsi="Times New Roman" w:eastAsia="宋体" w:cs="Times New Roman"/>
                <w:bCs/>
                <w:color w:val="000000" w:themeColor="text1"/>
                <w:szCs w:val="21"/>
                <w14:textFill>
                  <w14:solidFill>
                    <w14:schemeClr w14:val="tx1"/>
                  </w14:solidFill>
                </w14:textFill>
              </w:rPr>
              <w:t>mg/kg</w:t>
            </w:r>
          </w:p>
        </w:tc>
        <w:tc>
          <w:tcPr>
            <w:tcW w:w="1445" w:type="dxa"/>
            <w:tcBorders>
              <w:tl2br w:val="nil"/>
              <w:tr2bl w:val="nil"/>
            </w:tcBorders>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588" w:type="dxa"/>
            <w:tcBorders>
              <w:tl2br w:val="nil"/>
              <w:tr2bl w:val="nil"/>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000000" w:themeColor="text1"/>
                <w:szCs w:val="21"/>
                <w14:textFill>
                  <w14:solidFill>
                    <w14:schemeClr w14:val="tx1"/>
                  </w14:solidFill>
                </w14:textFill>
              </w:rPr>
              <w:t>锑</w:t>
            </w:r>
          </w:p>
        </w:tc>
        <w:tc>
          <w:tcPr>
            <w:tcW w:w="1701"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GSS-</w:t>
            </w:r>
            <w:r>
              <w:rPr>
                <w:rFonts w:hint="eastAsia" w:ascii="Times New Roman" w:hAnsi="Times New Roman" w:eastAsia="宋体" w:cs="Times New Roman"/>
                <w:color w:val="000000" w:themeColor="text1"/>
                <w:szCs w:val="21"/>
                <w14:textFill>
                  <w14:solidFill>
                    <w14:schemeClr w14:val="tx1"/>
                  </w14:solidFill>
                </w14:textFill>
              </w:rPr>
              <w:t>31</w:t>
            </w:r>
          </w:p>
        </w:tc>
        <w:tc>
          <w:tcPr>
            <w:tcW w:w="194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1.27±0.06</w:t>
            </w:r>
            <w:r>
              <w:rPr>
                <w:rFonts w:ascii="Times New Roman" w:hAnsi="Times New Roman" w:eastAsia="宋体" w:cs="Times New Roman"/>
                <w:bCs/>
                <w:color w:val="000000" w:themeColor="text1"/>
                <w:szCs w:val="21"/>
                <w14:textFill>
                  <w14:solidFill>
                    <w14:schemeClr w14:val="tx1"/>
                  </w14:solidFill>
                </w14:textFill>
              </w:rPr>
              <w:t>mg/kg</w:t>
            </w:r>
          </w:p>
        </w:tc>
        <w:tc>
          <w:tcPr>
            <w:tcW w:w="1688"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1.28</w:t>
            </w:r>
            <w:r>
              <w:rPr>
                <w:rFonts w:ascii="Times New Roman" w:hAnsi="Times New Roman" w:eastAsia="宋体" w:cs="Times New Roman"/>
                <w:bCs/>
                <w:color w:val="000000" w:themeColor="text1"/>
                <w:szCs w:val="21"/>
                <w14:textFill>
                  <w14:solidFill>
                    <w14:schemeClr w14:val="tx1"/>
                  </w14:solidFill>
                </w14:textFill>
              </w:rPr>
              <w:t>mg/kg</w:t>
            </w:r>
          </w:p>
        </w:tc>
        <w:tc>
          <w:tcPr>
            <w:tcW w:w="1445" w:type="dxa"/>
            <w:tcBorders>
              <w:tl2br w:val="nil"/>
              <w:tr2bl w:val="nil"/>
            </w:tcBorders>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588"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钒</w:t>
            </w:r>
          </w:p>
        </w:tc>
        <w:tc>
          <w:tcPr>
            <w:tcW w:w="1701"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GSS-</w:t>
            </w:r>
            <w:r>
              <w:rPr>
                <w:rFonts w:hint="eastAsia" w:ascii="Times New Roman" w:hAnsi="Times New Roman" w:eastAsia="宋体" w:cs="Times New Roman"/>
                <w:color w:val="000000" w:themeColor="text1"/>
                <w:szCs w:val="21"/>
                <w14:textFill>
                  <w14:solidFill>
                    <w14:schemeClr w14:val="tx1"/>
                  </w14:solidFill>
                </w14:textFill>
              </w:rPr>
              <w:t>31</w:t>
            </w:r>
          </w:p>
        </w:tc>
        <w:tc>
          <w:tcPr>
            <w:tcW w:w="194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125±3</w:t>
            </w:r>
            <w:r>
              <w:rPr>
                <w:rFonts w:ascii="Times New Roman" w:hAnsi="Times New Roman" w:eastAsia="宋体" w:cs="Times New Roman"/>
                <w:bCs/>
                <w:color w:val="000000" w:themeColor="text1"/>
                <w:szCs w:val="21"/>
                <w14:textFill>
                  <w14:solidFill>
                    <w14:schemeClr w14:val="tx1"/>
                  </w14:solidFill>
                </w14:textFill>
              </w:rPr>
              <w:t>mg/kg</w:t>
            </w:r>
          </w:p>
        </w:tc>
        <w:tc>
          <w:tcPr>
            <w:tcW w:w="1688"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126</w:t>
            </w:r>
            <w:r>
              <w:rPr>
                <w:rFonts w:ascii="Times New Roman" w:hAnsi="Times New Roman" w:eastAsia="宋体" w:cs="Times New Roman"/>
                <w:bCs/>
                <w:color w:val="000000" w:themeColor="text1"/>
                <w:szCs w:val="21"/>
                <w14:textFill>
                  <w14:solidFill>
                    <w14:schemeClr w14:val="tx1"/>
                  </w14:solidFill>
                </w14:textFill>
              </w:rPr>
              <w:t>mg/kg</w:t>
            </w:r>
          </w:p>
        </w:tc>
        <w:tc>
          <w:tcPr>
            <w:tcW w:w="1445" w:type="dxa"/>
            <w:tcBorders>
              <w:tl2br w:val="nil"/>
              <w:tr2bl w:val="nil"/>
            </w:tcBorders>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588"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锌</w:t>
            </w:r>
          </w:p>
        </w:tc>
        <w:tc>
          <w:tcPr>
            <w:tcW w:w="1701"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G</w:t>
            </w:r>
            <w:r>
              <w:rPr>
                <w:rFonts w:ascii="Times New Roman" w:hAnsi="Times New Roman" w:eastAsia="宋体" w:cs="Times New Roman"/>
                <w:color w:val="000000" w:themeColor="text1"/>
                <w:szCs w:val="21"/>
                <w14:textFill>
                  <w14:solidFill>
                    <w14:schemeClr w14:val="tx1"/>
                  </w14:solidFill>
                </w14:textFill>
              </w:rPr>
              <w:t>SS-31</w:t>
            </w:r>
          </w:p>
        </w:tc>
        <w:tc>
          <w:tcPr>
            <w:tcW w:w="194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04±3</w:t>
            </w:r>
            <w:r>
              <w:rPr>
                <w:rFonts w:ascii="Times New Roman" w:hAnsi="Times New Roman" w:eastAsia="宋体" w:cs="Times New Roman"/>
                <w:bCs/>
                <w:color w:val="000000" w:themeColor="text1"/>
                <w:szCs w:val="21"/>
                <w14:textFill>
                  <w14:solidFill>
                    <w14:schemeClr w14:val="tx1"/>
                  </w14:solidFill>
                </w14:textFill>
              </w:rPr>
              <w:t>mg/kg</w:t>
            </w:r>
          </w:p>
        </w:tc>
        <w:tc>
          <w:tcPr>
            <w:tcW w:w="1688"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02</w:t>
            </w:r>
            <w:r>
              <w:rPr>
                <w:rFonts w:ascii="Times New Roman" w:hAnsi="Times New Roman" w:eastAsia="宋体" w:cs="Times New Roman"/>
                <w:bCs/>
                <w:color w:val="000000" w:themeColor="text1"/>
                <w:szCs w:val="21"/>
                <w14:textFill>
                  <w14:solidFill>
                    <w14:schemeClr w14:val="tx1"/>
                  </w14:solidFill>
                </w14:textFill>
              </w:rPr>
              <w:t>mg/kg</w:t>
            </w:r>
          </w:p>
        </w:tc>
        <w:tc>
          <w:tcPr>
            <w:tcW w:w="1445" w:type="dxa"/>
            <w:tcBorders>
              <w:tl2br w:val="nil"/>
              <w:tr2bl w:val="nil"/>
            </w:tcBorders>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588"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镉</w:t>
            </w:r>
          </w:p>
        </w:tc>
        <w:tc>
          <w:tcPr>
            <w:tcW w:w="1701"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G</w:t>
            </w:r>
            <w:r>
              <w:rPr>
                <w:rFonts w:ascii="Times New Roman" w:hAnsi="Times New Roman" w:eastAsia="宋体" w:cs="Times New Roman"/>
                <w:color w:val="000000" w:themeColor="text1"/>
                <w:szCs w:val="21"/>
                <w14:textFill>
                  <w14:solidFill>
                    <w14:schemeClr w14:val="tx1"/>
                  </w14:solidFill>
                </w14:textFill>
              </w:rPr>
              <w:t>SS-31</w:t>
            </w:r>
          </w:p>
        </w:tc>
        <w:tc>
          <w:tcPr>
            <w:tcW w:w="194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0.34±0.02</w:t>
            </w:r>
            <w:r>
              <w:rPr>
                <w:rFonts w:ascii="Times New Roman" w:hAnsi="Times New Roman" w:eastAsia="宋体" w:cs="Times New Roman"/>
                <w:bCs/>
                <w:color w:val="000000" w:themeColor="text1"/>
                <w:szCs w:val="21"/>
                <w14:textFill>
                  <w14:solidFill>
                    <w14:schemeClr w14:val="tx1"/>
                  </w14:solidFill>
                </w14:textFill>
              </w:rPr>
              <w:t>mg/kg</w:t>
            </w:r>
          </w:p>
        </w:tc>
        <w:tc>
          <w:tcPr>
            <w:tcW w:w="1688"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.34</w:t>
            </w:r>
            <w:r>
              <w:rPr>
                <w:rFonts w:ascii="Times New Roman" w:hAnsi="Times New Roman" w:eastAsia="宋体" w:cs="Times New Roman"/>
                <w:bCs/>
                <w:color w:val="000000" w:themeColor="text1"/>
                <w:szCs w:val="21"/>
                <w14:textFill>
                  <w14:solidFill>
                    <w14:schemeClr w14:val="tx1"/>
                  </w14:solidFill>
                </w14:textFill>
              </w:rPr>
              <w:t>mg/kg</w:t>
            </w:r>
          </w:p>
        </w:tc>
        <w:tc>
          <w:tcPr>
            <w:tcW w:w="1445" w:type="dxa"/>
            <w:tcBorders>
              <w:tl2br w:val="nil"/>
              <w:tr2bl w:val="nil"/>
            </w:tcBorders>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588"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六价铬</w:t>
            </w:r>
          </w:p>
        </w:tc>
        <w:tc>
          <w:tcPr>
            <w:tcW w:w="1701"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G</w:t>
            </w:r>
            <w:r>
              <w:rPr>
                <w:rFonts w:ascii="Times New Roman" w:hAnsi="Times New Roman" w:eastAsia="宋体" w:cs="Times New Roman"/>
                <w:color w:val="000000" w:themeColor="text1"/>
                <w:szCs w:val="21"/>
                <w14:textFill>
                  <w14:solidFill>
                    <w14:schemeClr w14:val="tx1"/>
                  </w14:solidFill>
                </w14:textFill>
              </w:rPr>
              <w:t>BW(E)070254</w:t>
            </w:r>
          </w:p>
        </w:tc>
        <w:tc>
          <w:tcPr>
            <w:tcW w:w="194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7.1±0.7</w:t>
            </w:r>
            <w:r>
              <w:rPr>
                <w:rFonts w:ascii="Times New Roman" w:hAnsi="Times New Roman" w:eastAsia="宋体" w:cs="Times New Roman"/>
                <w:bCs/>
                <w:color w:val="000000" w:themeColor="text1"/>
                <w:szCs w:val="21"/>
                <w14:textFill>
                  <w14:solidFill>
                    <w14:schemeClr w14:val="tx1"/>
                  </w14:solidFill>
                </w14:textFill>
              </w:rPr>
              <w:t>mg/kg</w:t>
            </w:r>
          </w:p>
        </w:tc>
        <w:tc>
          <w:tcPr>
            <w:tcW w:w="1688"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7.5</w:t>
            </w:r>
            <w:r>
              <w:rPr>
                <w:rFonts w:ascii="Times New Roman" w:hAnsi="Times New Roman" w:eastAsia="宋体" w:cs="Times New Roman"/>
                <w:bCs/>
                <w:color w:val="000000" w:themeColor="text1"/>
                <w:szCs w:val="21"/>
                <w14:textFill>
                  <w14:solidFill>
                    <w14:schemeClr w14:val="tx1"/>
                  </w14:solidFill>
                </w14:textFill>
              </w:rPr>
              <w:t>mg/kg</w:t>
            </w:r>
          </w:p>
        </w:tc>
        <w:tc>
          <w:tcPr>
            <w:tcW w:w="1445" w:type="dxa"/>
            <w:tcBorders>
              <w:tl2br w:val="nil"/>
              <w:tr2bl w:val="nil"/>
            </w:tcBorders>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合格</w:t>
            </w:r>
          </w:p>
        </w:tc>
      </w:tr>
    </w:tbl>
    <w:p>
      <w:pPr>
        <w:pStyle w:val="39"/>
        <w:numPr>
          <w:ilvl w:val="2"/>
          <w:numId w:val="2"/>
        </w:numPr>
        <w:ind w:left="0" w:firstLine="0" w:firstLineChars="0"/>
        <w:outlineLvl w:val="2"/>
        <w:rPr>
          <w:rFonts w:cs="Times New Roman"/>
          <w:b/>
          <w:color w:val="000000" w:themeColor="text1"/>
          <w14:textFill>
            <w14:solidFill>
              <w14:schemeClr w14:val="tx1"/>
            </w14:solidFill>
          </w14:textFill>
        </w:rPr>
      </w:pPr>
      <w:bookmarkStart w:id="66" w:name="_Toc2350"/>
      <w:r>
        <w:rPr>
          <w:rFonts w:cs="Times New Roman"/>
          <w:b/>
          <w:color w:val="000000" w:themeColor="text1"/>
          <w14:textFill>
            <w14:solidFill>
              <w14:schemeClr w14:val="tx1"/>
            </w14:solidFill>
          </w14:textFill>
        </w:rPr>
        <w:t>地下水</w:t>
      </w:r>
      <w:bookmarkEnd w:id="66"/>
    </w:p>
    <w:p>
      <w:pPr>
        <w:spacing w:line="360" w:lineRule="auto"/>
        <w:ind w:firstLine="480" w:firstLineChars="200"/>
        <w:rPr>
          <w:rFonts w:ascii="Times New Roman" w:hAnsi="Times New Roman" w:cs="Times New Roman"/>
          <w:iCs/>
          <w:color w:val="000000" w:themeColor="text1"/>
          <w:sz w:val="24"/>
          <w:szCs w:val="24"/>
          <w14:textFill>
            <w14:solidFill>
              <w14:schemeClr w14:val="tx1"/>
            </w14:solidFill>
          </w14:textFill>
        </w:rPr>
      </w:pPr>
      <w:r>
        <w:rPr>
          <w:rFonts w:ascii="Times New Roman" w:hAnsi="Times New Roman" w:cs="Times New Roman"/>
          <w:iCs/>
          <w:color w:val="000000" w:themeColor="text1"/>
          <w:sz w:val="24"/>
          <w:szCs w:val="24"/>
          <w14:textFill>
            <w14:solidFill>
              <w14:schemeClr w14:val="tx1"/>
            </w14:solidFill>
          </w14:textFill>
        </w:rPr>
        <w:t>地下水实验室平行样统计见表4-5、质控样统计见表4-6。</w:t>
      </w:r>
    </w:p>
    <w:p>
      <w:pPr>
        <w:numPr>
          <w:ilvl w:val="0"/>
          <w:numId w:val="11"/>
        </w:numPr>
        <w:jc w:val="center"/>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地下水实验室平行样质控一览表</w:t>
      </w:r>
    </w:p>
    <w:tbl>
      <w:tblPr>
        <w:tblStyle w:val="15"/>
        <w:tblW w:w="836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1451"/>
        <w:gridCol w:w="1172"/>
        <w:gridCol w:w="1233"/>
        <w:gridCol w:w="1576"/>
        <w:gridCol w:w="1400"/>
        <w:gridCol w:w="15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blHeader/>
          <w:jc w:val="center"/>
        </w:trPr>
        <w:tc>
          <w:tcPr>
            <w:tcW w:w="1451" w:type="dxa"/>
            <w:tcBorders>
              <w:tl2br w:val="nil"/>
              <w:tr2bl w:val="nil"/>
            </w:tcBorders>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检测项目</w:t>
            </w:r>
          </w:p>
        </w:tc>
        <w:tc>
          <w:tcPr>
            <w:tcW w:w="2405" w:type="dxa"/>
            <w:gridSpan w:val="2"/>
            <w:tcBorders>
              <w:tl2br w:val="nil"/>
              <w:tr2bl w:val="nil"/>
            </w:tcBorders>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平行测定值</w:t>
            </w:r>
          </w:p>
        </w:tc>
        <w:tc>
          <w:tcPr>
            <w:tcW w:w="1576" w:type="dxa"/>
            <w:tcBorders>
              <w:tl2br w:val="nil"/>
              <w:tr2bl w:val="nil"/>
            </w:tcBorders>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相对偏差%</w:t>
            </w:r>
          </w:p>
        </w:tc>
        <w:tc>
          <w:tcPr>
            <w:tcW w:w="1400" w:type="dxa"/>
            <w:tcBorders>
              <w:tl2br w:val="nil"/>
              <w:tr2bl w:val="nil"/>
            </w:tcBorders>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允许偏差%</w:t>
            </w:r>
          </w:p>
        </w:tc>
        <w:tc>
          <w:tcPr>
            <w:tcW w:w="153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是否合格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blHeader/>
          <w:jc w:val="center"/>
        </w:trPr>
        <w:tc>
          <w:tcPr>
            <w:tcW w:w="1451" w:type="dxa"/>
            <w:tcBorders>
              <w:tl2br w:val="nil"/>
              <w:tr2bl w:val="nil"/>
            </w:tcBorders>
            <w:vAlign w:val="center"/>
          </w:tcPr>
          <w:p>
            <w:pPr>
              <w:jc w:val="center"/>
              <w:rPr>
                <w:rFonts w:ascii="Times New Roman" w:hAnsi="Times New Roman" w:eastAsia="宋体" w:cs="Times New Roman"/>
                <w:color w:val="FF0000"/>
              </w:rPr>
            </w:pPr>
            <w:r>
              <w:rPr>
                <w:rFonts w:ascii="Times New Roman" w:hAnsi="Times New Roman" w:cs="Times New Roman"/>
                <w:szCs w:val="21"/>
              </w:rPr>
              <w:t>砷</w:t>
            </w:r>
          </w:p>
        </w:tc>
        <w:tc>
          <w:tcPr>
            <w:tcW w:w="1172" w:type="dxa"/>
            <w:tcBorders>
              <w:right w:val="single" w:color="auto" w:sz="4" w:space="0"/>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000000" w:themeColor="text1"/>
                <w:szCs w:val="21"/>
                <w14:textFill>
                  <w14:solidFill>
                    <w14:schemeClr w14:val="tx1"/>
                  </w14:solidFill>
                </w14:textFill>
              </w:rPr>
              <w:t>&lt;0.12μg/L</w:t>
            </w:r>
          </w:p>
        </w:tc>
        <w:tc>
          <w:tcPr>
            <w:tcW w:w="1233" w:type="dxa"/>
            <w:tcBorders>
              <w:left w:val="single" w:color="auto" w:sz="4" w:space="0"/>
              <w:tl2br w:val="nil"/>
              <w:tr2bl w:val="nil"/>
            </w:tcBorders>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000000" w:themeColor="text1"/>
                <w:szCs w:val="21"/>
                <w14:textFill>
                  <w14:solidFill>
                    <w14:schemeClr w14:val="tx1"/>
                  </w14:solidFill>
                </w14:textFill>
              </w:rPr>
              <w:t>0.1</w:t>
            </w:r>
            <w:r>
              <w:rPr>
                <w:rFonts w:ascii="Times New Roman" w:hAnsi="Times New Roman" w:eastAsia="宋体" w:cs="Times New Roman"/>
                <w:color w:val="000000" w:themeColor="text1"/>
                <w:szCs w:val="21"/>
                <w14:textFill>
                  <w14:solidFill>
                    <w14:schemeClr w14:val="tx1"/>
                  </w14:solidFill>
                </w14:textFill>
              </w:rPr>
              <w:t>3μg/L</w:t>
            </w:r>
          </w:p>
        </w:tc>
        <w:tc>
          <w:tcPr>
            <w:tcW w:w="1576"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140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153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blHeader/>
          <w:jc w:val="center"/>
        </w:trPr>
        <w:tc>
          <w:tcPr>
            <w:tcW w:w="1451"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钡</w:t>
            </w:r>
          </w:p>
        </w:tc>
        <w:tc>
          <w:tcPr>
            <w:tcW w:w="1172" w:type="dxa"/>
            <w:tcBorders>
              <w:righ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69.2μg/L</w:t>
            </w:r>
          </w:p>
        </w:tc>
        <w:tc>
          <w:tcPr>
            <w:tcW w:w="1233" w:type="dxa"/>
            <w:tcBorders>
              <w:lef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68.6μg/L</w:t>
            </w:r>
          </w:p>
        </w:tc>
        <w:tc>
          <w:tcPr>
            <w:tcW w:w="1576"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0.4</w:t>
            </w:r>
          </w:p>
        </w:tc>
        <w:tc>
          <w:tcPr>
            <w:tcW w:w="140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w:t>
            </w:r>
          </w:p>
        </w:tc>
        <w:tc>
          <w:tcPr>
            <w:tcW w:w="153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blHeader/>
          <w:jc w:val="center"/>
        </w:trPr>
        <w:tc>
          <w:tcPr>
            <w:tcW w:w="1451"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铍</w:t>
            </w:r>
          </w:p>
        </w:tc>
        <w:tc>
          <w:tcPr>
            <w:tcW w:w="1172" w:type="dxa"/>
            <w:tcBorders>
              <w:righ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&lt;0.04μg/L</w:t>
            </w:r>
          </w:p>
        </w:tc>
        <w:tc>
          <w:tcPr>
            <w:tcW w:w="1233" w:type="dxa"/>
            <w:tcBorders>
              <w:lef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&lt;0.04μg/L</w:t>
            </w:r>
          </w:p>
        </w:tc>
        <w:tc>
          <w:tcPr>
            <w:tcW w:w="1576"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140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w:t>
            </w:r>
          </w:p>
        </w:tc>
        <w:tc>
          <w:tcPr>
            <w:tcW w:w="153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blHeader/>
          <w:jc w:val="center"/>
        </w:trPr>
        <w:tc>
          <w:tcPr>
            <w:tcW w:w="1451"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镉</w:t>
            </w:r>
          </w:p>
        </w:tc>
        <w:tc>
          <w:tcPr>
            <w:tcW w:w="1172" w:type="dxa"/>
            <w:tcBorders>
              <w:righ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&lt;0.05μg/L</w:t>
            </w:r>
          </w:p>
        </w:tc>
        <w:tc>
          <w:tcPr>
            <w:tcW w:w="1233" w:type="dxa"/>
            <w:tcBorders>
              <w:lef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&lt;0.05μg/L</w:t>
            </w:r>
          </w:p>
        </w:tc>
        <w:tc>
          <w:tcPr>
            <w:tcW w:w="1576"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140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w:t>
            </w:r>
          </w:p>
        </w:tc>
        <w:tc>
          <w:tcPr>
            <w:tcW w:w="153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blHeader/>
          <w:jc w:val="center"/>
        </w:trPr>
        <w:tc>
          <w:tcPr>
            <w:tcW w:w="1451"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钴</w:t>
            </w:r>
          </w:p>
        </w:tc>
        <w:tc>
          <w:tcPr>
            <w:tcW w:w="1172" w:type="dxa"/>
            <w:tcBorders>
              <w:righ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0.06μg/L</w:t>
            </w:r>
          </w:p>
        </w:tc>
        <w:tc>
          <w:tcPr>
            <w:tcW w:w="1233" w:type="dxa"/>
            <w:tcBorders>
              <w:lef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0.04μg/L</w:t>
            </w:r>
          </w:p>
        </w:tc>
        <w:tc>
          <w:tcPr>
            <w:tcW w:w="1576"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w:t>
            </w:r>
          </w:p>
        </w:tc>
        <w:tc>
          <w:tcPr>
            <w:tcW w:w="140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w:t>
            </w:r>
          </w:p>
        </w:tc>
        <w:tc>
          <w:tcPr>
            <w:tcW w:w="153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blHeader/>
          <w:jc w:val="center"/>
        </w:trPr>
        <w:tc>
          <w:tcPr>
            <w:tcW w:w="1451"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铜</w:t>
            </w:r>
          </w:p>
        </w:tc>
        <w:tc>
          <w:tcPr>
            <w:tcW w:w="1172" w:type="dxa"/>
            <w:tcBorders>
              <w:righ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0.25μg/L</w:t>
            </w:r>
          </w:p>
        </w:tc>
        <w:tc>
          <w:tcPr>
            <w:tcW w:w="1233" w:type="dxa"/>
            <w:tcBorders>
              <w:lef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0.20μg/L</w:t>
            </w:r>
          </w:p>
        </w:tc>
        <w:tc>
          <w:tcPr>
            <w:tcW w:w="1576"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w:t>
            </w:r>
          </w:p>
        </w:tc>
        <w:tc>
          <w:tcPr>
            <w:tcW w:w="140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w:t>
            </w:r>
          </w:p>
        </w:tc>
        <w:tc>
          <w:tcPr>
            <w:tcW w:w="153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blHeader/>
          <w:jc w:val="center"/>
        </w:trPr>
        <w:tc>
          <w:tcPr>
            <w:tcW w:w="1451"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铁</w:t>
            </w:r>
          </w:p>
        </w:tc>
        <w:tc>
          <w:tcPr>
            <w:tcW w:w="1172" w:type="dxa"/>
            <w:tcBorders>
              <w:righ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40.2μg/L</w:t>
            </w:r>
          </w:p>
        </w:tc>
        <w:tc>
          <w:tcPr>
            <w:tcW w:w="1233" w:type="dxa"/>
            <w:tcBorders>
              <w:lef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37.4μg/L</w:t>
            </w:r>
          </w:p>
        </w:tc>
        <w:tc>
          <w:tcPr>
            <w:tcW w:w="1576"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w:t>
            </w:r>
          </w:p>
        </w:tc>
        <w:tc>
          <w:tcPr>
            <w:tcW w:w="140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w:t>
            </w:r>
          </w:p>
        </w:tc>
        <w:tc>
          <w:tcPr>
            <w:tcW w:w="153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blHeader/>
          <w:jc w:val="center"/>
        </w:trPr>
        <w:tc>
          <w:tcPr>
            <w:tcW w:w="1451"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锰</w:t>
            </w:r>
          </w:p>
        </w:tc>
        <w:tc>
          <w:tcPr>
            <w:tcW w:w="1172" w:type="dxa"/>
            <w:tcBorders>
              <w:righ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7</w:t>
            </w:r>
            <w:r>
              <w:rPr>
                <w:rFonts w:ascii="Times New Roman" w:hAnsi="Times New Roman" w:eastAsia="宋体" w:cs="Times New Roman"/>
                <w:color w:val="000000" w:themeColor="text1"/>
                <w:szCs w:val="21"/>
                <w14:textFill>
                  <w14:solidFill>
                    <w14:schemeClr w14:val="tx1"/>
                  </w14:solidFill>
                </w14:textFill>
              </w:rPr>
              <w:t>.18μg/L</w:t>
            </w:r>
          </w:p>
        </w:tc>
        <w:tc>
          <w:tcPr>
            <w:tcW w:w="1233" w:type="dxa"/>
            <w:tcBorders>
              <w:lef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6</w:t>
            </w:r>
            <w:r>
              <w:rPr>
                <w:rFonts w:ascii="Times New Roman" w:hAnsi="Times New Roman" w:eastAsia="宋体" w:cs="Times New Roman"/>
                <w:color w:val="000000" w:themeColor="text1"/>
                <w:szCs w:val="21"/>
                <w14:textFill>
                  <w14:solidFill>
                    <w14:schemeClr w14:val="tx1"/>
                  </w14:solidFill>
                </w14:textFill>
              </w:rPr>
              <w:t>.79μg/L</w:t>
            </w:r>
          </w:p>
        </w:tc>
        <w:tc>
          <w:tcPr>
            <w:tcW w:w="1576"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w:t>
            </w:r>
          </w:p>
        </w:tc>
        <w:tc>
          <w:tcPr>
            <w:tcW w:w="140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w:t>
            </w:r>
          </w:p>
        </w:tc>
        <w:tc>
          <w:tcPr>
            <w:tcW w:w="153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blHeader/>
          <w:jc w:val="center"/>
        </w:trPr>
        <w:tc>
          <w:tcPr>
            <w:tcW w:w="1451"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钼</w:t>
            </w:r>
          </w:p>
        </w:tc>
        <w:tc>
          <w:tcPr>
            <w:tcW w:w="1172" w:type="dxa"/>
            <w:tcBorders>
              <w:righ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&lt;0.06μg/L</w:t>
            </w:r>
          </w:p>
        </w:tc>
        <w:tc>
          <w:tcPr>
            <w:tcW w:w="1233" w:type="dxa"/>
            <w:tcBorders>
              <w:lef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&lt;0.06μg/L</w:t>
            </w:r>
          </w:p>
        </w:tc>
        <w:tc>
          <w:tcPr>
            <w:tcW w:w="1576"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p>
        </w:tc>
        <w:tc>
          <w:tcPr>
            <w:tcW w:w="140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w:t>
            </w:r>
          </w:p>
        </w:tc>
        <w:tc>
          <w:tcPr>
            <w:tcW w:w="153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blHeader/>
          <w:jc w:val="center"/>
        </w:trPr>
        <w:tc>
          <w:tcPr>
            <w:tcW w:w="1451"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镍</w:t>
            </w:r>
          </w:p>
        </w:tc>
        <w:tc>
          <w:tcPr>
            <w:tcW w:w="1172" w:type="dxa"/>
            <w:tcBorders>
              <w:righ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.52μg/L</w:t>
            </w:r>
          </w:p>
        </w:tc>
        <w:tc>
          <w:tcPr>
            <w:tcW w:w="1233" w:type="dxa"/>
            <w:tcBorders>
              <w:lef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.55μg/L</w:t>
            </w:r>
          </w:p>
        </w:tc>
        <w:tc>
          <w:tcPr>
            <w:tcW w:w="1576"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3</w:t>
            </w:r>
          </w:p>
        </w:tc>
        <w:tc>
          <w:tcPr>
            <w:tcW w:w="140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w:t>
            </w:r>
          </w:p>
        </w:tc>
        <w:tc>
          <w:tcPr>
            <w:tcW w:w="153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blHeader/>
          <w:jc w:val="center"/>
        </w:trPr>
        <w:tc>
          <w:tcPr>
            <w:tcW w:w="1451"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铅</w:t>
            </w:r>
          </w:p>
        </w:tc>
        <w:tc>
          <w:tcPr>
            <w:tcW w:w="1172" w:type="dxa"/>
            <w:tcBorders>
              <w:righ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&lt;0.09μg/L</w:t>
            </w:r>
          </w:p>
        </w:tc>
        <w:tc>
          <w:tcPr>
            <w:tcW w:w="1233" w:type="dxa"/>
            <w:tcBorders>
              <w:lef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&lt;0.09μg/L</w:t>
            </w:r>
          </w:p>
        </w:tc>
        <w:tc>
          <w:tcPr>
            <w:tcW w:w="1576"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p>
        </w:tc>
        <w:tc>
          <w:tcPr>
            <w:tcW w:w="140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w:t>
            </w:r>
          </w:p>
        </w:tc>
        <w:tc>
          <w:tcPr>
            <w:tcW w:w="153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blHeader/>
          <w:jc w:val="center"/>
        </w:trPr>
        <w:tc>
          <w:tcPr>
            <w:tcW w:w="1451"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锑</w:t>
            </w:r>
          </w:p>
        </w:tc>
        <w:tc>
          <w:tcPr>
            <w:tcW w:w="1172" w:type="dxa"/>
            <w:tcBorders>
              <w:righ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&lt;0.15μg/L</w:t>
            </w:r>
          </w:p>
        </w:tc>
        <w:tc>
          <w:tcPr>
            <w:tcW w:w="1233" w:type="dxa"/>
            <w:tcBorders>
              <w:lef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&lt;0.15μg/L</w:t>
            </w:r>
          </w:p>
        </w:tc>
        <w:tc>
          <w:tcPr>
            <w:tcW w:w="1576"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p>
        </w:tc>
        <w:tc>
          <w:tcPr>
            <w:tcW w:w="140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w:t>
            </w:r>
          </w:p>
        </w:tc>
        <w:tc>
          <w:tcPr>
            <w:tcW w:w="153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1451"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硒</w:t>
            </w:r>
          </w:p>
        </w:tc>
        <w:tc>
          <w:tcPr>
            <w:tcW w:w="1172" w:type="dxa"/>
            <w:tcBorders>
              <w:righ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&lt;0.41μg/L</w:t>
            </w:r>
          </w:p>
        </w:tc>
        <w:tc>
          <w:tcPr>
            <w:tcW w:w="1233" w:type="dxa"/>
            <w:tcBorders>
              <w:lef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&lt;0.41μg/L</w:t>
            </w:r>
          </w:p>
        </w:tc>
        <w:tc>
          <w:tcPr>
            <w:tcW w:w="1576"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p>
        </w:tc>
        <w:tc>
          <w:tcPr>
            <w:tcW w:w="140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w:t>
            </w:r>
          </w:p>
        </w:tc>
        <w:tc>
          <w:tcPr>
            <w:tcW w:w="153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blHeader/>
          <w:jc w:val="center"/>
        </w:trPr>
        <w:tc>
          <w:tcPr>
            <w:tcW w:w="1451"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铊</w:t>
            </w:r>
          </w:p>
        </w:tc>
        <w:tc>
          <w:tcPr>
            <w:tcW w:w="1172" w:type="dxa"/>
            <w:tcBorders>
              <w:righ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&lt;0.02μg/L</w:t>
            </w:r>
          </w:p>
        </w:tc>
        <w:tc>
          <w:tcPr>
            <w:tcW w:w="1233" w:type="dxa"/>
            <w:tcBorders>
              <w:lef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&lt;0.02μg/L</w:t>
            </w:r>
          </w:p>
        </w:tc>
        <w:tc>
          <w:tcPr>
            <w:tcW w:w="1576"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p>
        </w:tc>
        <w:tc>
          <w:tcPr>
            <w:tcW w:w="140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w:t>
            </w:r>
          </w:p>
        </w:tc>
        <w:tc>
          <w:tcPr>
            <w:tcW w:w="153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blHeader/>
          <w:jc w:val="center"/>
        </w:trPr>
        <w:tc>
          <w:tcPr>
            <w:tcW w:w="1451"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锌</w:t>
            </w:r>
          </w:p>
        </w:tc>
        <w:tc>
          <w:tcPr>
            <w:tcW w:w="1172" w:type="dxa"/>
            <w:tcBorders>
              <w:righ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4.4μg/L</w:t>
            </w:r>
          </w:p>
        </w:tc>
        <w:tc>
          <w:tcPr>
            <w:tcW w:w="1233" w:type="dxa"/>
            <w:tcBorders>
              <w:lef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4.4μg/L</w:t>
            </w:r>
          </w:p>
        </w:tc>
        <w:tc>
          <w:tcPr>
            <w:tcW w:w="1576"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p>
        </w:tc>
        <w:tc>
          <w:tcPr>
            <w:tcW w:w="140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w:t>
            </w:r>
          </w:p>
        </w:tc>
        <w:tc>
          <w:tcPr>
            <w:tcW w:w="153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blHeader/>
          <w:jc w:val="center"/>
        </w:trPr>
        <w:tc>
          <w:tcPr>
            <w:tcW w:w="1451" w:type="dxa"/>
            <w:tcBorders>
              <w:tl2br w:val="nil"/>
              <w:tr2bl w:val="nil"/>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铝</w:t>
            </w:r>
          </w:p>
        </w:tc>
        <w:tc>
          <w:tcPr>
            <w:tcW w:w="1172" w:type="dxa"/>
            <w:tcBorders>
              <w:righ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.54μg/L</w:t>
            </w:r>
          </w:p>
        </w:tc>
        <w:tc>
          <w:tcPr>
            <w:tcW w:w="1233" w:type="dxa"/>
            <w:tcBorders>
              <w:lef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.24μg/L</w:t>
            </w:r>
          </w:p>
        </w:tc>
        <w:tc>
          <w:tcPr>
            <w:tcW w:w="1576"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1</w:t>
            </w:r>
          </w:p>
        </w:tc>
        <w:tc>
          <w:tcPr>
            <w:tcW w:w="140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0</w:t>
            </w:r>
          </w:p>
        </w:tc>
        <w:tc>
          <w:tcPr>
            <w:tcW w:w="153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blHeader/>
          <w:jc w:val="center"/>
        </w:trPr>
        <w:tc>
          <w:tcPr>
            <w:tcW w:w="1451" w:type="dxa"/>
            <w:tcBorders>
              <w:tl2br w:val="nil"/>
              <w:tr2bl w:val="nil"/>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汞</w:t>
            </w:r>
          </w:p>
        </w:tc>
        <w:tc>
          <w:tcPr>
            <w:tcW w:w="1172" w:type="dxa"/>
            <w:tcBorders>
              <w:righ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&lt;0.04μg/L</w:t>
            </w:r>
          </w:p>
        </w:tc>
        <w:tc>
          <w:tcPr>
            <w:tcW w:w="1233" w:type="dxa"/>
            <w:tcBorders>
              <w:lef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&lt;0.04μg/L</w:t>
            </w:r>
          </w:p>
        </w:tc>
        <w:tc>
          <w:tcPr>
            <w:tcW w:w="1576"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p>
        </w:tc>
        <w:tc>
          <w:tcPr>
            <w:tcW w:w="140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w:t>
            </w:r>
          </w:p>
        </w:tc>
        <w:tc>
          <w:tcPr>
            <w:tcW w:w="153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54" w:hRule="atLeast"/>
          <w:tblHeader/>
          <w:jc w:val="center"/>
        </w:trPr>
        <w:tc>
          <w:tcPr>
            <w:tcW w:w="1451" w:type="dxa"/>
            <w:tcBorders>
              <w:tl2br w:val="nil"/>
              <w:tr2bl w:val="nil"/>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钠</w:t>
            </w:r>
          </w:p>
        </w:tc>
        <w:tc>
          <w:tcPr>
            <w:tcW w:w="1172" w:type="dxa"/>
            <w:tcBorders>
              <w:righ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4.5μg/L</w:t>
            </w:r>
          </w:p>
        </w:tc>
        <w:tc>
          <w:tcPr>
            <w:tcW w:w="1233" w:type="dxa"/>
            <w:tcBorders>
              <w:left w:val="single" w:color="auto" w:sz="4" w:space="0"/>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t>4.5μg/L</w:t>
            </w:r>
          </w:p>
        </w:tc>
        <w:tc>
          <w:tcPr>
            <w:tcW w:w="1576"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0</w:t>
            </w:r>
          </w:p>
        </w:tc>
        <w:tc>
          <w:tcPr>
            <w:tcW w:w="140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w:t>
            </w:r>
          </w:p>
        </w:tc>
        <w:tc>
          <w:tcPr>
            <w:tcW w:w="153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合格</w:t>
            </w:r>
          </w:p>
        </w:tc>
      </w:tr>
    </w:tbl>
    <w:p>
      <w:pPr>
        <w:spacing w:line="360" w:lineRule="auto"/>
        <w:jc w:val="center"/>
        <w:rPr>
          <w:rFonts w:ascii="Times New Roman" w:hAnsi="Times New Roman" w:eastAsia="宋体" w:cs="Times New Roman"/>
          <w:b/>
          <w:bCs/>
          <w:color w:val="000000" w:themeColor="text1"/>
          <w:szCs w:val="24"/>
          <w:highlight w:val="yellow"/>
          <w14:textFill>
            <w14:solidFill>
              <w14:schemeClr w14:val="tx1"/>
            </w14:solidFill>
          </w14:textFill>
        </w:rPr>
      </w:pPr>
    </w:p>
    <w:p>
      <w:pPr>
        <w:numPr>
          <w:ilvl w:val="0"/>
          <w:numId w:val="11"/>
        </w:numPr>
        <w:jc w:val="center"/>
        <w:rPr>
          <w:rFonts w:ascii="Times New Roman" w:hAnsi="Times New Roman" w:eastAsia="宋体" w:cs="Times New Roman"/>
          <w:b/>
          <w:bCs/>
          <w:color w:val="000000" w:themeColor="text1"/>
          <w:sz w:val="24"/>
          <w:szCs w:val="32"/>
          <w14:textFill>
            <w14:solidFill>
              <w14:schemeClr w14:val="tx1"/>
            </w14:solidFill>
          </w14:textFill>
        </w:rPr>
      </w:pPr>
      <w:r>
        <w:rPr>
          <w:rFonts w:ascii="Times New Roman" w:hAnsi="Times New Roman" w:eastAsia="宋体" w:cs="Times New Roman"/>
          <w:b/>
          <w:bCs/>
          <w:color w:val="000000" w:themeColor="text1"/>
          <w:sz w:val="24"/>
          <w:szCs w:val="32"/>
          <w14:textFill>
            <w14:solidFill>
              <w14:schemeClr w14:val="tx1"/>
            </w14:solidFill>
          </w14:textFill>
        </w:rPr>
        <w:t>地下水质控样统计一览表</w:t>
      </w:r>
    </w:p>
    <w:tbl>
      <w:tblPr>
        <w:tblStyle w:val="15"/>
        <w:tblW w:w="836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1729"/>
        <w:gridCol w:w="1725"/>
        <w:gridCol w:w="1950"/>
        <w:gridCol w:w="1425"/>
        <w:gridCol w:w="15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tblHeader/>
          <w:jc w:val="center"/>
        </w:trPr>
        <w:tc>
          <w:tcPr>
            <w:tcW w:w="1729" w:type="dxa"/>
            <w:tcBorders>
              <w:tl2br w:val="nil"/>
              <w:tr2bl w:val="nil"/>
            </w:tcBorders>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检测项目</w:t>
            </w:r>
          </w:p>
        </w:tc>
        <w:tc>
          <w:tcPr>
            <w:tcW w:w="1725" w:type="dxa"/>
            <w:tcBorders>
              <w:tl2br w:val="nil"/>
              <w:tr2bl w:val="nil"/>
            </w:tcBorders>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质控样编号</w:t>
            </w:r>
          </w:p>
        </w:tc>
        <w:tc>
          <w:tcPr>
            <w:tcW w:w="1950" w:type="dxa"/>
            <w:tcBorders>
              <w:tl2br w:val="nil"/>
              <w:tr2bl w:val="nil"/>
            </w:tcBorders>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质控样范围</w:t>
            </w:r>
          </w:p>
        </w:tc>
        <w:tc>
          <w:tcPr>
            <w:tcW w:w="1425" w:type="dxa"/>
            <w:tcBorders>
              <w:tl2br w:val="nil"/>
              <w:tr2bl w:val="nil"/>
            </w:tcBorders>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测定结果</w:t>
            </w:r>
          </w:p>
        </w:tc>
        <w:tc>
          <w:tcPr>
            <w:tcW w:w="1533" w:type="dxa"/>
            <w:tcBorders>
              <w:tl2br w:val="nil"/>
              <w:tr2bl w:val="nil"/>
            </w:tcBorders>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是否合格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729"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总硬度</w:t>
            </w:r>
          </w:p>
        </w:tc>
        <w:tc>
          <w:tcPr>
            <w:tcW w:w="17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20074</w:t>
            </w:r>
            <w:r>
              <w:rPr>
                <w:rFonts w:ascii="Times New Roman" w:hAnsi="Times New Roman" w:eastAsia="宋体" w:cs="Times New Roman"/>
                <w:color w:val="000000" w:themeColor="text1"/>
                <w:szCs w:val="21"/>
                <w14:textFill>
                  <w14:solidFill>
                    <w14:schemeClr w14:val="tx1"/>
                  </w14:solidFill>
                </w14:textFill>
              </w:rPr>
              <w:t>7</w:t>
            </w:r>
          </w:p>
        </w:tc>
        <w:tc>
          <w:tcPr>
            <w:tcW w:w="195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152±5</w:t>
            </w:r>
            <w:r>
              <w:rPr>
                <w:rFonts w:hint="eastAsia" w:ascii="Times New Roman" w:hAnsi="Times New Roman" w:eastAsia="宋体" w:cs="Times New Roman"/>
                <w:color w:val="000000" w:themeColor="text1"/>
                <w:szCs w:val="21"/>
                <w14:textFill>
                  <w14:solidFill>
                    <w14:schemeClr w14:val="tx1"/>
                  </w14:solidFill>
                </w14:textFill>
              </w:rPr>
              <w:t>mg/L</w:t>
            </w:r>
          </w:p>
        </w:tc>
        <w:tc>
          <w:tcPr>
            <w:tcW w:w="14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151</w:t>
            </w:r>
            <w:r>
              <w:rPr>
                <w:rFonts w:hint="eastAsia" w:ascii="Times New Roman" w:hAnsi="Times New Roman" w:eastAsia="宋体" w:cs="Times New Roman"/>
                <w:color w:val="000000" w:themeColor="text1"/>
                <w:szCs w:val="21"/>
                <w14:textFill>
                  <w14:solidFill>
                    <w14:schemeClr w14:val="tx1"/>
                  </w14:solidFill>
                </w14:textFill>
              </w:rPr>
              <w:t>mg/L</w:t>
            </w:r>
          </w:p>
        </w:tc>
        <w:tc>
          <w:tcPr>
            <w:tcW w:w="1533"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729"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耗氧量</w:t>
            </w:r>
          </w:p>
        </w:tc>
        <w:tc>
          <w:tcPr>
            <w:tcW w:w="17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B1911074</w:t>
            </w:r>
          </w:p>
        </w:tc>
        <w:tc>
          <w:tcPr>
            <w:tcW w:w="195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2.67</w:t>
            </w: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0.16mg/L</w:t>
            </w:r>
          </w:p>
        </w:tc>
        <w:tc>
          <w:tcPr>
            <w:tcW w:w="14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53</w:t>
            </w:r>
            <w:r>
              <w:rPr>
                <w:rFonts w:hint="eastAsia" w:ascii="Times New Roman" w:hAnsi="Times New Roman" w:eastAsia="宋体" w:cs="Times New Roman"/>
                <w:color w:val="000000" w:themeColor="text1"/>
                <w:szCs w:val="21"/>
                <w14:textFill>
                  <w14:solidFill>
                    <w14:schemeClr w14:val="tx1"/>
                  </w14:solidFill>
                </w14:textFill>
              </w:rPr>
              <w:t>mg/L</w:t>
            </w:r>
          </w:p>
        </w:tc>
        <w:tc>
          <w:tcPr>
            <w:tcW w:w="1533" w:type="dxa"/>
            <w:tcBorders>
              <w:tl2br w:val="nil"/>
              <w:tr2bl w:val="nil"/>
            </w:tcBorders>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729"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氨氮</w:t>
            </w:r>
          </w:p>
        </w:tc>
        <w:tc>
          <w:tcPr>
            <w:tcW w:w="17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2005140</w:t>
            </w:r>
            <w:r>
              <w:rPr>
                <w:rFonts w:ascii="Times New Roman" w:hAnsi="Times New Roman" w:eastAsia="宋体" w:cs="Times New Roman"/>
                <w:color w:val="000000" w:themeColor="text1"/>
                <w:szCs w:val="21"/>
                <w14:textFill>
                  <w14:solidFill>
                    <w14:schemeClr w14:val="tx1"/>
                  </w14:solidFill>
                </w14:textFill>
              </w:rPr>
              <w:t>-04</w:t>
            </w:r>
          </w:p>
        </w:tc>
        <w:tc>
          <w:tcPr>
            <w:tcW w:w="195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25.3</w:t>
            </w:r>
            <w:r>
              <w:rPr>
                <w:rFonts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1.0mg/L</w:t>
            </w:r>
          </w:p>
        </w:tc>
        <w:tc>
          <w:tcPr>
            <w:tcW w:w="14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5</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4</w:t>
            </w:r>
            <w:r>
              <w:rPr>
                <w:rFonts w:hint="eastAsia" w:ascii="Times New Roman" w:hAnsi="Times New Roman" w:eastAsia="宋体" w:cs="Times New Roman"/>
                <w:color w:val="000000" w:themeColor="text1"/>
                <w:szCs w:val="21"/>
                <w14:textFill>
                  <w14:solidFill>
                    <w14:schemeClr w14:val="tx1"/>
                  </w14:solidFill>
                </w14:textFill>
              </w:rPr>
              <w:t>mg/L</w:t>
            </w:r>
          </w:p>
        </w:tc>
        <w:tc>
          <w:tcPr>
            <w:tcW w:w="1533" w:type="dxa"/>
            <w:tcBorders>
              <w:tl2br w:val="nil"/>
              <w:tr2bl w:val="nil"/>
            </w:tcBorders>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729"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硫化物</w:t>
            </w:r>
          </w:p>
        </w:tc>
        <w:tc>
          <w:tcPr>
            <w:tcW w:w="17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05538</w:t>
            </w:r>
          </w:p>
        </w:tc>
        <w:tc>
          <w:tcPr>
            <w:tcW w:w="195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22±0</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27</w:t>
            </w:r>
            <w:r>
              <w:rPr>
                <w:rFonts w:hint="eastAsia" w:ascii="Times New Roman" w:hAnsi="Times New Roman" w:eastAsia="宋体" w:cs="Times New Roman"/>
                <w:color w:val="000000" w:themeColor="text1"/>
                <w:szCs w:val="21"/>
                <w14:textFill>
                  <w14:solidFill>
                    <w14:schemeClr w14:val="tx1"/>
                  </w14:solidFill>
                </w14:textFill>
              </w:rPr>
              <w:t>mg/L</w:t>
            </w:r>
          </w:p>
        </w:tc>
        <w:tc>
          <w:tcPr>
            <w:tcW w:w="14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27</w:t>
            </w:r>
            <w:r>
              <w:rPr>
                <w:rFonts w:hint="eastAsia" w:ascii="Times New Roman" w:hAnsi="Times New Roman" w:eastAsia="宋体" w:cs="Times New Roman"/>
                <w:color w:val="000000" w:themeColor="text1"/>
                <w:szCs w:val="21"/>
                <w14:textFill>
                  <w14:solidFill>
                    <w14:schemeClr w14:val="tx1"/>
                  </w14:solidFill>
                </w14:textFill>
              </w:rPr>
              <w:t>mg/L</w:t>
            </w:r>
          </w:p>
        </w:tc>
        <w:tc>
          <w:tcPr>
            <w:tcW w:w="1533" w:type="dxa"/>
            <w:tcBorders>
              <w:tl2br w:val="nil"/>
              <w:tr2bl w:val="nil"/>
            </w:tcBorders>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729"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挥发酚</w:t>
            </w:r>
          </w:p>
        </w:tc>
        <w:tc>
          <w:tcPr>
            <w:tcW w:w="17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2003</w:t>
            </w:r>
            <w:r>
              <w:rPr>
                <w:rFonts w:ascii="Times New Roman" w:hAnsi="Times New Roman" w:eastAsia="宋体" w:cs="Times New Roman"/>
                <w:color w:val="000000" w:themeColor="text1"/>
                <w:szCs w:val="21"/>
                <w14:textFill>
                  <w14:solidFill>
                    <w14:schemeClr w14:val="tx1"/>
                  </w14:solidFill>
                </w14:textFill>
              </w:rPr>
              <w:t>61</w:t>
            </w:r>
          </w:p>
        </w:tc>
        <w:tc>
          <w:tcPr>
            <w:tcW w:w="195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66±0</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69μg/L</w:t>
            </w:r>
          </w:p>
        </w:tc>
        <w:tc>
          <w:tcPr>
            <w:tcW w:w="14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57μg/L</w:t>
            </w:r>
          </w:p>
        </w:tc>
        <w:tc>
          <w:tcPr>
            <w:tcW w:w="1533" w:type="dxa"/>
            <w:tcBorders>
              <w:tl2br w:val="nil"/>
              <w:tr2bl w:val="nil"/>
            </w:tcBorders>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729"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szCs w:val="21"/>
              </w:rPr>
              <w:t>氟化物</w:t>
            </w:r>
          </w:p>
        </w:tc>
        <w:tc>
          <w:tcPr>
            <w:tcW w:w="17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04728</w:t>
            </w:r>
          </w:p>
        </w:tc>
        <w:tc>
          <w:tcPr>
            <w:tcW w:w="195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30±0</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07</w:t>
            </w:r>
            <w:r>
              <w:rPr>
                <w:rFonts w:hint="eastAsia" w:ascii="Times New Roman" w:hAnsi="Times New Roman" w:eastAsia="宋体" w:cs="Times New Roman"/>
                <w:color w:val="000000" w:themeColor="text1"/>
                <w:szCs w:val="21"/>
                <w14:textFill>
                  <w14:solidFill>
                    <w14:schemeClr w14:val="tx1"/>
                  </w14:solidFill>
                </w14:textFill>
              </w:rPr>
              <w:t>mg/L</w:t>
            </w:r>
          </w:p>
        </w:tc>
        <w:tc>
          <w:tcPr>
            <w:tcW w:w="14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1.32</w:t>
            </w:r>
            <w:r>
              <w:rPr>
                <w:rFonts w:hint="eastAsia" w:ascii="Times New Roman" w:hAnsi="Times New Roman" w:eastAsia="宋体" w:cs="Times New Roman"/>
                <w:color w:val="000000" w:themeColor="text1"/>
                <w:szCs w:val="21"/>
                <w14:textFill>
                  <w14:solidFill>
                    <w14:schemeClr w14:val="tx1"/>
                  </w14:solidFill>
                </w14:textFill>
              </w:rPr>
              <w:t>mg/L</w:t>
            </w:r>
          </w:p>
        </w:tc>
        <w:tc>
          <w:tcPr>
            <w:tcW w:w="1533" w:type="dxa"/>
            <w:tcBorders>
              <w:tl2br w:val="nil"/>
              <w:tr2bl w:val="nil"/>
            </w:tcBorders>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729"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szCs w:val="21"/>
              </w:rPr>
              <w:t>氯化物</w:t>
            </w:r>
          </w:p>
        </w:tc>
        <w:tc>
          <w:tcPr>
            <w:tcW w:w="17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04728</w:t>
            </w:r>
          </w:p>
        </w:tc>
        <w:tc>
          <w:tcPr>
            <w:tcW w:w="195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95±0</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37</w:t>
            </w:r>
            <w:r>
              <w:rPr>
                <w:rFonts w:hint="eastAsia" w:ascii="Times New Roman" w:hAnsi="Times New Roman" w:eastAsia="宋体" w:cs="Times New Roman"/>
                <w:color w:val="000000" w:themeColor="text1"/>
                <w:szCs w:val="21"/>
                <w14:textFill>
                  <w14:solidFill>
                    <w14:schemeClr w14:val="tx1"/>
                  </w14:solidFill>
                </w14:textFill>
              </w:rPr>
              <w:t>mg/L</w:t>
            </w:r>
          </w:p>
        </w:tc>
        <w:tc>
          <w:tcPr>
            <w:tcW w:w="14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7.82</w:t>
            </w:r>
            <w:r>
              <w:rPr>
                <w:rFonts w:hint="eastAsia" w:ascii="Times New Roman" w:hAnsi="Times New Roman" w:eastAsia="宋体" w:cs="Times New Roman"/>
                <w:color w:val="000000" w:themeColor="text1"/>
                <w:szCs w:val="21"/>
                <w14:textFill>
                  <w14:solidFill>
                    <w14:schemeClr w14:val="tx1"/>
                  </w14:solidFill>
                </w14:textFill>
              </w:rPr>
              <w:t>mg/L</w:t>
            </w:r>
          </w:p>
        </w:tc>
        <w:tc>
          <w:tcPr>
            <w:tcW w:w="1533" w:type="dxa"/>
            <w:tcBorders>
              <w:tl2br w:val="nil"/>
              <w:tr2bl w:val="nil"/>
            </w:tcBorders>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729" w:type="dxa"/>
            <w:tcBorders>
              <w:tl2br w:val="nil"/>
              <w:tr2bl w:val="nil"/>
            </w:tcBorders>
            <w:vAlign w:val="center"/>
          </w:tcPr>
          <w:p>
            <w:pPr>
              <w:snapToGrid w:val="0"/>
              <w:spacing w:line="240" w:lineRule="exact"/>
              <w:jc w:val="center"/>
              <w:rPr>
                <w:rFonts w:ascii="Times New Roman" w:hAnsi="Times New Roman" w:cs="Times New Roman"/>
                <w:szCs w:val="21"/>
              </w:rPr>
            </w:pPr>
            <w:r>
              <w:rPr>
                <w:rFonts w:ascii="Times New Roman" w:hAnsi="Times New Roman" w:cs="Times New Roman"/>
                <w:szCs w:val="21"/>
              </w:rPr>
              <w:t>硝酸盐</w:t>
            </w:r>
          </w:p>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szCs w:val="21"/>
              </w:rPr>
              <w:t>（以N计）</w:t>
            </w:r>
          </w:p>
        </w:tc>
        <w:tc>
          <w:tcPr>
            <w:tcW w:w="17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04728</w:t>
            </w:r>
          </w:p>
        </w:tc>
        <w:tc>
          <w:tcPr>
            <w:tcW w:w="195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68±0</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11</w:t>
            </w:r>
            <w:r>
              <w:rPr>
                <w:rFonts w:hint="eastAsia" w:ascii="Times New Roman" w:hAnsi="Times New Roman" w:eastAsia="宋体" w:cs="Times New Roman"/>
                <w:color w:val="000000" w:themeColor="text1"/>
                <w:szCs w:val="21"/>
                <w14:textFill>
                  <w14:solidFill>
                    <w14:schemeClr w14:val="tx1"/>
                  </w14:solidFill>
                </w14:textFill>
              </w:rPr>
              <w:t>mg/L</w:t>
            </w:r>
          </w:p>
        </w:tc>
        <w:tc>
          <w:tcPr>
            <w:tcW w:w="14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1.73</w:t>
            </w:r>
            <w:r>
              <w:rPr>
                <w:rFonts w:hint="eastAsia" w:ascii="Times New Roman" w:hAnsi="Times New Roman" w:eastAsia="宋体" w:cs="Times New Roman"/>
                <w:color w:val="000000" w:themeColor="text1"/>
                <w:szCs w:val="21"/>
                <w14:textFill>
                  <w14:solidFill>
                    <w14:schemeClr w14:val="tx1"/>
                  </w14:solidFill>
                </w14:textFill>
              </w:rPr>
              <w:t>mg/L</w:t>
            </w:r>
          </w:p>
        </w:tc>
        <w:tc>
          <w:tcPr>
            <w:tcW w:w="1533" w:type="dxa"/>
            <w:tcBorders>
              <w:tl2br w:val="nil"/>
              <w:tr2bl w:val="nil"/>
            </w:tcBorders>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729"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szCs w:val="21"/>
              </w:rPr>
              <w:t>硫酸盐</w:t>
            </w:r>
          </w:p>
        </w:tc>
        <w:tc>
          <w:tcPr>
            <w:tcW w:w="17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04728</w:t>
            </w:r>
          </w:p>
        </w:tc>
        <w:tc>
          <w:tcPr>
            <w:tcW w:w="195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16</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2±0</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7</w:t>
            </w:r>
            <w:r>
              <w:rPr>
                <w:rFonts w:hint="eastAsia" w:ascii="Times New Roman" w:hAnsi="Times New Roman" w:eastAsia="宋体" w:cs="Times New Roman"/>
                <w:color w:val="000000" w:themeColor="text1"/>
                <w:szCs w:val="21"/>
                <w14:textFill>
                  <w14:solidFill>
                    <w14:schemeClr w14:val="tx1"/>
                  </w14:solidFill>
                </w14:textFill>
              </w:rPr>
              <w:t>mg/L</w:t>
            </w:r>
          </w:p>
        </w:tc>
        <w:tc>
          <w:tcPr>
            <w:tcW w:w="14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16.1</w:t>
            </w:r>
            <w:r>
              <w:rPr>
                <w:rFonts w:hint="eastAsia" w:ascii="Times New Roman" w:hAnsi="Times New Roman" w:eastAsia="宋体" w:cs="Times New Roman"/>
                <w:color w:val="000000" w:themeColor="text1"/>
                <w:szCs w:val="21"/>
                <w14:textFill>
                  <w14:solidFill>
                    <w14:schemeClr w14:val="tx1"/>
                  </w14:solidFill>
                </w14:textFill>
              </w:rPr>
              <w:t>mg/L</w:t>
            </w:r>
          </w:p>
        </w:tc>
        <w:tc>
          <w:tcPr>
            <w:tcW w:w="1533" w:type="dxa"/>
            <w:tcBorders>
              <w:tl2br w:val="nil"/>
              <w:tr2bl w:val="nil"/>
            </w:tcBorders>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729"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亚硝酸盐氮</w:t>
            </w:r>
          </w:p>
        </w:tc>
        <w:tc>
          <w:tcPr>
            <w:tcW w:w="17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00639</w:t>
            </w:r>
          </w:p>
        </w:tc>
        <w:tc>
          <w:tcPr>
            <w:tcW w:w="195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345±0</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017</w:t>
            </w:r>
            <w:r>
              <w:rPr>
                <w:rFonts w:hint="eastAsia" w:ascii="Times New Roman" w:hAnsi="Times New Roman" w:eastAsia="宋体" w:cs="Times New Roman"/>
                <w:color w:val="000000" w:themeColor="text1"/>
                <w:szCs w:val="21"/>
                <w14:textFill>
                  <w14:solidFill>
                    <w14:schemeClr w14:val="tx1"/>
                  </w14:solidFill>
                </w14:textFill>
              </w:rPr>
              <w:t>mg/L</w:t>
            </w:r>
          </w:p>
        </w:tc>
        <w:tc>
          <w:tcPr>
            <w:tcW w:w="14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0.348</w:t>
            </w:r>
            <w:r>
              <w:rPr>
                <w:rFonts w:hint="eastAsia" w:ascii="Times New Roman" w:hAnsi="Times New Roman" w:eastAsia="宋体" w:cs="Times New Roman"/>
                <w:color w:val="000000" w:themeColor="text1"/>
                <w:szCs w:val="21"/>
                <w14:textFill>
                  <w14:solidFill>
                    <w14:schemeClr w14:val="tx1"/>
                  </w14:solidFill>
                </w14:textFill>
              </w:rPr>
              <w:t>mg/L</w:t>
            </w:r>
          </w:p>
        </w:tc>
        <w:tc>
          <w:tcPr>
            <w:tcW w:w="1533" w:type="dxa"/>
            <w:tcBorders>
              <w:tl2br w:val="nil"/>
              <w:tr2bl w:val="nil"/>
            </w:tcBorders>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729"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氰化物</w:t>
            </w:r>
          </w:p>
        </w:tc>
        <w:tc>
          <w:tcPr>
            <w:tcW w:w="17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02269</w:t>
            </w:r>
          </w:p>
        </w:tc>
        <w:tc>
          <w:tcPr>
            <w:tcW w:w="195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144±0</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012</w:t>
            </w:r>
            <w:r>
              <w:rPr>
                <w:rFonts w:hint="eastAsia" w:ascii="Times New Roman" w:hAnsi="Times New Roman" w:eastAsia="宋体" w:cs="Times New Roman"/>
                <w:color w:val="000000" w:themeColor="text1"/>
                <w:szCs w:val="21"/>
                <w14:textFill>
                  <w14:solidFill>
                    <w14:schemeClr w14:val="tx1"/>
                  </w14:solidFill>
                </w14:textFill>
              </w:rPr>
              <w:t>mg/L</w:t>
            </w:r>
          </w:p>
        </w:tc>
        <w:tc>
          <w:tcPr>
            <w:tcW w:w="14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0.142</w:t>
            </w:r>
            <w:r>
              <w:rPr>
                <w:rFonts w:hint="eastAsia" w:ascii="Times New Roman" w:hAnsi="Times New Roman" w:eastAsia="宋体" w:cs="Times New Roman"/>
                <w:color w:val="000000" w:themeColor="text1"/>
                <w:szCs w:val="21"/>
                <w14:textFill>
                  <w14:solidFill>
                    <w14:schemeClr w14:val="tx1"/>
                  </w14:solidFill>
                </w14:textFill>
              </w:rPr>
              <w:t>mg/L</w:t>
            </w:r>
          </w:p>
        </w:tc>
        <w:tc>
          <w:tcPr>
            <w:tcW w:w="1533" w:type="dxa"/>
            <w:tcBorders>
              <w:tl2br w:val="nil"/>
              <w:tr2bl w:val="nil"/>
            </w:tcBorders>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729" w:type="dxa"/>
            <w:tcBorders>
              <w:tl2br w:val="nil"/>
              <w:tr2bl w:val="nil"/>
            </w:tcBorders>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阴离子表面</w:t>
            </w:r>
          </w:p>
          <w:p>
            <w:pPr>
              <w:jc w:val="center"/>
              <w:rPr>
                <w:rFonts w:ascii="Times New Roman" w:hAnsi="Times New Roman" w:cs="Times New Roman"/>
                <w:szCs w:val="21"/>
              </w:rPr>
            </w:pPr>
            <w:r>
              <w:rPr>
                <w:rFonts w:ascii="Times New Roman" w:hAnsi="Times New Roman" w:cs="Times New Roman"/>
                <w:szCs w:val="21"/>
              </w:rPr>
              <w:t>活性剂</w:t>
            </w:r>
          </w:p>
        </w:tc>
        <w:tc>
          <w:tcPr>
            <w:tcW w:w="17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0442502</w:t>
            </w:r>
          </w:p>
        </w:tc>
        <w:tc>
          <w:tcPr>
            <w:tcW w:w="195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84±0</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20</w:t>
            </w:r>
            <w:r>
              <w:rPr>
                <w:rFonts w:hint="eastAsia" w:ascii="Times New Roman" w:hAnsi="Times New Roman" w:eastAsia="宋体" w:cs="Times New Roman"/>
                <w:color w:val="000000" w:themeColor="text1"/>
                <w:szCs w:val="21"/>
                <w14:textFill>
                  <w14:solidFill>
                    <w14:schemeClr w14:val="tx1"/>
                  </w14:solidFill>
                </w14:textFill>
              </w:rPr>
              <w:t>mg/L</w:t>
            </w:r>
          </w:p>
        </w:tc>
        <w:tc>
          <w:tcPr>
            <w:tcW w:w="14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1.94</w:t>
            </w:r>
            <w:r>
              <w:rPr>
                <w:rFonts w:hint="eastAsia" w:ascii="Times New Roman" w:hAnsi="Times New Roman" w:eastAsia="宋体" w:cs="Times New Roman"/>
                <w:color w:val="000000" w:themeColor="text1"/>
                <w:szCs w:val="21"/>
                <w14:textFill>
                  <w14:solidFill>
                    <w14:schemeClr w14:val="tx1"/>
                  </w14:solidFill>
                </w14:textFill>
              </w:rPr>
              <w:t>mg/L</w:t>
            </w:r>
          </w:p>
        </w:tc>
        <w:tc>
          <w:tcPr>
            <w:tcW w:w="1533" w:type="dxa"/>
            <w:tcBorders>
              <w:tl2br w:val="nil"/>
              <w:tr2bl w:val="nil"/>
            </w:tcBorders>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729"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cs="Times New Roman"/>
                <w:szCs w:val="21"/>
              </w:rPr>
              <w:t>砷</w:t>
            </w:r>
          </w:p>
        </w:tc>
        <w:tc>
          <w:tcPr>
            <w:tcW w:w="17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QC</w:t>
            </w:r>
          </w:p>
        </w:tc>
        <w:tc>
          <w:tcPr>
            <w:tcW w:w="195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80.0±8.0μg/L</w:t>
            </w:r>
          </w:p>
        </w:tc>
        <w:tc>
          <w:tcPr>
            <w:tcW w:w="1425"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000000" w:themeColor="text1"/>
                <w:szCs w:val="21"/>
                <w14:textFill>
                  <w14:solidFill>
                    <w14:schemeClr w14:val="tx1"/>
                  </w14:solidFill>
                </w14:textFill>
              </w:rPr>
              <w:t>74.0μg/L</w:t>
            </w:r>
          </w:p>
        </w:tc>
        <w:tc>
          <w:tcPr>
            <w:tcW w:w="1533"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729"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cs="Times New Roman"/>
                <w:color w:val="000000" w:themeColor="text1"/>
                <w:szCs w:val="21"/>
                <w14:textFill>
                  <w14:solidFill>
                    <w14:schemeClr w14:val="tx1"/>
                  </w14:solidFill>
                </w14:textFill>
              </w:rPr>
              <w:t>钡</w:t>
            </w:r>
          </w:p>
        </w:tc>
        <w:tc>
          <w:tcPr>
            <w:tcW w:w="17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QC</w:t>
            </w:r>
          </w:p>
        </w:tc>
        <w:tc>
          <w:tcPr>
            <w:tcW w:w="195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80.0±8.0μg/L</w:t>
            </w:r>
          </w:p>
        </w:tc>
        <w:tc>
          <w:tcPr>
            <w:tcW w:w="1425"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000000" w:themeColor="text1"/>
                <w:szCs w:val="21"/>
                <w14:textFill>
                  <w14:solidFill>
                    <w14:schemeClr w14:val="tx1"/>
                  </w14:solidFill>
                </w14:textFill>
              </w:rPr>
              <w:t>77.2μg/L</w:t>
            </w:r>
          </w:p>
        </w:tc>
        <w:tc>
          <w:tcPr>
            <w:tcW w:w="1533" w:type="dxa"/>
            <w:tcBorders>
              <w:tl2br w:val="nil"/>
              <w:tr2bl w:val="nil"/>
            </w:tcBorders>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729"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cs="Times New Roman"/>
                <w:color w:val="000000" w:themeColor="text1"/>
                <w:szCs w:val="21"/>
                <w14:textFill>
                  <w14:solidFill>
                    <w14:schemeClr w14:val="tx1"/>
                  </w14:solidFill>
                </w14:textFill>
              </w:rPr>
              <w:t>铍</w:t>
            </w:r>
          </w:p>
        </w:tc>
        <w:tc>
          <w:tcPr>
            <w:tcW w:w="1725"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000000" w:themeColor="text1"/>
                <w:szCs w:val="21"/>
                <w14:textFill>
                  <w14:solidFill>
                    <w14:schemeClr w14:val="tx1"/>
                  </w14:solidFill>
                </w14:textFill>
              </w:rPr>
              <w:t>QC</w:t>
            </w:r>
          </w:p>
        </w:tc>
        <w:tc>
          <w:tcPr>
            <w:tcW w:w="1950"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000000" w:themeColor="text1"/>
                <w:szCs w:val="21"/>
                <w14:textFill>
                  <w14:solidFill>
                    <w14:schemeClr w14:val="tx1"/>
                  </w14:solidFill>
                </w14:textFill>
              </w:rPr>
              <w:t>80.0±8.0μg/L</w:t>
            </w:r>
          </w:p>
        </w:tc>
        <w:tc>
          <w:tcPr>
            <w:tcW w:w="14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79.4μg/L</w:t>
            </w:r>
          </w:p>
        </w:tc>
        <w:tc>
          <w:tcPr>
            <w:tcW w:w="1533" w:type="dxa"/>
            <w:tcBorders>
              <w:tl2br w:val="nil"/>
              <w:tr2bl w:val="nil"/>
            </w:tcBorders>
            <w:vAlign w:val="center"/>
          </w:tcPr>
          <w:p>
            <w:pPr>
              <w:jc w:val="center"/>
              <w:rPr>
                <w:rFonts w:ascii="Times New Roman" w:hAnsi="Times New Roman" w:eastAsia="宋体" w:cs="Times New Roman"/>
                <w:bCs/>
                <w:color w:val="FF0000"/>
                <w:szCs w:val="21"/>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729"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cs="Times New Roman"/>
                <w:color w:val="000000" w:themeColor="text1"/>
                <w:szCs w:val="21"/>
                <w14:textFill>
                  <w14:solidFill>
                    <w14:schemeClr w14:val="tx1"/>
                  </w14:solidFill>
                </w14:textFill>
              </w:rPr>
              <w:t>镉</w:t>
            </w:r>
          </w:p>
        </w:tc>
        <w:tc>
          <w:tcPr>
            <w:tcW w:w="1725"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000000" w:themeColor="text1"/>
                <w:szCs w:val="21"/>
                <w14:textFill>
                  <w14:solidFill>
                    <w14:schemeClr w14:val="tx1"/>
                  </w14:solidFill>
                </w14:textFill>
              </w:rPr>
              <w:t>QC</w:t>
            </w:r>
          </w:p>
        </w:tc>
        <w:tc>
          <w:tcPr>
            <w:tcW w:w="1950"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000000" w:themeColor="text1"/>
                <w:szCs w:val="21"/>
                <w14:textFill>
                  <w14:solidFill>
                    <w14:schemeClr w14:val="tx1"/>
                  </w14:solidFill>
                </w14:textFill>
              </w:rPr>
              <w:t>80.0±8.0μg/L</w:t>
            </w:r>
          </w:p>
        </w:tc>
        <w:tc>
          <w:tcPr>
            <w:tcW w:w="14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80.5μg/L</w:t>
            </w:r>
          </w:p>
        </w:tc>
        <w:tc>
          <w:tcPr>
            <w:tcW w:w="1533" w:type="dxa"/>
            <w:tcBorders>
              <w:tl2br w:val="nil"/>
              <w:tr2bl w:val="nil"/>
            </w:tcBorders>
            <w:vAlign w:val="center"/>
          </w:tcPr>
          <w:p>
            <w:pPr>
              <w:jc w:val="center"/>
              <w:rPr>
                <w:rFonts w:ascii="Times New Roman" w:hAnsi="Times New Roman" w:eastAsia="宋体" w:cs="Times New Roman"/>
                <w:bCs/>
                <w:color w:val="FF0000"/>
                <w:szCs w:val="21"/>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729"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cs="Times New Roman"/>
                <w:color w:val="000000" w:themeColor="text1"/>
                <w:szCs w:val="21"/>
                <w14:textFill>
                  <w14:solidFill>
                    <w14:schemeClr w14:val="tx1"/>
                  </w14:solidFill>
                </w14:textFill>
              </w:rPr>
              <w:t>钴</w:t>
            </w:r>
          </w:p>
        </w:tc>
        <w:tc>
          <w:tcPr>
            <w:tcW w:w="1725"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000000" w:themeColor="text1"/>
                <w:szCs w:val="21"/>
                <w14:textFill>
                  <w14:solidFill>
                    <w14:schemeClr w14:val="tx1"/>
                  </w14:solidFill>
                </w14:textFill>
              </w:rPr>
              <w:t>QC</w:t>
            </w:r>
          </w:p>
        </w:tc>
        <w:tc>
          <w:tcPr>
            <w:tcW w:w="1950"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000000" w:themeColor="text1"/>
                <w:szCs w:val="21"/>
                <w14:textFill>
                  <w14:solidFill>
                    <w14:schemeClr w14:val="tx1"/>
                  </w14:solidFill>
                </w14:textFill>
              </w:rPr>
              <w:t>80.0±8.0μg/L</w:t>
            </w:r>
          </w:p>
        </w:tc>
        <w:tc>
          <w:tcPr>
            <w:tcW w:w="14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7</w:t>
            </w:r>
            <w:r>
              <w:rPr>
                <w:rFonts w:ascii="Times New Roman" w:hAnsi="Times New Roman" w:eastAsia="宋体" w:cs="Times New Roman"/>
                <w:color w:val="000000" w:themeColor="text1"/>
                <w:szCs w:val="21"/>
                <w14:textFill>
                  <w14:solidFill>
                    <w14:schemeClr w14:val="tx1"/>
                  </w14:solidFill>
                </w14:textFill>
              </w:rPr>
              <w:t>8.1μg/L</w:t>
            </w:r>
          </w:p>
        </w:tc>
        <w:tc>
          <w:tcPr>
            <w:tcW w:w="1533" w:type="dxa"/>
            <w:tcBorders>
              <w:tl2br w:val="nil"/>
              <w:tr2bl w:val="nil"/>
            </w:tcBorders>
            <w:vAlign w:val="center"/>
          </w:tcPr>
          <w:p>
            <w:pPr>
              <w:jc w:val="center"/>
              <w:rPr>
                <w:rFonts w:ascii="Times New Roman" w:hAnsi="Times New Roman" w:eastAsia="宋体" w:cs="Times New Roman"/>
                <w:bCs/>
                <w:color w:val="FF0000"/>
                <w:szCs w:val="21"/>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729"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cs="Times New Roman"/>
                <w:color w:val="000000" w:themeColor="text1"/>
                <w:szCs w:val="21"/>
                <w14:textFill>
                  <w14:solidFill>
                    <w14:schemeClr w14:val="tx1"/>
                  </w14:solidFill>
                </w14:textFill>
              </w:rPr>
              <w:t>铜</w:t>
            </w:r>
          </w:p>
        </w:tc>
        <w:tc>
          <w:tcPr>
            <w:tcW w:w="1725"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000000" w:themeColor="text1"/>
                <w:szCs w:val="21"/>
                <w14:textFill>
                  <w14:solidFill>
                    <w14:schemeClr w14:val="tx1"/>
                  </w14:solidFill>
                </w14:textFill>
              </w:rPr>
              <w:t>QC</w:t>
            </w:r>
          </w:p>
        </w:tc>
        <w:tc>
          <w:tcPr>
            <w:tcW w:w="1950"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000000" w:themeColor="text1"/>
                <w:szCs w:val="21"/>
                <w14:textFill>
                  <w14:solidFill>
                    <w14:schemeClr w14:val="tx1"/>
                  </w14:solidFill>
                </w14:textFill>
              </w:rPr>
              <w:t>80.0±8.0μg/L</w:t>
            </w:r>
          </w:p>
        </w:tc>
        <w:tc>
          <w:tcPr>
            <w:tcW w:w="14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7</w:t>
            </w:r>
            <w:r>
              <w:rPr>
                <w:rFonts w:ascii="Times New Roman" w:hAnsi="Times New Roman" w:eastAsia="宋体" w:cs="Times New Roman"/>
                <w:color w:val="000000" w:themeColor="text1"/>
                <w:szCs w:val="21"/>
                <w14:textFill>
                  <w14:solidFill>
                    <w14:schemeClr w14:val="tx1"/>
                  </w14:solidFill>
                </w14:textFill>
              </w:rPr>
              <w:t>9.4μg/L</w:t>
            </w:r>
          </w:p>
        </w:tc>
        <w:tc>
          <w:tcPr>
            <w:tcW w:w="1533" w:type="dxa"/>
            <w:tcBorders>
              <w:tl2br w:val="nil"/>
              <w:tr2bl w:val="nil"/>
            </w:tcBorders>
            <w:vAlign w:val="center"/>
          </w:tcPr>
          <w:p>
            <w:pPr>
              <w:jc w:val="center"/>
              <w:rPr>
                <w:rFonts w:ascii="Times New Roman" w:hAnsi="Times New Roman" w:eastAsia="宋体" w:cs="Times New Roman"/>
                <w:bCs/>
                <w:color w:val="FF0000"/>
                <w:szCs w:val="21"/>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729"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cs="Times New Roman"/>
                <w:color w:val="000000" w:themeColor="text1"/>
                <w:szCs w:val="21"/>
                <w14:textFill>
                  <w14:solidFill>
                    <w14:schemeClr w14:val="tx1"/>
                  </w14:solidFill>
                </w14:textFill>
              </w:rPr>
              <w:t>铁</w:t>
            </w:r>
          </w:p>
        </w:tc>
        <w:tc>
          <w:tcPr>
            <w:tcW w:w="1725"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000000" w:themeColor="text1"/>
                <w:szCs w:val="21"/>
                <w14:textFill>
                  <w14:solidFill>
                    <w14:schemeClr w14:val="tx1"/>
                  </w14:solidFill>
                </w14:textFill>
              </w:rPr>
              <w:t>QC</w:t>
            </w:r>
          </w:p>
        </w:tc>
        <w:tc>
          <w:tcPr>
            <w:tcW w:w="1950"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000000" w:themeColor="text1"/>
                <w:szCs w:val="21"/>
                <w14:textFill>
                  <w14:solidFill>
                    <w14:schemeClr w14:val="tx1"/>
                  </w14:solidFill>
                </w14:textFill>
              </w:rPr>
              <w:t>80.0±8.0μg/L</w:t>
            </w:r>
          </w:p>
        </w:tc>
        <w:tc>
          <w:tcPr>
            <w:tcW w:w="14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8</w:t>
            </w:r>
            <w:r>
              <w:rPr>
                <w:rFonts w:ascii="Times New Roman" w:hAnsi="Times New Roman" w:eastAsia="宋体" w:cs="Times New Roman"/>
                <w:color w:val="000000" w:themeColor="text1"/>
                <w:szCs w:val="21"/>
                <w14:textFill>
                  <w14:solidFill>
                    <w14:schemeClr w14:val="tx1"/>
                  </w14:solidFill>
                </w14:textFill>
              </w:rPr>
              <w:t>0.5μg/L</w:t>
            </w:r>
          </w:p>
        </w:tc>
        <w:tc>
          <w:tcPr>
            <w:tcW w:w="1533" w:type="dxa"/>
            <w:tcBorders>
              <w:tl2br w:val="nil"/>
              <w:tr2bl w:val="nil"/>
            </w:tcBorders>
            <w:vAlign w:val="center"/>
          </w:tcPr>
          <w:p>
            <w:pPr>
              <w:jc w:val="center"/>
              <w:rPr>
                <w:rFonts w:ascii="Times New Roman" w:hAnsi="Times New Roman" w:eastAsia="宋体" w:cs="Times New Roman"/>
                <w:bCs/>
                <w:color w:val="FF0000"/>
                <w:szCs w:val="21"/>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729"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cs="Times New Roman"/>
                <w:color w:val="000000" w:themeColor="text1"/>
                <w:szCs w:val="21"/>
                <w14:textFill>
                  <w14:solidFill>
                    <w14:schemeClr w14:val="tx1"/>
                  </w14:solidFill>
                </w14:textFill>
              </w:rPr>
              <w:t>锰</w:t>
            </w:r>
          </w:p>
        </w:tc>
        <w:tc>
          <w:tcPr>
            <w:tcW w:w="1725"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000000" w:themeColor="text1"/>
                <w:szCs w:val="21"/>
                <w14:textFill>
                  <w14:solidFill>
                    <w14:schemeClr w14:val="tx1"/>
                  </w14:solidFill>
                </w14:textFill>
              </w:rPr>
              <w:t>QC</w:t>
            </w:r>
          </w:p>
        </w:tc>
        <w:tc>
          <w:tcPr>
            <w:tcW w:w="1950"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000000" w:themeColor="text1"/>
                <w:szCs w:val="21"/>
                <w14:textFill>
                  <w14:solidFill>
                    <w14:schemeClr w14:val="tx1"/>
                  </w14:solidFill>
                </w14:textFill>
              </w:rPr>
              <w:t>80.0±8.0μg/L</w:t>
            </w:r>
          </w:p>
        </w:tc>
        <w:tc>
          <w:tcPr>
            <w:tcW w:w="14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7</w:t>
            </w:r>
            <w:r>
              <w:rPr>
                <w:rFonts w:ascii="Times New Roman" w:hAnsi="Times New Roman" w:eastAsia="宋体" w:cs="Times New Roman"/>
                <w:color w:val="000000" w:themeColor="text1"/>
                <w:szCs w:val="21"/>
                <w14:textFill>
                  <w14:solidFill>
                    <w14:schemeClr w14:val="tx1"/>
                  </w14:solidFill>
                </w14:textFill>
              </w:rPr>
              <w:t>7.9μg/L</w:t>
            </w:r>
          </w:p>
        </w:tc>
        <w:tc>
          <w:tcPr>
            <w:tcW w:w="1533" w:type="dxa"/>
            <w:tcBorders>
              <w:tl2br w:val="nil"/>
              <w:tr2bl w:val="nil"/>
            </w:tcBorders>
            <w:vAlign w:val="center"/>
          </w:tcPr>
          <w:p>
            <w:pPr>
              <w:jc w:val="center"/>
              <w:rPr>
                <w:rFonts w:ascii="Times New Roman" w:hAnsi="Times New Roman" w:eastAsia="宋体" w:cs="Times New Roman"/>
                <w:bCs/>
                <w:color w:val="FF0000"/>
                <w:szCs w:val="21"/>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729"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cs="Times New Roman"/>
                <w:color w:val="000000" w:themeColor="text1"/>
                <w:szCs w:val="21"/>
                <w14:textFill>
                  <w14:solidFill>
                    <w14:schemeClr w14:val="tx1"/>
                  </w14:solidFill>
                </w14:textFill>
              </w:rPr>
              <w:t>钼</w:t>
            </w:r>
          </w:p>
        </w:tc>
        <w:tc>
          <w:tcPr>
            <w:tcW w:w="1725"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000000" w:themeColor="text1"/>
                <w:szCs w:val="21"/>
                <w14:textFill>
                  <w14:solidFill>
                    <w14:schemeClr w14:val="tx1"/>
                  </w14:solidFill>
                </w14:textFill>
              </w:rPr>
              <w:t>QC</w:t>
            </w:r>
          </w:p>
        </w:tc>
        <w:tc>
          <w:tcPr>
            <w:tcW w:w="1950"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000000" w:themeColor="text1"/>
                <w:szCs w:val="21"/>
                <w14:textFill>
                  <w14:solidFill>
                    <w14:schemeClr w14:val="tx1"/>
                  </w14:solidFill>
                </w14:textFill>
              </w:rPr>
              <w:t>80.0±8.0μg/L</w:t>
            </w:r>
          </w:p>
        </w:tc>
        <w:tc>
          <w:tcPr>
            <w:tcW w:w="14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7</w:t>
            </w:r>
            <w:r>
              <w:rPr>
                <w:rFonts w:ascii="Times New Roman" w:hAnsi="Times New Roman" w:eastAsia="宋体" w:cs="Times New Roman"/>
                <w:color w:val="000000" w:themeColor="text1"/>
                <w:szCs w:val="21"/>
                <w14:textFill>
                  <w14:solidFill>
                    <w14:schemeClr w14:val="tx1"/>
                  </w14:solidFill>
                </w14:textFill>
              </w:rPr>
              <w:t>4.7μg/L</w:t>
            </w:r>
          </w:p>
        </w:tc>
        <w:tc>
          <w:tcPr>
            <w:tcW w:w="1533" w:type="dxa"/>
            <w:tcBorders>
              <w:tl2br w:val="nil"/>
              <w:tr2bl w:val="nil"/>
            </w:tcBorders>
            <w:vAlign w:val="center"/>
          </w:tcPr>
          <w:p>
            <w:pPr>
              <w:jc w:val="center"/>
              <w:rPr>
                <w:rFonts w:ascii="Times New Roman" w:hAnsi="Times New Roman" w:eastAsia="宋体" w:cs="Times New Roman"/>
                <w:bCs/>
                <w:color w:val="FF0000"/>
                <w:szCs w:val="21"/>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729"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cs="Times New Roman"/>
                <w:color w:val="000000" w:themeColor="text1"/>
                <w:szCs w:val="21"/>
                <w14:textFill>
                  <w14:solidFill>
                    <w14:schemeClr w14:val="tx1"/>
                  </w14:solidFill>
                </w14:textFill>
              </w:rPr>
              <w:t>镍</w:t>
            </w:r>
          </w:p>
        </w:tc>
        <w:tc>
          <w:tcPr>
            <w:tcW w:w="1725"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000000" w:themeColor="text1"/>
                <w:szCs w:val="21"/>
                <w14:textFill>
                  <w14:solidFill>
                    <w14:schemeClr w14:val="tx1"/>
                  </w14:solidFill>
                </w14:textFill>
              </w:rPr>
              <w:t>QC</w:t>
            </w:r>
          </w:p>
        </w:tc>
        <w:tc>
          <w:tcPr>
            <w:tcW w:w="1950"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000000" w:themeColor="text1"/>
                <w:szCs w:val="21"/>
                <w14:textFill>
                  <w14:solidFill>
                    <w14:schemeClr w14:val="tx1"/>
                  </w14:solidFill>
                </w14:textFill>
              </w:rPr>
              <w:t>80.0±8.0μg/L</w:t>
            </w:r>
          </w:p>
        </w:tc>
        <w:tc>
          <w:tcPr>
            <w:tcW w:w="1425" w:type="dxa"/>
            <w:tcBorders>
              <w:tl2br w:val="nil"/>
              <w:tr2bl w:val="nil"/>
            </w:tcBorders>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7</w:t>
            </w:r>
            <w:r>
              <w:rPr>
                <w:rFonts w:ascii="Times New Roman" w:hAnsi="Times New Roman" w:eastAsia="宋体" w:cs="Times New Roman"/>
                <w:color w:val="000000" w:themeColor="text1"/>
                <w:szCs w:val="21"/>
                <w14:textFill>
                  <w14:solidFill>
                    <w14:schemeClr w14:val="tx1"/>
                  </w14:solidFill>
                </w14:textFill>
              </w:rPr>
              <w:t>7.7μg/L</w:t>
            </w:r>
          </w:p>
        </w:tc>
        <w:tc>
          <w:tcPr>
            <w:tcW w:w="1533" w:type="dxa"/>
            <w:tcBorders>
              <w:tl2br w:val="nil"/>
              <w:tr2bl w:val="nil"/>
            </w:tcBorders>
            <w:vAlign w:val="center"/>
          </w:tcPr>
          <w:p>
            <w:pPr>
              <w:jc w:val="center"/>
              <w:rPr>
                <w:rFonts w:ascii="Times New Roman" w:hAnsi="Times New Roman" w:eastAsia="宋体" w:cs="Times New Roman"/>
                <w:bCs/>
                <w:color w:val="FF0000"/>
                <w:szCs w:val="21"/>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729"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cs="Times New Roman"/>
                <w:color w:val="000000" w:themeColor="text1"/>
                <w:szCs w:val="21"/>
                <w14:textFill>
                  <w14:solidFill>
                    <w14:schemeClr w14:val="tx1"/>
                  </w14:solidFill>
                </w14:textFill>
              </w:rPr>
              <w:t>铅</w:t>
            </w:r>
          </w:p>
        </w:tc>
        <w:tc>
          <w:tcPr>
            <w:tcW w:w="1725"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000000" w:themeColor="text1"/>
                <w:szCs w:val="21"/>
                <w14:textFill>
                  <w14:solidFill>
                    <w14:schemeClr w14:val="tx1"/>
                  </w14:solidFill>
                </w14:textFill>
              </w:rPr>
              <w:t>QC</w:t>
            </w:r>
          </w:p>
        </w:tc>
        <w:tc>
          <w:tcPr>
            <w:tcW w:w="1950"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000000" w:themeColor="text1"/>
                <w:szCs w:val="21"/>
                <w14:textFill>
                  <w14:solidFill>
                    <w14:schemeClr w14:val="tx1"/>
                  </w14:solidFill>
                </w14:textFill>
              </w:rPr>
              <w:t>80.0±8.0μg/L</w:t>
            </w:r>
          </w:p>
        </w:tc>
        <w:tc>
          <w:tcPr>
            <w:tcW w:w="14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8</w:t>
            </w:r>
            <w:r>
              <w:rPr>
                <w:rFonts w:ascii="Times New Roman" w:hAnsi="Times New Roman" w:eastAsia="宋体" w:cs="Times New Roman"/>
                <w:color w:val="000000" w:themeColor="text1"/>
                <w:szCs w:val="21"/>
                <w14:textFill>
                  <w14:solidFill>
                    <w14:schemeClr w14:val="tx1"/>
                  </w14:solidFill>
                </w14:textFill>
              </w:rPr>
              <w:t>4.4μg/L</w:t>
            </w:r>
          </w:p>
        </w:tc>
        <w:tc>
          <w:tcPr>
            <w:tcW w:w="1533" w:type="dxa"/>
            <w:tcBorders>
              <w:tl2br w:val="nil"/>
              <w:tr2bl w:val="nil"/>
            </w:tcBorders>
            <w:vAlign w:val="center"/>
          </w:tcPr>
          <w:p>
            <w:pPr>
              <w:jc w:val="center"/>
              <w:rPr>
                <w:rFonts w:ascii="Times New Roman" w:hAnsi="Times New Roman" w:eastAsia="宋体" w:cs="Times New Roman"/>
                <w:bCs/>
                <w:color w:val="FF0000"/>
                <w:szCs w:val="21"/>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729"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cs="Times New Roman"/>
                <w:color w:val="000000" w:themeColor="text1"/>
                <w:szCs w:val="21"/>
                <w14:textFill>
                  <w14:solidFill>
                    <w14:schemeClr w14:val="tx1"/>
                  </w14:solidFill>
                </w14:textFill>
              </w:rPr>
              <w:t>锑</w:t>
            </w:r>
          </w:p>
        </w:tc>
        <w:tc>
          <w:tcPr>
            <w:tcW w:w="1725"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000000" w:themeColor="text1"/>
                <w:szCs w:val="21"/>
                <w14:textFill>
                  <w14:solidFill>
                    <w14:schemeClr w14:val="tx1"/>
                  </w14:solidFill>
                </w14:textFill>
              </w:rPr>
              <w:t>QC</w:t>
            </w:r>
          </w:p>
        </w:tc>
        <w:tc>
          <w:tcPr>
            <w:tcW w:w="1950"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000000" w:themeColor="text1"/>
                <w:szCs w:val="21"/>
                <w14:textFill>
                  <w14:solidFill>
                    <w14:schemeClr w14:val="tx1"/>
                  </w14:solidFill>
                </w14:textFill>
              </w:rPr>
              <w:t>80.0±8.0μg/L</w:t>
            </w:r>
          </w:p>
        </w:tc>
        <w:tc>
          <w:tcPr>
            <w:tcW w:w="14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8</w:t>
            </w:r>
            <w:r>
              <w:rPr>
                <w:rFonts w:ascii="Times New Roman" w:hAnsi="Times New Roman" w:eastAsia="宋体" w:cs="Times New Roman"/>
                <w:color w:val="000000" w:themeColor="text1"/>
                <w:szCs w:val="21"/>
                <w14:textFill>
                  <w14:solidFill>
                    <w14:schemeClr w14:val="tx1"/>
                  </w14:solidFill>
                </w14:textFill>
              </w:rPr>
              <w:t>4.7μg/L</w:t>
            </w:r>
          </w:p>
        </w:tc>
        <w:tc>
          <w:tcPr>
            <w:tcW w:w="1533" w:type="dxa"/>
            <w:tcBorders>
              <w:tl2br w:val="nil"/>
              <w:tr2bl w:val="nil"/>
            </w:tcBorders>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729"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cs="Times New Roman"/>
                <w:color w:val="000000" w:themeColor="text1"/>
                <w:szCs w:val="21"/>
                <w14:textFill>
                  <w14:solidFill>
                    <w14:schemeClr w14:val="tx1"/>
                  </w14:solidFill>
                </w14:textFill>
              </w:rPr>
              <w:t>硒</w:t>
            </w:r>
          </w:p>
        </w:tc>
        <w:tc>
          <w:tcPr>
            <w:tcW w:w="1725"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000000" w:themeColor="text1"/>
                <w:szCs w:val="21"/>
                <w14:textFill>
                  <w14:solidFill>
                    <w14:schemeClr w14:val="tx1"/>
                  </w14:solidFill>
                </w14:textFill>
              </w:rPr>
              <w:t>QC</w:t>
            </w:r>
          </w:p>
        </w:tc>
        <w:tc>
          <w:tcPr>
            <w:tcW w:w="1950"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000000" w:themeColor="text1"/>
                <w:szCs w:val="21"/>
                <w14:textFill>
                  <w14:solidFill>
                    <w14:schemeClr w14:val="tx1"/>
                  </w14:solidFill>
                </w14:textFill>
              </w:rPr>
              <w:t>80.0±8.0μg/L</w:t>
            </w:r>
          </w:p>
        </w:tc>
        <w:tc>
          <w:tcPr>
            <w:tcW w:w="14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77.3μg/L</w:t>
            </w:r>
          </w:p>
        </w:tc>
        <w:tc>
          <w:tcPr>
            <w:tcW w:w="1533" w:type="dxa"/>
            <w:tcBorders>
              <w:tl2br w:val="nil"/>
              <w:tr2bl w:val="nil"/>
            </w:tcBorders>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729"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cs="Times New Roman"/>
                <w:color w:val="000000" w:themeColor="text1"/>
                <w:szCs w:val="21"/>
                <w14:textFill>
                  <w14:solidFill>
                    <w14:schemeClr w14:val="tx1"/>
                  </w14:solidFill>
                </w14:textFill>
              </w:rPr>
              <w:t>铊</w:t>
            </w:r>
          </w:p>
        </w:tc>
        <w:tc>
          <w:tcPr>
            <w:tcW w:w="1725"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000000" w:themeColor="text1"/>
                <w:szCs w:val="21"/>
                <w14:textFill>
                  <w14:solidFill>
                    <w14:schemeClr w14:val="tx1"/>
                  </w14:solidFill>
                </w14:textFill>
              </w:rPr>
              <w:t>QC</w:t>
            </w:r>
          </w:p>
        </w:tc>
        <w:tc>
          <w:tcPr>
            <w:tcW w:w="1950"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000000" w:themeColor="text1"/>
                <w:szCs w:val="21"/>
                <w14:textFill>
                  <w14:solidFill>
                    <w14:schemeClr w14:val="tx1"/>
                  </w14:solidFill>
                </w14:textFill>
              </w:rPr>
              <w:t>80.0±8.0μg/L</w:t>
            </w:r>
          </w:p>
        </w:tc>
        <w:tc>
          <w:tcPr>
            <w:tcW w:w="14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8</w:t>
            </w:r>
            <w:r>
              <w:rPr>
                <w:rFonts w:ascii="Times New Roman" w:hAnsi="Times New Roman" w:eastAsia="宋体" w:cs="Times New Roman"/>
                <w:color w:val="000000" w:themeColor="text1"/>
                <w:szCs w:val="21"/>
                <w14:textFill>
                  <w14:solidFill>
                    <w14:schemeClr w14:val="tx1"/>
                  </w14:solidFill>
                </w14:textFill>
              </w:rPr>
              <w:t>3.9μg/L</w:t>
            </w:r>
          </w:p>
        </w:tc>
        <w:tc>
          <w:tcPr>
            <w:tcW w:w="1533" w:type="dxa"/>
            <w:tcBorders>
              <w:tl2br w:val="nil"/>
              <w:tr2bl w:val="nil"/>
            </w:tcBorders>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729"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cs="Times New Roman"/>
                <w:color w:val="000000" w:themeColor="text1"/>
                <w:szCs w:val="21"/>
                <w14:textFill>
                  <w14:solidFill>
                    <w14:schemeClr w14:val="tx1"/>
                  </w14:solidFill>
                </w14:textFill>
              </w:rPr>
              <w:t>锌</w:t>
            </w:r>
          </w:p>
        </w:tc>
        <w:tc>
          <w:tcPr>
            <w:tcW w:w="1725"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000000" w:themeColor="text1"/>
                <w:szCs w:val="21"/>
                <w14:textFill>
                  <w14:solidFill>
                    <w14:schemeClr w14:val="tx1"/>
                  </w14:solidFill>
                </w14:textFill>
              </w:rPr>
              <w:t>QC</w:t>
            </w:r>
          </w:p>
        </w:tc>
        <w:tc>
          <w:tcPr>
            <w:tcW w:w="1950" w:type="dxa"/>
            <w:tcBorders>
              <w:tl2br w:val="nil"/>
              <w:tr2bl w:val="nil"/>
            </w:tcBorders>
            <w:vAlign w:val="center"/>
          </w:tcPr>
          <w:p>
            <w:pPr>
              <w:jc w:val="center"/>
              <w:rPr>
                <w:rFonts w:ascii="Times New Roman" w:hAnsi="Times New Roman" w:eastAsia="宋体" w:cs="Times New Roman"/>
                <w:color w:val="FF0000"/>
                <w:szCs w:val="21"/>
              </w:rPr>
            </w:pPr>
            <w:r>
              <w:rPr>
                <w:rFonts w:ascii="Times New Roman" w:hAnsi="Times New Roman" w:eastAsia="宋体" w:cs="Times New Roman"/>
                <w:color w:val="000000" w:themeColor="text1"/>
                <w:szCs w:val="21"/>
                <w14:textFill>
                  <w14:solidFill>
                    <w14:schemeClr w14:val="tx1"/>
                  </w14:solidFill>
                </w14:textFill>
              </w:rPr>
              <w:t>80.0±8.0μg/L</w:t>
            </w:r>
          </w:p>
        </w:tc>
        <w:tc>
          <w:tcPr>
            <w:tcW w:w="14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8</w:t>
            </w:r>
            <w:r>
              <w:rPr>
                <w:rFonts w:ascii="Times New Roman" w:hAnsi="Times New Roman" w:eastAsia="宋体" w:cs="Times New Roman"/>
                <w:color w:val="000000" w:themeColor="text1"/>
                <w:szCs w:val="21"/>
                <w14:textFill>
                  <w14:solidFill>
                    <w14:schemeClr w14:val="tx1"/>
                  </w14:solidFill>
                </w14:textFill>
              </w:rPr>
              <w:t>3.4μg/L</w:t>
            </w:r>
          </w:p>
        </w:tc>
        <w:tc>
          <w:tcPr>
            <w:tcW w:w="1533" w:type="dxa"/>
            <w:tcBorders>
              <w:tl2br w:val="nil"/>
              <w:tr2bl w:val="nil"/>
            </w:tcBorders>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729" w:type="dxa"/>
            <w:tcBorders>
              <w:tl2br w:val="nil"/>
              <w:tr2bl w:val="nil"/>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铝</w:t>
            </w:r>
          </w:p>
        </w:tc>
        <w:tc>
          <w:tcPr>
            <w:tcW w:w="17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Q</w:t>
            </w:r>
            <w:r>
              <w:rPr>
                <w:rFonts w:ascii="Times New Roman" w:hAnsi="Times New Roman" w:eastAsia="宋体" w:cs="Times New Roman"/>
                <w:color w:val="000000" w:themeColor="text1"/>
                <w:szCs w:val="21"/>
                <w14:textFill>
                  <w14:solidFill>
                    <w14:schemeClr w14:val="tx1"/>
                  </w14:solidFill>
                </w14:textFill>
              </w:rPr>
              <w:t>C</w:t>
            </w:r>
          </w:p>
        </w:tc>
        <w:tc>
          <w:tcPr>
            <w:tcW w:w="195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80.0±8.0μg/L</w:t>
            </w:r>
          </w:p>
        </w:tc>
        <w:tc>
          <w:tcPr>
            <w:tcW w:w="14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8</w:t>
            </w:r>
            <w:r>
              <w:rPr>
                <w:rFonts w:ascii="Times New Roman" w:hAnsi="Times New Roman" w:eastAsia="宋体" w:cs="Times New Roman"/>
                <w:color w:val="000000" w:themeColor="text1"/>
                <w:szCs w:val="21"/>
                <w14:textFill>
                  <w14:solidFill>
                    <w14:schemeClr w14:val="tx1"/>
                  </w14:solidFill>
                </w14:textFill>
              </w:rPr>
              <w:t>0.3μg/L</w:t>
            </w:r>
          </w:p>
        </w:tc>
        <w:tc>
          <w:tcPr>
            <w:tcW w:w="1533" w:type="dxa"/>
            <w:tcBorders>
              <w:tl2br w:val="nil"/>
              <w:tr2bl w:val="nil"/>
            </w:tcBorders>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454" w:hRule="atLeast"/>
          <w:jc w:val="center"/>
        </w:trPr>
        <w:tc>
          <w:tcPr>
            <w:tcW w:w="1729"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汞</w:t>
            </w:r>
          </w:p>
        </w:tc>
        <w:tc>
          <w:tcPr>
            <w:tcW w:w="17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202051</w:t>
            </w:r>
          </w:p>
        </w:tc>
        <w:tc>
          <w:tcPr>
            <w:tcW w:w="195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11.2±1.3μg/L</w:t>
            </w:r>
          </w:p>
        </w:tc>
        <w:tc>
          <w:tcPr>
            <w:tcW w:w="14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10.</w:t>
            </w:r>
            <w:r>
              <w:rPr>
                <w:rFonts w:ascii="Times New Roman" w:hAnsi="Times New Roman" w:eastAsia="宋体" w:cs="Times New Roman"/>
                <w:color w:val="000000" w:themeColor="text1"/>
                <w:szCs w:val="21"/>
                <w14:textFill>
                  <w14:solidFill>
                    <w14:schemeClr w14:val="tx1"/>
                  </w14:solidFill>
                </w14:textFill>
              </w:rPr>
              <w:t>3μg/L</w:t>
            </w:r>
          </w:p>
        </w:tc>
        <w:tc>
          <w:tcPr>
            <w:tcW w:w="1533" w:type="dxa"/>
            <w:tcBorders>
              <w:tl2br w:val="nil"/>
              <w:tr2bl w:val="nil"/>
            </w:tcBorders>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729"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钠</w:t>
            </w:r>
          </w:p>
        </w:tc>
        <w:tc>
          <w:tcPr>
            <w:tcW w:w="17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02620</w:t>
            </w:r>
          </w:p>
        </w:tc>
        <w:tc>
          <w:tcPr>
            <w:tcW w:w="195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1.17±0.05μg/L</w:t>
            </w:r>
          </w:p>
        </w:tc>
        <w:tc>
          <w:tcPr>
            <w:tcW w:w="14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1.1</w:t>
            </w:r>
            <w:r>
              <w:rPr>
                <w:rFonts w:ascii="Times New Roman" w:hAnsi="Times New Roman" w:eastAsia="宋体" w:cs="Times New Roman"/>
                <w:color w:val="000000" w:themeColor="text1"/>
                <w:szCs w:val="21"/>
                <w14:textFill>
                  <w14:solidFill>
                    <w14:schemeClr w14:val="tx1"/>
                  </w14:solidFill>
                </w14:textFill>
              </w:rPr>
              <w:t>7μg/L</w:t>
            </w:r>
          </w:p>
        </w:tc>
        <w:tc>
          <w:tcPr>
            <w:tcW w:w="1533" w:type="dxa"/>
            <w:tcBorders>
              <w:tl2br w:val="nil"/>
              <w:tr2bl w:val="nil"/>
            </w:tcBorders>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54" w:hRule="atLeast"/>
          <w:jc w:val="center"/>
        </w:trPr>
        <w:tc>
          <w:tcPr>
            <w:tcW w:w="1729"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六价铬</w:t>
            </w:r>
          </w:p>
        </w:tc>
        <w:tc>
          <w:tcPr>
            <w:tcW w:w="17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203362</w:t>
            </w:r>
          </w:p>
        </w:tc>
        <w:tc>
          <w:tcPr>
            <w:tcW w:w="1950"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75.4±4.0μg/L</w:t>
            </w:r>
          </w:p>
        </w:tc>
        <w:tc>
          <w:tcPr>
            <w:tcW w:w="1425" w:type="dxa"/>
            <w:tcBorders>
              <w:tl2br w:val="nil"/>
              <w:tr2bl w:val="nil"/>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w:t>
            </w:r>
            <w:r>
              <w:rPr>
                <w:rFonts w:hint="eastAsia" w:ascii="Times New Roman" w:hAnsi="Times New Roman" w:eastAsia="宋体" w:cs="Times New Roman"/>
                <w:color w:val="000000" w:themeColor="text1"/>
                <w:szCs w:val="21"/>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5μg/L</w:t>
            </w:r>
          </w:p>
        </w:tc>
        <w:tc>
          <w:tcPr>
            <w:tcW w:w="1533" w:type="dxa"/>
            <w:tcBorders>
              <w:tl2br w:val="nil"/>
              <w:tr2bl w:val="nil"/>
            </w:tcBorders>
            <w:vAlign w:val="center"/>
          </w:tcPr>
          <w:p>
            <w:pPr>
              <w:jc w:val="center"/>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Cs/>
                <w:color w:val="000000" w:themeColor="text1"/>
                <w:szCs w:val="21"/>
                <w14:textFill>
                  <w14:solidFill>
                    <w14:schemeClr w14:val="tx1"/>
                  </w14:solidFill>
                </w14:textFill>
              </w:rPr>
              <w:t>合格</w:t>
            </w:r>
          </w:p>
        </w:tc>
      </w:tr>
    </w:tbl>
    <w:p>
      <w:pPr>
        <w:pStyle w:val="39"/>
        <w:numPr>
          <w:ilvl w:val="0"/>
          <w:numId w:val="2"/>
        </w:numPr>
        <w:ind w:firstLineChars="0"/>
        <w:jc w:val="center"/>
        <w:outlineLvl w:val="0"/>
        <w:rPr>
          <w:rFonts w:cs="Times New Roman"/>
          <w:b/>
          <w:color w:val="000000" w:themeColor="text1"/>
          <w:sz w:val="32"/>
          <w14:textFill>
            <w14:solidFill>
              <w14:schemeClr w14:val="tx1"/>
            </w14:solidFill>
          </w14:textFill>
        </w:rPr>
      </w:pPr>
      <w:bookmarkStart w:id="67" w:name="_Toc12298"/>
      <w:r>
        <w:rPr>
          <w:rFonts w:cs="Times New Roman"/>
          <w:b/>
          <w:color w:val="000000" w:themeColor="text1"/>
          <w:sz w:val="32"/>
          <w14:textFill>
            <w14:solidFill>
              <w14:schemeClr w14:val="tx1"/>
            </w14:solidFill>
          </w14:textFill>
        </w:rPr>
        <w:t>监测结果分析</w:t>
      </w:r>
      <w:bookmarkEnd w:id="67"/>
    </w:p>
    <w:p>
      <w:pPr>
        <w:pStyle w:val="39"/>
        <w:numPr>
          <w:ilvl w:val="1"/>
          <w:numId w:val="2"/>
        </w:numPr>
        <w:ind w:left="0" w:firstLine="0" w:firstLineChars="0"/>
        <w:outlineLvl w:val="1"/>
        <w:rPr>
          <w:rFonts w:cs="Times New Roman"/>
          <w:b/>
          <w:color w:val="000000" w:themeColor="text1"/>
          <w:sz w:val="28"/>
          <w14:textFill>
            <w14:solidFill>
              <w14:schemeClr w14:val="tx1"/>
            </w14:solidFill>
          </w14:textFill>
        </w:rPr>
      </w:pPr>
      <w:bookmarkStart w:id="68" w:name="_Toc281"/>
      <w:r>
        <w:rPr>
          <w:rFonts w:cs="Times New Roman"/>
          <w:b/>
          <w:color w:val="000000" w:themeColor="text1"/>
          <w:sz w:val="28"/>
          <w14:textFill>
            <w14:solidFill>
              <w14:schemeClr w14:val="tx1"/>
            </w14:solidFill>
          </w14:textFill>
        </w:rPr>
        <w:t>评价标准</w:t>
      </w:r>
      <w:bookmarkEnd w:id="68"/>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土壤：属于第二类建设用地，执行《</w:t>
      </w:r>
      <w:r>
        <w:rPr>
          <w:rFonts w:cs="Times New Roman"/>
          <w:sz w:val="24"/>
        </w:rPr>
        <w:t>土壤环境质量</w:t>
      </w:r>
      <w:r>
        <w:rPr>
          <w:rFonts w:hint="eastAsia" w:cs="Times New Roman"/>
          <w:sz w:val="24"/>
        </w:rPr>
        <w:t xml:space="preserve"> </w:t>
      </w:r>
      <w:r>
        <w:rPr>
          <w:rFonts w:cs="Times New Roman"/>
          <w:sz w:val="24"/>
        </w:rPr>
        <w:t>建设用地土壤污染风险管控标准（试行）》（</w:t>
      </w:r>
      <w:r>
        <w:rPr>
          <w:rFonts w:ascii="Times New Roman" w:hAnsi="Times New Roman" w:cs="Times New Roman"/>
          <w:sz w:val="24"/>
        </w:rPr>
        <w:t>GB 36600-2018</w:t>
      </w:r>
      <w:r>
        <w:rPr>
          <w:rFonts w:cs="Times New Roman"/>
          <w:sz w:val="24"/>
        </w:rPr>
        <w:t>）</w:t>
      </w:r>
      <w:r>
        <w:rPr>
          <w:rFonts w:ascii="Times New Roman" w:hAnsi="Times New Roman" w:eastAsia="宋体" w:cs="Times New Roman"/>
          <w:color w:val="000000" w:themeColor="text1"/>
          <w:sz w:val="24"/>
          <w:szCs w:val="24"/>
          <w14:textFill>
            <w14:solidFill>
              <w14:schemeClr w14:val="tx1"/>
            </w14:solidFill>
          </w14:textFill>
        </w:rPr>
        <w:t>中第二类用地风险筛选值。</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地下水：执行《地下水质量标准》（GB/T 14848-2017）中</w:t>
      </w:r>
      <w:r>
        <w:rPr>
          <w:rFonts w:hint="eastAsia" w:ascii="宋体" w:hAnsi="宋体" w:eastAsia="宋体" w:cs="宋体"/>
          <w:color w:val="000000" w:themeColor="text1"/>
          <w:sz w:val="24"/>
          <w:szCs w:val="24"/>
          <w14:textFill>
            <w14:solidFill>
              <w14:schemeClr w14:val="tx1"/>
            </w14:solidFill>
          </w14:textFill>
        </w:rPr>
        <w:t>Ⅲ</w:t>
      </w:r>
      <w:r>
        <w:rPr>
          <w:rFonts w:ascii="Times New Roman" w:hAnsi="Times New Roman" w:eastAsia="宋体" w:cs="Times New Roman"/>
          <w:color w:val="000000" w:themeColor="text1"/>
          <w:sz w:val="24"/>
          <w:szCs w:val="24"/>
          <w14:textFill>
            <w14:solidFill>
              <w14:schemeClr w14:val="tx1"/>
            </w14:solidFill>
          </w14:textFill>
        </w:rPr>
        <w:t>类标准。</w:t>
      </w:r>
    </w:p>
    <w:p>
      <w:pPr>
        <w:pStyle w:val="39"/>
        <w:numPr>
          <w:ilvl w:val="1"/>
          <w:numId w:val="2"/>
        </w:numPr>
        <w:ind w:left="0" w:firstLine="0" w:firstLineChars="0"/>
        <w:outlineLvl w:val="1"/>
        <w:rPr>
          <w:rFonts w:cs="Times New Roman"/>
          <w:b/>
          <w:color w:val="000000" w:themeColor="text1"/>
          <w:sz w:val="28"/>
          <w14:textFill>
            <w14:solidFill>
              <w14:schemeClr w14:val="tx1"/>
            </w14:solidFill>
          </w14:textFill>
        </w:rPr>
      </w:pPr>
      <w:bookmarkStart w:id="69" w:name="_Toc4980"/>
      <w:r>
        <w:rPr>
          <w:rFonts w:cs="Times New Roman"/>
          <w:b/>
          <w:color w:val="000000" w:themeColor="text1"/>
          <w:sz w:val="28"/>
          <w14:textFill>
            <w14:solidFill>
              <w14:schemeClr w14:val="tx1"/>
            </w14:solidFill>
          </w14:textFill>
        </w:rPr>
        <w:t>检测结果</w:t>
      </w:r>
      <w:bookmarkEnd w:id="69"/>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检测结果见附件3检测报告，检测结果统计见表</w:t>
      </w:r>
      <w:r>
        <w:rPr>
          <w:rFonts w:hint="eastAsia" w:ascii="Times New Roman" w:hAnsi="Times New Roman" w:eastAsia="宋体" w:cs="Times New Roman"/>
          <w:color w:val="000000" w:themeColor="text1"/>
          <w:sz w:val="24"/>
          <w:szCs w:val="24"/>
          <w14:textFill>
            <w14:solidFill>
              <w14:schemeClr w14:val="tx1"/>
            </w14:solidFill>
          </w14:textFill>
        </w:rPr>
        <w:t>5</w:t>
      </w:r>
      <w:r>
        <w:rPr>
          <w:rFonts w:ascii="Times New Roman" w:hAnsi="Times New Roman" w:eastAsia="宋体" w:cs="Times New Roman"/>
          <w:color w:val="000000" w:themeColor="text1"/>
          <w:sz w:val="24"/>
          <w:szCs w:val="24"/>
          <w14:textFill>
            <w14:solidFill>
              <w14:schemeClr w14:val="tx1"/>
            </w14:solidFill>
          </w14:textFill>
        </w:rPr>
        <w:t>-1</w:t>
      </w:r>
      <w:r>
        <w:rPr>
          <w:rFonts w:hint="eastAsia" w:ascii="Times New Roman" w:hAnsi="Times New Roman" w:eastAsia="宋体" w:cs="Times New Roman"/>
          <w:color w:val="000000" w:themeColor="text1"/>
          <w:sz w:val="24"/>
          <w:szCs w:val="24"/>
          <w14:textFill>
            <w14:solidFill>
              <w14:schemeClr w14:val="tx1"/>
            </w14:solidFill>
          </w14:textFill>
        </w:rPr>
        <w:t>和表5</w:t>
      </w:r>
      <w:r>
        <w:rPr>
          <w:rFonts w:ascii="Times New Roman" w:hAnsi="Times New Roman" w:eastAsia="宋体" w:cs="Times New Roman"/>
          <w:color w:val="000000" w:themeColor="text1"/>
          <w:sz w:val="24"/>
          <w:szCs w:val="24"/>
          <w14:textFill>
            <w14:solidFill>
              <w14:schemeClr w14:val="tx1"/>
            </w14:solidFill>
          </w14:textFill>
        </w:rPr>
        <w:t>-2。</w:t>
      </w:r>
    </w:p>
    <w:p>
      <w:pPr>
        <w:pStyle w:val="2"/>
        <w:numPr>
          <w:ilvl w:val="0"/>
          <w:numId w:val="12"/>
        </w:numPr>
        <w:jc w:val="center"/>
        <w:rPr>
          <w:rFonts w:eastAsia="宋体" w:cs="Times New Roman"/>
          <w:b/>
          <w:bCs/>
          <w:color w:val="000000" w:themeColor="text1"/>
          <w:sz w:val="24"/>
          <w:szCs w:val="24"/>
          <w14:textFill>
            <w14:solidFill>
              <w14:schemeClr w14:val="tx1"/>
            </w14:solidFill>
          </w14:textFill>
        </w:rPr>
      </w:pPr>
      <w:r>
        <w:rPr>
          <w:rFonts w:eastAsia="宋体" w:cs="Times New Roman"/>
          <w:b/>
          <w:bCs/>
          <w:color w:val="000000" w:themeColor="text1"/>
          <w:sz w:val="24"/>
          <w:szCs w:val="24"/>
          <w14:textFill>
            <w14:solidFill>
              <w14:schemeClr w14:val="tx1"/>
            </w14:solidFill>
          </w14:textFill>
        </w:rPr>
        <w:t>土壤检测结果统计表</w:t>
      </w:r>
    </w:p>
    <w:tbl>
      <w:tblPr>
        <w:tblStyle w:val="16"/>
        <w:tblW w:w="83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347"/>
        <w:gridCol w:w="1347"/>
        <w:gridCol w:w="1417"/>
        <w:gridCol w:w="141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blHeader/>
        </w:trPr>
        <w:tc>
          <w:tcPr>
            <w:tcW w:w="1701" w:type="dxa"/>
            <w:vAlign w:val="center"/>
          </w:tcPr>
          <w:p>
            <w:pPr>
              <w:widowControl/>
              <w:jc w:val="center"/>
              <w:textAlignment w:val="center"/>
              <w:rPr>
                <w:rFonts w:ascii="Times New Roman" w:hAnsi="Times New Roman" w:cs="Times New Roman"/>
                <w:b/>
                <w:color w:val="FF0000"/>
                <w:kern w:val="0"/>
                <w:szCs w:val="21"/>
                <w:lang w:bidi="ar"/>
              </w:rPr>
            </w:pPr>
            <w:r>
              <w:rPr>
                <w:rFonts w:ascii="Times New Roman" w:hAnsi="Times New Roman" w:cs="Times New Roman"/>
                <w:b/>
                <w:color w:val="000000" w:themeColor="text1"/>
                <w:kern w:val="0"/>
                <w:szCs w:val="21"/>
                <w:lang w:bidi="ar"/>
                <w14:textFill>
                  <w14:solidFill>
                    <w14:schemeClr w14:val="tx1"/>
                  </w14:solidFill>
                </w14:textFill>
              </w:rPr>
              <w:t>检测项目</w:t>
            </w:r>
          </w:p>
        </w:tc>
        <w:tc>
          <w:tcPr>
            <w:tcW w:w="1347" w:type="dxa"/>
            <w:vAlign w:val="center"/>
          </w:tcPr>
          <w:p>
            <w:pPr>
              <w:widowControl/>
              <w:jc w:val="center"/>
              <w:textAlignment w:val="center"/>
              <w:rPr>
                <w:rFonts w:ascii="Times New Roman" w:hAnsi="Times New Roman" w:cs="Times New Roman"/>
                <w:b/>
                <w:color w:val="000000" w:themeColor="text1"/>
                <w:kern w:val="0"/>
                <w:szCs w:val="21"/>
                <w:lang w:bidi="ar"/>
                <w14:textFill>
                  <w14:solidFill>
                    <w14:schemeClr w14:val="tx1"/>
                  </w14:solidFill>
                </w14:textFill>
              </w:rPr>
            </w:pPr>
            <w:r>
              <w:rPr>
                <w:rFonts w:ascii="Times New Roman" w:hAnsi="Times New Roman" w:cs="Times New Roman"/>
                <w:b/>
                <w:color w:val="000000" w:themeColor="text1"/>
                <w:kern w:val="0"/>
                <w:szCs w:val="21"/>
                <w:lang w:bidi="ar"/>
                <w14:textFill>
                  <w14:solidFill>
                    <w14:schemeClr w14:val="tx1"/>
                  </w14:solidFill>
                </w14:textFill>
              </w:rPr>
              <w:t>最大值</w:t>
            </w:r>
          </w:p>
        </w:tc>
        <w:tc>
          <w:tcPr>
            <w:tcW w:w="1347" w:type="dxa"/>
            <w:vAlign w:val="center"/>
          </w:tcPr>
          <w:p>
            <w:pPr>
              <w:jc w:val="center"/>
              <w:textAlignment w:val="center"/>
              <w:rPr>
                <w:rFonts w:ascii="Times New Roman" w:hAnsi="Times New Roman" w:cs="Times New Roman"/>
                <w:b/>
                <w:color w:val="000000" w:themeColor="text1"/>
                <w:kern w:val="0"/>
                <w:szCs w:val="21"/>
                <w:lang w:bidi="ar"/>
                <w14:textFill>
                  <w14:solidFill>
                    <w14:schemeClr w14:val="tx1"/>
                  </w14:solidFill>
                </w14:textFill>
              </w:rPr>
            </w:pPr>
            <w:r>
              <w:rPr>
                <w:rFonts w:ascii="Times New Roman" w:hAnsi="Times New Roman" w:cs="Times New Roman"/>
                <w:b/>
                <w:color w:val="000000" w:themeColor="text1"/>
                <w:kern w:val="0"/>
                <w:szCs w:val="21"/>
                <w:lang w:bidi="ar"/>
                <w14:textFill>
                  <w14:solidFill>
                    <w14:schemeClr w14:val="tx1"/>
                  </w14:solidFill>
                </w14:textFill>
              </w:rPr>
              <w:t>最小值</w:t>
            </w:r>
          </w:p>
        </w:tc>
        <w:tc>
          <w:tcPr>
            <w:tcW w:w="1417" w:type="dxa"/>
            <w:vAlign w:val="center"/>
          </w:tcPr>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背景点</w:t>
            </w:r>
          </w:p>
        </w:tc>
        <w:tc>
          <w:tcPr>
            <w:tcW w:w="1418" w:type="dxa"/>
            <w:vAlign w:val="center"/>
          </w:tcPr>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标准限值</w:t>
            </w:r>
          </w:p>
        </w:tc>
        <w:tc>
          <w:tcPr>
            <w:tcW w:w="1134" w:type="dxa"/>
            <w:vAlign w:val="center"/>
          </w:tcPr>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pH</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9.31</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7.99</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8.80</w:t>
            </w:r>
          </w:p>
        </w:tc>
        <w:tc>
          <w:tcPr>
            <w:tcW w:w="141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汞</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0.153</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0.0086</w:t>
            </w:r>
          </w:p>
        </w:tc>
        <w:tc>
          <w:tcPr>
            <w:tcW w:w="1417" w:type="dxa"/>
            <w:vAlign w:val="center"/>
          </w:tcPr>
          <w:p>
            <w:pPr>
              <w:jc w:val="center"/>
              <w:rPr>
                <w:rFonts w:ascii="Times New Roman" w:hAnsi="Times New Roman" w:cs="Times New Roman"/>
                <w:color w:val="FF0000"/>
                <w:szCs w:val="21"/>
              </w:rPr>
            </w:pPr>
            <w:r>
              <w:rPr>
                <w:rFonts w:ascii="Times New Roman" w:hAnsi="Times New Roman" w:cs="Times New Roman"/>
                <w:szCs w:val="21"/>
              </w:rPr>
              <w:t>0.0076</w:t>
            </w:r>
          </w:p>
        </w:tc>
        <w:tc>
          <w:tcPr>
            <w:tcW w:w="1418" w:type="dxa"/>
            <w:vAlign w:val="center"/>
          </w:tcPr>
          <w:p>
            <w:pPr>
              <w:jc w:val="center"/>
              <w:rPr>
                <w:rFonts w:ascii="Times New Roman" w:hAnsi="Times New Roman" w:cs="Times New Roman"/>
                <w:color w:val="FF0000"/>
                <w:szCs w:val="21"/>
              </w:rPr>
            </w:pPr>
            <w:r>
              <w:rPr>
                <w:rFonts w:ascii="Times New Roman" w:hAnsi="Times New Roman" w:cs="Times New Roman"/>
                <w:szCs w:val="21"/>
              </w:rPr>
              <w:t>38</w:t>
            </w:r>
          </w:p>
        </w:tc>
        <w:tc>
          <w:tcPr>
            <w:tcW w:w="1134" w:type="dxa"/>
            <w:vAlign w:val="center"/>
          </w:tcPr>
          <w:p>
            <w:pPr>
              <w:jc w:val="center"/>
              <w:rPr>
                <w:rFonts w:ascii="Times New Roman" w:hAnsi="Times New Roman" w:cs="Times New Roman"/>
                <w:color w:val="FF0000"/>
                <w:szCs w:val="21"/>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砷</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12.6</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3.82</w:t>
            </w:r>
          </w:p>
        </w:tc>
        <w:tc>
          <w:tcPr>
            <w:tcW w:w="1417" w:type="dxa"/>
            <w:vAlign w:val="center"/>
          </w:tcPr>
          <w:p>
            <w:pPr>
              <w:jc w:val="center"/>
              <w:rPr>
                <w:rFonts w:ascii="Times New Roman" w:hAnsi="Times New Roman" w:cs="Times New Roman"/>
                <w:color w:val="FF0000"/>
                <w:szCs w:val="21"/>
              </w:rPr>
            </w:pPr>
            <w:r>
              <w:rPr>
                <w:rFonts w:ascii="Times New Roman" w:hAnsi="Times New Roman" w:cs="Times New Roman"/>
                <w:szCs w:val="21"/>
              </w:rPr>
              <w:t>3.57</w:t>
            </w:r>
          </w:p>
        </w:tc>
        <w:tc>
          <w:tcPr>
            <w:tcW w:w="1418" w:type="dxa"/>
            <w:vAlign w:val="center"/>
          </w:tcPr>
          <w:p>
            <w:pPr>
              <w:jc w:val="center"/>
              <w:rPr>
                <w:rFonts w:ascii="Times New Roman" w:hAnsi="Times New Roman" w:cs="Times New Roman"/>
                <w:color w:val="FF0000"/>
                <w:szCs w:val="21"/>
              </w:rPr>
            </w:pPr>
            <w:r>
              <w:rPr>
                <w:rFonts w:ascii="Times New Roman" w:hAnsi="Times New Roman" w:cs="Times New Roman"/>
                <w:szCs w:val="21"/>
              </w:rPr>
              <w:t>60</w:t>
            </w:r>
          </w:p>
        </w:tc>
        <w:tc>
          <w:tcPr>
            <w:tcW w:w="1134" w:type="dxa"/>
            <w:vAlign w:val="center"/>
          </w:tcPr>
          <w:p>
            <w:pPr>
              <w:jc w:val="center"/>
              <w:rPr>
                <w:rFonts w:ascii="Times New Roman" w:hAnsi="Times New Roman" w:cs="Times New Roman"/>
                <w:color w:val="FF0000"/>
                <w:szCs w:val="21"/>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szCs w:val="21"/>
              </w:rPr>
            </w:pPr>
            <w:r>
              <w:rPr>
                <w:rFonts w:ascii="Times New Roman" w:hAnsi="Times New Roman" w:cs="Times New Roman"/>
                <w:color w:val="000000" w:themeColor="text1"/>
                <w:szCs w:val="21"/>
                <w14:textFill>
                  <w14:solidFill>
                    <w14:schemeClr w14:val="tx1"/>
                  </w14:solidFill>
                </w14:textFill>
              </w:rPr>
              <w:t>镉</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0.47</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0.07</w:t>
            </w:r>
          </w:p>
        </w:tc>
        <w:tc>
          <w:tcPr>
            <w:tcW w:w="1417" w:type="dxa"/>
            <w:vAlign w:val="center"/>
          </w:tcPr>
          <w:p>
            <w:pPr>
              <w:jc w:val="center"/>
              <w:rPr>
                <w:rFonts w:ascii="Times New Roman" w:hAnsi="Times New Roman" w:cs="Times New Roman"/>
                <w:color w:val="FF0000"/>
                <w:szCs w:val="21"/>
              </w:rPr>
            </w:pPr>
            <w:r>
              <w:rPr>
                <w:rFonts w:ascii="Times New Roman" w:hAnsi="Times New Roman" w:cs="Times New Roman"/>
                <w:color w:val="000000" w:themeColor="text1"/>
                <w:szCs w:val="21"/>
                <w14:textFill>
                  <w14:solidFill>
                    <w14:schemeClr w14:val="tx1"/>
                  </w14:solidFill>
                </w14:textFill>
              </w:rPr>
              <w:t>0.17</w:t>
            </w:r>
          </w:p>
        </w:tc>
        <w:tc>
          <w:tcPr>
            <w:tcW w:w="1418" w:type="dxa"/>
            <w:vAlign w:val="center"/>
          </w:tcPr>
          <w:p>
            <w:pPr>
              <w:jc w:val="center"/>
              <w:rPr>
                <w:rFonts w:ascii="Times New Roman" w:hAnsi="Times New Roman" w:cs="Times New Roman"/>
                <w:szCs w:val="21"/>
              </w:rPr>
            </w:pPr>
            <w:r>
              <w:rPr>
                <w:rFonts w:ascii="Times New Roman" w:hAnsi="Times New Roman" w:cs="Times New Roman"/>
                <w:color w:val="000000" w:themeColor="text1"/>
                <w:szCs w:val="21"/>
                <w14:textFill>
                  <w14:solidFill>
                    <w14:schemeClr w14:val="tx1"/>
                  </w14:solidFill>
                </w14:textFill>
              </w:rPr>
              <w:t>65</w:t>
            </w:r>
          </w:p>
        </w:tc>
        <w:tc>
          <w:tcPr>
            <w:tcW w:w="1134" w:type="dxa"/>
            <w:vAlign w:val="center"/>
          </w:tcPr>
          <w:p>
            <w:pPr>
              <w:jc w:val="center"/>
              <w:rPr>
                <w:rFonts w:ascii="Times New Roman" w:hAnsi="Times New Roman" w:cs="Times New Roman"/>
                <w:color w:val="FF0000"/>
                <w:szCs w:val="21"/>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铜</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29</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w:t>
            </w:r>
          </w:p>
        </w:tc>
        <w:tc>
          <w:tcPr>
            <w:tcW w:w="141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18000</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color w:val="000000" w:themeColor="text1"/>
                <w:szCs w:val="21"/>
                <w14:textFill>
                  <w14:solidFill>
                    <w14:schemeClr w14:val="tx1"/>
                  </w14:solidFill>
                </w14:textFill>
              </w:rPr>
              <w:t>铅</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26.3</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16.3</w:t>
            </w:r>
          </w:p>
        </w:tc>
        <w:tc>
          <w:tcPr>
            <w:tcW w:w="1417" w:type="dxa"/>
            <w:vAlign w:val="center"/>
          </w:tcPr>
          <w:p>
            <w:pPr>
              <w:jc w:val="center"/>
              <w:rPr>
                <w:rFonts w:ascii="Times New Roman" w:hAnsi="Times New Roman" w:cs="Times New Roman"/>
                <w:color w:val="FF0000"/>
                <w:szCs w:val="21"/>
              </w:rPr>
            </w:pPr>
            <w:r>
              <w:rPr>
                <w:rFonts w:ascii="Times New Roman" w:hAnsi="Times New Roman" w:cs="Times New Roman"/>
                <w:color w:val="000000" w:themeColor="text1"/>
                <w:szCs w:val="21"/>
                <w14:textFill>
                  <w14:solidFill>
                    <w14:schemeClr w14:val="tx1"/>
                  </w14:solidFill>
                </w14:textFill>
              </w:rPr>
              <w:t>18.1</w:t>
            </w:r>
          </w:p>
        </w:tc>
        <w:tc>
          <w:tcPr>
            <w:tcW w:w="1418" w:type="dxa"/>
            <w:vAlign w:val="center"/>
          </w:tcPr>
          <w:p>
            <w:pPr>
              <w:jc w:val="center"/>
              <w:rPr>
                <w:rFonts w:ascii="Times New Roman" w:hAnsi="Times New Roman" w:cs="Times New Roman"/>
                <w:color w:val="FF0000"/>
                <w:szCs w:val="21"/>
              </w:rPr>
            </w:pPr>
            <w:r>
              <w:rPr>
                <w:rFonts w:ascii="Times New Roman" w:hAnsi="Times New Roman" w:cs="Times New Roman"/>
                <w:color w:val="000000" w:themeColor="text1"/>
                <w:szCs w:val="21"/>
                <w14:textFill>
                  <w14:solidFill>
                    <w14:schemeClr w14:val="tx1"/>
                  </w14:solidFill>
                </w14:textFill>
              </w:rPr>
              <w:t>800</w:t>
            </w:r>
          </w:p>
        </w:tc>
        <w:tc>
          <w:tcPr>
            <w:tcW w:w="1134" w:type="dxa"/>
            <w:vAlign w:val="center"/>
          </w:tcPr>
          <w:p>
            <w:pPr>
              <w:jc w:val="center"/>
              <w:rPr>
                <w:rFonts w:ascii="Times New Roman" w:hAnsi="Times New Roman" w:cs="Times New Roman"/>
                <w:color w:val="FF0000"/>
                <w:szCs w:val="21"/>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镍</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37</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w:t>
            </w:r>
          </w:p>
        </w:tc>
        <w:tc>
          <w:tcPr>
            <w:tcW w:w="1417" w:type="dxa"/>
            <w:vAlign w:val="center"/>
          </w:tcPr>
          <w:p>
            <w:pPr>
              <w:jc w:val="center"/>
              <w:rPr>
                <w:rFonts w:ascii="Times New Roman" w:hAnsi="Times New Roman" w:cs="Times New Roman"/>
                <w:color w:val="FF0000"/>
                <w:szCs w:val="21"/>
              </w:rPr>
            </w:pPr>
            <w:r>
              <w:rPr>
                <w:rFonts w:ascii="Times New Roman" w:hAnsi="Times New Roman" w:cs="Times New Roman"/>
                <w:szCs w:val="21"/>
              </w:rPr>
              <w:t>8</w:t>
            </w:r>
          </w:p>
        </w:tc>
        <w:tc>
          <w:tcPr>
            <w:tcW w:w="1418" w:type="dxa"/>
            <w:vAlign w:val="center"/>
          </w:tcPr>
          <w:p>
            <w:pPr>
              <w:jc w:val="center"/>
              <w:rPr>
                <w:rFonts w:ascii="Times New Roman" w:hAnsi="Times New Roman" w:cs="Times New Roman"/>
                <w:color w:val="FF0000"/>
                <w:szCs w:val="21"/>
              </w:rPr>
            </w:pPr>
            <w:r>
              <w:rPr>
                <w:rFonts w:ascii="Times New Roman" w:hAnsi="Times New Roman" w:cs="Times New Roman"/>
                <w:szCs w:val="21"/>
              </w:rPr>
              <w:t>900</w:t>
            </w:r>
          </w:p>
        </w:tc>
        <w:tc>
          <w:tcPr>
            <w:tcW w:w="1134" w:type="dxa"/>
            <w:vAlign w:val="center"/>
          </w:tcPr>
          <w:p>
            <w:pPr>
              <w:jc w:val="center"/>
              <w:rPr>
                <w:rFonts w:ascii="Times New Roman" w:hAnsi="Times New Roman" w:cs="Times New Roman"/>
                <w:color w:val="FF0000"/>
                <w:szCs w:val="21"/>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六价铬</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FF0000"/>
                <w:szCs w:val="21"/>
              </w:rPr>
            </w:pPr>
            <w:r>
              <w:rPr>
                <w:rFonts w:ascii="Times New Roman" w:hAnsi="Times New Roman" w:cs="Times New Roman"/>
                <w:szCs w:val="21"/>
              </w:rPr>
              <w:t>ND</w:t>
            </w:r>
          </w:p>
        </w:tc>
        <w:tc>
          <w:tcPr>
            <w:tcW w:w="1418" w:type="dxa"/>
            <w:vAlign w:val="center"/>
          </w:tcPr>
          <w:p>
            <w:pPr>
              <w:jc w:val="center"/>
              <w:rPr>
                <w:rFonts w:ascii="Times New Roman" w:hAnsi="Times New Roman" w:cs="Times New Roman"/>
                <w:color w:val="FF0000"/>
                <w:szCs w:val="21"/>
              </w:rPr>
            </w:pPr>
            <w:r>
              <w:rPr>
                <w:rFonts w:ascii="Times New Roman" w:hAnsi="Times New Roman" w:cs="Times New Roman"/>
                <w:szCs w:val="21"/>
              </w:rPr>
              <w:t>5.7</w:t>
            </w:r>
          </w:p>
        </w:tc>
        <w:tc>
          <w:tcPr>
            <w:tcW w:w="1134" w:type="dxa"/>
            <w:vAlign w:val="center"/>
          </w:tcPr>
          <w:p>
            <w:pPr>
              <w:jc w:val="center"/>
              <w:rPr>
                <w:rFonts w:ascii="Times New Roman" w:hAnsi="Times New Roman" w:cs="Times New Roman"/>
                <w:color w:val="FF0000"/>
                <w:szCs w:val="21"/>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氯甲烷</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0.0043</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ND</w:t>
            </w:r>
          </w:p>
        </w:tc>
        <w:tc>
          <w:tcPr>
            <w:tcW w:w="1417" w:type="dxa"/>
            <w:vAlign w:val="center"/>
          </w:tcPr>
          <w:p>
            <w:pPr>
              <w:jc w:val="center"/>
              <w:rPr>
                <w:rFonts w:ascii="Times New Roman" w:hAnsi="Times New Roman" w:cs="Times New Roman"/>
                <w:color w:val="FF0000"/>
                <w:szCs w:val="21"/>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FF0000"/>
                <w:szCs w:val="21"/>
              </w:rPr>
            </w:pPr>
            <w:r>
              <w:rPr>
                <w:rFonts w:ascii="Times New Roman" w:hAnsi="Times New Roman" w:cs="Times New Roman"/>
                <w:szCs w:val="21"/>
              </w:rPr>
              <w:t>37</w:t>
            </w:r>
          </w:p>
        </w:tc>
        <w:tc>
          <w:tcPr>
            <w:tcW w:w="1134" w:type="dxa"/>
            <w:vAlign w:val="center"/>
          </w:tcPr>
          <w:p>
            <w:pPr>
              <w:jc w:val="center"/>
              <w:rPr>
                <w:rFonts w:ascii="Times New Roman" w:hAnsi="Times New Roman" w:cs="Times New Roman"/>
                <w:color w:val="FF0000"/>
                <w:szCs w:val="21"/>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氯乙烯</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FF0000"/>
                <w:szCs w:val="21"/>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FF0000"/>
                <w:szCs w:val="21"/>
              </w:rPr>
            </w:pPr>
            <w:r>
              <w:rPr>
                <w:rFonts w:ascii="Times New Roman" w:hAnsi="Times New Roman" w:cs="Times New Roman"/>
                <w:szCs w:val="21"/>
              </w:rPr>
              <w:t>0.43</w:t>
            </w:r>
          </w:p>
        </w:tc>
        <w:tc>
          <w:tcPr>
            <w:tcW w:w="1134" w:type="dxa"/>
            <w:vAlign w:val="center"/>
          </w:tcPr>
          <w:p>
            <w:pPr>
              <w:jc w:val="center"/>
              <w:rPr>
                <w:rFonts w:ascii="Times New Roman" w:hAnsi="Times New Roman" w:cs="Times New Roman"/>
                <w:color w:val="FF0000"/>
                <w:szCs w:val="21"/>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1,1-二氯乙烯</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FF0000"/>
                <w:szCs w:val="21"/>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FF0000"/>
                <w:szCs w:val="21"/>
              </w:rPr>
            </w:pPr>
            <w:r>
              <w:rPr>
                <w:rFonts w:ascii="Times New Roman" w:hAnsi="Times New Roman" w:cs="Times New Roman"/>
                <w:szCs w:val="21"/>
              </w:rPr>
              <w:t>66</w:t>
            </w:r>
          </w:p>
        </w:tc>
        <w:tc>
          <w:tcPr>
            <w:tcW w:w="1134" w:type="dxa"/>
            <w:vAlign w:val="center"/>
          </w:tcPr>
          <w:p>
            <w:pPr>
              <w:jc w:val="center"/>
              <w:rPr>
                <w:rFonts w:ascii="Times New Roman" w:hAnsi="Times New Roman" w:cs="Times New Roman"/>
                <w:color w:val="FF0000"/>
                <w:szCs w:val="21"/>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二氯甲烷</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FF0000"/>
                <w:szCs w:val="21"/>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FF0000"/>
                <w:szCs w:val="21"/>
              </w:rPr>
            </w:pPr>
            <w:r>
              <w:rPr>
                <w:rFonts w:ascii="Times New Roman" w:hAnsi="Times New Roman" w:cs="Times New Roman"/>
                <w:szCs w:val="21"/>
              </w:rPr>
              <w:t>616</w:t>
            </w:r>
          </w:p>
        </w:tc>
        <w:tc>
          <w:tcPr>
            <w:tcW w:w="1134" w:type="dxa"/>
            <w:vAlign w:val="center"/>
          </w:tcPr>
          <w:p>
            <w:pPr>
              <w:jc w:val="center"/>
              <w:rPr>
                <w:rFonts w:ascii="Times New Roman" w:hAnsi="Times New Roman" w:cs="Times New Roman"/>
                <w:color w:val="FF0000"/>
                <w:szCs w:val="21"/>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（反）1,2-二氯乙烯</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FF0000"/>
                <w:szCs w:val="21"/>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FF0000"/>
                <w:szCs w:val="21"/>
              </w:rPr>
            </w:pPr>
            <w:r>
              <w:rPr>
                <w:rFonts w:ascii="Times New Roman" w:hAnsi="Times New Roman" w:cs="Times New Roman"/>
                <w:szCs w:val="21"/>
              </w:rPr>
              <w:t>54</w:t>
            </w:r>
          </w:p>
        </w:tc>
        <w:tc>
          <w:tcPr>
            <w:tcW w:w="1134" w:type="dxa"/>
            <w:vAlign w:val="center"/>
          </w:tcPr>
          <w:p>
            <w:pPr>
              <w:jc w:val="center"/>
              <w:rPr>
                <w:rFonts w:ascii="Times New Roman" w:hAnsi="Times New Roman" w:cs="Times New Roman"/>
                <w:color w:val="FF0000"/>
                <w:szCs w:val="21"/>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1,1-二氯乙烷</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FF0000"/>
                <w:szCs w:val="21"/>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FF0000"/>
                <w:szCs w:val="21"/>
              </w:rPr>
            </w:pPr>
            <w:r>
              <w:rPr>
                <w:rFonts w:ascii="Times New Roman" w:hAnsi="Times New Roman" w:cs="Times New Roman"/>
                <w:szCs w:val="21"/>
              </w:rPr>
              <w:t>9</w:t>
            </w:r>
          </w:p>
        </w:tc>
        <w:tc>
          <w:tcPr>
            <w:tcW w:w="1134" w:type="dxa"/>
            <w:vAlign w:val="center"/>
          </w:tcPr>
          <w:p>
            <w:pPr>
              <w:jc w:val="center"/>
              <w:rPr>
                <w:rFonts w:ascii="Times New Roman" w:hAnsi="Times New Roman" w:cs="Times New Roman"/>
                <w:color w:val="FF0000"/>
                <w:szCs w:val="21"/>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（顺）1,2-二氯乙烯</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FF0000"/>
                <w:szCs w:val="21"/>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FF0000"/>
                <w:szCs w:val="21"/>
              </w:rPr>
            </w:pPr>
            <w:r>
              <w:rPr>
                <w:rFonts w:ascii="Times New Roman" w:hAnsi="Times New Roman" w:cs="Times New Roman"/>
                <w:szCs w:val="21"/>
              </w:rPr>
              <w:t>596</w:t>
            </w:r>
          </w:p>
        </w:tc>
        <w:tc>
          <w:tcPr>
            <w:tcW w:w="1134" w:type="dxa"/>
            <w:vAlign w:val="center"/>
          </w:tcPr>
          <w:p>
            <w:pPr>
              <w:jc w:val="center"/>
              <w:rPr>
                <w:rFonts w:ascii="Times New Roman" w:hAnsi="Times New Roman" w:cs="Times New Roman"/>
                <w:color w:val="FF0000"/>
                <w:szCs w:val="21"/>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三氯甲烷</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FF0000"/>
                <w:szCs w:val="21"/>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FF0000"/>
                <w:szCs w:val="21"/>
              </w:rPr>
            </w:pPr>
            <w:r>
              <w:rPr>
                <w:rFonts w:ascii="Times New Roman" w:hAnsi="Times New Roman" w:cs="Times New Roman"/>
                <w:szCs w:val="21"/>
              </w:rPr>
              <w:t>0.9</w:t>
            </w:r>
          </w:p>
        </w:tc>
        <w:tc>
          <w:tcPr>
            <w:tcW w:w="1134" w:type="dxa"/>
            <w:vAlign w:val="center"/>
          </w:tcPr>
          <w:p>
            <w:pPr>
              <w:jc w:val="center"/>
              <w:rPr>
                <w:rFonts w:ascii="Times New Roman" w:hAnsi="Times New Roman" w:cs="Times New Roman"/>
                <w:color w:val="FF0000"/>
                <w:szCs w:val="21"/>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1,1,1-三氯乙烷</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FF0000"/>
                <w:szCs w:val="21"/>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FF0000"/>
                <w:szCs w:val="21"/>
              </w:rPr>
            </w:pPr>
            <w:r>
              <w:rPr>
                <w:rFonts w:ascii="Times New Roman" w:hAnsi="Times New Roman" w:cs="Times New Roman"/>
                <w:szCs w:val="21"/>
              </w:rPr>
              <w:t>840</w:t>
            </w:r>
          </w:p>
        </w:tc>
        <w:tc>
          <w:tcPr>
            <w:tcW w:w="1134" w:type="dxa"/>
            <w:vAlign w:val="center"/>
          </w:tcPr>
          <w:p>
            <w:pPr>
              <w:jc w:val="center"/>
              <w:rPr>
                <w:rFonts w:ascii="Times New Roman" w:hAnsi="Times New Roman" w:cs="Times New Roman"/>
                <w:color w:val="FF0000"/>
                <w:szCs w:val="21"/>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四氯化碳</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FF0000"/>
                <w:szCs w:val="21"/>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FF0000"/>
                <w:szCs w:val="21"/>
              </w:rPr>
            </w:pPr>
            <w:r>
              <w:rPr>
                <w:rFonts w:ascii="Times New Roman" w:hAnsi="Times New Roman" w:cs="Times New Roman"/>
                <w:szCs w:val="21"/>
              </w:rPr>
              <w:t>2.8</w:t>
            </w:r>
          </w:p>
        </w:tc>
        <w:tc>
          <w:tcPr>
            <w:tcW w:w="1134" w:type="dxa"/>
            <w:vAlign w:val="center"/>
          </w:tcPr>
          <w:p>
            <w:pPr>
              <w:jc w:val="center"/>
              <w:rPr>
                <w:rFonts w:ascii="Times New Roman" w:hAnsi="Times New Roman" w:cs="Times New Roman"/>
                <w:color w:val="FF0000"/>
                <w:szCs w:val="21"/>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1,2-二氯乙烷</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FF0000"/>
                <w:szCs w:val="21"/>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FF0000"/>
                <w:szCs w:val="21"/>
              </w:rPr>
            </w:pPr>
            <w:r>
              <w:rPr>
                <w:rFonts w:ascii="Times New Roman" w:hAnsi="Times New Roman" w:cs="Times New Roman"/>
                <w:szCs w:val="21"/>
              </w:rPr>
              <w:t>5</w:t>
            </w:r>
          </w:p>
        </w:tc>
        <w:tc>
          <w:tcPr>
            <w:tcW w:w="1134" w:type="dxa"/>
            <w:vAlign w:val="center"/>
          </w:tcPr>
          <w:p>
            <w:pPr>
              <w:jc w:val="center"/>
              <w:rPr>
                <w:rFonts w:ascii="Times New Roman" w:hAnsi="Times New Roman" w:cs="Times New Roman"/>
                <w:color w:val="FF0000"/>
                <w:szCs w:val="21"/>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苯</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FF0000"/>
                <w:szCs w:val="21"/>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FF0000"/>
                <w:szCs w:val="21"/>
              </w:rPr>
            </w:pPr>
            <w:r>
              <w:rPr>
                <w:rFonts w:ascii="Times New Roman" w:hAnsi="Times New Roman" w:cs="Times New Roman"/>
                <w:szCs w:val="21"/>
              </w:rPr>
              <w:t>4</w:t>
            </w:r>
          </w:p>
        </w:tc>
        <w:tc>
          <w:tcPr>
            <w:tcW w:w="1134" w:type="dxa"/>
            <w:vAlign w:val="center"/>
          </w:tcPr>
          <w:p>
            <w:pPr>
              <w:jc w:val="center"/>
              <w:rPr>
                <w:rFonts w:ascii="Times New Roman" w:hAnsi="Times New Roman" w:cs="Times New Roman"/>
                <w:color w:val="FF0000"/>
                <w:szCs w:val="21"/>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三氯乙烯</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2.8</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1,2-二氯丙烷</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5</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br w:type="page"/>
            </w:r>
            <w:r>
              <w:rPr>
                <w:rFonts w:ascii="Times New Roman" w:hAnsi="Times New Roman" w:cs="Times New Roman"/>
                <w:szCs w:val="21"/>
              </w:rPr>
              <w:t>甲苯</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0.0013</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1200</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1,1,2-三氯乙烷</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2.8</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四氯乙烯</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53</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氯苯</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270</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1,1,1,2-四氯乙烷</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10</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乙苯</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28</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对（间）二甲苯</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570</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邻二甲苯</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640</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苯乙烯</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1290</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1,1,2,2-四氯乙烷</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6.8</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1,2,3-三氯丙烷</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0.5</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1,4-二氯苯</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20</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1,2-二氯苯</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560</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萘</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70</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苯胺</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260</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硝基苯</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76</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2-氯酚</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2256</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苯并[a]蒽</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15</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䓛</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1293</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苯并[b]荧蒽</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15</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苯并[k]荧蒽</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151</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苯并[a]芘</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1.5</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茚并[1,2,3-c,d]芘</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15</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二苯并[a,h]蒽</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ND</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1.5</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石油烃（C</w:t>
            </w:r>
            <w:r>
              <w:rPr>
                <w:rFonts w:ascii="Times New Roman" w:hAnsi="Times New Roman" w:cs="Times New Roman"/>
                <w:szCs w:val="21"/>
                <w:vertAlign w:val="subscript"/>
              </w:rPr>
              <w:t>10</w:t>
            </w:r>
            <w:r>
              <w:rPr>
                <w:rFonts w:ascii="Times New Roman" w:hAnsi="Times New Roman" w:cs="Times New Roman"/>
                <w:szCs w:val="21"/>
              </w:rPr>
              <w:t>-C</w:t>
            </w:r>
            <w:r>
              <w:rPr>
                <w:rFonts w:ascii="Times New Roman" w:hAnsi="Times New Roman" w:cs="Times New Roman"/>
                <w:szCs w:val="21"/>
                <w:vertAlign w:val="subscript"/>
              </w:rPr>
              <w:t>40</w:t>
            </w:r>
            <w:r>
              <w:rPr>
                <w:rFonts w:ascii="Times New Roman" w:hAnsi="Times New Roman" w:cs="Times New Roman"/>
                <w:szCs w:val="21"/>
              </w:rPr>
              <w:t>）</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23</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12</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w:t>
            </w:r>
          </w:p>
        </w:tc>
        <w:tc>
          <w:tcPr>
            <w:tcW w:w="141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szCs w:val="21"/>
              </w:rPr>
              <w:t>4500</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钴</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szCs w:val="21"/>
              </w:rPr>
              <w:t>16.7</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4.24</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szCs w:val="21"/>
              </w:rPr>
              <w:t>5.06</w:t>
            </w:r>
          </w:p>
        </w:tc>
        <w:tc>
          <w:tcPr>
            <w:tcW w:w="141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szCs w:val="21"/>
              </w:rPr>
              <w:t>70</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铍</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szCs w:val="21"/>
              </w:rPr>
              <w:t>2.78</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szCs w:val="21"/>
              </w:rPr>
              <w:t>1.27</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szCs w:val="21"/>
              </w:rPr>
              <w:t>2.26</w:t>
            </w:r>
          </w:p>
        </w:tc>
        <w:tc>
          <w:tcPr>
            <w:tcW w:w="141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szCs w:val="21"/>
              </w:rPr>
              <w:t>29</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锑</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1.58</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0.68</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szCs w:val="21"/>
              </w:rPr>
              <w:t>0.70</w:t>
            </w:r>
          </w:p>
        </w:tc>
        <w:tc>
          <w:tcPr>
            <w:tcW w:w="141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szCs w:val="21"/>
              </w:rPr>
              <w:t>180</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color w:val="FF0000"/>
                <w:szCs w:val="21"/>
              </w:rPr>
            </w:pPr>
            <w:r>
              <w:rPr>
                <w:rFonts w:ascii="Times New Roman" w:hAnsi="Times New Roman" w:cs="Times New Roman"/>
                <w:szCs w:val="21"/>
              </w:rPr>
              <w:t>钒</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szCs w:val="21"/>
              </w:rPr>
              <w:t>118</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43.3</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szCs w:val="21"/>
              </w:rPr>
              <w:t>50.4</w:t>
            </w:r>
          </w:p>
        </w:tc>
        <w:tc>
          <w:tcPr>
            <w:tcW w:w="1418"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szCs w:val="21"/>
              </w:rPr>
              <w:t>752</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szCs w:val="21"/>
              </w:rPr>
            </w:pPr>
            <w:r>
              <w:rPr>
                <w:rFonts w:ascii="Times New Roman" w:hAnsi="Times New Roman" w:cs="Times New Roman"/>
                <w:szCs w:val="21"/>
              </w:rPr>
              <w:t>锌</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111</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21</w:t>
            </w:r>
          </w:p>
        </w:tc>
        <w:tc>
          <w:tcPr>
            <w:tcW w:w="141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szCs w:val="21"/>
              </w:rPr>
              <w:t>28</w:t>
            </w:r>
          </w:p>
        </w:tc>
        <w:tc>
          <w:tcPr>
            <w:tcW w:w="1418" w:type="dxa"/>
            <w:vAlign w:val="center"/>
          </w:tcPr>
          <w:p>
            <w:pPr>
              <w:jc w:val="center"/>
              <w:rPr>
                <w:rFonts w:ascii="Times New Roman" w:hAnsi="Times New Roman" w:cs="Times New Roman"/>
                <w:color w:val="000000"/>
                <w:szCs w:val="21"/>
              </w:rPr>
            </w:pPr>
            <w:r>
              <w:rPr>
                <w:rFonts w:ascii="Times New Roman" w:hAnsi="Times New Roman" w:cs="Times New Roman"/>
                <w:szCs w:val="21"/>
              </w:rPr>
              <w:t>---</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1" w:type="dxa"/>
            <w:vAlign w:val="center"/>
          </w:tcPr>
          <w:p>
            <w:pPr>
              <w:jc w:val="center"/>
              <w:rPr>
                <w:rFonts w:ascii="Times New Roman" w:hAnsi="Times New Roman" w:cs="Times New Roman"/>
                <w:szCs w:val="21"/>
              </w:rPr>
            </w:pPr>
            <w:r>
              <w:rPr>
                <w:rFonts w:hint="eastAsia"/>
                <w:szCs w:val="21"/>
              </w:rPr>
              <w:t>二噁英类</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.7</w:t>
            </w:r>
          </w:p>
        </w:tc>
        <w:tc>
          <w:tcPr>
            <w:tcW w:w="134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0</w:t>
            </w:r>
            <w:r>
              <w:rPr>
                <w:rFonts w:ascii="Times New Roman" w:hAnsi="Times New Roman" w:cs="Times New Roman"/>
                <w:color w:val="000000" w:themeColor="text1"/>
                <w:szCs w:val="21"/>
                <w14:textFill>
                  <w14:solidFill>
                    <w14:schemeClr w14:val="tx1"/>
                  </w14:solidFill>
                </w14:textFill>
              </w:rPr>
              <w:t>.43</w:t>
            </w:r>
          </w:p>
        </w:tc>
        <w:tc>
          <w:tcPr>
            <w:tcW w:w="1417" w:type="dxa"/>
            <w:vAlign w:val="center"/>
          </w:tcPr>
          <w:p>
            <w:pPr>
              <w:jc w:val="center"/>
              <w:rPr>
                <w:rFonts w:ascii="Times New Roman" w:hAnsi="Times New Roman" w:cs="Times New Roman"/>
                <w:color w:val="000000"/>
                <w:szCs w:val="21"/>
              </w:rPr>
            </w:pPr>
            <w:r>
              <w:rPr>
                <w:rFonts w:ascii="Times New Roman" w:hAnsi="Times New Roman" w:cs="Times New Roman"/>
                <w:szCs w:val="21"/>
              </w:rPr>
              <w:t>---</w:t>
            </w:r>
          </w:p>
        </w:tc>
        <w:tc>
          <w:tcPr>
            <w:tcW w:w="1418" w:type="dxa"/>
            <w:vAlign w:val="center"/>
          </w:tcPr>
          <w:p>
            <w:pPr>
              <w:jc w:val="center"/>
              <w:rPr>
                <w:rFonts w:ascii="Times New Roman" w:hAnsi="Times New Roman" w:cs="Times New Roman"/>
                <w:szCs w:val="21"/>
              </w:rPr>
            </w:pPr>
            <w:r>
              <w:rPr>
                <w:rFonts w:hint="eastAsia" w:ascii="Times New Roman" w:hAnsi="Times New Roman" w:cs="Times New Roman"/>
                <w:szCs w:val="21"/>
              </w:rPr>
              <w:t>4</w:t>
            </w:r>
            <w:r>
              <w:rPr>
                <w:rFonts w:ascii="Times New Roman" w:hAnsi="Times New Roman" w:cs="Times New Roman"/>
                <w:szCs w:val="21"/>
              </w:rPr>
              <w:t>0</w:t>
            </w:r>
          </w:p>
        </w:tc>
        <w:tc>
          <w:tcPr>
            <w:tcW w:w="113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ng/kg</w:t>
            </w:r>
          </w:p>
        </w:tc>
      </w:tr>
    </w:tbl>
    <w:p>
      <w:pPr>
        <w:pStyle w:val="2"/>
        <w:rPr>
          <w:rFonts w:eastAsia="宋体" w:cs="Times New Roman"/>
          <w:b/>
          <w:bCs/>
          <w:color w:val="000000" w:themeColor="text1"/>
          <w:sz w:val="24"/>
          <w:szCs w:val="24"/>
          <w14:textFill>
            <w14:solidFill>
              <w14:schemeClr w14:val="tx1"/>
            </w14:solidFill>
          </w14:textFill>
        </w:rPr>
      </w:pPr>
    </w:p>
    <w:p>
      <w:pPr>
        <w:pStyle w:val="2"/>
        <w:numPr>
          <w:ilvl w:val="0"/>
          <w:numId w:val="12"/>
        </w:numPr>
        <w:jc w:val="center"/>
        <w:rPr>
          <w:rFonts w:eastAsia="宋体" w:cs="Times New Roman"/>
          <w:b/>
          <w:bCs/>
          <w:color w:val="000000" w:themeColor="text1"/>
          <w:sz w:val="24"/>
          <w:szCs w:val="24"/>
          <w14:textFill>
            <w14:solidFill>
              <w14:schemeClr w14:val="tx1"/>
            </w14:solidFill>
          </w14:textFill>
        </w:rPr>
      </w:pPr>
      <w:r>
        <w:rPr>
          <w:rFonts w:eastAsia="宋体" w:cs="Times New Roman"/>
          <w:b/>
          <w:bCs/>
          <w:color w:val="000000" w:themeColor="text1"/>
          <w:sz w:val="24"/>
          <w:szCs w:val="22"/>
          <w14:textFill>
            <w14:solidFill>
              <w14:schemeClr w14:val="tx1"/>
            </w14:solidFill>
          </w14:textFill>
        </w:rPr>
        <w:t>地下水检测结果统计表</w:t>
      </w:r>
    </w:p>
    <w:tbl>
      <w:tblPr>
        <w:tblStyle w:val="16"/>
        <w:tblW w:w="4907"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2"/>
        <w:gridCol w:w="1544"/>
        <w:gridCol w:w="1515"/>
        <w:gridCol w:w="1509"/>
        <w:gridCol w:w="1418"/>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880" w:type="pct"/>
            <w:vAlign w:val="center"/>
          </w:tcPr>
          <w:p>
            <w:pPr>
              <w:jc w:val="center"/>
              <w:rPr>
                <w:rFonts w:ascii="Times New Roman" w:hAnsi="Times New Roman" w:cs="Times New Roman"/>
                <w:b/>
                <w:color w:val="FF0000"/>
                <w:szCs w:val="21"/>
              </w:rPr>
            </w:pPr>
            <w:r>
              <w:rPr>
                <w:rFonts w:ascii="Times New Roman" w:hAnsi="Times New Roman" w:cs="Times New Roman"/>
                <w:b/>
                <w:color w:val="000000" w:themeColor="text1"/>
                <w:szCs w:val="21"/>
                <w14:textFill>
                  <w14:solidFill>
                    <w14:schemeClr w14:val="tx1"/>
                  </w14:solidFill>
                </w14:textFill>
              </w:rPr>
              <w:t>检测项目</w:t>
            </w:r>
          </w:p>
        </w:tc>
        <w:tc>
          <w:tcPr>
            <w:tcW w:w="923" w:type="pct"/>
            <w:vAlign w:val="center"/>
          </w:tcPr>
          <w:p>
            <w:pPr>
              <w:jc w:val="center"/>
              <w:rPr>
                <w:rFonts w:ascii="Times New Roman" w:hAnsi="Times New Roman" w:cs="Times New Roman"/>
                <w:b/>
                <w:bCs/>
                <w:color w:val="FF0000"/>
                <w:szCs w:val="21"/>
              </w:rPr>
            </w:pPr>
            <w:r>
              <w:rPr>
                <w:rFonts w:ascii="Times New Roman" w:hAnsi="Times New Roman" w:cs="Times New Roman"/>
                <w:b/>
                <w:bCs/>
                <w:color w:val="000000"/>
                <w:szCs w:val="21"/>
              </w:rPr>
              <w:t>1#地下水监测井</w:t>
            </w:r>
          </w:p>
        </w:tc>
        <w:tc>
          <w:tcPr>
            <w:tcW w:w="906" w:type="pct"/>
            <w:vAlign w:val="center"/>
          </w:tcPr>
          <w:p>
            <w:pPr>
              <w:jc w:val="center"/>
              <w:rPr>
                <w:rFonts w:ascii="Times New Roman" w:hAnsi="Times New Roman" w:cs="Times New Roman"/>
                <w:b/>
                <w:bCs/>
                <w:color w:val="FF0000"/>
                <w:szCs w:val="21"/>
              </w:rPr>
            </w:pPr>
            <w:r>
              <w:rPr>
                <w:rFonts w:ascii="Times New Roman" w:hAnsi="Times New Roman" w:cs="Times New Roman"/>
                <w:b/>
                <w:bCs/>
                <w:color w:val="000000"/>
                <w:szCs w:val="21"/>
              </w:rPr>
              <w:t>2#地下水监测井</w:t>
            </w:r>
          </w:p>
        </w:tc>
        <w:tc>
          <w:tcPr>
            <w:tcW w:w="902" w:type="pct"/>
            <w:vAlign w:val="center"/>
          </w:tcPr>
          <w:p>
            <w:pPr>
              <w:jc w:val="center"/>
              <w:rPr>
                <w:rFonts w:ascii="Times New Roman" w:hAnsi="Times New Roman" w:cs="Times New Roman"/>
                <w:b/>
                <w:bCs/>
                <w:color w:val="FF0000"/>
                <w:szCs w:val="21"/>
              </w:rPr>
            </w:pPr>
            <w:r>
              <w:rPr>
                <w:rFonts w:ascii="Times New Roman" w:hAnsi="Times New Roman" w:cs="Times New Roman"/>
                <w:b/>
                <w:bCs/>
                <w:color w:val="000000"/>
                <w:szCs w:val="21"/>
              </w:rPr>
              <w:t>3#地下水监测井</w:t>
            </w:r>
          </w:p>
        </w:tc>
        <w:tc>
          <w:tcPr>
            <w:tcW w:w="848" w:type="pct"/>
            <w:vAlign w:val="center"/>
          </w:tcPr>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标准限值</w:t>
            </w:r>
          </w:p>
        </w:tc>
        <w:tc>
          <w:tcPr>
            <w:tcW w:w="541" w:type="pct"/>
            <w:vAlign w:val="center"/>
          </w:tcPr>
          <w:p>
            <w:pPr>
              <w:jc w:val="center"/>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jc w:val="center"/>
              <w:rPr>
                <w:rFonts w:ascii="Times New Roman" w:hAnsi="Times New Roman" w:cs="Times New Roman"/>
                <w:color w:val="FF0000"/>
                <w:szCs w:val="21"/>
              </w:rPr>
            </w:pPr>
            <w:r>
              <w:rPr>
                <w:rFonts w:ascii="Times New Roman" w:hAnsi="Times New Roman" w:cs="Times New Roman"/>
                <w:szCs w:val="21"/>
              </w:rPr>
              <w:t>电导率</w:t>
            </w:r>
          </w:p>
        </w:tc>
        <w:tc>
          <w:tcPr>
            <w:tcW w:w="923"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568</w:t>
            </w:r>
          </w:p>
        </w:tc>
        <w:tc>
          <w:tcPr>
            <w:tcW w:w="906"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550</w:t>
            </w:r>
          </w:p>
        </w:tc>
        <w:tc>
          <w:tcPr>
            <w:tcW w:w="902"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742</w:t>
            </w:r>
          </w:p>
        </w:tc>
        <w:tc>
          <w:tcPr>
            <w:tcW w:w="848"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μ</w:t>
            </w:r>
            <w:r>
              <w:rPr>
                <w:rFonts w:ascii="Times New Roman" w:hAnsi="Times New Roman" w:cs="Times New Roman"/>
                <w:bCs/>
                <w:szCs w:val="21"/>
              </w:rPr>
              <w:t>S/cm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jc w:val="center"/>
              <w:rPr>
                <w:rFonts w:ascii="Times New Roman" w:hAnsi="Times New Roman" w:cs="Times New Roman"/>
                <w:color w:val="FF0000"/>
                <w:szCs w:val="21"/>
              </w:rPr>
            </w:pPr>
            <w:r>
              <w:rPr>
                <w:rFonts w:ascii="Times New Roman" w:hAnsi="Times New Roman" w:cs="Times New Roman"/>
                <w:szCs w:val="21"/>
              </w:rPr>
              <w:t>溶解氧</w:t>
            </w:r>
          </w:p>
        </w:tc>
        <w:tc>
          <w:tcPr>
            <w:tcW w:w="923"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6.12</w:t>
            </w:r>
          </w:p>
        </w:tc>
        <w:tc>
          <w:tcPr>
            <w:tcW w:w="906"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5.21</w:t>
            </w:r>
          </w:p>
        </w:tc>
        <w:tc>
          <w:tcPr>
            <w:tcW w:w="902"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5.82</w:t>
            </w:r>
          </w:p>
        </w:tc>
        <w:tc>
          <w:tcPr>
            <w:tcW w:w="848"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jc w:val="center"/>
              <w:rPr>
                <w:rFonts w:ascii="Times New Roman" w:hAnsi="Times New Roman" w:cs="Times New Roman"/>
                <w:color w:val="FF0000"/>
                <w:szCs w:val="21"/>
              </w:rPr>
            </w:pPr>
            <w:r>
              <w:rPr>
                <w:rFonts w:ascii="Times New Roman" w:hAnsi="Times New Roman" w:cs="Times New Roman"/>
                <w:szCs w:val="21"/>
              </w:rPr>
              <w:t>氧化还原电位</w:t>
            </w:r>
          </w:p>
        </w:tc>
        <w:tc>
          <w:tcPr>
            <w:tcW w:w="923"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132</w:t>
            </w:r>
          </w:p>
        </w:tc>
        <w:tc>
          <w:tcPr>
            <w:tcW w:w="906"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123</w:t>
            </w:r>
          </w:p>
        </w:tc>
        <w:tc>
          <w:tcPr>
            <w:tcW w:w="902"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118</w:t>
            </w:r>
          </w:p>
        </w:tc>
        <w:tc>
          <w:tcPr>
            <w:tcW w:w="848"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jc w:val="center"/>
              <w:rPr>
                <w:rFonts w:ascii="Times New Roman" w:hAnsi="Times New Roman" w:cs="Times New Roman"/>
                <w:color w:val="FF0000"/>
                <w:szCs w:val="21"/>
              </w:rPr>
            </w:pPr>
            <w:r>
              <w:rPr>
                <w:rFonts w:ascii="Times New Roman" w:hAnsi="Times New Roman" w:cs="Times New Roman"/>
                <w:szCs w:val="21"/>
              </w:rPr>
              <w:t>pH</w:t>
            </w:r>
          </w:p>
        </w:tc>
        <w:tc>
          <w:tcPr>
            <w:tcW w:w="923"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7.9</w:t>
            </w:r>
          </w:p>
        </w:tc>
        <w:tc>
          <w:tcPr>
            <w:tcW w:w="906"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7.9</w:t>
            </w:r>
          </w:p>
        </w:tc>
        <w:tc>
          <w:tcPr>
            <w:tcW w:w="902"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8.1</w:t>
            </w:r>
          </w:p>
        </w:tc>
        <w:tc>
          <w:tcPr>
            <w:tcW w:w="848"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6.5</w:t>
            </w: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pH</w:t>
            </w: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8.5</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jc w:val="center"/>
              <w:rPr>
                <w:rFonts w:ascii="Times New Roman" w:hAnsi="Times New Roman" w:cs="Times New Roman"/>
                <w:color w:val="FF0000"/>
                <w:szCs w:val="21"/>
              </w:rPr>
            </w:pPr>
            <w:r>
              <w:rPr>
                <w:rFonts w:ascii="Times New Roman" w:hAnsi="Times New Roman" w:cs="Times New Roman"/>
                <w:szCs w:val="21"/>
              </w:rPr>
              <w:t>水温</w:t>
            </w:r>
          </w:p>
        </w:tc>
        <w:tc>
          <w:tcPr>
            <w:tcW w:w="923" w:type="pct"/>
            <w:vAlign w:val="center"/>
          </w:tcPr>
          <w:p>
            <w:pPr>
              <w:jc w:val="center"/>
              <w:rPr>
                <w:rFonts w:ascii="Times New Roman" w:hAnsi="Times New Roman" w:cs="Times New Roman"/>
                <w:color w:val="FF0000"/>
                <w:szCs w:val="21"/>
              </w:rPr>
            </w:pPr>
            <w:r>
              <w:rPr>
                <w:rFonts w:ascii="Times New Roman" w:hAnsi="Times New Roman" w:cs="Times New Roman"/>
                <w:szCs w:val="21"/>
              </w:rPr>
              <w:t>18.2</w:t>
            </w:r>
          </w:p>
        </w:tc>
        <w:tc>
          <w:tcPr>
            <w:tcW w:w="906" w:type="pct"/>
            <w:vAlign w:val="center"/>
          </w:tcPr>
          <w:p>
            <w:pPr>
              <w:jc w:val="center"/>
              <w:rPr>
                <w:rFonts w:ascii="Times New Roman" w:hAnsi="Times New Roman" w:cs="Times New Roman"/>
                <w:color w:val="FF0000"/>
                <w:szCs w:val="21"/>
              </w:rPr>
            </w:pPr>
            <w:r>
              <w:rPr>
                <w:rFonts w:ascii="Times New Roman" w:hAnsi="Times New Roman" w:cs="Times New Roman"/>
                <w:szCs w:val="21"/>
              </w:rPr>
              <w:t>19.4</w:t>
            </w:r>
          </w:p>
        </w:tc>
        <w:tc>
          <w:tcPr>
            <w:tcW w:w="902" w:type="pct"/>
            <w:vAlign w:val="center"/>
          </w:tcPr>
          <w:p>
            <w:pPr>
              <w:jc w:val="center"/>
              <w:rPr>
                <w:rFonts w:ascii="Times New Roman" w:hAnsi="Times New Roman" w:cs="Times New Roman"/>
                <w:color w:val="FF0000"/>
                <w:szCs w:val="21"/>
              </w:rPr>
            </w:pPr>
            <w:r>
              <w:rPr>
                <w:rFonts w:ascii="Times New Roman" w:hAnsi="Times New Roman" w:cs="Times New Roman"/>
                <w:szCs w:val="21"/>
              </w:rPr>
              <w:t>18.6</w:t>
            </w:r>
          </w:p>
        </w:tc>
        <w:tc>
          <w:tcPr>
            <w:tcW w:w="848" w:type="pct"/>
            <w:vAlign w:val="center"/>
          </w:tcPr>
          <w:p>
            <w:pPr>
              <w:jc w:val="center"/>
              <w:rPr>
                <w:rFonts w:ascii="Times New Roman" w:hAnsi="Times New Roman" w:cs="Times New Roman"/>
                <w:color w:val="FF0000"/>
                <w:szCs w:val="21"/>
              </w:rPr>
            </w:pPr>
            <w:r>
              <w:rPr>
                <w:rFonts w:ascii="Times New Roman" w:hAnsi="Times New Roman" w:cs="Times New Roman"/>
                <w:szCs w:val="21"/>
              </w:rPr>
              <w:t>---</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jc w:val="center"/>
              <w:rPr>
                <w:rFonts w:ascii="Times New Roman" w:hAnsi="Times New Roman" w:cs="Times New Roman"/>
                <w:color w:val="FF0000"/>
                <w:szCs w:val="21"/>
              </w:rPr>
            </w:pPr>
            <w:r>
              <w:rPr>
                <w:rFonts w:ascii="Times New Roman" w:hAnsi="Times New Roman" w:cs="Times New Roman"/>
                <w:szCs w:val="21"/>
              </w:rPr>
              <w:t>六价铬</w:t>
            </w:r>
          </w:p>
        </w:tc>
        <w:tc>
          <w:tcPr>
            <w:tcW w:w="923"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ND</w:t>
            </w:r>
          </w:p>
        </w:tc>
        <w:tc>
          <w:tcPr>
            <w:tcW w:w="906" w:type="pct"/>
            <w:vAlign w:val="center"/>
          </w:tcPr>
          <w:p>
            <w:pPr>
              <w:jc w:val="center"/>
              <w:rPr>
                <w:rFonts w:ascii="Times New Roman" w:hAnsi="Times New Roman" w:cs="Times New Roman"/>
                <w:color w:val="FF0000"/>
                <w:szCs w:val="21"/>
              </w:rPr>
            </w:pPr>
            <w:r>
              <w:rPr>
                <w:rFonts w:ascii="Times New Roman" w:hAnsi="Times New Roman" w:cs="Times New Roman"/>
                <w:szCs w:val="21"/>
              </w:rPr>
              <w:t>0.014</w:t>
            </w:r>
          </w:p>
        </w:tc>
        <w:tc>
          <w:tcPr>
            <w:tcW w:w="902"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ND</w:t>
            </w:r>
          </w:p>
        </w:tc>
        <w:tc>
          <w:tcPr>
            <w:tcW w:w="848" w:type="pct"/>
            <w:vAlign w:val="center"/>
          </w:tcPr>
          <w:p>
            <w:pPr>
              <w:jc w:val="center"/>
              <w:rPr>
                <w:rFonts w:ascii="Times New Roman" w:hAnsi="Times New Roman" w:cs="Times New Roman"/>
                <w:color w:val="FF0000"/>
                <w:szCs w:val="21"/>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szCs w:val="21"/>
              </w:rPr>
              <w:t>0.05</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jc w:val="center"/>
              <w:rPr>
                <w:rFonts w:ascii="Times New Roman" w:hAnsi="Times New Roman" w:cs="Times New Roman"/>
                <w:color w:val="FF0000"/>
                <w:szCs w:val="21"/>
              </w:rPr>
            </w:pPr>
            <w:r>
              <w:rPr>
                <w:rFonts w:ascii="Times New Roman" w:hAnsi="Times New Roman" w:cs="Times New Roman"/>
                <w:szCs w:val="21"/>
              </w:rPr>
              <w:t>氨氮</w:t>
            </w:r>
          </w:p>
        </w:tc>
        <w:tc>
          <w:tcPr>
            <w:tcW w:w="923"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0.034</w:t>
            </w:r>
          </w:p>
        </w:tc>
        <w:tc>
          <w:tcPr>
            <w:tcW w:w="906"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0.040</w:t>
            </w:r>
          </w:p>
        </w:tc>
        <w:tc>
          <w:tcPr>
            <w:tcW w:w="902"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0.057</w:t>
            </w:r>
          </w:p>
        </w:tc>
        <w:tc>
          <w:tcPr>
            <w:tcW w:w="848" w:type="pct"/>
            <w:vAlign w:val="center"/>
          </w:tcPr>
          <w:p>
            <w:pPr>
              <w:jc w:val="center"/>
              <w:rPr>
                <w:rFonts w:ascii="Times New Roman" w:hAnsi="Times New Roman" w:cs="Times New Roman"/>
                <w:color w:val="FF0000"/>
                <w:szCs w:val="21"/>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szCs w:val="21"/>
              </w:rPr>
              <w:t>0.50</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spacing w:line="240" w:lineRule="exact"/>
              <w:ind w:left="-105" w:leftChars="-50" w:right="-105" w:rightChars="-50"/>
              <w:jc w:val="center"/>
              <w:rPr>
                <w:rFonts w:ascii="Times New Roman" w:hAnsi="Times New Roman" w:cs="Times New Roman"/>
                <w:szCs w:val="21"/>
              </w:rPr>
            </w:pPr>
            <w:r>
              <w:rPr>
                <w:rFonts w:ascii="Times New Roman" w:hAnsi="Times New Roman" w:cs="Times New Roman"/>
                <w:szCs w:val="21"/>
              </w:rPr>
              <w:t>总硬度</w:t>
            </w:r>
          </w:p>
          <w:p>
            <w:pPr>
              <w:jc w:val="center"/>
              <w:rPr>
                <w:rFonts w:ascii="Times New Roman" w:hAnsi="Times New Roman" w:cs="Times New Roman"/>
                <w:color w:val="FF0000"/>
                <w:szCs w:val="21"/>
              </w:rPr>
            </w:pPr>
            <w:r>
              <w:rPr>
                <w:rFonts w:ascii="Times New Roman" w:hAnsi="Times New Roman" w:cs="Times New Roman"/>
                <w:szCs w:val="21"/>
              </w:rPr>
              <w:t>(以CaCO</w:t>
            </w:r>
            <w:r>
              <w:rPr>
                <w:rFonts w:ascii="Times New Roman" w:hAnsi="Times New Roman" w:cs="Times New Roman"/>
                <w:szCs w:val="21"/>
                <w:vertAlign w:val="subscript"/>
              </w:rPr>
              <w:t>3</w:t>
            </w:r>
            <w:r>
              <w:rPr>
                <w:rFonts w:ascii="Times New Roman" w:hAnsi="Times New Roman" w:cs="Times New Roman"/>
                <w:szCs w:val="21"/>
              </w:rPr>
              <w:t>计)</w:t>
            </w:r>
          </w:p>
        </w:tc>
        <w:tc>
          <w:tcPr>
            <w:tcW w:w="923"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132</w:t>
            </w:r>
          </w:p>
        </w:tc>
        <w:tc>
          <w:tcPr>
            <w:tcW w:w="906"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128</w:t>
            </w:r>
          </w:p>
        </w:tc>
        <w:tc>
          <w:tcPr>
            <w:tcW w:w="902"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174</w:t>
            </w:r>
          </w:p>
        </w:tc>
        <w:tc>
          <w:tcPr>
            <w:tcW w:w="848" w:type="pct"/>
            <w:vAlign w:val="center"/>
          </w:tcPr>
          <w:p>
            <w:pPr>
              <w:jc w:val="center"/>
              <w:rPr>
                <w:rFonts w:ascii="Times New Roman" w:hAnsi="Times New Roman" w:cs="Times New Roman"/>
                <w:color w:val="FF0000"/>
                <w:szCs w:val="21"/>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szCs w:val="21"/>
              </w:rPr>
              <w:t>450</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耗氧量</w:t>
            </w:r>
          </w:p>
          <w:p>
            <w:pPr>
              <w:spacing w:line="240" w:lineRule="exact"/>
              <w:jc w:val="center"/>
              <w:rPr>
                <w:rFonts w:ascii="Times New Roman" w:hAnsi="Times New Roman" w:cs="Times New Roman"/>
                <w:szCs w:val="21"/>
              </w:rPr>
            </w:pPr>
            <w:r>
              <w:rPr>
                <w:rFonts w:ascii="Times New Roman" w:hAnsi="Times New Roman" w:cs="Times New Roman"/>
                <w:szCs w:val="21"/>
              </w:rPr>
              <w:t>（COD</w:t>
            </w:r>
            <w:r>
              <w:rPr>
                <w:rFonts w:ascii="Times New Roman" w:hAnsi="Times New Roman" w:cs="Times New Roman"/>
                <w:szCs w:val="21"/>
                <w:vertAlign w:val="subscript"/>
              </w:rPr>
              <w:t>Mn</w:t>
            </w:r>
            <w:r>
              <w:rPr>
                <w:rFonts w:ascii="Times New Roman" w:hAnsi="Times New Roman" w:cs="Times New Roman"/>
                <w:szCs w:val="21"/>
              </w:rPr>
              <w:t>法，</w:t>
            </w:r>
          </w:p>
          <w:p>
            <w:pPr>
              <w:jc w:val="center"/>
              <w:rPr>
                <w:rFonts w:ascii="Times New Roman" w:hAnsi="Times New Roman" w:cs="Times New Roman"/>
                <w:color w:val="FF0000"/>
                <w:szCs w:val="21"/>
              </w:rPr>
            </w:pPr>
            <w:r>
              <w:rPr>
                <w:rFonts w:ascii="Times New Roman" w:hAnsi="Times New Roman" w:cs="Times New Roman"/>
                <w:szCs w:val="21"/>
              </w:rPr>
              <w:t>以O</w:t>
            </w:r>
            <w:r>
              <w:rPr>
                <w:rFonts w:ascii="Times New Roman" w:hAnsi="Times New Roman" w:cs="Times New Roman"/>
                <w:szCs w:val="21"/>
                <w:vertAlign w:val="subscript"/>
              </w:rPr>
              <w:t>2</w:t>
            </w:r>
            <w:r>
              <w:rPr>
                <w:rFonts w:ascii="Times New Roman" w:hAnsi="Times New Roman" w:cs="Times New Roman"/>
                <w:szCs w:val="21"/>
              </w:rPr>
              <w:t>计）</w:t>
            </w:r>
          </w:p>
        </w:tc>
        <w:tc>
          <w:tcPr>
            <w:tcW w:w="923"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0.7</w:t>
            </w:r>
          </w:p>
        </w:tc>
        <w:tc>
          <w:tcPr>
            <w:tcW w:w="906"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0.6</w:t>
            </w:r>
          </w:p>
        </w:tc>
        <w:tc>
          <w:tcPr>
            <w:tcW w:w="902"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0.6</w:t>
            </w:r>
          </w:p>
        </w:tc>
        <w:tc>
          <w:tcPr>
            <w:tcW w:w="848" w:type="pct"/>
            <w:vAlign w:val="center"/>
          </w:tcPr>
          <w:p>
            <w:pPr>
              <w:jc w:val="center"/>
              <w:rPr>
                <w:rFonts w:ascii="Times New Roman" w:hAnsi="Times New Roman" w:cs="Times New Roman"/>
                <w:color w:val="FF0000"/>
                <w:szCs w:val="21"/>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szCs w:val="21"/>
              </w:rPr>
              <w:t>3.0</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jc w:val="center"/>
              <w:rPr>
                <w:rFonts w:ascii="Times New Roman" w:hAnsi="Times New Roman" w:cs="Times New Roman"/>
                <w:color w:val="FF0000"/>
                <w:szCs w:val="21"/>
              </w:rPr>
            </w:pPr>
            <w:r>
              <w:rPr>
                <w:rFonts w:ascii="Times New Roman" w:hAnsi="Times New Roman" w:cs="Times New Roman"/>
                <w:szCs w:val="21"/>
              </w:rPr>
              <w:t>硫化物</w:t>
            </w:r>
          </w:p>
        </w:tc>
        <w:tc>
          <w:tcPr>
            <w:tcW w:w="923"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ND</w:t>
            </w:r>
          </w:p>
        </w:tc>
        <w:tc>
          <w:tcPr>
            <w:tcW w:w="906"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ND</w:t>
            </w:r>
          </w:p>
        </w:tc>
        <w:tc>
          <w:tcPr>
            <w:tcW w:w="902"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ND</w:t>
            </w:r>
          </w:p>
        </w:tc>
        <w:tc>
          <w:tcPr>
            <w:tcW w:w="848" w:type="pct"/>
            <w:vAlign w:val="center"/>
          </w:tcPr>
          <w:p>
            <w:pPr>
              <w:jc w:val="center"/>
              <w:rPr>
                <w:rFonts w:ascii="Times New Roman" w:hAnsi="Times New Roman" w:cs="Times New Roman"/>
                <w:color w:val="FF0000"/>
                <w:szCs w:val="21"/>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szCs w:val="21"/>
              </w:rPr>
              <w:t>0.02</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jc w:val="center"/>
              <w:rPr>
                <w:rFonts w:ascii="Times New Roman" w:hAnsi="Times New Roman" w:cs="Times New Roman"/>
                <w:color w:val="FF0000"/>
                <w:szCs w:val="21"/>
              </w:rPr>
            </w:pPr>
            <w:r>
              <w:rPr>
                <w:rFonts w:ascii="Times New Roman" w:hAnsi="Times New Roman" w:cs="Times New Roman"/>
                <w:szCs w:val="21"/>
              </w:rPr>
              <w:t>挥发酚</w:t>
            </w:r>
          </w:p>
        </w:tc>
        <w:tc>
          <w:tcPr>
            <w:tcW w:w="923"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ND</w:t>
            </w:r>
          </w:p>
        </w:tc>
        <w:tc>
          <w:tcPr>
            <w:tcW w:w="906"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ND</w:t>
            </w:r>
          </w:p>
        </w:tc>
        <w:tc>
          <w:tcPr>
            <w:tcW w:w="902"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ND</w:t>
            </w:r>
          </w:p>
        </w:tc>
        <w:tc>
          <w:tcPr>
            <w:tcW w:w="848" w:type="pct"/>
            <w:vAlign w:val="center"/>
          </w:tcPr>
          <w:p>
            <w:pPr>
              <w:spacing w:line="240" w:lineRule="exact"/>
              <w:jc w:val="center"/>
              <w:rPr>
                <w:rFonts w:ascii="Times New Roman" w:hAnsi="Times New Roman" w:cs="Times New Roman"/>
                <w:szCs w:val="21"/>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szCs w:val="21"/>
              </w:rPr>
              <w:t>0.002</w:t>
            </w:r>
          </w:p>
          <w:p>
            <w:pPr>
              <w:jc w:val="center"/>
              <w:rPr>
                <w:rFonts w:ascii="Times New Roman" w:hAnsi="Times New Roman" w:cs="Times New Roman"/>
                <w:color w:val="FF0000"/>
                <w:szCs w:val="21"/>
              </w:rPr>
            </w:pPr>
            <w:r>
              <w:rPr>
                <w:rFonts w:ascii="Times New Roman" w:hAnsi="Times New Roman" w:cs="Times New Roman"/>
                <w:szCs w:val="21"/>
              </w:rPr>
              <w:t>（以苯酚计）</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jc w:val="center"/>
              <w:rPr>
                <w:rFonts w:ascii="Times New Roman" w:hAnsi="Times New Roman" w:cs="Times New Roman"/>
                <w:color w:val="FF0000"/>
                <w:szCs w:val="21"/>
              </w:rPr>
            </w:pPr>
            <w:r>
              <w:rPr>
                <w:rFonts w:ascii="Times New Roman" w:hAnsi="Times New Roman" w:cs="Times New Roman"/>
                <w:szCs w:val="21"/>
              </w:rPr>
              <w:t>氟化物</w:t>
            </w:r>
          </w:p>
        </w:tc>
        <w:tc>
          <w:tcPr>
            <w:tcW w:w="923"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0.076</w:t>
            </w:r>
          </w:p>
        </w:tc>
        <w:tc>
          <w:tcPr>
            <w:tcW w:w="906"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0.064</w:t>
            </w:r>
          </w:p>
        </w:tc>
        <w:tc>
          <w:tcPr>
            <w:tcW w:w="902"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0.108</w:t>
            </w:r>
          </w:p>
        </w:tc>
        <w:tc>
          <w:tcPr>
            <w:tcW w:w="848" w:type="pct"/>
            <w:vAlign w:val="center"/>
          </w:tcPr>
          <w:p>
            <w:pPr>
              <w:jc w:val="center"/>
              <w:rPr>
                <w:rFonts w:ascii="Times New Roman" w:hAnsi="Times New Roman" w:cs="Times New Roman"/>
                <w:color w:val="FF0000"/>
                <w:szCs w:val="21"/>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szCs w:val="21"/>
              </w:rPr>
              <w:t>1.0</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jc w:val="center"/>
              <w:rPr>
                <w:rFonts w:ascii="Times New Roman" w:hAnsi="Times New Roman" w:cs="Times New Roman"/>
                <w:color w:val="FF0000"/>
                <w:szCs w:val="21"/>
              </w:rPr>
            </w:pPr>
            <w:r>
              <w:rPr>
                <w:rFonts w:ascii="Times New Roman" w:hAnsi="Times New Roman" w:cs="Times New Roman"/>
                <w:szCs w:val="21"/>
              </w:rPr>
              <w:t>氯化物</w:t>
            </w:r>
          </w:p>
        </w:tc>
        <w:tc>
          <w:tcPr>
            <w:tcW w:w="923"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22.7</w:t>
            </w:r>
          </w:p>
        </w:tc>
        <w:tc>
          <w:tcPr>
            <w:tcW w:w="906"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21.7</w:t>
            </w:r>
          </w:p>
        </w:tc>
        <w:tc>
          <w:tcPr>
            <w:tcW w:w="902"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19.2</w:t>
            </w:r>
          </w:p>
        </w:tc>
        <w:tc>
          <w:tcPr>
            <w:tcW w:w="848" w:type="pct"/>
            <w:vAlign w:val="center"/>
          </w:tcPr>
          <w:p>
            <w:pPr>
              <w:jc w:val="center"/>
              <w:rPr>
                <w:rFonts w:ascii="Times New Roman" w:hAnsi="Times New Roman" w:cs="Times New Roman"/>
                <w:color w:val="FF0000"/>
                <w:szCs w:val="21"/>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szCs w:val="21"/>
              </w:rPr>
              <w:t>250</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snapToGrid w:val="0"/>
              <w:spacing w:line="240" w:lineRule="exact"/>
              <w:jc w:val="center"/>
              <w:rPr>
                <w:rFonts w:ascii="Times New Roman" w:hAnsi="Times New Roman" w:cs="Times New Roman"/>
                <w:szCs w:val="21"/>
              </w:rPr>
            </w:pPr>
            <w:r>
              <w:rPr>
                <w:rFonts w:ascii="Times New Roman" w:hAnsi="Times New Roman" w:cs="Times New Roman"/>
                <w:szCs w:val="21"/>
              </w:rPr>
              <w:t>硝酸盐</w:t>
            </w:r>
          </w:p>
          <w:p>
            <w:pPr>
              <w:jc w:val="center"/>
              <w:rPr>
                <w:rFonts w:ascii="Times New Roman" w:hAnsi="Times New Roman" w:cs="Times New Roman"/>
                <w:color w:val="FF0000"/>
                <w:szCs w:val="21"/>
              </w:rPr>
            </w:pPr>
            <w:r>
              <w:rPr>
                <w:rFonts w:ascii="Times New Roman" w:hAnsi="Times New Roman" w:cs="Times New Roman"/>
                <w:szCs w:val="21"/>
              </w:rPr>
              <w:t>（以N计）</w:t>
            </w:r>
          </w:p>
        </w:tc>
        <w:tc>
          <w:tcPr>
            <w:tcW w:w="923"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1.05</w:t>
            </w:r>
          </w:p>
        </w:tc>
        <w:tc>
          <w:tcPr>
            <w:tcW w:w="906"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2.33</w:t>
            </w:r>
          </w:p>
        </w:tc>
        <w:tc>
          <w:tcPr>
            <w:tcW w:w="902"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4.06</w:t>
            </w:r>
          </w:p>
        </w:tc>
        <w:tc>
          <w:tcPr>
            <w:tcW w:w="848" w:type="pct"/>
            <w:vAlign w:val="center"/>
          </w:tcPr>
          <w:p>
            <w:pPr>
              <w:jc w:val="center"/>
              <w:rPr>
                <w:rFonts w:ascii="Times New Roman" w:hAnsi="Times New Roman" w:cs="Times New Roman"/>
                <w:color w:val="FF0000"/>
                <w:szCs w:val="21"/>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szCs w:val="21"/>
              </w:rPr>
              <w:t>20.0</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jc w:val="center"/>
              <w:rPr>
                <w:rFonts w:ascii="Times New Roman" w:hAnsi="Times New Roman" w:cs="Times New Roman"/>
                <w:color w:val="FF0000"/>
                <w:szCs w:val="21"/>
              </w:rPr>
            </w:pPr>
            <w:r>
              <w:rPr>
                <w:rFonts w:ascii="Times New Roman" w:hAnsi="Times New Roman" w:cs="Times New Roman"/>
                <w:szCs w:val="21"/>
              </w:rPr>
              <w:t>硫酸盐</w:t>
            </w:r>
          </w:p>
        </w:tc>
        <w:tc>
          <w:tcPr>
            <w:tcW w:w="923"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44.6</w:t>
            </w:r>
          </w:p>
        </w:tc>
        <w:tc>
          <w:tcPr>
            <w:tcW w:w="906"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44.8</w:t>
            </w:r>
          </w:p>
        </w:tc>
        <w:tc>
          <w:tcPr>
            <w:tcW w:w="902"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61.6</w:t>
            </w:r>
          </w:p>
        </w:tc>
        <w:tc>
          <w:tcPr>
            <w:tcW w:w="848" w:type="pct"/>
            <w:vAlign w:val="center"/>
          </w:tcPr>
          <w:p>
            <w:pPr>
              <w:jc w:val="center"/>
              <w:rPr>
                <w:rFonts w:ascii="Times New Roman" w:hAnsi="Times New Roman" w:cs="Times New Roman"/>
                <w:color w:val="FF0000"/>
                <w:szCs w:val="21"/>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szCs w:val="21"/>
              </w:rPr>
              <w:t>250</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jc w:val="center"/>
              <w:rPr>
                <w:rFonts w:ascii="Times New Roman" w:hAnsi="Times New Roman" w:cs="Times New Roman"/>
                <w:color w:val="FF0000"/>
                <w:szCs w:val="21"/>
              </w:rPr>
            </w:pPr>
            <w:r>
              <w:rPr>
                <w:rFonts w:ascii="Times New Roman" w:hAnsi="Times New Roman" w:cs="Times New Roman"/>
                <w:szCs w:val="21"/>
              </w:rPr>
              <w:t>溶解性总固体</w:t>
            </w:r>
          </w:p>
        </w:tc>
        <w:tc>
          <w:tcPr>
            <w:tcW w:w="923"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392</w:t>
            </w:r>
          </w:p>
        </w:tc>
        <w:tc>
          <w:tcPr>
            <w:tcW w:w="906"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375</w:t>
            </w:r>
          </w:p>
        </w:tc>
        <w:tc>
          <w:tcPr>
            <w:tcW w:w="902"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478</w:t>
            </w:r>
          </w:p>
        </w:tc>
        <w:tc>
          <w:tcPr>
            <w:tcW w:w="848" w:type="pct"/>
            <w:vAlign w:val="center"/>
          </w:tcPr>
          <w:p>
            <w:pPr>
              <w:jc w:val="center"/>
              <w:rPr>
                <w:rFonts w:ascii="Times New Roman" w:hAnsi="Times New Roman" w:cs="Times New Roman"/>
                <w:color w:val="FF0000"/>
                <w:szCs w:val="21"/>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szCs w:val="21"/>
              </w:rPr>
              <w:t>1000</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snapToGrid w:val="0"/>
              <w:spacing w:line="240" w:lineRule="exact"/>
              <w:jc w:val="center"/>
              <w:rPr>
                <w:rFonts w:ascii="Times New Roman" w:hAnsi="Times New Roman" w:cs="Times New Roman"/>
                <w:szCs w:val="21"/>
              </w:rPr>
            </w:pPr>
            <w:r>
              <w:rPr>
                <w:rFonts w:ascii="Times New Roman" w:hAnsi="Times New Roman" w:cs="Times New Roman"/>
                <w:szCs w:val="21"/>
              </w:rPr>
              <w:t>亚硝酸盐</w:t>
            </w:r>
          </w:p>
          <w:p>
            <w:pPr>
              <w:jc w:val="center"/>
              <w:rPr>
                <w:rFonts w:ascii="Times New Roman" w:hAnsi="Times New Roman" w:cs="Times New Roman"/>
                <w:color w:val="FF0000"/>
                <w:szCs w:val="21"/>
              </w:rPr>
            </w:pPr>
            <w:r>
              <w:rPr>
                <w:rFonts w:ascii="Times New Roman" w:hAnsi="Times New Roman" w:cs="Times New Roman"/>
                <w:szCs w:val="21"/>
              </w:rPr>
              <w:t>（以N计）</w:t>
            </w:r>
          </w:p>
        </w:tc>
        <w:tc>
          <w:tcPr>
            <w:tcW w:w="923"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0.005</w:t>
            </w:r>
          </w:p>
        </w:tc>
        <w:tc>
          <w:tcPr>
            <w:tcW w:w="906"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0.009</w:t>
            </w:r>
          </w:p>
        </w:tc>
        <w:tc>
          <w:tcPr>
            <w:tcW w:w="902"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ND</w:t>
            </w:r>
          </w:p>
        </w:tc>
        <w:tc>
          <w:tcPr>
            <w:tcW w:w="848" w:type="pct"/>
            <w:vAlign w:val="center"/>
          </w:tcPr>
          <w:p>
            <w:pPr>
              <w:jc w:val="center"/>
              <w:rPr>
                <w:rFonts w:ascii="Times New Roman" w:hAnsi="Times New Roman" w:cs="Times New Roman"/>
                <w:color w:val="FF0000"/>
                <w:szCs w:val="21"/>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szCs w:val="21"/>
              </w:rPr>
              <w:t>1.00</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jc w:val="center"/>
              <w:rPr>
                <w:rFonts w:ascii="Times New Roman" w:hAnsi="Times New Roman" w:cs="Times New Roman"/>
                <w:color w:val="FF0000"/>
                <w:szCs w:val="21"/>
              </w:rPr>
            </w:pPr>
            <w:r>
              <w:rPr>
                <w:rFonts w:ascii="Times New Roman" w:hAnsi="Times New Roman" w:cs="Times New Roman"/>
                <w:szCs w:val="21"/>
              </w:rPr>
              <w:t>肉眼可见物</w:t>
            </w:r>
          </w:p>
        </w:tc>
        <w:tc>
          <w:tcPr>
            <w:tcW w:w="923"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无</w:t>
            </w:r>
          </w:p>
        </w:tc>
        <w:tc>
          <w:tcPr>
            <w:tcW w:w="906"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无</w:t>
            </w:r>
          </w:p>
        </w:tc>
        <w:tc>
          <w:tcPr>
            <w:tcW w:w="902"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无</w:t>
            </w:r>
          </w:p>
        </w:tc>
        <w:tc>
          <w:tcPr>
            <w:tcW w:w="848" w:type="pct"/>
            <w:vAlign w:val="center"/>
          </w:tcPr>
          <w:p>
            <w:pPr>
              <w:jc w:val="center"/>
              <w:rPr>
                <w:rFonts w:ascii="Times New Roman" w:hAnsi="Times New Roman" w:cs="Times New Roman"/>
                <w:color w:val="FF0000"/>
                <w:szCs w:val="21"/>
              </w:rPr>
            </w:pPr>
            <w:r>
              <w:rPr>
                <w:rFonts w:ascii="Times New Roman" w:hAnsi="Times New Roman" w:cs="Times New Roman"/>
                <w:szCs w:val="21"/>
              </w:rPr>
              <w:t>无</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jc w:val="center"/>
              <w:rPr>
                <w:rFonts w:ascii="Times New Roman" w:hAnsi="Times New Roman" w:cs="Times New Roman"/>
                <w:color w:val="FF0000"/>
                <w:szCs w:val="21"/>
              </w:rPr>
            </w:pPr>
            <w:r>
              <w:rPr>
                <w:rFonts w:ascii="Times New Roman" w:hAnsi="Times New Roman" w:cs="Times New Roman"/>
                <w:szCs w:val="21"/>
              </w:rPr>
              <w:t>臭和味</w:t>
            </w:r>
          </w:p>
        </w:tc>
        <w:tc>
          <w:tcPr>
            <w:tcW w:w="923"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无</w:t>
            </w:r>
          </w:p>
        </w:tc>
        <w:tc>
          <w:tcPr>
            <w:tcW w:w="906"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无</w:t>
            </w:r>
          </w:p>
        </w:tc>
        <w:tc>
          <w:tcPr>
            <w:tcW w:w="902"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无</w:t>
            </w:r>
          </w:p>
        </w:tc>
        <w:tc>
          <w:tcPr>
            <w:tcW w:w="848" w:type="pct"/>
            <w:vAlign w:val="center"/>
          </w:tcPr>
          <w:p>
            <w:pPr>
              <w:jc w:val="center"/>
              <w:rPr>
                <w:rFonts w:ascii="Times New Roman" w:hAnsi="Times New Roman" w:cs="Times New Roman"/>
                <w:color w:val="FF0000"/>
                <w:szCs w:val="21"/>
              </w:rPr>
            </w:pPr>
            <w:r>
              <w:rPr>
                <w:rFonts w:ascii="Times New Roman" w:hAnsi="Times New Roman" w:cs="Times New Roman"/>
                <w:szCs w:val="21"/>
              </w:rPr>
              <w:t>无</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jc w:val="center"/>
              <w:rPr>
                <w:rFonts w:ascii="Times New Roman" w:hAnsi="Times New Roman" w:cs="Times New Roman"/>
                <w:color w:val="FF0000"/>
                <w:szCs w:val="21"/>
              </w:rPr>
            </w:pPr>
            <w:r>
              <w:rPr>
                <w:rFonts w:ascii="Times New Roman" w:hAnsi="Times New Roman" w:cs="Times New Roman"/>
                <w:szCs w:val="21"/>
              </w:rPr>
              <w:t>氰化物</w:t>
            </w:r>
          </w:p>
        </w:tc>
        <w:tc>
          <w:tcPr>
            <w:tcW w:w="923"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ND</w:t>
            </w:r>
          </w:p>
        </w:tc>
        <w:tc>
          <w:tcPr>
            <w:tcW w:w="906"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ND</w:t>
            </w:r>
          </w:p>
        </w:tc>
        <w:tc>
          <w:tcPr>
            <w:tcW w:w="902"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ND</w:t>
            </w:r>
          </w:p>
        </w:tc>
        <w:tc>
          <w:tcPr>
            <w:tcW w:w="848" w:type="pct"/>
            <w:vAlign w:val="center"/>
          </w:tcPr>
          <w:p>
            <w:pPr>
              <w:jc w:val="center"/>
              <w:rPr>
                <w:rFonts w:ascii="Times New Roman" w:hAnsi="Times New Roman" w:cs="Times New Roman"/>
                <w:color w:val="FF0000"/>
                <w:szCs w:val="21"/>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szCs w:val="21"/>
              </w:rPr>
              <w:t>0.05</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jc w:val="center"/>
              <w:rPr>
                <w:rFonts w:ascii="Times New Roman" w:hAnsi="Times New Roman" w:cs="Times New Roman"/>
                <w:color w:val="FF0000"/>
                <w:szCs w:val="21"/>
              </w:rPr>
            </w:pPr>
            <w:r>
              <w:rPr>
                <w:rFonts w:ascii="Times New Roman" w:hAnsi="Times New Roman" w:cs="Times New Roman"/>
                <w:szCs w:val="21"/>
              </w:rPr>
              <w:t>碘化物</w:t>
            </w:r>
          </w:p>
        </w:tc>
        <w:tc>
          <w:tcPr>
            <w:tcW w:w="923"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ND</w:t>
            </w:r>
          </w:p>
        </w:tc>
        <w:tc>
          <w:tcPr>
            <w:tcW w:w="906"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ND</w:t>
            </w:r>
          </w:p>
        </w:tc>
        <w:tc>
          <w:tcPr>
            <w:tcW w:w="902"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ND</w:t>
            </w:r>
          </w:p>
        </w:tc>
        <w:tc>
          <w:tcPr>
            <w:tcW w:w="848" w:type="pct"/>
            <w:vAlign w:val="center"/>
          </w:tcPr>
          <w:p>
            <w:pPr>
              <w:jc w:val="center"/>
              <w:rPr>
                <w:rFonts w:ascii="Times New Roman" w:hAnsi="Times New Roman" w:cs="Times New Roman"/>
                <w:color w:val="FF0000"/>
                <w:szCs w:val="21"/>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szCs w:val="21"/>
              </w:rPr>
              <w:t>0.08</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jc w:val="center"/>
              <w:rPr>
                <w:rFonts w:ascii="Times New Roman" w:hAnsi="Times New Roman" w:cs="Times New Roman"/>
                <w:color w:val="FF0000"/>
                <w:szCs w:val="21"/>
              </w:rPr>
            </w:pPr>
            <w:r>
              <w:rPr>
                <w:rFonts w:ascii="Times New Roman" w:hAnsi="Times New Roman" w:cs="Times New Roman"/>
                <w:szCs w:val="21"/>
              </w:rPr>
              <w:t>色度</w:t>
            </w:r>
          </w:p>
        </w:tc>
        <w:tc>
          <w:tcPr>
            <w:tcW w:w="923"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10</w:t>
            </w:r>
          </w:p>
        </w:tc>
        <w:tc>
          <w:tcPr>
            <w:tcW w:w="906"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10</w:t>
            </w:r>
          </w:p>
        </w:tc>
        <w:tc>
          <w:tcPr>
            <w:tcW w:w="902"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15</w:t>
            </w:r>
          </w:p>
        </w:tc>
        <w:tc>
          <w:tcPr>
            <w:tcW w:w="848" w:type="pct"/>
            <w:vAlign w:val="center"/>
          </w:tcPr>
          <w:p>
            <w:pPr>
              <w:jc w:val="center"/>
              <w:rPr>
                <w:rFonts w:ascii="Times New Roman" w:hAnsi="Times New Roman" w:cs="Times New Roman"/>
                <w:color w:val="FF0000"/>
                <w:szCs w:val="21"/>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szCs w:val="21"/>
              </w:rPr>
              <w:t>15</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jc w:val="center"/>
              <w:rPr>
                <w:rFonts w:ascii="Times New Roman" w:hAnsi="Times New Roman" w:cs="Times New Roman"/>
                <w:color w:val="FF0000"/>
                <w:szCs w:val="21"/>
              </w:rPr>
            </w:pPr>
            <w:r>
              <w:rPr>
                <w:rFonts w:ascii="Times New Roman" w:hAnsi="Times New Roman" w:cs="Times New Roman"/>
                <w:szCs w:val="21"/>
              </w:rPr>
              <w:t>浑浊度</w:t>
            </w:r>
          </w:p>
        </w:tc>
        <w:tc>
          <w:tcPr>
            <w:tcW w:w="923"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2.6</w:t>
            </w:r>
          </w:p>
        </w:tc>
        <w:tc>
          <w:tcPr>
            <w:tcW w:w="906"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1.8</w:t>
            </w:r>
          </w:p>
        </w:tc>
        <w:tc>
          <w:tcPr>
            <w:tcW w:w="902"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2.9</w:t>
            </w:r>
          </w:p>
        </w:tc>
        <w:tc>
          <w:tcPr>
            <w:tcW w:w="848" w:type="pct"/>
            <w:vAlign w:val="center"/>
          </w:tcPr>
          <w:p>
            <w:pPr>
              <w:jc w:val="center"/>
              <w:rPr>
                <w:rFonts w:ascii="Times New Roman" w:hAnsi="Times New Roman" w:cs="Times New Roman"/>
                <w:color w:val="FF0000"/>
                <w:szCs w:val="21"/>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szCs w:val="21"/>
              </w:rPr>
              <w:t>3</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szCs w:val="21"/>
              </w:rPr>
              <w:t>NTU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阴离子表面</w:t>
            </w:r>
          </w:p>
          <w:p>
            <w:pPr>
              <w:jc w:val="center"/>
              <w:rPr>
                <w:rFonts w:ascii="Times New Roman" w:hAnsi="Times New Roman" w:cs="Times New Roman"/>
                <w:color w:val="FF0000"/>
                <w:szCs w:val="21"/>
              </w:rPr>
            </w:pPr>
            <w:r>
              <w:rPr>
                <w:rFonts w:ascii="Times New Roman" w:hAnsi="Times New Roman" w:cs="Times New Roman"/>
                <w:szCs w:val="21"/>
              </w:rPr>
              <w:t>活性剂</w:t>
            </w:r>
          </w:p>
        </w:tc>
        <w:tc>
          <w:tcPr>
            <w:tcW w:w="923"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0.06</w:t>
            </w:r>
          </w:p>
        </w:tc>
        <w:tc>
          <w:tcPr>
            <w:tcW w:w="906"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ND</w:t>
            </w:r>
          </w:p>
        </w:tc>
        <w:tc>
          <w:tcPr>
            <w:tcW w:w="902"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ND</w:t>
            </w:r>
          </w:p>
        </w:tc>
        <w:tc>
          <w:tcPr>
            <w:tcW w:w="848" w:type="pct"/>
            <w:vAlign w:val="center"/>
          </w:tcPr>
          <w:p>
            <w:pPr>
              <w:jc w:val="center"/>
              <w:rPr>
                <w:rFonts w:ascii="Times New Roman" w:hAnsi="Times New Roman" w:cs="Times New Roman"/>
                <w:color w:val="FF0000"/>
                <w:szCs w:val="21"/>
              </w:rPr>
            </w:pPr>
            <w:r>
              <w:rPr>
                <w:rFonts w:cs="Times New Roman" w:asciiTheme="minorEastAsia" w:hAnsiTheme="minorEastAsia"/>
                <w:color w:val="000000" w:themeColor="text1"/>
                <w:szCs w:val="21"/>
                <w14:textFill>
                  <w14:solidFill>
                    <w14:schemeClr w14:val="tx1"/>
                  </w14:solidFill>
                </w14:textFill>
              </w:rPr>
              <w:t>≤</w:t>
            </w:r>
            <w:r>
              <w:rPr>
                <w:rFonts w:hint="eastAsia" w:ascii="Times New Roman" w:hAnsi="Times New Roman" w:cs="Times New Roman"/>
                <w:szCs w:val="21"/>
              </w:rPr>
              <w:t>0</w:t>
            </w:r>
            <w:r>
              <w:rPr>
                <w:rFonts w:ascii="Times New Roman" w:hAnsi="Times New Roman" w:cs="Times New Roman"/>
                <w:szCs w:val="21"/>
              </w:rPr>
              <w:t>.3</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jc w:val="center"/>
              <w:rPr>
                <w:rFonts w:ascii="Times New Roman" w:hAnsi="Times New Roman" w:cs="Times New Roman"/>
                <w:color w:val="FF0000"/>
                <w:szCs w:val="21"/>
              </w:rPr>
            </w:pPr>
            <w:r>
              <w:rPr>
                <w:rFonts w:ascii="Times New Roman" w:hAnsi="Times New Roman" w:cs="Times New Roman"/>
                <w:szCs w:val="21"/>
              </w:rPr>
              <w:t>砷</w:t>
            </w:r>
          </w:p>
        </w:tc>
        <w:tc>
          <w:tcPr>
            <w:tcW w:w="923"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ND</w:t>
            </w:r>
          </w:p>
        </w:tc>
        <w:tc>
          <w:tcPr>
            <w:tcW w:w="906"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0.00018</w:t>
            </w:r>
          </w:p>
        </w:tc>
        <w:tc>
          <w:tcPr>
            <w:tcW w:w="902" w:type="pct"/>
            <w:vAlign w:val="center"/>
          </w:tcPr>
          <w:p>
            <w:pPr>
              <w:jc w:val="center"/>
              <w:rPr>
                <w:rFonts w:ascii="Times New Roman" w:hAnsi="Times New Roman" w:cs="Times New Roman"/>
                <w:color w:val="FF0000"/>
                <w:szCs w:val="21"/>
              </w:rPr>
            </w:pPr>
            <w:r>
              <w:rPr>
                <w:rFonts w:ascii="Times New Roman" w:hAnsi="Times New Roman" w:cs="Times New Roman"/>
                <w:color w:val="000000"/>
                <w:szCs w:val="21"/>
              </w:rPr>
              <w:t>0.00042</w:t>
            </w:r>
          </w:p>
        </w:tc>
        <w:tc>
          <w:tcPr>
            <w:tcW w:w="848" w:type="pct"/>
            <w:vAlign w:val="center"/>
          </w:tcPr>
          <w:p>
            <w:pPr>
              <w:jc w:val="center"/>
              <w:rPr>
                <w:rFonts w:ascii="Times New Roman" w:hAnsi="Times New Roman" w:cs="Times New Roman"/>
                <w:color w:val="FF0000"/>
                <w:szCs w:val="21"/>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szCs w:val="21"/>
              </w:rPr>
              <w:t>0.01</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钡</w:t>
            </w:r>
          </w:p>
        </w:tc>
        <w:tc>
          <w:tcPr>
            <w:tcW w:w="923"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0.0689</w:t>
            </w:r>
          </w:p>
        </w:tc>
        <w:tc>
          <w:tcPr>
            <w:tcW w:w="906"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0.150</w:t>
            </w:r>
          </w:p>
        </w:tc>
        <w:tc>
          <w:tcPr>
            <w:tcW w:w="902"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0.150</w:t>
            </w:r>
          </w:p>
        </w:tc>
        <w:tc>
          <w:tcPr>
            <w:tcW w:w="848"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0.70</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铍</w:t>
            </w:r>
          </w:p>
        </w:tc>
        <w:tc>
          <w:tcPr>
            <w:tcW w:w="923"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ND</w:t>
            </w:r>
          </w:p>
        </w:tc>
        <w:tc>
          <w:tcPr>
            <w:tcW w:w="906"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ND</w:t>
            </w:r>
          </w:p>
        </w:tc>
        <w:tc>
          <w:tcPr>
            <w:tcW w:w="902"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ND</w:t>
            </w:r>
          </w:p>
        </w:tc>
        <w:tc>
          <w:tcPr>
            <w:tcW w:w="848"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0.002</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镉</w:t>
            </w:r>
          </w:p>
        </w:tc>
        <w:tc>
          <w:tcPr>
            <w:tcW w:w="923"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ND</w:t>
            </w:r>
          </w:p>
        </w:tc>
        <w:tc>
          <w:tcPr>
            <w:tcW w:w="906"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ND</w:t>
            </w:r>
          </w:p>
        </w:tc>
        <w:tc>
          <w:tcPr>
            <w:tcW w:w="902"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ND</w:t>
            </w:r>
          </w:p>
        </w:tc>
        <w:tc>
          <w:tcPr>
            <w:tcW w:w="848"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0.005</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钴</w:t>
            </w:r>
          </w:p>
        </w:tc>
        <w:tc>
          <w:tcPr>
            <w:tcW w:w="923"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0.00005</w:t>
            </w:r>
          </w:p>
        </w:tc>
        <w:tc>
          <w:tcPr>
            <w:tcW w:w="906"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0.00003</w:t>
            </w:r>
          </w:p>
        </w:tc>
        <w:tc>
          <w:tcPr>
            <w:tcW w:w="902"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0.00004</w:t>
            </w:r>
          </w:p>
        </w:tc>
        <w:tc>
          <w:tcPr>
            <w:tcW w:w="848"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0.05</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铜</w:t>
            </w:r>
          </w:p>
        </w:tc>
        <w:tc>
          <w:tcPr>
            <w:tcW w:w="923"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0.00022</w:t>
            </w:r>
          </w:p>
        </w:tc>
        <w:tc>
          <w:tcPr>
            <w:tcW w:w="906"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0.00030</w:t>
            </w:r>
          </w:p>
        </w:tc>
        <w:tc>
          <w:tcPr>
            <w:tcW w:w="902"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0.00025</w:t>
            </w:r>
          </w:p>
        </w:tc>
        <w:tc>
          <w:tcPr>
            <w:tcW w:w="848"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1.00</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spacing w:line="26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铁</w:t>
            </w:r>
          </w:p>
        </w:tc>
        <w:tc>
          <w:tcPr>
            <w:tcW w:w="923"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0.0388</w:t>
            </w:r>
          </w:p>
        </w:tc>
        <w:tc>
          <w:tcPr>
            <w:tcW w:w="906"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0.0301</w:t>
            </w:r>
          </w:p>
        </w:tc>
        <w:tc>
          <w:tcPr>
            <w:tcW w:w="902"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0.0481</w:t>
            </w:r>
          </w:p>
        </w:tc>
        <w:tc>
          <w:tcPr>
            <w:tcW w:w="848"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szCs w:val="21"/>
              </w:rPr>
              <w:t>0.3</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spacing w:line="26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锰</w:t>
            </w:r>
          </w:p>
        </w:tc>
        <w:tc>
          <w:tcPr>
            <w:tcW w:w="923"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0.00698</w:t>
            </w:r>
          </w:p>
        </w:tc>
        <w:tc>
          <w:tcPr>
            <w:tcW w:w="906"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0.00340</w:t>
            </w:r>
          </w:p>
        </w:tc>
        <w:tc>
          <w:tcPr>
            <w:tcW w:w="902"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0.00210</w:t>
            </w:r>
          </w:p>
        </w:tc>
        <w:tc>
          <w:tcPr>
            <w:tcW w:w="848"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szCs w:val="21"/>
              </w:rPr>
              <w:t>0.10</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spacing w:line="26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钼</w:t>
            </w:r>
          </w:p>
        </w:tc>
        <w:tc>
          <w:tcPr>
            <w:tcW w:w="923"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ND</w:t>
            </w:r>
          </w:p>
        </w:tc>
        <w:tc>
          <w:tcPr>
            <w:tcW w:w="906"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0.00024</w:t>
            </w:r>
          </w:p>
        </w:tc>
        <w:tc>
          <w:tcPr>
            <w:tcW w:w="902"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0.00006</w:t>
            </w:r>
          </w:p>
        </w:tc>
        <w:tc>
          <w:tcPr>
            <w:tcW w:w="848"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szCs w:val="21"/>
              </w:rPr>
              <w:t>0.07</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spacing w:line="26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镍</w:t>
            </w:r>
          </w:p>
        </w:tc>
        <w:tc>
          <w:tcPr>
            <w:tcW w:w="923"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0.00054</w:t>
            </w:r>
          </w:p>
        </w:tc>
        <w:tc>
          <w:tcPr>
            <w:tcW w:w="906"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0.00038</w:t>
            </w:r>
          </w:p>
        </w:tc>
        <w:tc>
          <w:tcPr>
            <w:tcW w:w="902"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0.00022</w:t>
            </w:r>
          </w:p>
        </w:tc>
        <w:tc>
          <w:tcPr>
            <w:tcW w:w="848"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szCs w:val="21"/>
              </w:rPr>
              <w:t>0.02</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spacing w:line="260" w:lineRule="exact"/>
              <w:jc w:val="center"/>
              <w:rPr>
                <w:rFonts w:ascii="Times New Roman" w:hAnsi="Times New Roman" w:cs="Times New Roman"/>
                <w:i/>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铅</w:t>
            </w:r>
          </w:p>
        </w:tc>
        <w:tc>
          <w:tcPr>
            <w:tcW w:w="923"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ND</w:t>
            </w:r>
          </w:p>
        </w:tc>
        <w:tc>
          <w:tcPr>
            <w:tcW w:w="906"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ND</w:t>
            </w:r>
          </w:p>
        </w:tc>
        <w:tc>
          <w:tcPr>
            <w:tcW w:w="902"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ND</w:t>
            </w:r>
          </w:p>
        </w:tc>
        <w:tc>
          <w:tcPr>
            <w:tcW w:w="848"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szCs w:val="21"/>
              </w:rPr>
              <w:t>0.01</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spacing w:line="26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锑</w:t>
            </w:r>
          </w:p>
        </w:tc>
        <w:tc>
          <w:tcPr>
            <w:tcW w:w="923"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ND</w:t>
            </w:r>
          </w:p>
        </w:tc>
        <w:tc>
          <w:tcPr>
            <w:tcW w:w="906"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ND</w:t>
            </w:r>
          </w:p>
        </w:tc>
        <w:tc>
          <w:tcPr>
            <w:tcW w:w="902"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ND</w:t>
            </w:r>
          </w:p>
        </w:tc>
        <w:tc>
          <w:tcPr>
            <w:tcW w:w="848"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szCs w:val="21"/>
              </w:rPr>
              <w:t>0.005</w:t>
            </w:r>
          </w:p>
        </w:tc>
        <w:tc>
          <w:tcPr>
            <w:tcW w:w="54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spacing w:line="260" w:lineRule="exact"/>
              <w:jc w:val="center"/>
              <w:rPr>
                <w:rFonts w:ascii="Times New Roman" w:hAnsi="Times New Roman" w:cs="Times New Roman"/>
                <w:szCs w:val="21"/>
              </w:rPr>
            </w:pPr>
            <w:r>
              <w:rPr>
                <w:rFonts w:ascii="Times New Roman" w:hAnsi="Times New Roman" w:cs="Times New Roman"/>
                <w:szCs w:val="21"/>
              </w:rPr>
              <w:t>硒</w:t>
            </w:r>
          </w:p>
        </w:tc>
        <w:tc>
          <w:tcPr>
            <w:tcW w:w="923"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ND</w:t>
            </w:r>
          </w:p>
        </w:tc>
        <w:tc>
          <w:tcPr>
            <w:tcW w:w="906"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0.00053</w:t>
            </w:r>
          </w:p>
        </w:tc>
        <w:tc>
          <w:tcPr>
            <w:tcW w:w="902"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0.00066</w:t>
            </w:r>
          </w:p>
        </w:tc>
        <w:tc>
          <w:tcPr>
            <w:tcW w:w="848" w:type="pct"/>
            <w:vAlign w:val="center"/>
          </w:tcPr>
          <w:p>
            <w:pPr>
              <w:jc w:val="center"/>
              <w:rPr>
                <w:rFonts w:ascii="Times New Roman" w:hAnsi="Times New Roman" w:cs="Times New Roman"/>
                <w:szCs w:val="21"/>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szCs w:val="21"/>
              </w:rPr>
              <w:t>0.01</w:t>
            </w:r>
          </w:p>
        </w:tc>
        <w:tc>
          <w:tcPr>
            <w:tcW w:w="541" w:type="pct"/>
            <w:vAlign w:val="center"/>
          </w:tcPr>
          <w:p>
            <w:pPr>
              <w:jc w:val="center"/>
              <w:rPr>
                <w:rFonts w:ascii="Times New Roman" w:hAnsi="Times New Roman" w:cs="Times New Roman"/>
                <w:color w:val="FF0000"/>
                <w:szCs w:val="21"/>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spacing w:line="260" w:lineRule="exact"/>
              <w:jc w:val="center"/>
              <w:rPr>
                <w:rFonts w:ascii="Times New Roman" w:hAnsi="Times New Roman" w:cs="Times New Roman"/>
                <w:szCs w:val="21"/>
              </w:rPr>
            </w:pPr>
            <w:r>
              <w:rPr>
                <w:rFonts w:ascii="Times New Roman" w:hAnsi="Times New Roman" w:cs="Times New Roman"/>
                <w:szCs w:val="21"/>
              </w:rPr>
              <w:t>铊</w:t>
            </w:r>
          </w:p>
        </w:tc>
        <w:tc>
          <w:tcPr>
            <w:tcW w:w="923"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ND</w:t>
            </w:r>
          </w:p>
        </w:tc>
        <w:tc>
          <w:tcPr>
            <w:tcW w:w="906"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ND</w:t>
            </w:r>
          </w:p>
        </w:tc>
        <w:tc>
          <w:tcPr>
            <w:tcW w:w="902"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ND</w:t>
            </w:r>
          </w:p>
        </w:tc>
        <w:tc>
          <w:tcPr>
            <w:tcW w:w="848" w:type="pct"/>
            <w:vAlign w:val="center"/>
          </w:tcPr>
          <w:p>
            <w:pPr>
              <w:jc w:val="center"/>
              <w:rPr>
                <w:rFonts w:ascii="Times New Roman" w:hAnsi="Times New Roman" w:cs="Times New Roman"/>
                <w:szCs w:val="21"/>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szCs w:val="21"/>
              </w:rPr>
              <w:t>0.0001</w:t>
            </w:r>
          </w:p>
        </w:tc>
        <w:tc>
          <w:tcPr>
            <w:tcW w:w="541" w:type="pct"/>
            <w:vAlign w:val="center"/>
          </w:tcPr>
          <w:p>
            <w:pPr>
              <w:jc w:val="center"/>
              <w:rPr>
                <w:rFonts w:ascii="Times New Roman" w:hAnsi="Times New Roman" w:cs="Times New Roman"/>
                <w:color w:val="FF0000"/>
                <w:szCs w:val="21"/>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spacing w:line="260" w:lineRule="exact"/>
              <w:jc w:val="center"/>
              <w:rPr>
                <w:rFonts w:ascii="Times New Roman" w:hAnsi="Times New Roman" w:cs="Times New Roman"/>
                <w:szCs w:val="21"/>
              </w:rPr>
            </w:pPr>
            <w:r>
              <w:rPr>
                <w:rFonts w:ascii="Times New Roman" w:hAnsi="Times New Roman" w:cs="Times New Roman"/>
                <w:szCs w:val="21"/>
              </w:rPr>
              <w:t>锌</w:t>
            </w:r>
          </w:p>
        </w:tc>
        <w:tc>
          <w:tcPr>
            <w:tcW w:w="923"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0.0144</w:t>
            </w:r>
          </w:p>
        </w:tc>
        <w:tc>
          <w:tcPr>
            <w:tcW w:w="906"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0.0149</w:t>
            </w:r>
          </w:p>
        </w:tc>
        <w:tc>
          <w:tcPr>
            <w:tcW w:w="902"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0.0178</w:t>
            </w:r>
          </w:p>
        </w:tc>
        <w:tc>
          <w:tcPr>
            <w:tcW w:w="848" w:type="pct"/>
            <w:vAlign w:val="center"/>
          </w:tcPr>
          <w:p>
            <w:pPr>
              <w:jc w:val="center"/>
              <w:rPr>
                <w:rFonts w:ascii="Times New Roman" w:hAnsi="Times New Roman" w:cs="Times New Roman"/>
                <w:szCs w:val="21"/>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szCs w:val="21"/>
              </w:rPr>
              <w:t>1.00</w:t>
            </w:r>
          </w:p>
        </w:tc>
        <w:tc>
          <w:tcPr>
            <w:tcW w:w="541" w:type="pct"/>
            <w:vAlign w:val="center"/>
          </w:tcPr>
          <w:p>
            <w:pPr>
              <w:jc w:val="center"/>
              <w:rPr>
                <w:rFonts w:ascii="Times New Roman" w:hAnsi="Times New Roman" w:cs="Times New Roman"/>
                <w:color w:val="FF0000"/>
                <w:szCs w:val="21"/>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spacing w:line="260" w:lineRule="exact"/>
              <w:jc w:val="center"/>
              <w:rPr>
                <w:rFonts w:ascii="Times New Roman" w:hAnsi="Times New Roman" w:cs="Times New Roman"/>
                <w:szCs w:val="21"/>
              </w:rPr>
            </w:pPr>
            <w:r>
              <w:rPr>
                <w:rFonts w:ascii="Times New Roman" w:hAnsi="Times New Roman" w:cs="Times New Roman"/>
                <w:szCs w:val="21"/>
              </w:rPr>
              <w:t>汞</w:t>
            </w:r>
          </w:p>
        </w:tc>
        <w:tc>
          <w:tcPr>
            <w:tcW w:w="923"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ND</w:t>
            </w:r>
          </w:p>
        </w:tc>
        <w:tc>
          <w:tcPr>
            <w:tcW w:w="906"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ND</w:t>
            </w:r>
          </w:p>
        </w:tc>
        <w:tc>
          <w:tcPr>
            <w:tcW w:w="902"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ND</w:t>
            </w:r>
          </w:p>
        </w:tc>
        <w:tc>
          <w:tcPr>
            <w:tcW w:w="848" w:type="pct"/>
            <w:vAlign w:val="center"/>
          </w:tcPr>
          <w:p>
            <w:pPr>
              <w:jc w:val="center"/>
              <w:rPr>
                <w:rFonts w:ascii="Times New Roman" w:hAnsi="Times New Roman" w:cs="Times New Roman"/>
                <w:szCs w:val="21"/>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szCs w:val="21"/>
              </w:rPr>
              <w:t>0.001</w:t>
            </w:r>
          </w:p>
        </w:tc>
        <w:tc>
          <w:tcPr>
            <w:tcW w:w="541" w:type="pct"/>
            <w:vAlign w:val="center"/>
          </w:tcPr>
          <w:p>
            <w:pPr>
              <w:jc w:val="center"/>
              <w:rPr>
                <w:rFonts w:ascii="Times New Roman" w:hAnsi="Times New Roman" w:cs="Times New Roman"/>
                <w:color w:val="FF0000"/>
                <w:szCs w:val="21"/>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spacing w:line="260" w:lineRule="exact"/>
              <w:jc w:val="center"/>
              <w:rPr>
                <w:rFonts w:ascii="Times New Roman" w:hAnsi="Times New Roman" w:cs="Times New Roman"/>
                <w:szCs w:val="21"/>
              </w:rPr>
            </w:pPr>
            <w:r>
              <w:rPr>
                <w:rFonts w:ascii="Times New Roman" w:hAnsi="Times New Roman" w:cs="Times New Roman"/>
                <w:szCs w:val="21"/>
              </w:rPr>
              <w:t>钠</w:t>
            </w:r>
          </w:p>
        </w:tc>
        <w:tc>
          <w:tcPr>
            <w:tcW w:w="923"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14.5</w:t>
            </w:r>
          </w:p>
        </w:tc>
        <w:tc>
          <w:tcPr>
            <w:tcW w:w="906"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11.6</w:t>
            </w:r>
          </w:p>
        </w:tc>
        <w:tc>
          <w:tcPr>
            <w:tcW w:w="902"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19.6</w:t>
            </w:r>
          </w:p>
        </w:tc>
        <w:tc>
          <w:tcPr>
            <w:tcW w:w="848" w:type="pct"/>
            <w:vAlign w:val="center"/>
          </w:tcPr>
          <w:p>
            <w:pPr>
              <w:jc w:val="center"/>
              <w:rPr>
                <w:rFonts w:ascii="Times New Roman" w:hAnsi="Times New Roman" w:cs="Times New Roman"/>
                <w:szCs w:val="21"/>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szCs w:val="21"/>
              </w:rPr>
              <w:t>200</w:t>
            </w:r>
          </w:p>
        </w:tc>
        <w:tc>
          <w:tcPr>
            <w:tcW w:w="541" w:type="pct"/>
            <w:vAlign w:val="center"/>
          </w:tcPr>
          <w:p>
            <w:pPr>
              <w:jc w:val="center"/>
              <w:rPr>
                <w:rFonts w:ascii="Times New Roman" w:hAnsi="Times New Roman" w:cs="Times New Roman"/>
                <w:color w:val="FF0000"/>
                <w:szCs w:val="21"/>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spacing w:line="260" w:lineRule="exact"/>
              <w:jc w:val="center"/>
              <w:rPr>
                <w:rFonts w:ascii="Times New Roman" w:hAnsi="Times New Roman" w:cs="Times New Roman"/>
                <w:szCs w:val="21"/>
              </w:rPr>
            </w:pPr>
            <w:r>
              <w:rPr>
                <w:rFonts w:ascii="Times New Roman" w:hAnsi="Times New Roman" w:cs="Times New Roman"/>
                <w:szCs w:val="21"/>
              </w:rPr>
              <w:t>三氯甲烷</w:t>
            </w:r>
          </w:p>
        </w:tc>
        <w:tc>
          <w:tcPr>
            <w:tcW w:w="923"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ND</w:t>
            </w:r>
          </w:p>
        </w:tc>
        <w:tc>
          <w:tcPr>
            <w:tcW w:w="906"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0.0012</w:t>
            </w:r>
          </w:p>
        </w:tc>
        <w:tc>
          <w:tcPr>
            <w:tcW w:w="902"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ND</w:t>
            </w:r>
          </w:p>
        </w:tc>
        <w:tc>
          <w:tcPr>
            <w:tcW w:w="848" w:type="pct"/>
            <w:vAlign w:val="center"/>
          </w:tcPr>
          <w:p>
            <w:pPr>
              <w:jc w:val="center"/>
              <w:rPr>
                <w:rFonts w:ascii="Times New Roman" w:hAnsi="Times New Roman" w:cs="Times New Roman"/>
                <w:szCs w:val="21"/>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szCs w:val="21"/>
              </w:rPr>
              <w:t>0.060</w:t>
            </w:r>
          </w:p>
        </w:tc>
        <w:tc>
          <w:tcPr>
            <w:tcW w:w="541" w:type="pct"/>
            <w:vAlign w:val="center"/>
          </w:tcPr>
          <w:p>
            <w:pPr>
              <w:jc w:val="center"/>
              <w:rPr>
                <w:rFonts w:ascii="Times New Roman" w:hAnsi="Times New Roman" w:cs="Times New Roman"/>
                <w:color w:val="FF0000"/>
                <w:szCs w:val="21"/>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spacing w:line="260" w:lineRule="exact"/>
              <w:jc w:val="center"/>
              <w:rPr>
                <w:rFonts w:ascii="Times New Roman" w:hAnsi="Times New Roman" w:cs="Times New Roman"/>
                <w:szCs w:val="21"/>
              </w:rPr>
            </w:pPr>
            <w:r>
              <w:rPr>
                <w:rFonts w:ascii="Times New Roman" w:hAnsi="Times New Roman" w:cs="Times New Roman"/>
                <w:szCs w:val="21"/>
              </w:rPr>
              <w:t>四氯化碳</w:t>
            </w:r>
          </w:p>
        </w:tc>
        <w:tc>
          <w:tcPr>
            <w:tcW w:w="923"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ND</w:t>
            </w:r>
          </w:p>
        </w:tc>
        <w:tc>
          <w:tcPr>
            <w:tcW w:w="906"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ND</w:t>
            </w:r>
          </w:p>
        </w:tc>
        <w:tc>
          <w:tcPr>
            <w:tcW w:w="902"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ND</w:t>
            </w:r>
          </w:p>
        </w:tc>
        <w:tc>
          <w:tcPr>
            <w:tcW w:w="848" w:type="pct"/>
            <w:vAlign w:val="center"/>
          </w:tcPr>
          <w:p>
            <w:pPr>
              <w:jc w:val="center"/>
              <w:rPr>
                <w:rFonts w:ascii="Times New Roman" w:hAnsi="Times New Roman" w:cs="Times New Roman"/>
                <w:szCs w:val="21"/>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szCs w:val="21"/>
              </w:rPr>
              <w:t>0.0020</w:t>
            </w:r>
          </w:p>
        </w:tc>
        <w:tc>
          <w:tcPr>
            <w:tcW w:w="541" w:type="pct"/>
            <w:vAlign w:val="center"/>
          </w:tcPr>
          <w:p>
            <w:pPr>
              <w:jc w:val="center"/>
              <w:rPr>
                <w:rFonts w:ascii="Times New Roman" w:hAnsi="Times New Roman" w:cs="Times New Roman"/>
                <w:color w:val="FF0000"/>
                <w:szCs w:val="21"/>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spacing w:line="260" w:lineRule="exact"/>
              <w:jc w:val="center"/>
              <w:rPr>
                <w:rFonts w:ascii="Times New Roman" w:hAnsi="Times New Roman" w:cs="Times New Roman"/>
                <w:szCs w:val="21"/>
              </w:rPr>
            </w:pPr>
            <w:r>
              <w:rPr>
                <w:rFonts w:ascii="Times New Roman" w:hAnsi="Times New Roman" w:cs="Times New Roman"/>
                <w:szCs w:val="21"/>
              </w:rPr>
              <w:t>苯</w:t>
            </w:r>
          </w:p>
        </w:tc>
        <w:tc>
          <w:tcPr>
            <w:tcW w:w="923"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ND</w:t>
            </w:r>
          </w:p>
        </w:tc>
        <w:tc>
          <w:tcPr>
            <w:tcW w:w="906"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ND</w:t>
            </w:r>
          </w:p>
        </w:tc>
        <w:tc>
          <w:tcPr>
            <w:tcW w:w="902"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ND</w:t>
            </w:r>
          </w:p>
        </w:tc>
        <w:tc>
          <w:tcPr>
            <w:tcW w:w="848" w:type="pct"/>
            <w:vAlign w:val="center"/>
          </w:tcPr>
          <w:p>
            <w:pPr>
              <w:jc w:val="center"/>
              <w:rPr>
                <w:rFonts w:ascii="Times New Roman" w:hAnsi="Times New Roman" w:cs="Times New Roman"/>
                <w:szCs w:val="21"/>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szCs w:val="21"/>
              </w:rPr>
              <w:t>0.0100</w:t>
            </w:r>
          </w:p>
        </w:tc>
        <w:tc>
          <w:tcPr>
            <w:tcW w:w="541" w:type="pct"/>
            <w:vAlign w:val="center"/>
          </w:tcPr>
          <w:p>
            <w:pPr>
              <w:jc w:val="center"/>
              <w:rPr>
                <w:rFonts w:ascii="Times New Roman" w:hAnsi="Times New Roman" w:cs="Times New Roman"/>
                <w:color w:val="FF0000"/>
                <w:szCs w:val="21"/>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spacing w:line="260" w:lineRule="exact"/>
              <w:jc w:val="center"/>
              <w:rPr>
                <w:rFonts w:ascii="Times New Roman" w:hAnsi="Times New Roman" w:cs="Times New Roman"/>
                <w:szCs w:val="21"/>
              </w:rPr>
            </w:pPr>
            <w:r>
              <w:rPr>
                <w:rFonts w:ascii="Times New Roman" w:hAnsi="Times New Roman" w:cs="Times New Roman"/>
                <w:szCs w:val="21"/>
              </w:rPr>
              <w:t>甲苯</w:t>
            </w:r>
          </w:p>
        </w:tc>
        <w:tc>
          <w:tcPr>
            <w:tcW w:w="923"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0.0001</w:t>
            </w:r>
          </w:p>
        </w:tc>
        <w:tc>
          <w:tcPr>
            <w:tcW w:w="906"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ND</w:t>
            </w:r>
          </w:p>
        </w:tc>
        <w:tc>
          <w:tcPr>
            <w:tcW w:w="902"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ND</w:t>
            </w:r>
          </w:p>
        </w:tc>
        <w:tc>
          <w:tcPr>
            <w:tcW w:w="848" w:type="pct"/>
            <w:vAlign w:val="center"/>
          </w:tcPr>
          <w:p>
            <w:pPr>
              <w:jc w:val="center"/>
              <w:rPr>
                <w:rFonts w:ascii="Times New Roman" w:hAnsi="Times New Roman" w:cs="Times New Roman"/>
                <w:szCs w:val="21"/>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szCs w:val="21"/>
              </w:rPr>
              <w:t>0.700</w:t>
            </w:r>
          </w:p>
        </w:tc>
        <w:tc>
          <w:tcPr>
            <w:tcW w:w="541" w:type="pct"/>
            <w:vAlign w:val="center"/>
          </w:tcPr>
          <w:p>
            <w:pPr>
              <w:jc w:val="center"/>
              <w:rPr>
                <w:rFonts w:ascii="Times New Roman" w:hAnsi="Times New Roman" w:cs="Times New Roman"/>
                <w:color w:val="FF0000"/>
                <w:szCs w:val="21"/>
              </w:rPr>
            </w:pPr>
            <w:r>
              <w:rPr>
                <w:rFonts w:ascii="Times New Roman" w:hAnsi="Times New Roman" w:cs="Times New Roman"/>
                <w:color w:val="000000" w:themeColor="text1"/>
                <w:szCs w:val="21"/>
                <w14:textFill>
                  <w14:solidFill>
                    <w14:schemeClr w14:val="tx1"/>
                  </w14:solidFill>
                </w14:textFill>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0" w:type="pct"/>
            <w:vAlign w:val="center"/>
          </w:tcPr>
          <w:p>
            <w:pPr>
              <w:spacing w:line="260" w:lineRule="exact"/>
              <w:jc w:val="center"/>
              <w:rPr>
                <w:rFonts w:ascii="Times New Roman" w:hAnsi="Times New Roman" w:cs="Times New Roman"/>
                <w:szCs w:val="21"/>
              </w:rPr>
            </w:pPr>
            <w:r>
              <w:rPr>
                <w:rFonts w:ascii="Times New Roman" w:hAnsi="Times New Roman" w:cs="Times New Roman"/>
                <w:szCs w:val="21"/>
              </w:rPr>
              <w:t>铝</w:t>
            </w:r>
          </w:p>
        </w:tc>
        <w:tc>
          <w:tcPr>
            <w:tcW w:w="923"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0.00152</w:t>
            </w:r>
          </w:p>
        </w:tc>
        <w:tc>
          <w:tcPr>
            <w:tcW w:w="906"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0.00189</w:t>
            </w:r>
          </w:p>
        </w:tc>
        <w:tc>
          <w:tcPr>
            <w:tcW w:w="902" w:type="pct"/>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0.00139</w:t>
            </w:r>
          </w:p>
        </w:tc>
        <w:tc>
          <w:tcPr>
            <w:tcW w:w="848" w:type="pct"/>
            <w:vAlign w:val="center"/>
          </w:tcPr>
          <w:p>
            <w:pPr>
              <w:jc w:val="center"/>
              <w:rPr>
                <w:rFonts w:ascii="Times New Roman" w:hAnsi="Times New Roman" w:cs="Times New Roman"/>
                <w:szCs w:val="21"/>
              </w:rPr>
            </w:pPr>
            <w:r>
              <w:rPr>
                <w:rFonts w:cs="Times New Roman" w:asciiTheme="minorEastAsia" w:hAnsiTheme="minorEastAsia"/>
                <w:color w:val="000000" w:themeColor="text1"/>
                <w:szCs w:val="21"/>
                <w14:textFill>
                  <w14:solidFill>
                    <w14:schemeClr w14:val="tx1"/>
                  </w14:solidFill>
                </w14:textFill>
              </w:rPr>
              <w:t>≤</w:t>
            </w:r>
            <w:r>
              <w:rPr>
                <w:rFonts w:ascii="Times New Roman" w:hAnsi="Times New Roman" w:cs="Times New Roman"/>
                <w:szCs w:val="21"/>
              </w:rPr>
              <w:t>0.20</w:t>
            </w:r>
          </w:p>
        </w:tc>
        <w:tc>
          <w:tcPr>
            <w:tcW w:w="541" w:type="pct"/>
            <w:vAlign w:val="center"/>
          </w:tcPr>
          <w:p>
            <w:pPr>
              <w:jc w:val="center"/>
              <w:rPr>
                <w:rFonts w:ascii="Times New Roman" w:hAnsi="Times New Roman" w:cs="Times New Roman"/>
                <w:color w:val="FF0000"/>
                <w:szCs w:val="21"/>
              </w:rPr>
            </w:pPr>
            <w:r>
              <w:rPr>
                <w:rFonts w:ascii="Times New Roman" w:hAnsi="Times New Roman" w:cs="Times New Roman"/>
                <w:color w:val="000000" w:themeColor="text1"/>
                <w:szCs w:val="21"/>
                <w14:textFill>
                  <w14:solidFill>
                    <w14:schemeClr w14:val="tx1"/>
                  </w14:solidFill>
                </w14:textFill>
              </w:rPr>
              <w:t>mg/L</w:t>
            </w:r>
          </w:p>
        </w:tc>
      </w:tr>
    </w:tbl>
    <w:p>
      <w:pPr>
        <w:pStyle w:val="39"/>
        <w:numPr>
          <w:ilvl w:val="1"/>
          <w:numId w:val="2"/>
        </w:numPr>
        <w:ind w:left="0" w:firstLine="0" w:firstLineChars="0"/>
        <w:outlineLvl w:val="1"/>
        <w:rPr>
          <w:rFonts w:cs="Times New Roman"/>
          <w:b/>
          <w:color w:val="000000" w:themeColor="text1"/>
          <w:sz w:val="28"/>
          <w14:textFill>
            <w14:solidFill>
              <w14:schemeClr w14:val="tx1"/>
            </w14:solidFill>
          </w14:textFill>
        </w:rPr>
      </w:pPr>
      <w:bookmarkStart w:id="70" w:name="_Toc2174"/>
      <w:r>
        <w:rPr>
          <w:rFonts w:cs="Times New Roman"/>
          <w:b/>
          <w:color w:val="000000" w:themeColor="text1"/>
          <w:sz w:val="28"/>
          <w14:textFill>
            <w14:solidFill>
              <w14:schemeClr w14:val="tx1"/>
            </w14:solidFill>
          </w14:textFill>
        </w:rPr>
        <w:t>结果评价</w:t>
      </w:r>
      <w:bookmarkEnd w:id="70"/>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1、土壤</w:t>
      </w:r>
    </w:p>
    <w:p>
      <w:pPr>
        <w:spacing w:line="360" w:lineRule="auto"/>
        <w:ind w:firstLine="480" w:firstLineChars="200"/>
        <w:rPr>
          <w:rFonts w:ascii="Times New Roman" w:hAnsi="Times New Roman" w:eastAsia="宋体" w:cs="Times New Roman"/>
          <w:color w:val="000000" w:themeColor="text1"/>
          <w:sz w:val="24"/>
          <w:szCs w:val="24"/>
          <w:highlight w:val="yellow"/>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土壤</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pH范围在7.99~9.31，所测</w:t>
      </w:r>
      <w:r>
        <w:rPr>
          <w:rFonts w:ascii="Times New Roman" w:hAnsi="Times New Roman" w:eastAsia="宋体" w:cs="Times New Roman"/>
          <w:color w:val="000000" w:themeColor="text1"/>
          <w:sz w:val="24"/>
          <w:szCs w:val="24"/>
          <w14:textFill>
            <w14:solidFill>
              <w14:schemeClr w14:val="tx1"/>
            </w14:solidFill>
          </w14:textFill>
        </w:rPr>
        <w:t>点位所测项目均满足</w:t>
      </w:r>
      <w:r>
        <w:rPr>
          <w:rFonts w:hint="eastAsia" w:ascii="Times New Roman" w:hAnsi="Times New Roman" w:eastAsia="宋体" w:cs="Times New Roman"/>
          <w:color w:val="000000" w:themeColor="text1"/>
          <w:sz w:val="24"/>
          <w:szCs w:val="24"/>
          <w14:textFill>
            <w14:solidFill>
              <w14:schemeClr w14:val="tx1"/>
            </w14:solidFill>
          </w14:textFill>
        </w:rPr>
        <w:t>《</w:t>
      </w:r>
      <w:r>
        <w:rPr>
          <w:rFonts w:cs="Times New Roman"/>
          <w:sz w:val="24"/>
        </w:rPr>
        <w:t>土壤环境质量</w:t>
      </w:r>
      <w:r>
        <w:rPr>
          <w:rFonts w:hint="eastAsia" w:cs="Times New Roman"/>
          <w:sz w:val="24"/>
        </w:rPr>
        <w:t xml:space="preserve"> </w:t>
      </w:r>
      <w:r>
        <w:rPr>
          <w:rFonts w:cs="Times New Roman"/>
          <w:sz w:val="24"/>
        </w:rPr>
        <w:t>建设用地土壤污染风险管控标准（试行）》（</w:t>
      </w:r>
      <w:r>
        <w:rPr>
          <w:rFonts w:ascii="Times New Roman" w:hAnsi="Times New Roman" w:cs="Times New Roman"/>
          <w:sz w:val="24"/>
        </w:rPr>
        <w:t>GB 36600-2018</w:t>
      </w:r>
      <w:r>
        <w:rPr>
          <w:rFonts w:cs="Times New Roman"/>
          <w:sz w:val="24"/>
        </w:rPr>
        <w:t>）</w:t>
      </w:r>
      <w:r>
        <w:rPr>
          <w:rFonts w:ascii="Times New Roman" w:hAnsi="Times New Roman" w:eastAsia="宋体" w:cs="Times New Roman"/>
          <w:color w:val="000000" w:themeColor="text1"/>
          <w:sz w:val="24"/>
          <w:szCs w:val="24"/>
          <w14:textFill>
            <w14:solidFill>
              <w14:schemeClr w14:val="tx1"/>
            </w14:solidFill>
          </w14:textFill>
        </w:rPr>
        <w:t>中第二类用地风险筛选值，其中锌没有标准限值，锌范围为21～111mg/kg。</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2、地下水</w:t>
      </w:r>
    </w:p>
    <w:p>
      <w:pPr>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地下水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pH范围7.9~8.1，</w:t>
      </w:r>
      <w:r>
        <w:rPr>
          <w:rFonts w:ascii="Times New Roman" w:hAnsi="Times New Roman" w:eastAsia="宋体" w:cs="Times New Roman"/>
          <w:color w:val="000000" w:themeColor="text1"/>
          <w:sz w:val="24"/>
          <w:szCs w:val="24"/>
          <w14:textFill>
            <w14:solidFill>
              <w14:schemeClr w14:val="tx1"/>
            </w14:solidFill>
          </w14:textFill>
        </w:rPr>
        <w:t>所有点位所测项目，均满足《地下水质量标准》（GB/T 14848-2017）中</w:t>
      </w:r>
      <w:r>
        <w:rPr>
          <w:rFonts w:hint="eastAsia" w:ascii="宋体" w:hAnsi="宋体" w:eastAsia="宋体" w:cs="宋体"/>
          <w:color w:val="000000" w:themeColor="text1"/>
          <w:sz w:val="24"/>
          <w:szCs w:val="24"/>
          <w14:textFill>
            <w14:solidFill>
              <w14:schemeClr w14:val="tx1"/>
            </w14:solidFill>
          </w14:textFill>
        </w:rPr>
        <w:t>Ⅲ</w:t>
      </w:r>
      <w:r>
        <w:rPr>
          <w:rFonts w:ascii="Times New Roman" w:hAnsi="Times New Roman" w:eastAsia="宋体" w:cs="Times New Roman"/>
          <w:color w:val="000000" w:themeColor="text1"/>
          <w:sz w:val="24"/>
          <w:szCs w:val="24"/>
          <w14:textFill>
            <w14:solidFill>
              <w14:schemeClr w14:val="tx1"/>
            </w14:solidFill>
          </w14:textFill>
        </w:rPr>
        <w:t>类标准</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pStyle w:val="39"/>
        <w:numPr>
          <w:ilvl w:val="1"/>
          <w:numId w:val="2"/>
        </w:numPr>
        <w:ind w:left="0" w:firstLine="0" w:firstLineChars="0"/>
        <w:outlineLvl w:val="1"/>
        <w:rPr>
          <w:rFonts w:cs="Times New Roman"/>
          <w:b/>
          <w:color w:val="000000" w:themeColor="text1"/>
          <w:sz w:val="28"/>
          <w14:textFill>
            <w14:solidFill>
              <w14:schemeClr w14:val="tx1"/>
            </w14:solidFill>
          </w14:textFill>
        </w:rPr>
      </w:pPr>
      <w:bookmarkStart w:id="71" w:name="_Toc12033"/>
      <w:r>
        <w:rPr>
          <w:rFonts w:cs="Times New Roman"/>
          <w:b/>
          <w:color w:val="000000" w:themeColor="text1"/>
          <w:sz w:val="28"/>
          <w14:textFill>
            <w14:solidFill>
              <w14:schemeClr w14:val="tx1"/>
            </w14:solidFill>
          </w14:textFill>
        </w:rPr>
        <w:t>企业针对监测结果拟采取的措施</w:t>
      </w:r>
      <w:bookmarkEnd w:id="71"/>
    </w:p>
    <w:p>
      <w:pPr>
        <w:spacing w:line="360" w:lineRule="auto"/>
        <w:ind w:firstLine="480" w:firstLineChars="200"/>
        <w:rPr>
          <w:rFonts w:ascii="Times New Roman" w:hAnsi="Times New Roman" w:cs="Times New Roman"/>
          <w:iCs/>
          <w:color w:val="000000" w:themeColor="text1"/>
          <w:sz w:val="24"/>
          <w:szCs w:val="24"/>
          <w:highlight w:val="yellow"/>
          <w14:textFill>
            <w14:solidFill>
              <w14:schemeClr w14:val="tx1"/>
            </w14:solidFill>
          </w14:textFill>
        </w:rPr>
      </w:pPr>
      <w:r>
        <w:rPr>
          <w:rFonts w:ascii="Times New Roman" w:hAnsi="Times New Roman" w:cs="Times New Roman"/>
          <w:iCs/>
          <w:color w:val="000000" w:themeColor="text1"/>
          <w:sz w:val="24"/>
          <w:szCs w:val="24"/>
          <w14:textFill>
            <w14:solidFill>
              <w14:schemeClr w14:val="tx1"/>
            </w14:solidFill>
          </w14:textFill>
        </w:rPr>
        <w:t>继续加强废水、废气、固废的环保管理，完善环保管理制度，防止因环保措施不到位导致污染物进入土壤并渗透到地下水，杜绝发生污染事故。</w:t>
      </w:r>
    </w:p>
    <w:p>
      <w:pPr>
        <w:pStyle w:val="2"/>
      </w:pPr>
    </w:p>
    <w:p>
      <w:p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360" w:lineRule="auto"/>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附图1  采样现场照片</w:t>
      </w:r>
    </w:p>
    <w:p>
      <w:pPr>
        <w:pStyle w:val="2"/>
      </w:pPr>
      <w:r>
        <w:drawing>
          <wp:inline distT="0" distB="0" distL="114300" distR="114300">
            <wp:extent cx="5377180" cy="8366125"/>
            <wp:effectExtent l="0" t="0" r="13970"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9"/>
                    <a:stretch>
                      <a:fillRect/>
                    </a:stretch>
                  </pic:blipFill>
                  <pic:spPr>
                    <a:xfrm>
                      <a:off x="0" y="0"/>
                      <a:ext cx="5377180" cy="8366125"/>
                    </a:xfrm>
                    <a:prstGeom prst="rect">
                      <a:avLst/>
                    </a:prstGeom>
                    <a:noFill/>
                    <a:ln>
                      <a:noFill/>
                    </a:ln>
                  </pic:spPr>
                </pic:pic>
              </a:graphicData>
            </a:graphic>
          </wp:inline>
        </w:drawing>
      </w:r>
    </w:p>
    <w:p>
      <w:pPr>
        <w:pStyle w:val="2"/>
        <w:rPr>
          <w:rFonts w:eastAsia="宋体" w:cs="Times New Roman"/>
          <w:color w:val="FF0000"/>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546090" cy="8684260"/>
            <wp:effectExtent l="0" t="0" r="16510" b="2540"/>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pic:cNvPicPr>
                      <a:picLocks noChangeAspect="1"/>
                    </pic:cNvPicPr>
                  </pic:nvPicPr>
                  <pic:blipFill>
                    <a:blip r:embed="rId20"/>
                    <a:stretch>
                      <a:fillRect/>
                    </a:stretch>
                  </pic:blipFill>
                  <pic:spPr>
                    <a:xfrm>
                      <a:off x="0" y="0"/>
                      <a:ext cx="5546090" cy="8684260"/>
                    </a:xfrm>
                    <a:prstGeom prst="rect">
                      <a:avLst/>
                    </a:prstGeom>
                    <a:noFill/>
                    <a:ln>
                      <a:noFill/>
                    </a:ln>
                  </pic:spPr>
                </pic:pic>
              </a:graphicData>
            </a:graphic>
          </wp:inline>
        </w:drawing>
      </w:r>
    </w:p>
    <w:p>
      <w:pPr>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附件1 采样原始记录</w:t>
      </w:r>
    </w:p>
    <w:p>
      <w:pPr>
        <w:jc w:val="center"/>
        <w:rPr>
          <w:rFonts w:ascii="Times New Roman" w:hAnsi="Times New Roman" w:eastAsia="宋体" w:cs="Times New Roman"/>
          <w:b/>
          <w:color w:val="000000" w:themeColor="text1"/>
          <w:sz w:val="24"/>
          <w:szCs w:val="24"/>
          <w14:textFill>
            <w14:solidFill>
              <w14:schemeClr w14:val="tx1"/>
            </w14:solidFill>
          </w14:textFill>
        </w:rPr>
      </w:pPr>
      <w:r>
        <w:drawing>
          <wp:anchor distT="0" distB="0" distL="114300" distR="114300" simplePos="0" relativeHeight="251678720" behindDoc="1" locked="0" layoutInCell="1" allowOverlap="1">
            <wp:simplePos x="0" y="0"/>
            <wp:positionH relativeFrom="column">
              <wp:posOffset>1311910</wp:posOffset>
            </wp:positionH>
            <wp:positionV relativeFrom="paragraph">
              <wp:posOffset>256540</wp:posOffset>
            </wp:positionV>
            <wp:extent cx="6889750" cy="4665345"/>
            <wp:effectExtent l="0" t="0" r="6350" b="1905"/>
            <wp:wrapThrough wrapText="bothSides">
              <wp:wrapPolygon>
                <wp:start x="0" y="0"/>
                <wp:lineTo x="0" y="21521"/>
                <wp:lineTo x="21560" y="21521"/>
                <wp:lineTo x="21560" y="0"/>
                <wp:lineTo x="0" y="0"/>
              </wp:wrapPolygon>
            </wp:wrapThrough>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21"/>
                    <a:stretch>
                      <a:fillRect/>
                    </a:stretch>
                  </pic:blipFill>
                  <pic:spPr>
                    <a:xfrm>
                      <a:off x="0" y="0"/>
                      <a:ext cx="6889750" cy="4665345"/>
                    </a:xfrm>
                    <a:prstGeom prst="rect">
                      <a:avLst/>
                    </a:prstGeom>
                    <a:noFill/>
                    <a:ln>
                      <a:noFill/>
                    </a:ln>
                  </pic:spPr>
                </pic:pic>
              </a:graphicData>
            </a:graphic>
          </wp:anchor>
        </w:drawing>
      </w:r>
    </w:p>
    <w:p>
      <w:pPr>
        <w:jc w:val="center"/>
        <w:rPr>
          <w:rFonts w:ascii="Times New Roman" w:hAnsi="Times New Roman" w:eastAsia="宋体" w:cs="Times New Roman"/>
          <w:color w:val="FF0000"/>
        </w:rPr>
      </w:pPr>
    </w:p>
    <w:p>
      <w:pPr>
        <w:jc w:val="center"/>
        <w:rPr>
          <w:rFonts w:ascii="Times New Roman" w:hAnsi="Times New Roman" w:eastAsia="宋体" w:cs="Times New Roman"/>
          <w:color w:val="FF0000"/>
        </w:rPr>
      </w:pPr>
    </w:p>
    <w:p>
      <w:pPr>
        <w:jc w:val="center"/>
        <w:rPr>
          <w:rFonts w:ascii="Times New Roman" w:hAnsi="Times New Roman" w:eastAsia="宋体" w:cs="Times New Roman"/>
          <w:color w:val="FF0000"/>
        </w:rPr>
      </w:pPr>
    </w:p>
    <w:p>
      <w:pPr>
        <w:jc w:val="center"/>
        <w:rPr>
          <w:rFonts w:ascii="Times New Roman" w:hAnsi="Times New Roman" w:eastAsia="宋体" w:cs="Times New Roman"/>
          <w:color w:val="FF0000"/>
        </w:rPr>
      </w:pPr>
    </w:p>
    <w:p>
      <w:pPr>
        <w:jc w:val="center"/>
        <w:rPr>
          <w:rFonts w:ascii="Times New Roman" w:hAnsi="Times New Roman" w:eastAsia="宋体" w:cs="Times New Roman"/>
          <w:color w:val="FF0000"/>
        </w:rPr>
      </w:pPr>
    </w:p>
    <w:p>
      <w:pPr>
        <w:jc w:val="center"/>
        <w:rPr>
          <w:rFonts w:ascii="Times New Roman" w:hAnsi="Times New Roman" w:eastAsia="宋体" w:cs="Times New Roman"/>
          <w:color w:val="FF0000"/>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7357110" cy="5097780"/>
            <wp:effectExtent l="0" t="0" r="15240" b="7620"/>
            <wp:docPr id="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pic:cNvPicPr>
                      <a:picLocks noChangeAspect="1"/>
                    </pic:cNvPicPr>
                  </pic:nvPicPr>
                  <pic:blipFill>
                    <a:blip r:embed="rId22"/>
                    <a:stretch>
                      <a:fillRect/>
                    </a:stretch>
                  </pic:blipFill>
                  <pic:spPr>
                    <a:xfrm>
                      <a:off x="0" y="0"/>
                      <a:ext cx="7357110" cy="5097780"/>
                    </a:xfrm>
                    <a:prstGeom prst="rect">
                      <a:avLst/>
                    </a:prstGeom>
                    <a:noFill/>
                    <a:ln>
                      <a:noFill/>
                    </a:ln>
                  </pic:spPr>
                </pic:pic>
              </a:graphicData>
            </a:graphic>
          </wp:inline>
        </w:drawing>
      </w:r>
      <w:r>
        <w:drawing>
          <wp:inline distT="0" distB="0" distL="114300" distR="114300">
            <wp:extent cx="7795895" cy="5485765"/>
            <wp:effectExtent l="0" t="0" r="14605" b="635"/>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pic:cNvPicPr>
                  </pic:nvPicPr>
                  <pic:blipFill>
                    <a:blip r:embed="rId23"/>
                    <a:stretch>
                      <a:fillRect/>
                    </a:stretch>
                  </pic:blipFill>
                  <pic:spPr>
                    <a:xfrm>
                      <a:off x="0" y="0"/>
                      <a:ext cx="7795895" cy="5485765"/>
                    </a:xfrm>
                    <a:prstGeom prst="rect">
                      <a:avLst/>
                    </a:prstGeom>
                    <a:noFill/>
                    <a:ln>
                      <a:noFill/>
                    </a:ln>
                  </pic:spPr>
                </pic:pic>
              </a:graphicData>
            </a:graphic>
          </wp:inline>
        </w:drawing>
      </w:r>
    </w:p>
    <w:p>
      <w:r>
        <w:drawing>
          <wp:inline distT="0" distB="0" distL="114300" distR="114300">
            <wp:extent cx="5270500" cy="3544570"/>
            <wp:effectExtent l="0" t="0" r="6350" b="17780"/>
            <wp:docPr id="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
                    <pic:cNvPicPr>
                      <a:picLocks noChangeAspect="1"/>
                    </pic:cNvPicPr>
                  </pic:nvPicPr>
                  <pic:blipFill>
                    <a:blip r:embed="rId24"/>
                    <a:stretch>
                      <a:fillRect/>
                    </a:stretch>
                  </pic:blipFill>
                  <pic:spPr>
                    <a:xfrm>
                      <a:off x="0" y="0"/>
                      <a:ext cx="5270500" cy="3544570"/>
                    </a:xfrm>
                    <a:prstGeom prst="rect">
                      <a:avLst/>
                    </a:prstGeom>
                    <a:noFill/>
                    <a:ln>
                      <a:noFill/>
                    </a:ln>
                  </pic:spPr>
                </pic:pic>
              </a:graphicData>
            </a:graphic>
          </wp:inline>
        </w:drawing>
      </w:r>
    </w:p>
    <w:p/>
    <w:p/>
    <w:p/>
    <w:p/>
    <w:p/>
    <w:p/>
    <w:p/>
    <w:p/>
    <w:p/>
    <w:p/>
    <w:p/>
    <w:p/>
    <w:p/>
    <w:p/>
    <w:p/>
    <w:p/>
    <w:p/>
    <w:p/>
    <w:p/>
    <w:p/>
    <w:p/>
    <w:p/>
    <w:p/>
    <w:p/>
    <w:p/>
    <w:p/>
    <w:p>
      <w:pPr>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附件2 检测单位CMA资质证书</w:t>
      </w:r>
    </w:p>
    <w:p>
      <w:pPr>
        <w:pStyle w:val="2"/>
        <w:rPr>
          <w:rFonts w:eastAsia="宋体" w:cs="Times New Roman"/>
          <w:color w:val="FF0000"/>
        </w:rPr>
      </w:pPr>
      <w:r>
        <w:drawing>
          <wp:inline distT="0" distB="0" distL="114300" distR="114300">
            <wp:extent cx="5897245" cy="8492490"/>
            <wp:effectExtent l="0" t="0" r="8255" b="3810"/>
            <wp:docPr id="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pic:cNvPicPr>
                      <a:picLocks noChangeAspect="1"/>
                    </pic:cNvPicPr>
                  </pic:nvPicPr>
                  <pic:blipFill>
                    <a:blip r:embed="rId25"/>
                    <a:stretch>
                      <a:fillRect/>
                    </a:stretch>
                  </pic:blipFill>
                  <pic:spPr>
                    <a:xfrm>
                      <a:off x="0" y="0"/>
                      <a:ext cx="5897245" cy="8492490"/>
                    </a:xfrm>
                    <a:prstGeom prst="rect">
                      <a:avLst/>
                    </a:prstGeom>
                    <a:noFill/>
                    <a:ln>
                      <a:noFill/>
                    </a:ln>
                  </pic:spPr>
                </pic:pic>
              </a:graphicData>
            </a:graphic>
          </wp:inline>
        </w:drawing>
      </w:r>
    </w:p>
    <w:p>
      <w:pPr>
        <w:rPr>
          <w:rFonts w:ascii="Times New Roman" w:hAnsi="Times New Roman" w:eastAsia="宋体" w:cs="Times New Roman"/>
          <w:color w:val="FF0000"/>
          <w:sz w:val="28"/>
          <w:szCs w:val="28"/>
        </w:rPr>
      </w:pPr>
      <w:r>
        <w:rPr>
          <w:rFonts w:ascii="Times New Roman" w:hAnsi="Times New Roman" w:eastAsia="宋体" w:cs="Times New Roman"/>
          <w:color w:val="FF0000"/>
          <w:sz w:val="28"/>
          <w:szCs w:val="28"/>
        </w:rPr>
        <w:br w:type="page"/>
      </w:r>
    </w:p>
    <w:p>
      <w:pPr>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附件3 检测报告</w:t>
      </w:r>
    </w:p>
    <w:p>
      <w:pPr>
        <w:pStyle w:val="2"/>
        <w:jc w:val="center"/>
        <w:rPr>
          <w:rFonts w:eastAsia="宋体" w:cs="Times New Roman"/>
          <w:color w:val="FF0000"/>
        </w:rPr>
      </w:pPr>
      <w:r>
        <w:drawing>
          <wp:inline distT="0" distB="0" distL="114300" distR="114300">
            <wp:extent cx="5278755" cy="7576185"/>
            <wp:effectExtent l="0" t="0" r="17145" b="5715"/>
            <wp:docPr id="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pic:cNvPicPr>
                      <a:picLocks noChangeAspect="1"/>
                    </pic:cNvPicPr>
                  </pic:nvPicPr>
                  <pic:blipFill>
                    <a:blip r:embed="rId26"/>
                    <a:stretch>
                      <a:fillRect/>
                    </a:stretch>
                  </pic:blipFill>
                  <pic:spPr>
                    <a:xfrm>
                      <a:off x="0" y="0"/>
                      <a:ext cx="5278755" cy="7576185"/>
                    </a:xfrm>
                    <a:prstGeom prst="rect">
                      <a:avLst/>
                    </a:prstGeom>
                    <a:noFill/>
                    <a:ln>
                      <a:noFill/>
                    </a:ln>
                  </pic:spPr>
                </pic:pic>
              </a:graphicData>
            </a:graphic>
          </wp:inline>
        </w:drawing>
      </w:r>
      <w:r>
        <w:drawing>
          <wp:inline distT="0" distB="0" distL="114300" distR="114300">
            <wp:extent cx="5067935" cy="7056120"/>
            <wp:effectExtent l="0" t="0" r="18415" b="1143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pic:cNvPicPr>
                  </pic:nvPicPr>
                  <pic:blipFill>
                    <a:blip r:embed="rId27"/>
                    <a:stretch>
                      <a:fillRect/>
                    </a:stretch>
                  </pic:blipFill>
                  <pic:spPr>
                    <a:xfrm>
                      <a:off x="0" y="0"/>
                      <a:ext cx="5067935" cy="7056120"/>
                    </a:xfrm>
                    <a:prstGeom prst="rect">
                      <a:avLst/>
                    </a:prstGeom>
                    <a:noFill/>
                    <a:ln>
                      <a:noFill/>
                    </a:ln>
                  </pic:spPr>
                </pic:pic>
              </a:graphicData>
            </a:graphic>
          </wp:inline>
        </w:drawing>
      </w:r>
      <w:r>
        <w:drawing>
          <wp:inline distT="0" distB="0" distL="114300" distR="114300">
            <wp:extent cx="5348605" cy="7571105"/>
            <wp:effectExtent l="0" t="0" r="4445" b="10795"/>
            <wp:docPr id="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
                    <pic:cNvPicPr>
                      <a:picLocks noChangeAspect="1"/>
                    </pic:cNvPicPr>
                  </pic:nvPicPr>
                  <pic:blipFill>
                    <a:blip r:embed="rId28"/>
                    <a:stretch>
                      <a:fillRect/>
                    </a:stretch>
                  </pic:blipFill>
                  <pic:spPr>
                    <a:xfrm>
                      <a:off x="0" y="0"/>
                      <a:ext cx="5348605" cy="7571105"/>
                    </a:xfrm>
                    <a:prstGeom prst="rect">
                      <a:avLst/>
                    </a:prstGeom>
                    <a:noFill/>
                    <a:ln>
                      <a:noFill/>
                    </a:ln>
                  </pic:spPr>
                </pic:pic>
              </a:graphicData>
            </a:graphic>
          </wp:inline>
        </w:drawing>
      </w:r>
      <w:r>
        <w:drawing>
          <wp:inline distT="0" distB="0" distL="114300" distR="114300">
            <wp:extent cx="5530215" cy="7734300"/>
            <wp:effectExtent l="0" t="0" r="13335" b="0"/>
            <wp:docPr id="6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2"/>
                    <pic:cNvPicPr>
                      <a:picLocks noChangeAspect="1"/>
                    </pic:cNvPicPr>
                  </pic:nvPicPr>
                  <pic:blipFill>
                    <a:blip r:embed="rId29"/>
                    <a:stretch>
                      <a:fillRect/>
                    </a:stretch>
                  </pic:blipFill>
                  <pic:spPr>
                    <a:xfrm>
                      <a:off x="0" y="0"/>
                      <a:ext cx="5530215" cy="7734300"/>
                    </a:xfrm>
                    <a:prstGeom prst="rect">
                      <a:avLst/>
                    </a:prstGeom>
                    <a:noFill/>
                    <a:ln>
                      <a:noFill/>
                    </a:ln>
                  </pic:spPr>
                </pic:pic>
              </a:graphicData>
            </a:graphic>
          </wp:inline>
        </w:drawing>
      </w:r>
      <w:r>
        <w:drawing>
          <wp:inline distT="0" distB="0" distL="114300" distR="114300">
            <wp:extent cx="3848100" cy="5172075"/>
            <wp:effectExtent l="0" t="0" r="0" b="9525"/>
            <wp:docPr id="7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pic:cNvPicPr>
                      <a:picLocks noChangeAspect="1"/>
                    </pic:cNvPicPr>
                  </pic:nvPicPr>
                  <pic:blipFill>
                    <a:blip r:embed="rId30"/>
                    <a:stretch>
                      <a:fillRect/>
                    </a:stretch>
                  </pic:blipFill>
                  <pic:spPr>
                    <a:xfrm>
                      <a:off x="0" y="0"/>
                      <a:ext cx="3848100" cy="5172075"/>
                    </a:xfrm>
                    <a:prstGeom prst="rect">
                      <a:avLst/>
                    </a:prstGeom>
                    <a:noFill/>
                    <a:ln>
                      <a:noFill/>
                    </a:ln>
                  </pic:spPr>
                </pic:pic>
              </a:graphicData>
            </a:graphic>
          </wp:inline>
        </w:drawing>
      </w:r>
      <w:r>
        <w:drawing>
          <wp:inline distT="0" distB="0" distL="114300" distR="114300">
            <wp:extent cx="3914775" cy="5191125"/>
            <wp:effectExtent l="0" t="0" r="9525" b="9525"/>
            <wp:docPr id="7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4"/>
                    <pic:cNvPicPr>
                      <a:picLocks noChangeAspect="1"/>
                    </pic:cNvPicPr>
                  </pic:nvPicPr>
                  <pic:blipFill>
                    <a:blip r:embed="rId31"/>
                    <a:stretch>
                      <a:fillRect/>
                    </a:stretch>
                  </pic:blipFill>
                  <pic:spPr>
                    <a:xfrm>
                      <a:off x="0" y="0"/>
                      <a:ext cx="3914775" cy="5191125"/>
                    </a:xfrm>
                    <a:prstGeom prst="rect">
                      <a:avLst/>
                    </a:prstGeom>
                    <a:noFill/>
                    <a:ln>
                      <a:noFill/>
                    </a:ln>
                  </pic:spPr>
                </pic:pic>
              </a:graphicData>
            </a:graphic>
          </wp:inline>
        </w:drawing>
      </w:r>
      <w:r>
        <w:drawing>
          <wp:inline distT="0" distB="0" distL="114300" distR="114300">
            <wp:extent cx="3581400" cy="5105400"/>
            <wp:effectExtent l="0" t="0" r="0" b="0"/>
            <wp:docPr id="7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5"/>
                    <pic:cNvPicPr>
                      <a:picLocks noChangeAspect="1"/>
                    </pic:cNvPicPr>
                  </pic:nvPicPr>
                  <pic:blipFill>
                    <a:blip r:embed="rId32"/>
                    <a:stretch>
                      <a:fillRect/>
                    </a:stretch>
                  </pic:blipFill>
                  <pic:spPr>
                    <a:xfrm>
                      <a:off x="0" y="0"/>
                      <a:ext cx="3581400" cy="5105400"/>
                    </a:xfrm>
                    <a:prstGeom prst="rect">
                      <a:avLst/>
                    </a:prstGeom>
                    <a:noFill/>
                    <a:ln>
                      <a:noFill/>
                    </a:ln>
                  </pic:spPr>
                </pic:pic>
              </a:graphicData>
            </a:graphic>
          </wp:inline>
        </w:drawing>
      </w:r>
      <w:r>
        <w:drawing>
          <wp:inline distT="0" distB="0" distL="114300" distR="114300">
            <wp:extent cx="3819525" cy="5229225"/>
            <wp:effectExtent l="0" t="0" r="9525" b="9525"/>
            <wp:docPr id="7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6"/>
                    <pic:cNvPicPr>
                      <a:picLocks noChangeAspect="1"/>
                    </pic:cNvPicPr>
                  </pic:nvPicPr>
                  <pic:blipFill>
                    <a:blip r:embed="rId33"/>
                    <a:stretch>
                      <a:fillRect/>
                    </a:stretch>
                  </pic:blipFill>
                  <pic:spPr>
                    <a:xfrm>
                      <a:off x="0" y="0"/>
                      <a:ext cx="3819525" cy="5229225"/>
                    </a:xfrm>
                    <a:prstGeom prst="rect">
                      <a:avLst/>
                    </a:prstGeom>
                    <a:noFill/>
                    <a:ln>
                      <a:noFill/>
                    </a:ln>
                  </pic:spPr>
                </pic:pic>
              </a:graphicData>
            </a:graphic>
          </wp:inline>
        </w:drawing>
      </w:r>
      <w:r>
        <w:drawing>
          <wp:inline distT="0" distB="0" distL="114300" distR="114300">
            <wp:extent cx="3590925" cy="5114925"/>
            <wp:effectExtent l="0" t="0" r="9525" b="9525"/>
            <wp:docPr id="7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7"/>
                    <pic:cNvPicPr>
                      <a:picLocks noChangeAspect="1"/>
                    </pic:cNvPicPr>
                  </pic:nvPicPr>
                  <pic:blipFill>
                    <a:blip r:embed="rId34"/>
                    <a:stretch>
                      <a:fillRect/>
                    </a:stretch>
                  </pic:blipFill>
                  <pic:spPr>
                    <a:xfrm>
                      <a:off x="0" y="0"/>
                      <a:ext cx="3590925" cy="5114925"/>
                    </a:xfrm>
                    <a:prstGeom prst="rect">
                      <a:avLst/>
                    </a:prstGeom>
                    <a:noFill/>
                    <a:ln>
                      <a:noFill/>
                    </a:ln>
                  </pic:spPr>
                </pic:pic>
              </a:graphicData>
            </a:graphic>
          </wp:inline>
        </w:drawing>
      </w:r>
      <w:r>
        <w:drawing>
          <wp:inline distT="0" distB="0" distL="114300" distR="114300">
            <wp:extent cx="3733800" cy="5276850"/>
            <wp:effectExtent l="0" t="0" r="0" b="0"/>
            <wp:docPr id="7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8"/>
                    <pic:cNvPicPr>
                      <a:picLocks noChangeAspect="1"/>
                    </pic:cNvPicPr>
                  </pic:nvPicPr>
                  <pic:blipFill>
                    <a:blip r:embed="rId35"/>
                    <a:stretch>
                      <a:fillRect/>
                    </a:stretch>
                  </pic:blipFill>
                  <pic:spPr>
                    <a:xfrm>
                      <a:off x="0" y="0"/>
                      <a:ext cx="3733800" cy="5276850"/>
                    </a:xfrm>
                    <a:prstGeom prst="rect">
                      <a:avLst/>
                    </a:prstGeom>
                    <a:noFill/>
                    <a:ln>
                      <a:noFill/>
                    </a:ln>
                  </pic:spPr>
                </pic:pic>
              </a:graphicData>
            </a:graphic>
          </wp:inline>
        </w:drawing>
      </w:r>
      <w:r>
        <w:drawing>
          <wp:inline distT="0" distB="0" distL="114300" distR="114300">
            <wp:extent cx="3771900" cy="5210175"/>
            <wp:effectExtent l="0" t="0" r="0" b="9525"/>
            <wp:docPr id="7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9"/>
                    <pic:cNvPicPr>
                      <a:picLocks noChangeAspect="1"/>
                    </pic:cNvPicPr>
                  </pic:nvPicPr>
                  <pic:blipFill>
                    <a:blip r:embed="rId36"/>
                    <a:stretch>
                      <a:fillRect/>
                    </a:stretch>
                  </pic:blipFill>
                  <pic:spPr>
                    <a:xfrm>
                      <a:off x="0" y="0"/>
                      <a:ext cx="3771900" cy="5210175"/>
                    </a:xfrm>
                    <a:prstGeom prst="rect">
                      <a:avLst/>
                    </a:prstGeom>
                    <a:noFill/>
                    <a:ln>
                      <a:noFill/>
                    </a:ln>
                  </pic:spPr>
                </pic:pic>
              </a:graphicData>
            </a:graphic>
          </wp:inline>
        </w:drawing>
      </w:r>
      <w:r>
        <w:drawing>
          <wp:inline distT="0" distB="0" distL="114300" distR="114300">
            <wp:extent cx="3714750" cy="5210175"/>
            <wp:effectExtent l="0" t="0" r="0" b="9525"/>
            <wp:docPr id="7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0"/>
                    <pic:cNvPicPr>
                      <a:picLocks noChangeAspect="1"/>
                    </pic:cNvPicPr>
                  </pic:nvPicPr>
                  <pic:blipFill>
                    <a:blip r:embed="rId37"/>
                    <a:stretch>
                      <a:fillRect/>
                    </a:stretch>
                  </pic:blipFill>
                  <pic:spPr>
                    <a:xfrm>
                      <a:off x="0" y="0"/>
                      <a:ext cx="3714750" cy="5210175"/>
                    </a:xfrm>
                    <a:prstGeom prst="rect">
                      <a:avLst/>
                    </a:prstGeom>
                    <a:noFill/>
                    <a:ln>
                      <a:noFill/>
                    </a:ln>
                  </pic:spPr>
                </pic:pic>
              </a:graphicData>
            </a:graphic>
          </wp:inline>
        </w:drawing>
      </w:r>
      <w:r>
        <w:drawing>
          <wp:inline distT="0" distB="0" distL="114300" distR="114300">
            <wp:extent cx="3714750" cy="5314950"/>
            <wp:effectExtent l="0" t="0" r="0" b="0"/>
            <wp:docPr id="7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1"/>
                    <pic:cNvPicPr>
                      <a:picLocks noChangeAspect="1"/>
                    </pic:cNvPicPr>
                  </pic:nvPicPr>
                  <pic:blipFill>
                    <a:blip r:embed="rId38"/>
                    <a:stretch>
                      <a:fillRect/>
                    </a:stretch>
                  </pic:blipFill>
                  <pic:spPr>
                    <a:xfrm>
                      <a:off x="0" y="0"/>
                      <a:ext cx="3714750" cy="5314950"/>
                    </a:xfrm>
                    <a:prstGeom prst="rect">
                      <a:avLst/>
                    </a:prstGeom>
                    <a:noFill/>
                    <a:ln>
                      <a:noFill/>
                    </a:ln>
                  </pic:spPr>
                </pic:pic>
              </a:graphicData>
            </a:graphic>
          </wp:inline>
        </w:drawing>
      </w:r>
      <w:r>
        <w:drawing>
          <wp:inline distT="0" distB="0" distL="114300" distR="114300">
            <wp:extent cx="3857625" cy="5248275"/>
            <wp:effectExtent l="0" t="0" r="9525" b="9525"/>
            <wp:docPr id="7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2"/>
                    <pic:cNvPicPr>
                      <a:picLocks noChangeAspect="1"/>
                    </pic:cNvPicPr>
                  </pic:nvPicPr>
                  <pic:blipFill>
                    <a:blip r:embed="rId39"/>
                    <a:stretch>
                      <a:fillRect/>
                    </a:stretch>
                  </pic:blipFill>
                  <pic:spPr>
                    <a:xfrm>
                      <a:off x="0" y="0"/>
                      <a:ext cx="3857625" cy="5248275"/>
                    </a:xfrm>
                    <a:prstGeom prst="rect">
                      <a:avLst/>
                    </a:prstGeom>
                    <a:noFill/>
                    <a:ln>
                      <a:noFill/>
                    </a:ln>
                  </pic:spPr>
                </pic:pic>
              </a:graphicData>
            </a:graphic>
          </wp:inline>
        </w:drawing>
      </w:r>
      <w:r>
        <w:drawing>
          <wp:inline distT="0" distB="0" distL="114300" distR="114300">
            <wp:extent cx="3819525" cy="5124450"/>
            <wp:effectExtent l="0" t="0" r="9525" b="0"/>
            <wp:docPr id="8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3"/>
                    <pic:cNvPicPr>
                      <a:picLocks noChangeAspect="1"/>
                    </pic:cNvPicPr>
                  </pic:nvPicPr>
                  <pic:blipFill>
                    <a:blip r:embed="rId40"/>
                    <a:stretch>
                      <a:fillRect/>
                    </a:stretch>
                  </pic:blipFill>
                  <pic:spPr>
                    <a:xfrm>
                      <a:off x="0" y="0"/>
                      <a:ext cx="3819525" cy="5124450"/>
                    </a:xfrm>
                    <a:prstGeom prst="rect">
                      <a:avLst/>
                    </a:prstGeom>
                    <a:noFill/>
                    <a:ln>
                      <a:noFill/>
                    </a:ln>
                  </pic:spPr>
                </pic:pic>
              </a:graphicData>
            </a:graphic>
          </wp:inline>
        </w:drawing>
      </w:r>
      <w:r>
        <w:drawing>
          <wp:inline distT="0" distB="0" distL="114300" distR="114300">
            <wp:extent cx="3781425" cy="5153025"/>
            <wp:effectExtent l="0" t="0" r="9525" b="9525"/>
            <wp:docPr id="8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4"/>
                    <pic:cNvPicPr>
                      <a:picLocks noChangeAspect="1"/>
                    </pic:cNvPicPr>
                  </pic:nvPicPr>
                  <pic:blipFill>
                    <a:blip r:embed="rId41"/>
                    <a:stretch>
                      <a:fillRect/>
                    </a:stretch>
                  </pic:blipFill>
                  <pic:spPr>
                    <a:xfrm>
                      <a:off x="0" y="0"/>
                      <a:ext cx="3781425" cy="5153025"/>
                    </a:xfrm>
                    <a:prstGeom prst="rect">
                      <a:avLst/>
                    </a:prstGeom>
                    <a:noFill/>
                    <a:ln>
                      <a:noFill/>
                    </a:ln>
                  </pic:spPr>
                </pic:pic>
              </a:graphicData>
            </a:graphic>
          </wp:inline>
        </w:drawing>
      </w:r>
      <w:r>
        <w:drawing>
          <wp:inline distT="0" distB="0" distL="114300" distR="114300">
            <wp:extent cx="3781425" cy="5162550"/>
            <wp:effectExtent l="0" t="0" r="9525" b="0"/>
            <wp:docPr id="8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5"/>
                    <pic:cNvPicPr>
                      <a:picLocks noChangeAspect="1"/>
                    </pic:cNvPicPr>
                  </pic:nvPicPr>
                  <pic:blipFill>
                    <a:blip r:embed="rId42"/>
                    <a:stretch>
                      <a:fillRect/>
                    </a:stretch>
                  </pic:blipFill>
                  <pic:spPr>
                    <a:xfrm>
                      <a:off x="0" y="0"/>
                      <a:ext cx="3781425" cy="5162550"/>
                    </a:xfrm>
                    <a:prstGeom prst="rect">
                      <a:avLst/>
                    </a:prstGeom>
                    <a:noFill/>
                    <a:ln>
                      <a:noFill/>
                    </a:ln>
                  </pic:spPr>
                </pic:pic>
              </a:graphicData>
            </a:graphic>
          </wp:inline>
        </w:drawing>
      </w:r>
      <w:r>
        <w:drawing>
          <wp:inline distT="0" distB="0" distL="114300" distR="114300">
            <wp:extent cx="3743325" cy="5200650"/>
            <wp:effectExtent l="0" t="0" r="9525" b="0"/>
            <wp:docPr id="8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6"/>
                    <pic:cNvPicPr>
                      <a:picLocks noChangeAspect="1"/>
                    </pic:cNvPicPr>
                  </pic:nvPicPr>
                  <pic:blipFill>
                    <a:blip r:embed="rId43"/>
                    <a:stretch>
                      <a:fillRect/>
                    </a:stretch>
                  </pic:blipFill>
                  <pic:spPr>
                    <a:xfrm>
                      <a:off x="0" y="0"/>
                      <a:ext cx="3743325" cy="5200650"/>
                    </a:xfrm>
                    <a:prstGeom prst="rect">
                      <a:avLst/>
                    </a:prstGeom>
                    <a:noFill/>
                    <a:ln>
                      <a:noFill/>
                    </a:ln>
                  </pic:spPr>
                </pic:pic>
              </a:graphicData>
            </a:graphic>
          </wp:inline>
        </w:drawing>
      </w:r>
      <w:r>
        <w:drawing>
          <wp:inline distT="0" distB="0" distL="114300" distR="114300">
            <wp:extent cx="3895725" cy="5133975"/>
            <wp:effectExtent l="0" t="0" r="9525" b="9525"/>
            <wp:docPr id="8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7"/>
                    <pic:cNvPicPr>
                      <a:picLocks noChangeAspect="1"/>
                    </pic:cNvPicPr>
                  </pic:nvPicPr>
                  <pic:blipFill>
                    <a:blip r:embed="rId44"/>
                    <a:stretch>
                      <a:fillRect/>
                    </a:stretch>
                  </pic:blipFill>
                  <pic:spPr>
                    <a:xfrm>
                      <a:off x="0" y="0"/>
                      <a:ext cx="3895725" cy="5133975"/>
                    </a:xfrm>
                    <a:prstGeom prst="rect">
                      <a:avLst/>
                    </a:prstGeom>
                    <a:noFill/>
                    <a:ln>
                      <a:noFill/>
                    </a:ln>
                  </pic:spPr>
                </pic:pic>
              </a:graphicData>
            </a:graphic>
          </wp:inline>
        </w:drawing>
      </w:r>
      <w:r>
        <w:drawing>
          <wp:inline distT="0" distB="0" distL="114300" distR="114300">
            <wp:extent cx="3867150" cy="5200650"/>
            <wp:effectExtent l="0" t="0" r="0" b="0"/>
            <wp:docPr id="8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8"/>
                    <pic:cNvPicPr>
                      <a:picLocks noChangeAspect="1"/>
                    </pic:cNvPicPr>
                  </pic:nvPicPr>
                  <pic:blipFill>
                    <a:blip r:embed="rId45"/>
                    <a:stretch>
                      <a:fillRect/>
                    </a:stretch>
                  </pic:blipFill>
                  <pic:spPr>
                    <a:xfrm>
                      <a:off x="0" y="0"/>
                      <a:ext cx="3867150" cy="5200650"/>
                    </a:xfrm>
                    <a:prstGeom prst="rect">
                      <a:avLst/>
                    </a:prstGeom>
                    <a:noFill/>
                    <a:ln>
                      <a:noFill/>
                    </a:ln>
                  </pic:spPr>
                </pic:pic>
              </a:graphicData>
            </a:graphic>
          </wp:inline>
        </w:drawing>
      </w:r>
      <w:r>
        <w:drawing>
          <wp:inline distT="0" distB="0" distL="114300" distR="114300">
            <wp:extent cx="3762375" cy="5362575"/>
            <wp:effectExtent l="0" t="0" r="9525" b="9525"/>
            <wp:docPr id="8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9"/>
                    <pic:cNvPicPr>
                      <a:picLocks noChangeAspect="1"/>
                    </pic:cNvPicPr>
                  </pic:nvPicPr>
                  <pic:blipFill>
                    <a:blip r:embed="rId46"/>
                    <a:stretch>
                      <a:fillRect/>
                    </a:stretch>
                  </pic:blipFill>
                  <pic:spPr>
                    <a:xfrm>
                      <a:off x="0" y="0"/>
                      <a:ext cx="3762375" cy="5362575"/>
                    </a:xfrm>
                    <a:prstGeom prst="rect">
                      <a:avLst/>
                    </a:prstGeom>
                    <a:noFill/>
                    <a:ln>
                      <a:noFill/>
                    </a:ln>
                  </pic:spPr>
                </pic:pic>
              </a:graphicData>
            </a:graphic>
          </wp:inline>
        </w:drawing>
      </w:r>
      <w:r>
        <w:drawing>
          <wp:inline distT="0" distB="0" distL="114300" distR="114300">
            <wp:extent cx="3857625" cy="5381625"/>
            <wp:effectExtent l="0" t="0" r="9525" b="9525"/>
            <wp:docPr id="8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0"/>
                    <pic:cNvPicPr>
                      <a:picLocks noChangeAspect="1"/>
                    </pic:cNvPicPr>
                  </pic:nvPicPr>
                  <pic:blipFill>
                    <a:blip r:embed="rId47"/>
                    <a:stretch>
                      <a:fillRect/>
                    </a:stretch>
                  </pic:blipFill>
                  <pic:spPr>
                    <a:xfrm>
                      <a:off x="0" y="0"/>
                      <a:ext cx="3857625" cy="5381625"/>
                    </a:xfrm>
                    <a:prstGeom prst="rect">
                      <a:avLst/>
                    </a:prstGeom>
                    <a:noFill/>
                    <a:ln>
                      <a:noFill/>
                    </a:ln>
                  </pic:spPr>
                </pic:pic>
              </a:graphicData>
            </a:graphic>
          </wp:inline>
        </w:drawing>
      </w:r>
      <w:bookmarkStart w:id="72" w:name="_GoBack"/>
      <w:bookmarkEnd w:id="72"/>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auto"/>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TimesNewRoman">
    <w:altName w:val="Times New Roman"/>
    <w:panose1 w:val="00000000000000000000"/>
    <w:charset w:val="00"/>
    <w:family w:val="roman"/>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4</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6F4C54"/>
    <w:multiLevelType w:val="multilevel"/>
    <w:tmpl w:val="136F4C54"/>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213F2EB1"/>
    <w:multiLevelType w:val="singleLevel"/>
    <w:tmpl w:val="213F2EB1"/>
    <w:lvl w:ilvl="0" w:tentative="0">
      <w:start w:val="1"/>
      <w:numFmt w:val="bullet"/>
      <w:lvlText w:val=""/>
      <w:lvlJc w:val="left"/>
      <w:pPr>
        <w:ind w:left="420" w:hanging="420"/>
      </w:pPr>
      <w:rPr>
        <w:rFonts w:hint="default" w:ascii="Wingdings" w:hAnsi="Wingdings"/>
      </w:rPr>
    </w:lvl>
  </w:abstractNum>
  <w:abstractNum w:abstractNumId="2">
    <w:nsid w:val="277B41E9"/>
    <w:multiLevelType w:val="multilevel"/>
    <w:tmpl w:val="277B41E9"/>
    <w:lvl w:ilvl="0" w:tentative="0">
      <w:start w:val="1"/>
      <w:numFmt w:val="decimal"/>
      <w:lvlText w:val="表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2A103B3"/>
    <w:multiLevelType w:val="multilevel"/>
    <w:tmpl w:val="32A103B3"/>
    <w:lvl w:ilvl="0" w:tentative="0">
      <w:start w:val="1"/>
      <w:numFmt w:val="decimal"/>
      <w:lvlText w:val="（%1）"/>
      <w:lvlJc w:val="left"/>
      <w:pPr>
        <w:ind w:left="0" w:firstLine="0"/>
      </w:pPr>
      <w:rPr>
        <w:rFonts w:hint="eastAsia"/>
      </w:rPr>
    </w:lvl>
    <w:lvl w:ilvl="1" w:tentative="0">
      <w:start w:val="1"/>
      <w:numFmt w:val="lowerLetter"/>
      <w:lvlText w:val="%2)"/>
      <w:lvlJc w:val="left"/>
      <w:pPr>
        <w:ind w:left="1266" w:hanging="420"/>
      </w:pPr>
      <w:rPr>
        <w:rFonts w:hint="eastAsia"/>
      </w:rPr>
    </w:lvl>
    <w:lvl w:ilvl="2" w:tentative="0">
      <w:start w:val="1"/>
      <w:numFmt w:val="lowerRoman"/>
      <w:lvlText w:val="%3."/>
      <w:lvlJc w:val="right"/>
      <w:pPr>
        <w:ind w:left="1686" w:hanging="420"/>
      </w:pPr>
      <w:rPr>
        <w:rFonts w:hint="eastAsia"/>
      </w:rPr>
    </w:lvl>
    <w:lvl w:ilvl="3" w:tentative="0">
      <w:start w:val="1"/>
      <w:numFmt w:val="decimal"/>
      <w:lvlText w:val="%4."/>
      <w:lvlJc w:val="left"/>
      <w:pPr>
        <w:ind w:left="2106" w:hanging="420"/>
      </w:pPr>
      <w:rPr>
        <w:rFonts w:hint="eastAsia"/>
      </w:rPr>
    </w:lvl>
    <w:lvl w:ilvl="4" w:tentative="0">
      <w:start w:val="1"/>
      <w:numFmt w:val="lowerLetter"/>
      <w:lvlText w:val="%5)"/>
      <w:lvlJc w:val="left"/>
      <w:pPr>
        <w:ind w:left="2526" w:hanging="420"/>
      </w:pPr>
      <w:rPr>
        <w:rFonts w:hint="eastAsia"/>
      </w:rPr>
    </w:lvl>
    <w:lvl w:ilvl="5" w:tentative="0">
      <w:start w:val="1"/>
      <w:numFmt w:val="lowerRoman"/>
      <w:lvlText w:val="%6."/>
      <w:lvlJc w:val="right"/>
      <w:pPr>
        <w:ind w:left="2946" w:hanging="420"/>
      </w:pPr>
      <w:rPr>
        <w:rFonts w:hint="eastAsia"/>
      </w:rPr>
    </w:lvl>
    <w:lvl w:ilvl="6" w:tentative="0">
      <w:start w:val="1"/>
      <w:numFmt w:val="decimal"/>
      <w:lvlText w:val="%7."/>
      <w:lvlJc w:val="left"/>
      <w:pPr>
        <w:ind w:left="3366" w:hanging="420"/>
      </w:pPr>
      <w:rPr>
        <w:rFonts w:hint="eastAsia"/>
      </w:rPr>
    </w:lvl>
    <w:lvl w:ilvl="7" w:tentative="0">
      <w:start w:val="1"/>
      <w:numFmt w:val="lowerLetter"/>
      <w:lvlText w:val="%8)"/>
      <w:lvlJc w:val="left"/>
      <w:pPr>
        <w:ind w:left="3786" w:hanging="420"/>
      </w:pPr>
      <w:rPr>
        <w:rFonts w:hint="eastAsia"/>
      </w:rPr>
    </w:lvl>
    <w:lvl w:ilvl="8" w:tentative="0">
      <w:start w:val="1"/>
      <w:numFmt w:val="lowerRoman"/>
      <w:lvlText w:val="%9."/>
      <w:lvlJc w:val="right"/>
      <w:pPr>
        <w:ind w:left="4206" w:hanging="420"/>
      </w:pPr>
      <w:rPr>
        <w:rFonts w:hint="eastAsia"/>
      </w:rPr>
    </w:lvl>
  </w:abstractNum>
  <w:abstractNum w:abstractNumId="4">
    <w:nsid w:val="3AD24405"/>
    <w:multiLevelType w:val="multilevel"/>
    <w:tmpl w:val="3AD24405"/>
    <w:lvl w:ilvl="0" w:tentative="0">
      <w:start w:val="1"/>
      <w:numFmt w:val="decimal"/>
      <w:lvlText w:val="表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C0B3893"/>
    <w:multiLevelType w:val="multilevel"/>
    <w:tmpl w:val="3C0B3893"/>
    <w:lvl w:ilvl="0" w:tentative="0">
      <w:start w:val="1"/>
      <w:numFmt w:val="decimal"/>
      <w:lvlText w:val="图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2CE26CD"/>
    <w:multiLevelType w:val="multilevel"/>
    <w:tmpl w:val="42CE26CD"/>
    <w:lvl w:ilvl="0" w:tentative="0">
      <w:start w:val="1"/>
      <w:numFmt w:val="chineseCounting"/>
      <w:lvlText w:val="第%1章  "/>
      <w:lvlJc w:val="left"/>
      <w:pPr>
        <w:ind w:left="6103" w:hanging="432"/>
      </w:pPr>
      <w:rPr>
        <w:rFonts w:hint="eastAsia" w:ascii="宋体" w:hAnsi="宋体" w:eastAsia="宋体" w:cs="宋体"/>
        <w:b/>
        <w:color w:val="auto"/>
        <w:lang w:val="en-US"/>
      </w:rPr>
    </w:lvl>
    <w:lvl w:ilvl="1" w:tentative="0">
      <w:start w:val="1"/>
      <w:numFmt w:val="decimal"/>
      <w:isLgl/>
      <w:lvlText w:val="%1.%2 "/>
      <w:lvlJc w:val="left"/>
      <w:pPr>
        <w:ind w:left="1001" w:hanging="575"/>
      </w:pPr>
      <w:rPr>
        <w:rFonts w:hint="eastAsia" w:ascii="Times New Roman" w:hAnsi="Times New Roman" w:eastAsia="宋体" w:cs="宋体"/>
      </w:rPr>
    </w:lvl>
    <w:lvl w:ilvl="2" w:tentative="0">
      <w:start w:val="1"/>
      <w:numFmt w:val="decimal"/>
      <w:pStyle w:val="4"/>
      <w:isLgl/>
      <w:lvlText w:val="%1.%2.%3 "/>
      <w:lvlJc w:val="left"/>
      <w:pPr>
        <w:ind w:left="720" w:hanging="720"/>
      </w:pPr>
      <w:rPr>
        <w:rFonts w:hint="eastAsia"/>
      </w:rPr>
    </w:lvl>
    <w:lvl w:ilvl="3" w:tentative="0">
      <w:start w:val="1"/>
      <w:numFmt w:val="decimal"/>
      <w:isLgl/>
      <w:lvlText w:val="%1.%2.%3.%4"/>
      <w:lvlJc w:val="left"/>
      <w:pPr>
        <w:ind w:left="1999" w:hanging="864"/>
      </w:pPr>
      <w:rPr>
        <w:rFonts w:hint="eastAsia" w:ascii="宋体" w:hAnsi="宋体" w:eastAsia="宋体" w:cs="宋体"/>
      </w:rPr>
    </w:lvl>
    <w:lvl w:ilvl="4" w:tentative="0">
      <w:start w:val="1"/>
      <w:numFmt w:val="decimal"/>
      <w:lvlText w:val="%1.%2.%3.%4.%5."/>
      <w:lvlJc w:val="left"/>
      <w:pPr>
        <w:ind w:left="2143" w:hanging="1008"/>
      </w:pPr>
      <w:rPr>
        <w:rFonts w:hint="eastAsia"/>
      </w:rPr>
    </w:lvl>
    <w:lvl w:ilvl="5" w:tentative="0">
      <w:start w:val="1"/>
      <w:numFmt w:val="decimal"/>
      <w:lvlText w:val="%1.%2.%3.%4.%5.%6."/>
      <w:lvlJc w:val="left"/>
      <w:pPr>
        <w:ind w:left="2286" w:hanging="1151"/>
      </w:pPr>
      <w:rPr>
        <w:rFonts w:hint="eastAsia"/>
      </w:rPr>
    </w:lvl>
    <w:lvl w:ilvl="6" w:tentative="0">
      <w:start w:val="1"/>
      <w:numFmt w:val="decimal"/>
      <w:lvlText w:val="%1.%2.%3.%4.%5.%6.%7."/>
      <w:lvlJc w:val="left"/>
      <w:pPr>
        <w:ind w:left="2431" w:hanging="1296"/>
      </w:pPr>
      <w:rPr>
        <w:rFonts w:hint="eastAsia"/>
      </w:rPr>
    </w:lvl>
    <w:lvl w:ilvl="7" w:tentative="0">
      <w:start w:val="1"/>
      <w:numFmt w:val="decimal"/>
      <w:lvlText w:val="%1.%2.%3.%4.%5.%6.%7.%8."/>
      <w:lvlJc w:val="left"/>
      <w:pPr>
        <w:ind w:left="2575" w:hanging="1440"/>
      </w:pPr>
      <w:rPr>
        <w:rFonts w:hint="eastAsia"/>
      </w:rPr>
    </w:lvl>
    <w:lvl w:ilvl="8" w:tentative="0">
      <w:start w:val="1"/>
      <w:numFmt w:val="decimal"/>
      <w:lvlText w:val="%1.%2.%3.%4.%5.%6.%7.%8.%9."/>
      <w:lvlJc w:val="left"/>
      <w:pPr>
        <w:ind w:left="2718" w:hanging="1583"/>
      </w:pPr>
      <w:rPr>
        <w:rFonts w:hint="eastAsia"/>
      </w:rPr>
    </w:lvl>
  </w:abstractNum>
  <w:abstractNum w:abstractNumId="7">
    <w:nsid w:val="4E887B7A"/>
    <w:multiLevelType w:val="multilevel"/>
    <w:tmpl w:val="4E887B7A"/>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635A3D8D"/>
    <w:multiLevelType w:val="multilevel"/>
    <w:tmpl w:val="635A3D8D"/>
    <w:lvl w:ilvl="0" w:tentative="0">
      <w:start w:val="1"/>
      <w:numFmt w:val="decimal"/>
      <w:lvlText w:val="表3-%1"/>
      <w:lvlJc w:val="left"/>
      <w:pPr>
        <w:ind w:left="420" w:hanging="420"/>
      </w:pPr>
      <w:rPr>
        <w:rFonts w:hint="eastAsia"/>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35F0F6F"/>
    <w:multiLevelType w:val="multilevel"/>
    <w:tmpl w:val="635F0F6F"/>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0">
    <w:nsid w:val="6682473B"/>
    <w:multiLevelType w:val="multilevel"/>
    <w:tmpl w:val="6682473B"/>
    <w:lvl w:ilvl="0" w:tentative="0">
      <w:start w:val="1"/>
      <w:numFmt w:val="decimal"/>
      <w:lvlText w:val="表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6A853555"/>
    <w:multiLevelType w:val="multilevel"/>
    <w:tmpl w:val="6A853555"/>
    <w:lvl w:ilvl="0" w:tentative="0">
      <w:start w:val="1"/>
      <w:numFmt w:val="decimal"/>
      <w:lvlText w:val="图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9"/>
  </w:num>
  <w:num w:numId="3">
    <w:abstractNumId w:val="1"/>
  </w:num>
  <w:num w:numId="4">
    <w:abstractNumId w:val="3"/>
  </w:num>
  <w:num w:numId="5">
    <w:abstractNumId w:val="0"/>
  </w:num>
  <w:num w:numId="6">
    <w:abstractNumId w:val="7"/>
  </w:num>
  <w:num w:numId="7">
    <w:abstractNumId w:val="2"/>
  </w:num>
  <w:num w:numId="8">
    <w:abstractNumId w:val="5"/>
  </w:num>
  <w:num w:numId="9">
    <w:abstractNumId w:val="8"/>
  </w:num>
  <w:num w:numId="10">
    <w:abstractNumId w:val="11"/>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6C483D"/>
    <w:rsid w:val="0000550F"/>
    <w:rsid w:val="00011BFB"/>
    <w:rsid w:val="00016D69"/>
    <w:rsid w:val="00031EA0"/>
    <w:rsid w:val="0003359D"/>
    <w:rsid w:val="00035163"/>
    <w:rsid w:val="0003774D"/>
    <w:rsid w:val="000407C9"/>
    <w:rsid w:val="00051579"/>
    <w:rsid w:val="000525C3"/>
    <w:rsid w:val="000546E8"/>
    <w:rsid w:val="00063FBC"/>
    <w:rsid w:val="0007049E"/>
    <w:rsid w:val="0007433E"/>
    <w:rsid w:val="00075624"/>
    <w:rsid w:val="00086D50"/>
    <w:rsid w:val="000876C4"/>
    <w:rsid w:val="00087EA2"/>
    <w:rsid w:val="000965FD"/>
    <w:rsid w:val="000A1BD1"/>
    <w:rsid w:val="000C5A0F"/>
    <w:rsid w:val="000C5CCB"/>
    <w:rsid w:val="000D09B7"/>
    <w:rsid w:val="000D28AF"/>
    <w:rsid w:val="000E58A8"/>
    <w:rsid w:val="000F4714"/>
    <w:rsid w:val="000F656E"/>
    <w:rsid w:val="000F7619"/>
    <w:rsid w:val="00102EE9"/>
    <w:rsid w:val="001050D3"/>
    <w:rsid w:val="0010784B"/>
    <w:rsid w:val="001208E3"/>
    <w:rsid w:val="00136481"/>
    <w:rsid w:val="00154FB4"/>
    <w:rsid w:val="00155327"/>
    <w:rsid w:val="00155F32"/>
    <w:rsid w:val="001562A4"/>
    <w:rsid w:val="00157D4A"/>
    <w:rsid w:val="001638F0"/>
    <w:rsid w:val="00181047"/>
    <w:rsid w:val="00181D64"/>
    <w:rsid w:val="00187F90"/>
    <w:rsid w:val="001936F7"/>
    <w:rsid w:val="001A087B"/>
    <w:rsid w:val="001B5ECA"/>
    <w:rsid w:val="001C668E"/>
    <w:rsid w:val="001D4EAB"/>
    <w:rsid w:val="001F21DF"/>
    <w:rsid w:val="00210F1E"/>
    <w:rsid w:val="002167A7"/>
    <w:rsid w:val="002214F8"/>
    <w:rsid w:val="00233FC1"/>
    <w:rsid w:val="0024666D"/>
    <w:rsid w:val="00267231"/>
    <w:rsid w:val="00273ABC"/>
    <w:rsid w:val="00276234"/>
    <w:rsid w:val="00284F11"/>
    <w:rsid w:val="00287A8E"/>
    <w:rsid w:val="00293E40"/>
    <w:rsid w:val="00293F5D"/>
    <w:rsid w:val="002B2FBC"/>
    <w:rsid w:val="002C4CBF"/>
    <w:rsid w:val="002D34E3"/>
    <w:rsid w:val="002D7D49"/>
    <w:rsid w:val="002D7DE5"/>
    <w:rsid w:val="002E0C18"/>
    <w:rsid w:val="002E46AD"/>
    <w:rsid w:val="002E68A4"/>
    <w:rsid w:val="002E7639"/>
    <w:rsid w:val="002F5D6A"/>
    <w:rsid w:val="003101A6"/>
    <w:rsid w:val="00313A0F"/>
    <w:rsid w:val="00320E46"/>
    <w:rsid w:val="00322A69"/>
    <w:rsid w:val="00331B7D"/>
    <w:rsid w:val="00332DD3"/>
    <w:rsid w:val="003334C7"/>
    <w:rsid w:val="00343268"/>
    <w:rsid w:val="00352839"/>
    <w:rsid w:val="00352FEA"/>
    <w:rsid w:val="00353A3B"/>
    <w:rsid w:val="0035574C"/>
    <w:rsid w:val="0035648F"/>
    <w:rsid w:val="0036171D"/>
    <w:rsid w:val="003654A8"/>
    <w:rsid w:val="003654BF"/>
    <w:rsid w:val="0037010C"/>
    <w:rsid w:val="00371EAD"/>
    <w:rsid w:val="00372273"/>
    <w:rsid w:val="003814C1"/>
    <w:rsid w:val="00394EF7"/>
    <w:rsid w:val="00395BDB"/>
    <w:rsid w:val="003A1000"/>
    <w:rsid w:val="003A3AE3"/>
    <w:rsid w:val="003C19F7"/>
    <w:rsid w:val="003C3DC1"/>
    <w:rsid w:val="003D266F"/>
    <w:rsid w:val="003D56C8"/>
    <w:rsid w:val="003E5973"/>
    <w:rsid w:val="003F3612"/>
    <w:rsid w:val="00406BC8"/>
    <w:rsid w:val="00414840"/>
    <w:rsid w:val="00416C62"/>
    <w:rsid w:val="00417F12"/>
    <w:rsid w:val="00423B9A"/>
    <w:rsid w:val="00434E5A"/>
    <w:rsid w:val="00445753"/>
    <w:rsid w:val="00447091"/>
    <w:rsid w:val="00447440"/>
    <w:rsid w:val="00452C0E"/>
    <w:rsid w:val="00467AFE"/>
    <w:rsid w:val="004801F0"/>
    <w:rsid w:val="00486F83"/>
    <w:rsid w:val="00494F8C"/>
    <w:rsid w:val="004A04E4"/>
    <w:rsid w:val="004A09BB"/>
    <w:rsid w:val="004A750E"/>
    <w:rsid w:val="004B174B"/>
    <w:rsid w:val="004B51D8"/>
    <w:rsid w:val="004B5B55"/>
    <w:rsid w:val="004D23A5"/>
    <w:rsid w:val="004D28B2"/>
    <w:rsid w:val="004F24B8"/>
    <w:rsid w:val="00500D93"/>
    <w:rsid w:val="00520C53"/>
    <w:rsid w:val="00520E23"/>
    <w:rsid w:val="00522B84"/>
    <w:rsid w:val="00526660"/>
    <w:rsid w:val="00531038"/>
    <w:rsid w:val="0054234E"/>
    <w:rsid w:val="00547B7F"/>
    <w:rsid w:val="00551753"/>
    <w:rsid w:val="005524B8"/>
    <w:rsid w:val="00553B6B"/>
    <w:rsid w:val="005605E1"/>
    <w:rsid w:val="0057704F"/>
    <w:rsid w:val="0058763F"/>
    <w:rsid w:val="00592A46"/>
    <w:rsid w:val="005C4762"/>
    <w:rsid w:val="005D1067"/>
    <w:rsid w:val="005D3786"/>
    <w:rsid w:val="005D4D4B"/>
    <w:rsid w:val="005D5FBF"/>
    <w:rsid w:val="005D6DCC"/>
    <w:rsid w:val="005E4AAA"/>
    <w:rsid w:val="005F13DA"/>
    <w:rsid w:val="005F235A"/>
    <w:rsid w:val="005F2520"/>
    <w:rsid w:val="005F31B5"/>
    <w:rsid w:val="005F53C8"/>
    <w:rsid w:val="005F7B50"/>
    <w:rsid w:val="00611504"/>
    <w:rsid w:val="0062105B"/>
    <w:rsid w:val="00622D4B"/>
    <w:rsid w:val="0063288F"/>
    <w:rsid w:val="0064595A"/>
    <w:rsid w:val="00645E27"/>
    <w:rsid w:val="00646A94"/>
    <w:rsid w:val="00646BD6"/>
    <w:rsid w:val="0064722C"/>
    <w:rsid w:val="00653C9A"/>
    <w:rsid w:val="00656EF5"/>
    <w:rsid w:val="0066217B"/>
    <w:rsid w:val="0066653D"/>
    <w:rsid w:val="006757CB"/>
    <w:rsid w:val="0068039B"/>
    <w:rsid w:val="0068752A"/>
    <w:rsid w:val="006A02FD"/>
    <w:rsid w:val="006A16E5"/>
    <w:rsid w:val="006A618A"/>
    <w:rsid w:val="006A6800"/>
    <w:rsid w:val="006B24C9"/>
    <w:rsid w:val="006C51FE"/>
    <w:rsid w:val="006D7656"/>
    <w:rsid w:val="006F2340"/>
    <w:rsid w:val="006F787B"/>
    <w:rsid w:val="007017E1"/>
    <w:rsid w:val="00706E59"/>
    <w:rsid w:val="00722248"/>
    <w:rsid w:val="00724836"/>
    <w:rsid w:val="00733092"/>
    <w:rsid w:val="00736784"/>
    <w:rsid w:val="00746F9E"/>
    <w:rsid w:val="00753482"/>
    <w:rsid w:val="00754EB7"/>
    <w:rsid w:val="00761E24"/>
    <w:rsid w:val="007672B8"/>
    <w:rsid w:val="00774197"/>
    <w:rsid w:val="00780D0E"/>
    <w:rsid w:val="00790D8B"/>
    <w:rsid w:val="007A6DBA"/>
    <w:rsid w:val="007B5DA1"/>
    <w:rsid w:val="007B749A"/>
    <w:rsid w:val="007C08AB"/>
    <w:rsid w:val="007D5053"/>
    <w:rsid w:val="007E2455"/>
    <w:rsid w:val="007F3FA0"/>
    <w:rsid w:val="008012B7"/>
    <w:rsid w:val="0081113C"/>
    <w:rsid w:val="0083204C"/>
    <w:rsid w:val="008425EA"/>
    <w:rsid w:val="00860C4C"/>
    <w:rsid w:val="0087316C"/>
    <w:rsid w:val="00874DDC"/>
    <w:rsid w:val="00876263"/>
    <w:rsid w:val="008767A2"/>
    <w:rsid w:val="00886BED"/>
    <w:rsid w:val="00893C59"/>
    <w:rsid w:val="008A37F3"/>
    <w:rsid w:val="008B00D7"/>
    <w:rsid w:val="008C2CD8"/>
    <w:rsid w:val="008C6884"/>
    <w:rsid w:val="008D258E"/>
    <w:rsid w:val="008D7CAF"/>
    <w:rsid w:val="00914DB2"/>
    <w:rsid w:val="00921568"/>
    <w:rsid w:val="009238FF"/>
    <w:rsid w:val="0092468D"/>
    <w:rsid w:val="00943417"/>
    <w:rsid w:val="009509C2"/>
    <w:rsid w:val="009635A3"/>
    <w:rsid w:val="00964C68"/>
    <w:rsid w:val="00990A55"/>
    <w:rsid w:val="009947FE"/>
    <w:rsid w:val="00997BA3"/>
    <w:rsid w:val="009B0C8A"/>
    <w:rsid w:val="009B11A9"/>
    <w:rsid w:val="009B2FD8"/>
    <w:rsid w:val="009B380A"/>
    <w:rsid w:val="009C246F"/>
    <w:rsid w:val="009C383A"/>
    <w:rsid w:val="009C4C51"/>
    <w:rsid w:val="009D0C7E"/>
    <w:rsid w:val="009D5625"/>
    <w:rsid w:val="009E0174"/>
    <w:rsid w:val="00A001F7"/>
    <w:rsid w:val="00A04C2D"/>
    <w:rsid w:val="00A11DB5"/>
    <w:rsid w:val="00A22E03"/>
    <w:rsid w:val="00A33393"/>
    <w:rsid w:val="00A33601"/>
    <w:rsid w:val="00A35AAA"/>
    <w:rsid w:val="00A41CDC"/>
    <w:rsid w:val="00A52AF2"/>
    <w:rsid w:val="00A5493D"/>
    <w:rsid w:val="00A668F6"/>
    <w:rsid w:val="00A717FE"/>
    <w:rsid w:val="00A72D67"/>
    <w:rsid w:val="00A83C55"/>
    <w:rsid w:val="00A84FEF"/>
    <w:rsid w:val="00A944BF"/>
    <w:rsid w:val="00AB7099"/>
    <w:rsid w:val="00AC2AD3"/>
    <w:rsid w:val="00AD4FB4"/>
    <w:rsid w:val="00AD6BA3"/>
    <w:rsid w:val="00AE1109"/>
    <w:rsid w:val="00AE59A8"/>
    <w:rsid w:val="00AF02F7"/>
    <w:rsid w:val="00AF5A42"/>
    <w:rsid w:val="00B13580"/>
    <w:rsid w:val="00B21A66"/>
    <w:rsid w:val="00B22536"/>
    <w:rsid w:val="00B330D5"/>
    <w:rsid w:val="00B4367B"/>
    <w:rsid w:val="00B50179"/>
    <w:rsid w:val="00B6037D"/>
    <w:rsid w:val="00B63040"/>
    <w:rsid w:val="00B67E64"/>
    <w:rsid w:val="00B73A40"/>
    <w:rsid w:val="00B770F8"/>
    <w:rsid w:val="00B860A5"/>
    <w:rsid w:val="00B918E3"/>
    <w:rsid w:val="00B94716"/>
    <w:rsid w:val="00BB03CD"/>
    <w:rsid w:val="00BB187B"/>
    <w:rsid w:val="00BB23C2"/>
    <w:rsid w:val="00BC4A5B"/>
    <w:rsid w:val="00BE25F3"/>
    <w:rsid w:val="00BF648F"/>
    <w:rsid w:val="00BF6EC2"/>
    <w:rsid w:val="00BF7969"/>
    <w:rsid w:val="00C06F02"/>
    <w:rsid w:val="00C16A2D"/>
    <w:rsid w:val="00C30238"/>
    <w:rsid w:val="00C32F06"/>
    <w:rsid w:val="00C36264"/>
    <w:rsid w:val="00C437AA"/>
    <w:rsid w:val="00C515A2"/>
    <w:rsid w:val="00C823FB"/>
    <w:rsid w:val="00C84EDE"/>
    <w:rsid w:val="00C8662E"/>
    <w:rsid w:val="00C93E59"/>
    <w:rsid w:val="00C97A9B"/>
    <w:rsid w:val="00CA7833"/>
    <w:rsid w:val="00CB01E4"/>
    <w:rsid w:val="00CB579E"/>
    <w:rsid w:val="00CC65AC"/>
    <w:rsid w:val="00CD430F"/>
    <w:rsid w:val="00CE2EB0"/>
    <w:rsid w:val="00CE77E3"/>
    <w:rsid w:val="00CF6EA5"/>
    <w:rsid w:val="00D055B9"/>
    <w:rsid w:val="00D13646"/>
    <w:rsid w:val="00D17452"/>
    <w:rsid w:val="00D17E5D"/>
    <w:rsid w:val="00D17E7D"/>
    <w:rsid w:val="00D2195C"/>
    <w:rsid w:val="00D313CF"/>
    <w:rsid w:val="00D32AC9"/>
    <w:rsid w:val="00D435DE"/>
    <w:rsid w:val="00D54F99"/>
    <w:rsid w:val="00D56C15"/>
    <w:rsid w:val="00D71259"/>
    <w:rsid w:val="00D74912"/>
    <w:rsid w:val="00D90BB5"/>
    <w:rsid w:val="00D931F5"/>
    <w:rsid w:val="00DB1798"/>
    <w:rsid w:val="00DC6454"/>
    <w:rsid w:val="00DF2D44"/>
    <w:rsid w:val="00E047EC"/>
    <w:rsid w:val="00E07BD9"/>
    <w:rsid w:val="00E1352D"/>
    <w:rsid w:val="00E13544"/>
    <w:rsid w:val="00E25530"/>
    <w:rsid w:val="00E26984"/>
    <w:rsid w:val="00E53C8D"/>
    <w:rsid w:val="00E54745"/>
    <w:rsid w:val="00E70491"/>
    <w:rsid w:val="00E72C1C"/>
    <w:rsid w:val="00E747E4"/>
    <w:rsid w:val="00E75850"/>
    <w:rsid w:val="00E96463"/>
    <w:rsid w:val="00EA155A"/>
    <w:rsid w:val="00EA2C10"/>
    <w:rsid w:val="00EA47E1"/>
    <w:rsid w:val="00EB251E"/>
    <w:rsid w:val="00EB682B"/>
    <w:rsid w:val="00EB7B51"/>
    <w:rsid w:val="00EB7C5F"/>
    <w:rsid w:val="00EC23FE"/>
    <w:rsid w:val="00EC4BD8"/>
    <w:rsid w:val="00ED2E86"/>
    <w:rsid w:val="00EE2330"/>
    <w:rsid w:val="00EF778A"/>
    <w:rsid w:val="00EF7BBB"/>
    <w:rsid w:val="00F06B3D"/>
    <w:rsid w:val="00F14142"/>
    <w:rsid w:val="00F32088"/>
    <w:rsid w:val="00F36EAB"/>
    <w:rsid w:val="00F501E4"/>
    <w:rsid w:val="00F53C13"/>
    <w:rsid w:val="00F54D09"/>
    <w:rsid w:val="00F65E97"/>
    <w:rsid w:val="00F6627C"/>
    <w:rsid w:val="00F70040"/>
    <w:rsid w:val="00F81487"/>
    <w:rsid w:val="00F85E49"/>
    <w:rsid w:val="00F86E0E"/>
    <w:rsid w:val="00F91975"/>
    <w:rsid w:val="00F94014"/>
    <w:rsid w:val="00FA1DC5"/>
    <w:rsid w:val="00FA5D2E"/>
    <w:rsid w:val="00FA7532"/>
    <w:rsid w:val="00FB7445"/>
    <w:rsid w:val="00FC245C"/>
    <w:rsid w:val="00FC24BA"/>
    <w:rsid w:val="00FD3B07"/>
    <w:rsid w:val="00FD4C72"/>
    <w:rsid w:val="00FD6448"/>
    <w:rsid w:val="00FE1322"/>
    <w:rsid w:val="00FE2FD5"/>
    <w:rsid w:val="04CF0965"/>
    <w:rsid w:val="08A970C5"/>
    <w:rsid w:val="09FB1CED"/>
    <w:rsid w:val="0CA44BA0"/>
    <w:rsid w:val="0D483EEE"/>
    <w:rsid w:val="0E8E3E96"/>
    <w:rsid w:val="101007D3"/>
    <w:rsid w:val="11152079"/>
    <w:rsid w:val="127D36BB"/>
    <w:rsid w:val="13C54331"/>
    <w:rsid w:val="145A660D"/>
    <w:rsid w:val="14E64905"/>
    <w:rsid w:val="14F847D0"/>
    <w:rsid w:val="17722D17"/>
    <w:rsid w:val="1A74729C"/>
    <w:rsid w:val="1A8F75CB"/>
    <w:rsid w:val="228D0095"/>
    <w:rsid w:val="229B6D5B"/>
    <w:rsid w:val="23BE31E6"/>
    <w:rsid w:val="246F6EDD"/>
    <w:rsid w:val="250220A6"/>
    <w:rsid w:val="26AA6F9A"/>
    <w:rsid w:val="292B2A1A"/>
    <w:rsid w:val="2AE33BFB"/>
    <w:rsid w:val="2C02269F"/>
    <w:rsid w:val="2DAC40E5"/>
    <w:rsid w:val="305A2936"/>
    <w:rsid w:val="32013ED9"/>
    <w:rsid w:val="33DE4967"/>
    <w:rsid w:val="363C4741"/>
    <w:rsid w:val="37936C3E"/>
    <w:rsid w:val="397B59C0"/>
    <w:rsid w:val="3B604198"/>
    <w:rsid w:val="3BBB4CC2"/>
    <w:rsid w:val="3C8231BA"/>
    <w:rsid w:val="45292FC6"/>
    <w:rsid w:val="463C4DBD"/>
    <w:rsid w:val="46A40FCA"/>
    <w:rsid w:val="4B266A99"/>
    <w:rsid w:val="4C195321"/>
    <w:rsid w:val="518F5653"/>
    <w:rsid w:val="54C04398"/>
    <w:rsid w:val="556D51D0"/>
    <w:rsid w:val="56DC5AE1"/>
    <w:rsid w:val="570C3809"/>
    <w:rsid w:val="5AFF159D"/>
    <w:rsid w:val="5B1C4CCA"/>
    <w:rsid w:val="5BD51719"/>
    <w:rsid w:val="5E2C7802"/>
    <w:rsid w:val="5EA42916"/>
    <w:rsid w:val="5F2D682C"/>
    <w:rsid w:val="625810DB"/>
    <w:rsid w:val="63D56568"/>
    <w:rsid w:val="66266530"/>
    <w:rsid w:val="66D6442D"/>
    <w:rsid w:val="69DD5D1E"/>
    <w:rsid w:val="6C183A56"/>
    <w:rsid w:val="6C204284"/>
    <w:rsid w:val="6DDE383D"/>
    <w:rsid w:val="73B2006D"/>
    <w:rsid w:val="75BA57E6"/>
    <w:rsid w:val="76567C13"/>
    <w:rsid w:val="771849CB"/>
    <w:rsid w:val="77616B6B"/>
    <w:rsid w:val="799D6911"/>
    <w:rsid w:val="7A1C54B2"/>
    <w:rsid w:val="7A6C483D"/>
    <w:rsid w:val="7CD164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link w:val="40"/>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5"/>
    <w:semiHidden/>
    <w:unhideWhenUsed/>
    <w:qFormat/>
    <w:uiPriority w:val="0"/>
    <w:pPr>
      <w:keepNext/>
      <w:keepLines/>
      <w:numPr>
        <w:ilvl w:val="2"/>
        <w:numId w:val="1"/>
      </w:numPr>
      <w:spacing w:before="240" w:after="120"/>
      <w:outlineLvl w:val="2"/>
    </w:pPr>
    <w:rPr>
      <w:rFonts w:ascii="Times New Roman" w:hAnsi="Times New Roman" w:eastAsia="黑体"/>
      <w:bCs/>
      <w:sz w:val="28"/>
      <w:szCs w:val="32"/>
    </w:rPr>
  </w:style>
  <w:style w:type="paragraph" w:styleId="6">
    <w:name w:val="heading 5"/>
    <w:basedOn w:val="1"/>
    <w:next w:val="1"/>
    <w:link w:val="22"/>
    <w:semiHidden/>
    <w:unhideWhenUsed/>
    <w:qFormat/>
    <w:uiPriority w:val="0"/>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2">
    <w:name w:val="Body Text"/>
    <w:basedOn w:val="1"/>
    <w:next w:val="1"/>
    <w:link w:val="33"/>
    <w:qFormat/>
    <w:uiPriority w:val="99"/>
    <w:pPr>
      <w:autoSpaceDE w:val="0"/>
      <w:autoSpaceDN w:val="0"/>
      <w:adjustRightInd w:val="0"/>
      <w:spacing w:line="360" w:lineRule="atLeast"/>
      <w:jc w:val="left"/>
      <w:textAlignment w:val="baseline"/>
    </w:pPr>
    <w:rPr>
      <w:rFonts w:ascii="Times New Roman" w:hAnsi="Times New Roman"/>
      <w:color w:val="000000"/>
      <w:kern w:val="0"/>
      <w:szCs w:val="20"/>
    </w:rPr>
  </w:style>
  <w:style w:type="paragraph" w:customStyle="1" w:styleId="5">
    <w:name w:val="报告"/>
    <w:basedOn w:val="1"/>
    <w:link w:val="38"/>
    <w:qFormat/>
    <w:uiPriority w:val="0"/>
    <w:pPr>
      <w:adjustRightInd w:val="0"/>
      <w:ind w:firstLine="505"/>
      <w:textAlignment w:val="center"/>
    </w:pPr>
    <w:rPr>
      <w:rFonts w:ascii="TimesNewRoman" w:hAnsi="TimesNewRoman"/>
    </w:rPr>
  </w:style>
  <w:style w:type="paragraph" w:styleId="7">
    <w:name w:val="annotation text"/>
    <w:basedOn w:val="1"/>
    <w:qFormat/>
    <w:uiPriority w:val="0"/>
    <w:pPr>
      <w:jc w:val="left"/>
    </w:pPr>
  </w:style>
  <w:style w:type="paragraph" w:styleId="8">
    <w:name w:val="toc 3"/>
    <w:basedOn w:val="1"/>
    <w:next w:val="1"/>
    <w:qFormat/>
    <w:uiPriority w:val="39"/>
    <w:pPr>
      <w:ind w:left="840" w:leftChars="400"/>
    </w:pPr>
  </w:style>
  <w:style w:type="paragraph" w:styleId="9">
    <w:name w:val="Body Text Indent 2"/>
    <w:basedOn w:val="1"/>
    <w:link w:val="44"/>
    <w:qFormat/>
    <w:uiPriority w:val="0"/>
    <w:pPr>
      <w:spacing w:after="120" w:line="480" w:lineRule="auto"/>
      <w:ind w:left="420" w:leftChars="200"/>
    </w:pPr>
  </w:style>
  <w:style w:type="paragraph" w:styleId="10">
    <w:name w:val="Balloon Text"/>
    <w:basedOn w:val="1"/>
    <w:link w:val="31"/>
    <w:qFormat/>
    <w:uiPriority w:val="0"/>
    <w:rPr>
      <w:sz w:val="18"/>
      <w:szCs w:val="18"/>
    </w:rPr>
  </w:style>
  <w:style w:type="paragraph" w:styleId="11">
    <w:name w:val="footer"/>
    <w:basedOn w:val="1"/>
    <w:link w:val="21"/>
    <w:qFormat/>
    <w:uiPriority w:val="99"/>
    <w:pPr>
      <w:tabs>
        <w:tab w:val="center" w:pos="4153"/>
        <w:tab w:val="right" w:pos="8306"/>
      </w:tabs>
      <w:snapToGrid w:val="0"/>
    </w:pPr>
    <w:rPr>
      <w:rFonts w:ascii="Times New Roman" w:hAnsi="Times New Roman" w:eastAsia="宋体"/>
      <w:sz w:val="18"/>
      <w:szCs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39"/>
  </w:style>
  <w:style w:type="paragraph" w:styleId="14">
    <w:name w:val="toc 2"/>
    <w:basedOn w:val="1"/>
    <w:next w:val="1"/>
    <w:qFormat/>
    <w:uiPriority w:val="39"/>
    <w:pPr>
      <w:ind w:left="420" w:leftChars="200"/>
    </w:pPr>
  </w:style>
  <w:style w:type="table" w:styleId="16">
    <w:name w:val="Table Grid"/>
    <w:basedOn w:val="1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FollowedHyperlink"/>
    <w:basedOn w:val="17"/>
    <w:qFormat/>
    <w:uiPriority w:val="0"/>
    <w:rPr>
      <w:rFonts w:hint="eastAsia" w:ascii="宋体" w:hAnsi="宋体" w:eastAsia="宋体" w:cs="宋体"/>
      <w:color w:val="333333"/>
      <w:sz w:val="18"/>
      <w:szCs w:val="18"/>
      <w:u w:val="none"/>
    </w:rPr>
  </w:style>
  <w:style w:type="character" w:styleId="19">
    <w:name w:val="Hyperlink"/>
    <w:basedOn w:val="17"/>
    <w:qFormat/>
    <w:uiPriority w:val="99"/>
    <w:rPr>
      <w:rFonts w:hint="eastAsia" w:ascii="宋体" w:hAnsi="宋体" w:eastAsia="宋体" w:cs="宋体"/>
      <w:color w:val="333333"/>
      <w:sz w:val="18"/>
      <w:szCs w:val="18"/>
      <w:u w:val="none"/>
    </w:rPr>
  </w:style>
  <w:style w:type="character" w:styleId="20">
    <w:name w:val="annotation reference"/>
    <w:basedOn w:val="17"/>
    <w:qFormat/>
    <w:uiPriority w:val="0"/>
    <w:rPr>
      <w:sz w:val="21"/>
      <w:szCs w:val="21"/>
    </w:rPr>
  </w:style>
  <w:style w:type="character" w:customStyle="1" w:styleId="21">
    <w:name w:val="页脚 字符"/>
    <w:basedOn w:val="17"/>
    <w:link w:val="11"/>
    <w:qFormat/>
    <w:uiPriority w:val="99"/>
    <w:rPr>
      <w:rFonts w:cstheme="minorBidi"/>
      <w:kern w:val="2"/>
      <w:sz w:val="18"/>
      <w:szCs w:val="18"/>
    </w:rPr>
  </w:style>
  <w:style w:type="character" w:customStyle="1" w:styleId="22">
    <w:name w:val="标题 5 字符"/>
    <w:basedOn w:val="17"/>
    <w:link w:val="6"/>
    <w:qFormat/>
    <w:uiPriority w:val="9"/>
    <w:rPr>
      <w:rFonts w:asciiTheme="minorHAnsi" w:hAnsiTheme="minorHAnsi" w:eastAsiaTheme="minorEastAsia" w:cstheme="minorBidi"/>
      <w:b/>
      <w:bCs/>
      <w:kern w:val="2"/>
      <w:sz w:val="28"/>
      <w:szCs w:val="28"/>
    </w:rPr>
  </w:style>
  <w:style w:type="paragraph" w:customStyle="1" w:styleId="23">
    <w:name w:val="表头"/>
    <w:basedOn w:val="1"/>
    <w:qFormat/>
    <w:uiPriority w:val="0"/>
    <w:pPr>
      <w:spacing w:line="360" w:lineRule="auto"/>
      <w:jc w:val="center"/>
    </w:pPr>
    <w:rPr>
      <w:b/>
      <w:sz w:val="24"/>
    </w:rPr>
  </w:style>
  <w:style w:type="paragraph" w:customStyle="1" w:styleId="24">
    <w:name w:val="表内"/>
    <w:basedOn w:val="1"/>
    <w:qFormat/>
    <w:uiPriority w:val="0"/>
    <w:pPr>
      <w:jc w:val="center"/>
    </w:pPr>
    <w:rPr>
      <w:rFonts w:eastAsia="仿宋_GB2312"/>
      <w:kern w:val="0"/>
    </w:rPr>
  </w:style>
  <w:style w:type="paragraph" w:customStyle="1" w:styleId="25">
    <w:name w:val="主体"/>
    <w:qFormat/>
    <w:uiPriority w:val="0"/>
    <w:pPr>
      <w:widowControl w:val="0"/>
      <w:spacing w:line="360" w:lineRule="auto"/>
      <w:ind w:firstLine="480" w:firstLineChars="200"/>
      <w:jc w:val="both"/>
    </w:pPr>
    <w:rPr>
      <w:rFonts w:ascii="Times New Roman" w:hAnsi="Times New Roman" w:eastAsia="宋体" w:cs="Times New Roman"/>
      <w:bCs/>
      <w:kern w:val="2"/>
      <w:sz w:val="24"/>
      <w:szCs w:val="24"/>
      <w:lang w:val="en-US" w:eastAsia="zh-CN" w:bidi="ar-SA"/>
    </w:rPr>
  </w:style>
  <w:style w:type="character" w:customStyle="1" w:styleId="26">
    <w:name w:val="font11"/>
    <w:basedOn w:val="17"/>
    <w:qFormat/>
    <w:uiPriority w:val="0"/>
    <w:rPr>
      <w:rFonts w:hint="eastAsia" w:ascii="宋体" w:hAnsi="宋体" w:eastAsia="宋体" w:cs="宋体"/>
      <w:color w:val="000000"/>
      <w:sz w:val="21"/>
      <w:szCs w:val="21"/>
      <w:u w:val="none"/>
    </w:rPr>
  </w:style>
  <w:style w:type="character" w:customStyle="1" w:styleId="27">
    <w:name w:val="font31"/>
    <w:basedOn w:val="17"/>
    <w:qFormat/>
    <w:uiPriority w:val="0"/>
    <w:rPr>
      <w:rFonts w:hint="default" w:ascii="Times New Roman" w:hAnsi="Times New Roman" w:cs="Times New Roman"/>
      <w:color w:val="000000"/>
      <w:sz w:val="21"/>
      <w:szCs w:val="21"/>
      <w:u w:val="none"/>
    </w:rPr>
  </w:style>
  <w:style w:type="character" w:customStyle="1" w:styleId="28">
    <w:name w:val="font41"/>
    <w:basedOn w:val="17"/>
    <w:qFormat/>
    <w:uiPriority w:val="0"/>
    <w:rPr>
      <w:rFonts w:hint="eastAsia" w:ascii="宋体" w:hAnsi="宋体" w:eastAsia="宋体" w:cs="宋体"/>
      <w:color w:val="000000"/>
      <w:sz w:val="21"/>
      <w:szCs w:val="21"/>
      <w:u w:val="none"/>
    </w:rPr>
  </w:style>
  <w:style w:type="character" w:customStyle="1" w:styleId="29">
    <w:name w:val="font01"/>
    <w:basedOn w:val="17"/>
    <w:qFormat/>
    <w:uiPriority w:val="0"/>
    <w:rPr>
      <w:rFonts w:hint="eastAsia" w:ascii="宋体" w:hAnsi="宋体" w:eastAsia="宋体" w:cs="宋体"/>
      <w:color w:val="000000"/>
      <w:sz w:val="21"/>
      <w:szCs w:val="21"/>
      <w:u w:val="none"/>
    </w:rPr>
  </w:style>
  <w:style w:type="character" w:customStyle="1" w:styleId="30">
    <w:name w:val="font21"/>
    <w:basedOn w:val="17"/>
    <w:qFormat/>
    <w:uiPriority w:val="0"/>
    <w:rPr>
      <w:rFonts w:hint="default" w:ascii="Times New Roman" w:hAnsi="Times New Roman" w:cs="Times New Roman"/>
      <w:color w:val="000000"/>
      <w:sz w:val="21"/>
      <w:szCs w:val="21"/>
      <w:u w:val="none"/>
    </w:rPr>
  </w:style>
  <w:style w:type="character" w:customStyle="1" w:styleId="31">
    <w:name w:val="批注框文本 字符"/>
    <w:basedOn w:val="17"/>
    <w:link w:val="10"/>
    <w:qFormat/>
    <w:uiPriority w:val="0"/>
    <w:rPr>
      <w:rFonts w:asciiTheme="minorHAnsi" w:hAnsiTheme="minorHAnsi" w:eastAsiaTheme="minorEastAsia" w:cstheme="minorBidi"/>
      <w:kern w:val="2"/>
      <w:sz w:val="18"/>
      <w:szCs w:val="18"/>
    </w:rPr>
  </w:style>
  <w:style w:type="character" w:customStyle="1" w:styleId="32">
    <w:name w:val="info3"/>
    <w:basedOn w:val="17"/>
    <w:qFormat/>
    <w:uiPriority w:val="0"/>
  </w:style>
  <w:style w:type="character" w:customStyle="1" w:styleId="33">
    <w:name w:val="正文文本 字符"/>
    <w:basedOn w:val="17"/>
    <w:link w:val="2"/>
    <w:qFormat/>
    <w:uiPriority w:val="99"/>
    <w:rPr>
      <w:rFonts w:eastAsiaTheme="minorEastAsia" w:cstheme="minorBidi"/>
      <w:color w:val="000000"/>
      <w:sz w:val="21"/>
    </w:rPr>
  </w:style>
  <w:style w:type="paragraph" w:customStyle="1" w:styleId="34">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35">
    <w:name w:val="引用 字符"/>
    <w:link w:val="36"/>
    <w:qFormat/>
    <w:uiPriority w:val="29"/>
    <w:rPr>
      <w:rFonts w:ascii="Calibri" w:hAnsi="Calibri"/>
      <w:i/>
      <w:sz w:val="24"/>
      <w:szCs w:val="24"/>
    </w:rPr>
  </w:style>
  <w:style w:type="paragraph" w:styleId="36">
    <w:name w:val="Quote"/>
    <w:basedOn w:val="1"/>
    <w:next w:val="1"/>
    <w:link w:val="35"/>
    <w:qFormat/>
    <w:uiPriority w:val="29"/>
    <w:pPr>
      <w:widowControl/>
      <w:jc w:val="left"/>
    </w:pPr>
    <w:rPr>
      <w:rFonts w:ascii="Calibri" w:hAnsi="Calibri" w:eastAsia="宋体" w:cs="Times New Roman"/>
      <w:i/>
      <w:kern w:val="0"/>
      <w:sz w:val="24"/>
      <w:szCs w:val="24"/>
    </w:rPr>
  </w:style>
  <w:style w:type="character" w:customStyle="1" w:styleId="37">
    <w:name w:val="引用 Char1"/>
    <w:basedOn w:val="17"/>
    <w:semiHidden/>
    <w:qFormat/>
    <w:uiPriority w:val="99"/>
    <w:rPr>
      <w:rFonts w:asciiTheme="minorHAnsi" w:hAnsiTheme="minorHAnsi" w:eastAsiaTheme="minorEastAsia" w:cstheme="minorBidi"/>
      <w:i/>
      <w:iCs/>
      <w:color w:val="000000" w:themeColor="text1"/>
      <w:kern w:val="2"/>
      <w:sz w:val="21"/>
      <w:szCs w:val="22"/>
      <w14:textFill>
        <w14:solidFill>
          <w14:schemeClr w14:val="tx1"/>
        </w14:solidFill>
      </w14:textFill>
    </w:rPr>
  </w:style>
  <w:style w:type="character" w:customStyle="1" w:styleId="38">
    <w:name w:val="报告 Char"/>
    <w:link w:val="5"/>
    <w:qFormat/>
    <w:uiPriority w:val="0"/>
    <w:rPr>
      <w:rFonts w:ascii="TimesNewRoman" w:hAnsi="TimesNewRoman" w:eastAsiaTheme="minorEastAsia" w:cstheme="minorBidi"/>
      <w:kern w:val="2"/>
      <w:sz w:val="21"/>
      <w:szCs w:val="22"/>
    </w:rPr>
  </w:style>
  <w:style w:type="paragraph" w:styleId="39">
    <w:name w:val="List Paragraph"/>
    <w:basedOn w:val="1"/>
    <w:unhideWhenUsed/>
    <w:qFormat/>
    <w:uiPriority w:val="99"/>
    <w:pPr>
      <w:spacing w:line="360" w:lineRule="auto"/>
      <w:ind w:firstLine="420" w:firstLineChars="200"/>
    </w:pPr>
    <w:rPr>
      <w:rFonts w:ascii="Times New Roman" w:hAnsi="Times New Roman" w:eastAsia="宋体"/>
      <w:sz w:val="24"/>
      <w:szCs w:val="24"/>
    </w:rPr>
  </w:style>
  <w:style w:type="character" w:customStyle="1" w:styleId="40">
    <w:name w:val="标题 2 字符"/>
    <w:basedOn w:val="17"/>
    <w:link w:val="3"/>
    <w:semiHidden/>
    <w:qFormat/>
    <w:uiPriority w:val="0"/>
    <w:rPr>
      <w:rFonts w:asciiTheme="majorHAnsi" w:hAnsiTheme="majorHAnsi" w:eastAsiaTheme="majorEastAsia" w:cstheme="majorBidi"/>
      <w:b/>
      <w:bCs/>
      <w:kern w:val="2"/>
      <w:sz w:val="32"/>
      <w:szCs w:val="32"/>
    </w:rPr>
  </w:style>
  <w:style w:type="paragraph" w:customStyle="1" w:styleId="41">
    <w:name w:val="评图名"/>
    <w:basedOn w:val="1"/>
    <w:qFormat/>
    <w:uiPriority w:val="0"/>
    <w:pPr>
      <w:spacing w:before="40" w:after="40"/>
      <w:jc w:val="center"/>
    </w:pPr>
    <w:rPr>
      <w:rFonts w:ascii="Times New Roman" w:hAnsi="Times New Roman" w:eastAsia="宋体" w:cs="Times New Roman"/>
      <w:b/>
      <w:sz w:val="24"/>
      <w:szCs w:val="24"/>
    </w:rPr>
  </w:style>
  <w:style w:type="paragraph" w:customStyle="1" w:styleId="42">
    <w:name w:val="List Paragraph1"/>
    <w:basedOn w:val="1"/>
    <w:semiHidden/>
    <w:qFormat/>
    <w:uiPriority w:val="0"/>
    <w:pPr>
      <w:spacing w:line="360" w:lineRule="auto"/>
      <w:ind w:firstLine="420" w:firstLineChars="200"/>
    </w:pPr>
    <w:rPr>
      <w:rFonts w:ascii="Times New Roman" w:hAnsi="Times New Roman" w:eastAsia="宋体" w:cs="Times New Roman"/>
      <w:sz w:val="24"/>
      <w:szCs w:val="24"/>
    </w:rPr>
  </w:style>
  <w:style w:type="paragraph" w:customStyle="1" w:styleId="43">
    <w:name w:val="表文"/>
    <w:next w:val="1"/>
    <w:qFormat/>
    <w:uiPriority w:val="0"/>
    <w:pPr>
      <w:jc w:val="center"/>
    </w:pPr>
    <w:rPr>
      <w:rFonts w:ascii="Times New Roman" w:hAnsi="Times New Roman" w:eastAsia="宋体" w:cs="Times New Roman"/>
      <w:sz w:val="24"/>
      <w:lang w:val="en-US" w:eastAsia="zh-CN" w:bidi="ar-SA"/>
    </w:rPr>
  </w:style>
  <w:style w:type="character" w:customStyle="1" w:styleId="44">
    <w:name w:val="正文文本缩进 2 字符"/>
    <w:basedOn w:val="17"/>
    <w:link w:val="9"/>
    <w:qFormat/>
    <w:uiPriority w:val="0"/>
    <w:rPr>
      <w:rFonts w:asciiTheme="minorHAnsi" w:hAnsiTheme="minorHAnsi" w:eastAsiaTheme="minorEastAsia" w:cstheme="minorBidi"/>
      <w:kern w:val="2"/>
      <w:sz w:val="21"/>
      <w:szCs w:val="22"/>
    </w:rPr>
  </w:style>
  <w:style w:type="paragraph" w:customStyle="1" w:styleId="45">
    <w:name w:val="图片及表格"/>
    <w:basedOn w:val="1"/>
    <w:qFormat/>
    <w:uiPriority w:val="0"/>
    <w:pPr>
      <w:jc w:val="center"/>
    </w:pPr>
    <w:rPr>
      <w:rFonts w:ascii="黑体" w:hAnsi="黑体" w:eastAsia="黑体"/>
      <w:szCs w:val="24"/>
    </w:rPr>
  </w:style>
  <w:style w:type="paragraph" w:customStyle="1" w:styleId="46">
    <w:name w:val="Revision"/>
    <w:hidden/>
    <w:semiHidden/>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3.emf"/><Relationship Id="rId7" Type="http://schemas.openxmlformats.org/officeDocument/2006/relationships/image" Target="media/image2.png"/><Relationship Id="rId6" Type="http://schemas.openxmlformats.org/officeDocument/2006/relationships/image" Target="media/image1.png"/><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theme" Target="theme/theme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C6A107-A29F-4C8E-8A13-563D60C5DD9B}">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69</Pages>
  <Words>3575</Words>
  <Characters>20381</Characters>
  <Lines>169</Lines>
  <Paragraphs>47</Paragraphs>
  <TotalTime>1</TotalTime>
  <ScaleCrop>false</ScaleCrop>
  <LinksUpToDate>false</LinksUpToDate>
  <CharactersWithSpaces>23909</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2019-09-02T06:10:00Z</dcterms:created>
  <dc:creator>DELL</dc:creator>
  <cp:lastModifiedBy>Administrator</cp:lastModifiedBy>
  <cp:lastPrinted>2021-11-30T09:38:00Z</cp:lastPrinted>
  <dcterms:modified xsi:type="dcterms:W3CDTF">2022-01-20T07:05:07Z</dcterms:modified>
  <cp:revision>170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AAB94E1A6DD3454EB10B274CB62E3514</vt:lpwstr>
  </property>
</Properties>
</file>