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center"/>
        <w:rPr>
          <w:rFonts w:ascii="仿宋_GB2312" w:hAnsi="宋体" w:eastAsia="仿宋_GB2312" w:cs="宋体"/>
          <w:b/>
          <w:bCs/>
          <w:color w:val="000000" w:themeColor="text1"/>
          <w:kern w:val="0"/>
          <w:sz w:val="28"/>
          <w:szCs w:val="28"/>
        </w:rPr>
      </w:pPr>
      <w:r>
        <w:rPr>
          <w:rFonts w:hint="eastAsia" w:ascii="仿宋_GB2312" w:hAnsi="宋体" w:eastAsia="仿宋_GB2312" w:cs="宋体"/>
          <w:b/>
          <w:bCs/>
          <w:color w:val="000000" w:themeColor="text1"/>
          <w:kern w:val="0"/>
          <w:sz w:val="28"/>
          <w:szCs w:val="28"/>
        </w:rPr>
        <w:t>乐山市市中区</w:t>
      </w:r>
      <w:r>
        <w:rPr>
          <w:rFonts w:hint="eastAsia" w:ascii="仿宋_GB2312" w:hAnsi="宋体" w:eastAsia="仿宋_GB2312" w:cs="宋体"/>
          <w:b/>
          <w:bCs/>
          <w:color w:val="000000" w:themeColor="text1"/>
          <w:kern w:val="0"/>
          <w:sz w:val="28"/>
          <w:szCs w:val="28"/>
          <w:lang w:val="en-US" w:eastAsia="zh-CN"/>
        </w:rPr>
        <w:t>生态环境局</w:t>
      </w:r>
      <w:r>
        <w:rPr>
          <w:rFonts w:hint="eastAsia" w:ascii="仿宋_GB2312" w:hAnsi="宋体" w:eastAsia="仿宋_GB2312" w:cs="宋体"/>
          <w:b/>
          <w:bCs/>
          <w:color w:val="000000" w:themeColor="text1"/>
          <w:kern w:val="0"/>
          <w:sz w:val="28"/>
          <w:szCs w:val="28"/>
        </w:rPr>
        <w:t xml:space="preserve">关于建设项目环境影响评价文件受理情况的公示 </w:t>
      </w:r>
    </w:p>
    <w:p>
      <w:pPr>
        <w:widowControl/>
        <w:jc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2019-</w:t>
      </w:r>
      <w:r>
        <w:rPr>
          <w:rFonts w:hint="eastAsia" w:ascii="宋体" w:hAnsi="宋体" w:cs="宋体"/>
          <w:color w:val="000000" w:themeColor="text1"/>
          <w:kern w:val="0"/>
          <w:sz w:val="24"/>
          <w:lang w:val="en-US" w:eastAsia="zh-CN"/>
        </w:rPr>
        <w:t>8</w:t>
      </w:r>
      <w:r>
        <w:rPr>
          <w:rFonts w:hint="eastAsia" w:ascii="宋体" w:hAnsi="宋体" w:cs="宋体"/>
          <w:color w:val="000000" w:themeColor="text1"/>
          <w:kern w:val="0"/>
          <w:sz w:val="24"/>
        </w:rPr>
        <w:t>-</w:t>
      </w:r>
      <w:r>
        <w:rPr>
          <w:rFonts w:hint="eastAsia" w:ascii="宋体" w:hAnsi="宋体" w:cs="宋体"/>
          <w:color w:val="000000" w:themeColor="text1"/>
          <w:kern w:val="0"/>
          <w:sz w:val="24"/>
          <w:lang w:val="en-US" w:eastAsia="zh-CN"/>
        </w:rPr>
        <w:t>9</w:t>
      </w:r>
    </w:p>
    <w:p>
      <w:pPr>
        <w:widowControl/>
        <w:ind w:firstLine="420"/>
        <w:jc w:val="left"/>
        <w:rPr>
          <w:rFonts w:ascii="宋体" w:hAnsi="宋体" w:cs="宋体"/>
          <w:color w:val="000000" w:themeColor="text1"/>
          <w:kern w:val="0"/>
          <w:sz w:val="24"/>
        </w:rPr>
      </w:pPr>
      <w:r>
        <w:rPr>
          <w:rFonts w:hint="eastAsia" w:ascii="宋体" w:hAnsi="宋体" w:cs="宋体"/>
          <w:color w:val="000000" w:themeColor="text1"/>
          <w:kern w:val="0"/>
          <w:sz w:val="24"/>
        </w:rPr>
        <w:t>根据建设项目环境影响评价审批程序的有关规定，2019年</w:t>
      </w:r>
      <w:r>
        <w:rPr>
          <w:rFonts w:hint="eastAsia" w:ascii="宋体" w:hAnsi="宋体" w:cs="宋体"/>
          <w:color w:val="000000" w:themeColor="text1"/>
          <w:kern w:val="0"/>
          <w:sz w:val="24"/>
          <w:lang w:val="en-US" w:eastAsia="zh-CN"/>
        </w:rPr>
        <w:t>8</w:t>
      </w:r>
      <w:r>
        <w:rPr>
          <w:rFonts w:hint="eastAsia" w:ascii="宋体" w:hAnsi="宋体" w:cs="宋体"/>
          <w:color w:val="000000" w:themeColor="text1"/>
          <w:kern w:val="0"/>
          <w:sz w:val="24"/>
        </w:rPr>
        <w:t>月</w:t>
      </w:r>
      <w:r>
        <w:rPr>
          <w:rFonts w:hint="eastAsia" w:ascii="宋体" w:hAnsi="宋体" w:cs="宋体"/>
          <w:color w:val="000000" w:themeColor="text1"/>
          <w:kern w:val="0"/>
          <w:sz w:val="24"/>
          <w:lang w:val="en-US" w:eastAsia="zh-CN"/>
        </w:rPr>
        <w:t>9</w:t>
      </w:r>
      <w:r>
        <w:rPr>
          <w:rFonts w:hint="eastAsia" w:ascii="宋体" w:hAnsi="宋体" w:cs="宋体"/>
          <w:color w:val="000000" w:themeColor="text1"/>
          <w:kern w:val="0"/>
          <w:sz w:val="24"/>
        </w:rPr>
        <w:t>日我局受理</w:t>
      </w:r>
      <w:r>
        <w:rPr>
          <w:rFonts w:hint="eastAsia" w:ascii="宋体" w:hAnsi="宋体" w:cs="宋体"/>
          <w:color w:val="000000" w:themeColor="text1"/>
          <w:kern w:val="0"/>
          <w:sz w:val="24"/>
          <w:lang w:val="en-US" w:eastAsia="zh-CN"/>
        </w:rPr>
        <w:t>2</w:t>
      </w:r>
      <w:r>
        <w:rPr>
          <w:rFonts w:hint="eastAsia" w:ascii="宋体" w:hAnsi="宋体" w:cs="宋体"/>
          <w:color w:val="000000" w:themeColor="text1"/>
          <w:kern w:val="0"/>
          <w:sz w:val="24"/>
        </w:rPr>
        <w:t>个建设项目环境影响评价文件。现将受理情况予以公示，公示期为2019年</w:t>
      </w:r>
      <w:r>
        <w:rPr>
          <w:rFonts w:hint="eastAsia" w:ascii="宋体" w:hAnsi="宋体" w:cs="宋体"/>
          <w:color w:val="000000" w:themeColor="text1"/>
          <w:kern w:val="0"/>
          <w:sz w:val="24"/>
          <w:lang w:val="en-US" w:eastAsia="zh-CN"/>
        </w:rPr>
        <w:t>8</w:t>
      </w:r>
      <w:r>
        <w:rPr>
          <w:rFonts w:hint="eastAsia" w:ascii="宋体" w:hAnsi="宋体" w:cs="宋体"/>
          <w:color w:val="000000" w:themeColor="text1"/>
          <w:kern w:val="0"/>
          <w:sz w:val="24"/>
        </w:rPr>
        <w:t>月</w:t>
      </w:r>
      <w:r>
        <w:rPr>
          <w:rFonts w:hint="eastAsia" w:ascii="宋体" w:hAnsi="宋体" w:cs="宋体"/>
          <w:color w:val="000000" w:themeColor="text1"/>
          <w:kern w:val="0"/>
          <w:sz w:val="24"/>
          <w:lang w:val="en-US" w:eastAsia="zh-CN"/>
        </w:rPr>
        <w:t>9</w:t>
      </w:r>
      <w:r>
        <w:rPr>
          <w:rFonts w:hint="eastAsia" w:ascii="宋体" w:hAnsi="宋体" w:cs="宋体"/>
          <w:color w:val="000000" w:themeColor="text1"/>
          <w:kern w:val="0"/>
          <w:sz w:val="24"/>
        </w:rPr>
        <w:t>日－2019年</w:t>
      </w:r>
      <w:r>
        <w:rPr>
          <w:rFonts w:hint="eastAsia" w:ascii="宋体" w:hAnsi="宋体" w:cs="宋体"/>
          <w:color w:val="000000" w:themeColor="text1"/>
          <w:kern w:val="0"/>
          <w:sz w:val="24"/>
          <w:lang w:val="en-US" w:eastAsia="zh-CN"/>
        </w:rPr>
        <w:t>8</w:t>
      </w:r>
      <w:r>
        <w:rPr>
          <w:rFonts w:hint="eastAsia" w:ascii="宋体" w:hAnsi="宋体" w:cs="宋体"/>
          <w:color w:val="000000" w:themeColor="text1"/>
          <w:kern w:val="0"/>
          <w:sz w:val="24"/>
        </w:rPr>
        <w:t>月2</w:t>
      </w:r>
      <w:r>
        <w:rPr>
          <w:rFonts w:hint="eastAsia" w:ascii="宋体" w:hAnsi="宋体" w:cs="宋体"/>
          <w:color w:val="000000" w:themeColor="text1"/>
          <w:kern w:val="0"/>
          <w:sz w:val="24"/>
          <w:lang w:val="en-US" w:eastAsia="zh-CN"/>
        </w:rPr>
        <w:t>2</w:t>
      </w:r>
      <w:r>
        <w:rPr>
          <w:rFonts w:hint="eastAsia" w:ascii="宋体" w:hAnsi="宋体" w:cs="宋体"/>
          <w:color w:val="000000" w:themeColor="text1"/>
          <w:kern w:val="0"/>
          <w:sz w:val="24"/>
        </w:rPr>
        <w:t>日（10个工作日）。</w:t>
      </w:r>
    </w:p>
    <w:p>
      <w:pPr>
        <w:widowControl/>
        <w:ind w:firstLine="420"/>
        <w:jc w:val="left"/>
        <w:rPr>
          <w:rFonts w:ascii="宋体" w:hAnsi="宋体" w:cs="宋体"/>
          <w:color w:val="000000" w:themeColor="text1"/>
          <w:kern w:val="0"/>
          <w:sz w:val="24"/>
        </w:rPr>
      </w:pPr>
      <w:r>
        <w:rPr>
          <w:rFonts w:hint="eastAsia" w:ascii="宋体" w:hAnsi="宋体" w:cs="宋体"/>
          <w:color w:val="000000" w:themeColor="text1"/>
          <w:kern w:val="0"/>
          <w:sz w:val="24"/>
        </w:rPr>
        <w:t>　　联系电话：0833－2103779</w:t>
      </w:r>
    </w:p>
    <w:p>
      <w:pPr>
        <w:widowControl/>
        <w:ind w:firstLine="420"/>
        <w:jc w:val="left"/>
        <w:rPr>
          <w:rFonts w:ascii="宋体" w:hAnsi="宋体" w:cs="宋体"/>
          <w:color w:val="000000" w:themeColor="text1"/>
          <w:kern w:val="0"/>
          <w:sz w:val="24"/>
        </w:rPr>
      </w:pPr>
      <w:r>
        <w:rPr>
          <w:rFonts w:hint="eastAsia" w:ascii="宋体" w:hAnsi="宋体" w:cs="宋体"/>
          <w:color w:val="000000" w:themeColor="text1"/>
          <w:kern w:val="0"/>
          <w:sz w:val="24"/>
        </w:rPr>
        <w:t>　　传 　 真：0833-2133332</w:t>
      </w:r>
    </w:p>
    <w:p>
      <w:pPr>
        <w:widowControl/>
        <w:ind w:firstLine="420"/>
        <w:jc w:val="left"/>
        <w:rPr>
          <w:rFonts w:ascii="宋体" w:hAnsi="宋体" w:cs="宋体"/>
          <w:color w:val="000000" w:themeColor="text1"/>
          <w:kern w:val="0"/>
          <w:sz w:val="24"/>
        </w:rPr>
      </w:pPr>
      <w:r>
        <w:rPr>
          <w:rFonts w:hint="eastAsia" w:ascii="宋体" w:hAnsi="宋体" w:cs="宋体"/>
          <w:color w:val="000000" w:themeColor="text1"/>
          <w:kern w:val="0"/>
          <w:sz w:val="24"/>
        </w:rPr>
        <w:t>　　通讯地址：乐山市市中区白燕路830号</w:t>
      </w:r>
    </w:p>
    <w:p>
      <w:pPr>
        <w:widowControl/>
        <w:ind w:firstLine="900" w:firstLineChars="375"/>
        <w:jc w:val="left"/>
        <w:rPr>
          <w:rFonts w:ascii="宋体" w:hAnsi="宋体" w:cs="宋体"/>
          <w:color w:val="000000" w:themeColor="text1"/>
          <w:kern w:val="0"/>
          <w:sz w:val="24"/>
        </w:rPr>
      </w:pPr>
      <w:r>
        <w:rPr>
          <w:rFonts w:hint="eastAsia" w:ascii="宋体" w:hAnsi="宋体" w:cs="宋体"/>
          <w:color w:val="000000" w:themeColor="text1"/>
          <w:kern w:val="0"/>
          <w:sz w:val="24"/>
        </w:rPr>
        <w:t>邮政编码：614000</w:t>
      </w:r>
    </w:p>
    <w:tbl>
      <w:tblPr>
        <w:tblStyle w:val="69"/>
        <w:tblW w:w="15344" w:type="dxa"/>
        <w:jc w:val="center"/>
        <w:tblInd w:w="-3153" w:type="dxa"/>
        <w:tblLayout w:type="fixed"/>
        <w:tblCellMar>
          <w:top w:w="0" w:type="dxa"/>
          <w:left w:w="0" w:type="dxa"/>
          <w:bottom w:w="0" w:type="dxa"/>
          <w:right w:w="0" w:type="dxa"/>
        </w:tblCellMar>
      </w:tblPr>
      <w:tblGrid>
        <w:gridCol w:w="722"/>
        <w:gridCol w:w="2806"/>
        <w:gridCol w:w="3245"/>
        <w:gridCol w:w="2976"/>
        <w:gridCol w:w="4218"/>
        <w:gridCol w:w="1377"/>
      </w:tblGrid>
      <w:tr>
        <w:tblPrEx>
          <w:tblLayout w:type="fixed"/>
          <w:tblCellMar>
            <w:top w:w="0" w:type="dxa"/>
            <w:left w:w="0" w:type="dxa"/>
            <w:bottom w:w="0" w:type="dxa"/>
            <w:right w:w="0" w:type="dxa"/>
          </w:tblCellMar>
        </w:tblPrEx>
        <w:trPr>
          <w:cantSplit/>
          <w:trHeight w:val="803" w:hRule="atLeast"/>
          <w:tblHeader/>
          <w:jc w:val="center"/>
        </w:trPr>
        <w:tc>
          <w:tcPr>
            <w:tcW w:w="7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themeColor="text1"/>
                <w:kern w:val="0"/>
                <w:sz w:val="24"/>
              </w:rPr>
            </w:pPr>
            <w:r>
              <w:rPr>
                <w:rFonts w:hint="eastAsia" w:ascii="宋体" w:hAnsi="宋体" w:cs="宋体"/>
                <w:b/>
                <w:bCs/>
                <w:color w:val="000000" w:themeColor="text1"/>
                <w:kern w:val="0"/>
              </w:rPr>
              <w:t>序号</w:t>
            </w:r>
          </w:p>
        </w:tc>
        <w:tc>
          <w:tcPr>
            <w:tcW w:w="2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themeColor="text1"/>
                <w:kern w:val="0"/>
                <w:sz w:val="24"/>
              </w:rPr>
            </w:pPr>
            <w:r>
              <w:rPr>
                <w:rFonts w:hint="eastAsia" w:ascii="宋体" w:hAnsi="宋体" w:cs="宋体"/>
                <w:b/>
                <w:bCs/>
                <w:color w:val="000000" w:themeColor="text1"/>
                <w:kern w:val="0"/>
              </w:rPr>
              <w:t>项目名称</w:t>
            </w:r>
          </w:p>
        </w:tc>
        <w:tc>
          <w:tcPr>
            <w:tcW w:w="32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themeColor="text1"/>
                <w:kern w:val="0"/>
                <w:sz w:val="24"/>
              </w:rPr>
            </w:pPr>
            <w:r>
              <w:rPr>
                <w:rFonts w:hint="eastAsia" w:ascii="宋体" w:hAnsi="宋体" w:cs="宋体"/>
                <w:b/>
                <w:bCs/>
                <w:color w:val="000000" w:themeColor="text1"/>
                <w:kern w:val="0"/>
              </w:rPr>
              <w:t>建设地点</w:t>
            </w:r>
          </w:p>
        </w:tc>
        <w:tc>
          <w:tcPr>
            <w:tcW w:w="29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themeColor="text1"/>
                <w:kern w:val="0"/>
                <w:sz w:val="24"/>
              </w:rPr>
            </w:pPr>
            <w:r>
              <w:rPr>
                <w:rFonts w:hint="eastAsia" w:ascii="宋体" w:hAnsi="宋体" w:cs="宋体"/>
                <w:b/>
                <w:bCs/>
                <w:color w:val="000000" w:themeColor="text1"/>
                <w:kern w:val="0"/>
              </w:rPr>
              <w:t>建设单位</w:t>
            </w:r>
          </w:p>
        </w:tc>
        <w:tc>
          <w:tcPr>
            <w:tcW w:w="42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themeColor="text1"/>
                <w:kern w:val="0"/>
                <w:sz w:val="24"/>
              </w:rPr>
            </w:pPr>
            <w:r>
              <w:rPr>
                <w:rFonts w:hint="eastAsia" w:ascii="宋体" w:hAnsi="宋体" w:cs="宋体"/>
                <w:b/>
                <w:bCs/>
                <w:color w:val="000000" w:themeColor="text1"/>
                <w:kern w:val="0"/>
              </w:rPr>
              <w:t>环境影响评价机构</w:t>
            </w:r>
          </w:p>
        </w:tc>
        <w:tc>
          <w:tcPr>
            <w:tcW w:w="137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themeColor="text1"/>
                <w:kern w:val="0"/>
                <w:sz w:val="24"/>
              </w:rPr>
            </w:pPr>
            <w:r>
              <w:rPr>
                <w:rFonts w:hint="eastAsia" w:ascii="宋体" w:hAnsi="宋体" w:cs="宋体"/>
                <w:b/>
                <w:bCs/>
                <w:color w:val="000000" w:themeColor="text1"/>
                <w:kern w:val="0"/>
              </w:rPr>
              <w:t>受理日期</w:t>
            </w:r>
          </w:p>
        </w:tc>
      </w:tr>
      <w:tr>
        <w:tblPrEx>
          <w:tblLayout w:type="fixed"/>
          <w:tblCellMar>
            <w:top w:w="0" w:type="dxa"/>
            <w:left w:w="0" w:type="dxa"/>
            <w:bottom w:w="0" w:type="dxa"/>
            <w:right w:w="0" w:type="dxa"/>
          </w:tblCellMar>
        </w:tblPrEx>
        <w:trPr>
          <w:cantSplit/>
          <w:trHeight w:val="925" w:hRule="atLeast"/>
          <w:tblHeader/>
          <w:jc w:val="center"/>
        </w:trPr>
        <w:tc>
          <w:tcPr>
            <w:tcW w:w="7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bCs/>
                <w:color w:val="000000" w:themeColor="text1"/>
                <w:sz w:val="18"/>
                <w:szCs w:val="18"/>
              </w:rPr>
            </w:pPr>
            <w:r>
              <w:rPr>
                <w:rFonts w:hint="eastAsia"/>
                <w:bCs/>
                <w:color w:val="000000" w:themeColor="text1"/>
                <w:sz w:val="18"/>
                <w:szCs w:val="18"/>
              </w:rPr>
              <w:t>1</w:t>
            </w:r>
          </w:p>
        </w:tc>
        <w:tc>
          <w:tcPr>
            <w:tcW w:w="2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cs="Times New Roman"/>
                <w:sz w:val="24"/>
              </w:rPr>
            </w:pPr>
            <w:r>
              <w:rPr>
                <w:rFonts w:hint="eastAsia" w:ascii="Times New Roman" w:hAnsi="Times New Roman" w:cs="Times New Roman"/>
                <w:sz w:val="24"/>
              </w:rPr>
              <w:t>新建铁匠世家传统手工艺体验项目</w:t>
            </w:r>
          </w:p>
        </w:tc>
        <w:tc>
          <w:tcPr>
            <w:tcW w:w="32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cs="Times New Roman"/>
                <w:sz w:val="24"/>
              </w:rPr>
            </w:pPr>
            <w:r>
              <w:rPr>
                <w:rFonts w:hint="eastAsia" w:ascii="Times New Roman" w:hAnsi="Times New Roman" w:cs="Times New Roman"/>
                <w:sz w:val="24"/>
              </w:rPr>
              <w:t>乐山市市中区悦来乡龙岩村二组398</w:t>
            </w:r>
            <w:bookmarkStart w:id="33" w:name="_GoBack"/>
            <w:bookmarkEnd w:id="33"/>
            <w:r>
              <w:rPr>
                <w:rFonts w:hint="eastAsia" w:ascii="Times New Roman" w:hAnsi="Times New Roman" w:cs="Times New Roman"/>
                <w:sz w:val="24"/>
              </w:rPr>
              <w:t>号</w:t>
            </w:r>
          </w:p>
        </w:tc>
        <w:tc>
          <w:tcPr>
            <w:tcW w:w="29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cs="Times New Roman"/>
                <w:sz w:val="24"/>
              </w:rPr>
            </w:pPr>
            <w:r>
              <w:rPr>
                <w:rFonts w:hint="eastAsia" w:ascii="Times New Roman" w:hAnsi="Times New Roman" w:cs="Times New Roman"/>
                <w:sz w:val="24"/>
              </w:rPr>
              <w:t>乐山铁匠世家手工刀具有限公司</w:t>
            </w:r>
          </w:p>
        </w:tc>
        <w:tc>
          <w:tcPr>
            <w:tcW w:w="42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cs="Times New Roman"/>
                <w:sz w:val="24"/>
              </w:rPr>
            </w:pPr>
            <w:r>
              <w:rPr>
                <w:rFonts w:hint="eastAsia" w:ascii="Times New Roman" w:hAnsi="Times New Roman" w:cs="Times New Roman"/>
                <w:sz w:val="24"/>
              </w:rPr>
              <w:t>四川省国环环境工程咨询有限公司</w:t>
            </w:r>
          </w:p>
        </w:tc>
        <w:tc>
          <w:tcPr>
            <w:tcW w:w="137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eastAsia="宋体"/>
                <w:color w:val="000000" w:themeColor="text1"/>
                <w:sz w:val="24"/>
                <w:lang w:eastAsia="zh-CN"/>
              </w:rPr>
            </w:pPr>
            <w:r>
              <w:rPr>
                <w:rFonts w:hint="eastAsia"/>
                <w:color w:val="000000" w:themeColor="text1"/>
                <w:sz w:val="24"/>
              </w:rPr>
              <w:t>2019-</w:t>
            </w:r>
            <w:r>
              <w:rPr>
                <w:rFonts w:hint="eastAsia"/>
                <w:color w:val="000000" w:themeColor="text1"/>
                <w:sz w:val="24"/>
                <w:lang w:val="en-US" w:eastAsia="zh-CN"/>
              </w:rPr>
              <w:t>8</w:t>
            </w:r>
            <w:r>
              <w:rPr>
                <w:rFonts w:hint="eastAsia"/>
                <w:color w:val="000000" w:themeColor="text1"/>
                <w:sz w:val="24"/>
              </w:rPr>
              <w:t>-</w:t>
            </w:r>
            <w:r>
              <w:rPr>
                <w:rFonts w:hint="eastAsia"/>
                <w:color w:val="000000" w:themeColor="text1"/>
                <w:sz w:val="24"/>
                <w:lang w:val="en-US" w:eastAsia="zh-CN"/>
              </w:rPr>
              <w:t>9</w:t>
            </w:r>
          </w:p>
        </w:tc>
      </w:tr>
      <w:tr>
        <w:tblPrEx>
          <w:tblLayout w:type="fixed"/>
          <w:tblCellMar>
            <w:top w:w="0" w:type="dxa"/>
            <w:left w:w="0" w:type="dxa"/>
            <w:bottom w:w="0" w:type="dxa"/>
            <w:right w:w="0" w:type="dxa"/>
          </w:tblCellMar>
        </w:tblPrEx>
        <w:trPr>
          <w:cantSplit/>
          <w:trHeight w:val="925" w:hRule="atLeast"/>
          <w:tblHeader/>
          <w:jc w:val="center"/>
        </w:trPr>
        <w:tc>
          <w:tcPr>
            <w:tcW w:w="7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bCs/>
                <w:color w:val="000000" w:themeColor="text1"/>
                <w:sz w:val="18"/>
                <w:szCs w:val="18"/>
              </w:rPr>
            </w:pPr>
          </w:p>
        </w:tc>
        <w:tc>
          <w:tcPr>
            <w:tcW w:w="2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cs="Times New Roman"/>
                <w:sz w:val="24"/>
              </w:rPr>
            </w:pPr>
            <w:r>
              <w:rPr>
                <w:rFonts w:hint="eastAsia" w:ascii="Times New Roman" w:hAnsi="Times New Roman" w:cs="Times New Roman"/>
                <w:sz w:val="24"/>
              </w:rPr>
              <w:t>人造板加工项目</w:t>
            </w:r>
            <w:r>
              <w:rPr>
                <w:rFonts w:hint="eastAsia" w:ascii="Times New Roman" w:hAnsi="Times New Roman" w:cs="Times New Roman"/>
                <w:sz w:val="24"/>
                <w:lang w:eastAsia="zh-CN"/>
              </w:rPr>
              <w:t>搬迁工程</w:t>
            </w:r>
          </w:p>
        </w:tc>
        <w:tc>
          <w:tcPr>
            <w:tcW w:w="32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cs="Times New Roman"/>
                <w:sz w:val="24"/>
              </w:rPr>
            </w:pPr>
            <w:r>
              <w:rPr>
                <w:rFonts w:hint="eastAsia" w:ascii="Times New Roman" w:hAnsi="Times New Roman" w:cs="Times New Roman"/>
                <w:sz w:val="24"/>
                <w:lang w:eastAsia="zh-CN"/>
              </w:rPr>
              <w:t>乐山市市中区土主镇红岩坝村六组</w:t>
            </w:r>
            <w:r>
              <w:rPr>
                <w:rFonts w:hint="eastAsia" w:ascii="Times New Roman" w:hAnsi="Times New Roman" w:cs="Times New Roman"/>
                <w:sz w:val="24"/>
                <w:lang w:val="en-US" w:eastAsia="zh-CN"/>
              </w:rPr>
              <w:t>478号</w:t>
            </w:r>
          </w:p>
        </w:tc>
        <w:tc>
          <w:tcPr>
            <w:tcW w:w="29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cs="Times New Roman"/>
                <w:sz w:val="24"/>
              </w:rPr>
            </w:pPr>
            <w:r>
              <w:rPr>
                <w:rFonts w:hint="eastAsia" w:ascii="Times New Roman" w:hAnsi="Times New Roman" w:cs="Times New Roman"/>
                <w:sz w:val="24"/>
              </w:rPr>
              <w:t>乐山市林泉木业有限责任公司</w:t>
            </w:r>
          </w:p>
        </w:tc>
        <w:tc>
          <w:tcPr>
            <w:tcW w:w="42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cs="Times New Roman"/>
                <w:sz w:val="24"/>
              </w:rPr>
            </w:pPr>
            <w:r>
              <w:rPr>
                <w:rFonts w:hint="eastAsia" w:ascii="Times New Roman" w:hAnsi="Times New Roman" w:cs="Times New Roman"/>
                <w:sz w:val="24"/>
              </w:rPr>
              <w:t>重庆</w:t>
            </w:r>
            <w:r>
              <w:rPr>
                <w:rFonts w:hint="eastAsia" w:ascii="Times New Roman" w:hAnsi="Times New Roman" w:cs="Times New Roman"/>
                <w:sz w:val="24"/>
                <w:lang w:eastAsia="zh-CN"/>
              </w:rPr>
              <w:t>丰达环境影响评价</w:t>
            </w:r>
            <w:r>
              <w:rPr>
                <w:rFonts w:hint="eastAsia" w:ascii="Times New Roman" w:hAnsi="Times New Roman" w:cs="Times New Roman"/>
                <w:sz w:val="24"/>
              </w:rPr>
              <w:t>有限公司</w:t>
            </w:r>
          </w:p>
        </w:tc>
        <w:tc>
          <w:tcPr>
            <w:tcW w:w="137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color w:val="000000" w:themeColor="text1"/>
                <w:sz w:val="24"/>
              </w:rPr>
            </w:pPr>
            <w:r>
              <w:rPr>
                <w:rFonts w:hint="eastAsia"/>
                <w:color w:val="000000" w:themeColor="text1"/>
                <w:sz w:val="24"/>
              </w:rPr>
              <w:t>2019-</w:t>
            </w:r>
            <w:r>
              <w:rPr>
                <w:rFonts w:hint="eastAsia"/>
                <w:color w:val="000000" w:themeColor="text1"/>
                <w:sz w:val="24"/>
                <w:lang w:val="en-US" w:eastAsia="zh-CN"/>
              </w:rPr>
              <w:t>8</w:t>
            </w:r>
            <w:r>
              <w:rPr>
                <w:rFonts w:hint="eastAsia"/>
                <w:color w:val="000000" w:themeColor="text1"/>
                <w:sz w:val="24"/>
              </w:rPr>
              <w:t>-</w:t>
            </w:r>
            <w:r>
              <w:rPr>
                <w:rFonts w:hint="eastAsia"/>
                <w:color w:val="000000" w:themeColor="text1"/>
                <w:sz w:val="24"/>
                <w:lang w:val="en-US" w:eastAsia="zh-CN"/>
              </w:rPr>
              <w:t>9</w:t>
            </w:r>
          </w:p>
        </w:tc>
      </w:tr>
    </w:tbl>
    <w:p>
      <w:pPr>
        <w:spacing w:line="360" w:lineRule="auto"/>
        <w:rPr>
          <w:color w:val="000000" w:themeColor="text1"/>
          <w:sz w:val="72"/>
          <w:szCs w:val="72"/>
        </w:rPr>
        <w:sectPr>
          <w:endnotePr>
            <w:numFmt w:val="decimal"/>
          </w:endnotePr>
          <w:pgSz w:w="16838" w:h="11906" w:orient="landscape"/>
          <w:pgMar w:top="1800" w:right="1440" w:bottom="1800" w:left="1440" w:header="851" w:footer="992" w:gutter="0"/>
          <w:pgNumType w:fmt="numberInDash" w:start="1"/>
          <w:cols w:space="720" w:num="1"/>
          <w:docGrid w:type="lines" w:linePitch="312" w:charSpace="0"/>
        </w:sectPr>
      </w:pPr>
      <w:r>
        <w:rPr>
          <w:rFonts w:hint="eastAsia" w:ascii="宋体" w:hAnsi="宋体" w:cs="宋体"/>
          <w:color w:val="000000" w:themeColor="text1"/>
          <w:kern w:val="0"/>
          <w:szCs w:val="21"/>
        </w:rPr>
        <w:t>注：根据《建设项目环境影响评价政府信息公开指南（试行）》的有关规定，上述环境影响报告书、表不含涉及国家秘密、商业秘密、个人隐私以及涉及国家安全、公共安全、经济安全和社会稳定的内容。</w:t>
      </w:r>
    </w:p>
    <w:p>
      <w:pPr>
        <w:spacing w:before="240" w:beforeLines="100" w:after="240" w:afterLines="100"/>
        <w:jc w:val="center"/>
        <w:rPr>
          <w:color w:val="000000"/>
          <w:spacing w:val="30"/>
          <w:sz w:val="32"/>
        </w:rPr>
      </w:pPr>
    </w:p>
    <w:p>
      <w:pPr>
        <w:spacing w:before="240" w:beforeLines="100" w:after="240" w:afterLines="100"/>
        <w:jc w:val="center"/>
        <w:rPr>
          <w:color w:val="000000"/>
          <w:spacing w:val="30"/>
          <w:sz w:val="32"/>
        </w:rPr>
      </w:pPr>
    </w:p>
    <w:p>
      <w:pPr>
        <w:spacing w:before="240" w:beforeLines="100" w:after="240" w:afterLines="100"/>
        <w:jc w:val="center"/>
        <w:rPr>
          <w:b/>
          <w:bCs/>
          <w:color w:val="000000"/>
          <w:spacing w:val="30"/>
          <w:sz w:val="10"/>
          <w:szCs w:val="10"/>
        </w:rPr>
      </w:pPr>
    </w:p>
    <w:p>
      <w:pPr>
        <w:spacing w:before="240" w:beforeLines="100" w:after="240" w:afterLines="100"/>
        <w:jc w:val="center"/>
        <w:rPr>
          <w:rFonts w:ascii="宋体" w:hAnsi="宋体"/>
          <w:b/>
          <w:bCs/>
          <w:color w:val="000000"/>
          <w:spacing w:val="30"/>
          <w:sz w:val="72"/>
        </w:rPr>
      </w:pPr>
      <w:r>
        <w:rPr>
          <w:rFonts w:ascii="宋体" w:hAnsi="宋体"/>
          <w:b/>
          <w:bCs/>
          <w:color w:val="000000"/>
          <w:spacing w:val="30"/>
          <w:sz w:val="72"/>
        </w:rPr>
        <w:t>建设项目环境影响报告表</w:t>
      </w:r>
    </w:p>
    <w:p>
      <w:pPr>
        <w:pStyle w:val="618"/>
        <w:autoSpaceDE/>
        <w:autoSpaceDN/>
        <w:adjustRightInd/>
        <w:spacing w:before="0" w:after="0"/>
        <w:textAlignment w:val="auto"/>
        <w:outlineLvl w:val="0"/>
        <w:rPr>
          <w:rFonts w:ascii="Times New Roman" w:hAnsi="Times New Roman"/>
          <w:color w:val="000000"/>
          <w:kern w:val="2"/>
          <w:sz w:val="36"/>
          <w:szCs w:val="36"/>
          <w:lang w:val="en-US" w:eastAsia="zh-CN"/>
        </w:rPr>
      </w:pPr>
      <w:r>
        <w:rPr>
          <w:rFonts w:ascii="Times New Roman" w:hAnsi="Times New Roman"/>
          <w:color w:val="000000"/>
          <w:kern w:val="2"/>
          <w:sz w:val="36"/>
          <w:szCs w:val="36"/>
          <w:lang w:val="en-US" w:eastAsia="zh-CN"/>
        </w:rPr>
        <w:t>（</w:t>
      </w:r>
      <w:r>
        <w:rPr>
          <w:rFonts w:hint="eastAsia" w:ascii="Times New Roman" w:hAnsi="Times New Roman"/>
          <w:color w:val="000000"/>
          <w:kern w:val="2"/>
          <w:sz w:val="36"/>
          <w:szCs w:val="36"/>
          <w:lang w:val="en-US" w:eastAsia="zh-CN"/>
        </w:rPr>
        <w:t>送审本</w:t>
      </w:r>
      <w:r>
        <w:rPr>
          <w:rFonts w:ascii="Times New Roman" w:hAnsi="Times New Roman"/>
          <w:color w:val="000000"/>
          <w:kern w:val="2"/>
          <w:sz w:val="36"/>
          <w:szCs w:val="36"/>
          <w:lang w:val="en-US" w:eastAsia="zh-CN"/>
        </w:rPr>
        <w:t>）</w:t>
      </w:r>
    </w:p>
    <w:p>
      <w:pPr>
        <w:rPr>
          <w:color w:val="000000"/>
        </w:rPr>
      </w:pPr>
    </w:p>
    <w:p>
      <w:pPr>
        <w:rPr>
          <w:color w:val="000000"/>
        </w:rPr>
      </w:pPr>
    </w:p>
    <w:p>
      <w:pPr>
        <w:rPr>
          <w:color w:val="000000"/>
        </w:rPr>
      </w:pPr>
    </w:p>
    <w:p>
      <w:pPr>
        <w:rPr>
          <w:color w:val="000000"/>
        </w:rPr>
      </w:pPr>
    </w:p>
    <w:p>
      <w:pPr>
        <w:rPr>
          <w:b/>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color w:val="000000"/>
          <w:sz w:val="24"/>
        </w:rPr>
      </w:pPr>
    </w:p>
    <w:p>
      <w:pPr>
        <w:spacing w:line="300" w:lineRule="auto"/>
        <w:rPr>
          <w:color w:val="000000"/>
        </w:rPr>
      </w:pPr>
    </w:p>
    <w:p>
      <w:pPr>
        <w:spacing w:line="300" w:lineRule="auto"/>
        <w:ind w:firstLine="263" w:firstLineChars="77"/>
        <w:rPr>
          <w:rFonts w:ascii="宋体" w:hAnsi="宋体"/>
          <w:b/>
          <w:color w:val="000000"/>
          <w:sz w:val="30"/>
          <w:szCs w:val="30"/>
          <w:u w:val="single"/>
        </w:rPr>
      </w:pPr>
      <w:r>
        <w:rPr>
          <w:rFonts w:ascii="宋体" w:hAnsi="宋体"/>
          <w:b/>
          <w:color w:val="000000"/>
          <w:spacing w:val="20"/>
          <w:sz w:val="30"/>
          <w:szCs w:val="30"/>
        </w:rPr>
        <w:t>项 目 名 称</w:t>
      </w:r>
      <w:r>
        <w:rPr>
          <w:rFonts w:ascii="宋体" w:hAnsi="宋体"/>
          <w:b/>
          <w:color w:val="000000"/>
          <w:sz w:val="30"/>
          <w:szCs w:val="30"/>
        </w:rPr>
        <w:t>：</w:t>
      </w:r>
      <w:r>
        <w:rPr>
          <w:rFonts w:ascii="宋体" w:hAnsi="宋体"/>
          <w:b/>
          <w:color w:val="000000"/>
          <w:sz w:val="30"/>
          <w:szCs w:val="30"/>
          <w:u w:val="single"/>
        </w:rPr>
        <w:t xml:space="preserve">  </w:t>
      </w:r>
      <w:r>
        <w:rPr>
          <w:rFonts w:hint="eastAsia" w:ascii="宋体" w:hAnsi="宋体"/>
          <w:b/>
          <w:color w:val="000000"/>
          <w:sz w:val="30"/>
          <w:szCs w:val="30"/>
          <w:u w:val="single"/>
        </w:rPr>
        <w:t xml:space="preserve"> </w:t>
      </w:r>
      <w:r>
        <w:rPr>
          <w:rFonts w:ascii="宋体" w:hAnsi="宋体"/>
          <w:b/>
          <w:color w:val="000000"/>
          <w:sz w:val="30"/>
          <w:szCs w:val="30"/>
          <w:u w:val="single"/>
        </w:rPr>
        <w:t xml:space="preserve"> </w:t>
      </w:r>
      <w:r>
        <w:rPr>
          <w:rFonts w:hint="eastAsia" w:ascii="宋体" w:hAnsi="宋体"/>
          <w:b/>
          <w:sz w:val="30"/>
          <w:szCs w:val="30"/>
          <w:u w:val="single"/>
        </w:rPr>
        <w:t xml:space="preserve">新建铁匠世家传统手工艺体验项目 </w:t>
      </w:r>
      <w:r>
        <w:rPr>
          <w:rFonts w:ascii="宋体" w:hAnsi="宋体"/>
          <w:b/>
          <w:sz w:val="30"/>
          <w:szCs w:val="30"/>
          <w:u w:val="single"/>
        </w:rPr>
        <w:t xml:space="preserve"> </w:t>
      </w:r>
      <w:r>
        <w:rPr>
          <w:rFonts w:hint="eastAsia" w:ascii="宋体" w:hAnsi="宋体"/>
          <w:b/>
          <w:color w:val="000000"/>
          <w:sz w:val="30"/>
          <w:szCs w:val="30"/>
          <w:u w:val="single"/>
        </w:rPr>
        <w:t xml:space="preserve"> </w:t>
      </w:r>
      <w:r>
        <w:rPr>
          <w:rFonts w:ascii="宋体" w:hAnsi="宋体"/>
          <w:b/>
          <w:color w:val="000000"/>
          <w:sz w:val="30"/>
          <w:szCs w:val="30"/>
          <w:u w:val="single"/>
        </w:rPr>
        <w:t xml:space="preserve">  </w:t>
      </w:r>
    </w:p>
    <w:p>
      <w:pPr>
        <w:spacing w:line="300" w:lineRule="auto"/>
        <w:ind w:firstLine="232" w:firstLineChars="77"/>
        <w:rPr>
          <w:rFonts w:ascii="宋体" w:hAnsi="宋体"/>
          <w:b/>
          <w:color w:val="000000"/>
          <w:sz w:val="30"/>
          <w:szCs w:val="30"/>
        </w:rPr>
      </w:pPr>
    </w:p>
    <w:p>
      <w:pPr>
        <w:spacing w:line="300" w:lineRule="auto"/>
        <w:ind w:firstLine="271" w:firstLineChars="90"/>
        <w:rPr>
          <w:rFonts w:ascii="宋体" w:hAnsi="宋体"/>
          <w:b/>
          <w:color w:val="000000"/>
          <w:sz w:val="30"/>
          <w:szCs w:val="30"/>
          <w:u w:val="single"/>
        </w:rPr>
      </w:pPr>
      <w:r>
        <w:rPr>
          <w:rFonts w:ascii="宋体" w:hAnsi="宋体"/>
          <w:b/>
          <w:color w:val="000000"/>
          <w:sz w:val="30"/>
          <w:szCs w:val="30"/>
        </w:rPr>
        <w:t>建设单位(盖章)：</w:t>
      </w:r>
      <w:r>
        <w:rPr>
          <w:rFonts w:ascii="宋体" w:hAnsi="宋体"/>
          <w:b/>
          <w:color w:val="000000"/>
          <w:sz w:val="30"/>
          <w:szCs w:val="30"/>
          <w:u w:val="single"/>
        </w:rPr>
        <w:t xml:space="preserve">  </w:t>
      </w:r>
      <w:r>
        <w:rPr>
          <w:rFonts w:hint="eastAsia" w:ascii="宋体" w:hAnsi="宋体"/>
          <w:b/>
          <w:color w:val="000000"/>
          <w:sz w:val="30"/>
          <w:szCs w:val="30"/>
          <w:u w:val="single"/>
        </w:rPr>
        <w:t xml:space="preserve"> </w:t>
      </w:r>
      <w:r>
        <w:rPr>
          <w:rFonts w:ascii="宋体" w:hAnsi="宋体"/>
          <w:b/>
          <w:color w:val="000000"/>
          <w:sz w:val="30"/>
          <w:szCs w:val="30"/>
          <w:u w:val="single"/>
        </w:rPr>
        <w:t xml:space="preserve"> </w:t>
      </w:r>
      <w:r>
        <w:rPr>
          <w:rFonts w:hint="eastAsia" w:ascii="宋体" w:hAnsi="宋体"/>
          <w:b/>
          <w:color w:val="000000"/>
          <w:sz w:val="30"/>
          <w:szCs w:val="30"/>
          <w:u w:val="single"/>
        </w:rPr>
        <w:t xml:space="preserve">乐山铁匠世家手工刀具有限公司  </w:t>
      </w:r>
      <w:r>
        <w:rPr>
          <w:rFonts w:ascii="宋体" w:hAnsi="宋体"/>
          <w:b/>
          <w:color w:val="000000"/>
          <w:sz w:val="30"/>
          <w:szCs w:val="30"/>
          <w:u w:val="single"/>
        </w:rPr>
        <w:t xml:space="preserve"> </w:t>
      </w:r>
      <w:r>
        <w:rPr>
          <w:rFonts w:hint="eastAsia" w:ascii="宋体" w:hAnsi="宋体"/>
          <w:b/>
          <w:color w:val="000000"/>
          <w:sz w:val="30"/>
          <w:szCs w:val="30"/>
          <w:u w:val="single"/>
        </w:rPr>
        <w:t xml:space="preserve"> </w:t>
      </w:r>
      <w:r>
        <w:rPr>
          <w:rFonts w:ascii="宋体" w:hAnsi="宋体"/>
          <w:b/>
          <w:color w:val="000000"/>
          <w:sz w:val="30"/>
          <w:szCs w:val="30"/>
          <w:u w:val="single"/>
        </w:rPr>
        <w:t xml:space="preserve">  </w:t>
      </w:r>
    </w:p>
    <w:p>
      <w:pPr>
        <w:spacing w:line="300" w:lineRule="auto"/>
        <w:ind w:left="3780" w:hanging="2759"/>
        <w:rPr>
          <w:color w:val="000000"/>
        </w:rPr>
      </w:pPr>
    </w:p>
    <w:p>
      <w:pPr>
        <w:rPr>
          <w:b/>
          <w:color w:val="000000"/>
        </w:rPr>
      </w:pPr>
    </w:p>
    <w:p>
      <w:pPr>
        <w:rPr>
          <w:b/>
          <w:color w:val="000000"/>
        </w:rPr>
      </w:pPr>
    </w:p>
    <w:p>
      <w:pPr>
        <w:rPr>
          <w:b/>
          <w:color w:val="000000"/>
        </w:rPr>
      </w:pPr>
    </w:p>
    <w:p>
      <w:pPr>
        <w:rPr>
          <w:b/>
          <w:color w:val="000000"/>
        </w:rPr>
      </w:pPr>
    </w:p>
    <w:p>
      <w:pPr>
        <w:rPr>
          <w:b/>
          <w:color w:val="000000"/>
        </w:rPr>
      </w:pPr>
    </w:p>
    <w:p>
      <w:pPr>
        <w:rPr>
          <w:b/>
          <w:color w:val="000000"/>
        </w:rPr>
      </w:pPr>
    </w:p>
    <w:p>
      <w:pPr>
        <w:rPr>
          <w:color w:val="000000"/>
        </w:rPr>
      </w:pPr>
    </w:p>
    <w:p>
      <w:pPr>
        <w:spacing w:line="300" w:lineRule="auto"/>
        <w:jc w:val="center"/>
        <w:rPr>
          <w:b/>
          <w:color w:val="000000"/>
          <w:sz w:val="28"/>
          <w:szCs w:val="28"/>
        </w:rPr>
      </w:pPr>
      <w:r>
        <w:rPr>
          <w:b/>
          <w:color w:val="000000"/>
          <w:sz w:val="28"/>
          <w:szCs w:val="28"/>
        </w:rPr>
        <w:t>编制日期：201</w:t>
      </w:r>
      <w:r>
        <w:rPr>
          <w:rFonts w:hint="eastAsia"/>
          <w:b/>
          <w:color w:val="000000"/>
          <w:sz w:val="28"/>
          <w:szCs w:val="28"/>
        </w:rPr>
        <w:t>9</w:t>
      </w:r>
      <w:r>
        <w:rPr>
          <w:b/>
          <w:color w:val="000000"/>
          <w:sz w:val="28"/>
          <w:szCs w:val="28"/>
        </w:rPr>
        <w:t>年</w:t>
      </w:r>
      <w:r>
        <w:rPr>
          <w:rFonts w:hint="eastAsia"/>
          <w:b/>
          <w:color w:val="000000"/>
          <w:sz w:val="28"/>
          <w:szCs w:val="28"/>
        </w:rPr>
        <w:t>8</w:t>
      </w:r>
      <w:r>
        <w:rPr>
          <w:b/>
          <w:color w:val="000000"/>
          <w:sz w:val="28"/>
          <w:szCs w:val="28"/>
        </w:rPr>
        <w:t>月</w:t>
      </w:r>
    </w:p>
    <w:p>
      <w:pPr>
        <w:jc w:val="center"/>
        <w:rPr>
          <w:rFonts w:hint="eastAsia"/>
          <w:b/>
          <w:color w:val="000000"/>
          <w:sz w:val="28"/>
          <w:szCs w:val="28"/>
        </w:rPr>
      </w:pPr>
      <w:r>
        <w:rPr>
          <w:rFonts w:hint="eastAsia"/>
          <w:b/>
          <w:color w:val="000000"/>
          <w:sz w:val="28"/>
          <w:szCs w:val="28"/>
        </w:rPr>
        <w:t>四川省国环环境工程咨询有限公司</w:t>
      </w:r>
    </w:p>
    <w:p>
      <w:pPr>
        <w:rPr>
          <w:b/>
          <w:color w:val="000000"/>
        </w:rPr>
      </w:pPr>
    </w:p>
    <w:p>
      <w:pPr>
        <w:rPr>
          <w:b/>
          <w:color w:val="000000"/>
        </w:rPr>
      </w:pPr>
    </w:p>
    <w:p>
      <w:pPr>
        <w:rPr>
          <w:b/>
          <w:color w:val="000000"/>
        </w:rPr>
        <w:sectPr>
          <w:headerReference r:id="rId5" w:type="first"/>
          <w:footerReference r:id="rId8" w:type="first"/>
          <w:headerReference r:id="rId3" w:type="default"/>
          <w:footerReference r:id="rId6" w:type="default"/>
          <w:headerReference r:id="rId4" w:type="even"/>
          <w:footerReference r:id="rId7" w:type="even"/>
          <w:pgSz w:w="11907" w:h="16840"/>
          <w:pgMar w:top="1531" w:right="1134" w:bottom="1134" w:left="1418" w:header="0" w:footer="902" w:gutter="0"/>
          <w:pgBorders>
            <w:top w:val="none" w:sz="0" w:space="0"/>
            <w:left w:val="none" w:sz="0" w:space="0"/>
            <w:bottom w:val="none" w:sz="0" w:space="0"/>
            <w:right w:val="none" w:sz="0" w:space="0"/>
          </w:pgBorders>
          <w:pgNumType w:start="0"/>
          <w:cols w:space="720" w:num="1"/>
          <w:titlePg/>
          <w:docGrid w:linePitch="326" w:charSpace="-4301"/>
        </w:sectPr>
      </w:pPr>
    </w:p>
    <w:p>
      <w:pPr>
        <w:spacing w:line="480" w:lineRule="auto"/>
        <w:jc w:val="center"/>
        <w:rPr>
          <w:color w:val="000000"/>
          <w:sz w:val="28"/>
        </w:rPr>
      </w:pPr>
    </w:p>
    <w:p>
      <w:pPr>
        <w:spacing w:line="480" w:lineRule="auto"/>
        <w:jc w:val="center"/>
        <w:rPr>
          <w:color w:val="000000"/>
          <w:sz w:val="28"/>
        </w:rPr>
      </w:pPr>
      <w:r>
        <w:rPr>
          <w:color w:val="000000"/>
          <w:sz w:val="28"/>
        </w:rPr>
        <w:t>《建设项目环境影响报告表》编制说明</w:t>
      </w:r>
    </w:p>
    <w:p>
      <w:pPr>
        <w:spacing w:line="480" w:lineRule="auto"/>
        <w:jc w:val="center"/>
        <w:rPr>
          <w:color w:val="000000"/>
          <w:sz w:val="28"/>
        </w:rPr>
      </w:pPr>
      <w:r>
        <w:rPr>
          <w:color w:val="000000"/>
          <w:sz w:val="28"/>
        </w:rPr>
        <w:t xml:space="preserve"> </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《建设项目环境影响报告表》由具有从事环境影响评价工作资质的单位编制。</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1、项目名称——指项目立项批复时的名称，应不超过30个字(两个英文字段作一个汉字)。</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2、建设地址——指项目所在地详细地址，公路、铁路应填写起止地点。</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3、行业类别——按国标填写。</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4、总投资——指项目投资总额。</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5、主要环境保护目标——指项目区周围一定范围内集中居民住宅区、学校医院、保护文物、风景名胜区、水源地和生态敏感点等，应尽可能给出保护目标、性质、规模和距厂界距离等。</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7、预审意见——由行业主管部门填写答复意见，无主管部门项目，可不填。</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8、审批意见——由负责审批该项目的环境保护行政主管部门批复。</w:t>
      </w:r>
    </w:p>
    <w:p>
      <w:pPr>
        <w:spacing w:line="360" w:lineRule="auto"/>
        <w:ind w:firstLine="366" w:firstLineChars="131"/>
        <w:rPr>
          <w:color w:val="000000"/>
          <w:sz w:val="28"/>
          <w:szCs w:val="28"/>
        </w:rPr>
      </w:pPr>
    </w:p>
    <w:p>
      <w:pPr>
        <w:ind w:firstLine="314" w:firstLineChars="131"/>
        <w:rPr>
          <w:color w:val="000000"/>
          <w:sz w:val="24"/>
        </w:rPr>
      </w:pPr>
    </w:p>
    <w:p>
      <w:pPr>
        <w:ind w:firstLine="314" w:firstLineChars="131"/>
        <w:rPr>
          <w:color w:val="000000"/>
          <w:sz w:val="24"/>
        </w:rPr>
      </w:pPr>
    </w:p>
    <w:p>
      <w:pPr>
        <w:ind w:firstLine="314" w:firstLineChars="131"/>
        <w:rPr>
          <w:color w:val="000000"/>
          <w:sz w:val="24"/>
        </w:rPr>
      </w:pPr>
    </w:p>
    <w:p>
      <w:pPr>
        <w:ind w:firstLine="314" w:firstLineChars="131"/>
        <w:rPr>
          <w:color w:val="000000"/>
          <w:sz w:val="24"/>
        </w:rPr>
      </w:pPr>
    </w:p>
    <w:p>
      <w:pPr>
        <w:ind w:firstLine="314" w:firstLineChars="131"/>
        <w:rPr>
          <w:color w:val="000000"/>
          <w:sz w:val="24"/>
        </w:rPr>
      </w:pPr>
    </w:p>
    <w:p>
      <w:pPr>
        <w:ind w:firstLine="314" w:firstLineChars="131"/>
        <w:rPr>
          <w:color w:val="000000"/>
          <w:sz w:val="24"/>
        </w:rPr>
      </w:pPr>
    </w:p>
    <w:p>
      <w:pPr>
        <w:ind w:firstLine="314" w:firstLineChars="131"/>
        <w:rPr>
          <w:color w:val="000000"/>
          <w:sz w:val="24"/>
        </w:rPr>
      </w:pPr>
    </w:p>
    <w:p>
      <w:pPr>
        <w:ind w:firstLine="314" w:firstLineChars="131"/>
        <w:rPr>
          <w:color w:val="000000"/>
          <w:sz w:val="24"/>
        </w:rPr>
      </w:pPr>
    </w:p>
    <w:p>
      <w:pPr>
        <w:ind w:firstLine="314" w:firstLineChars="131"/>
        <w:rPr>
          <w:color w:val="000000"/>
          <w:sz w:val="24"/>
        </w:rPr>
      </w:pPr>
    </w:p>
    <w:p>
      <w:pPr>
        <w:ind w:firstLine="314" w:firstLineChars="131"/>
        <w:rPr>
          <w:color w:val="000000"/>
          <w:sz w:val="24"/>
        </w:rPr>
      </w:pPr>
    </w:p>
    <w:p>
      <w:pPr>
        <w:pStyle w:val="52"/>
        <w:rPr>
          <w:rFonts w:hint="eastAsia"/>
        </w:rPr>
      </w:pPr>
      <w:r>
        <w:rPr>
          <w:rFonts w:hint="eastAsia"/>
        </w:rPr>
        <w:t xml:space="preserve">建设项目基本情况 </w:t>
      </w:r>
      <w:r>
        <w:t xml:space="preserve">                                     </w:t>
      </w:r>
      <w:r>
        <w:rPr>
          <w:rFonts w:hint="eastAsia"/>
        </w:rPr>
        <w:t>(表一</w:t>
      </w:r>
      <w:r>
        <w:t>)</w:t>
      </w:r>
    </w:p>
    <w:tbl>
      <w:tblPr>
        <w:tblStyle w:val="69"/>
        <w:tblW w:w="9356"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82"/>
        <w:gridCol w:w="1473"/>
        <w:gridCol w:w="826"/>
        <w:gridCol w:w="587"/>
        <w:gridCol w:w="339"/>
        <w:gridCol w:w="1856"/>
        <w:gridCol w:w="392"/>
        <w:gridCol w:w="413"/>
        <w:gridCol w:w="789"/>
        <w:gridCol w:w="1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2" w:hRule="atLeast"/>
        </w:trPr>
        <w:tc>
          <w:tcPr>
            <w:tcW w:w="1582" w:type="dxa"/>
            <w:noWrap w:val="0"/>
            <w:vAlign w:val="center"/>
          </w:tcPr>
          <w:p>
            <w:pPr>
              <w:jc w:val="center"/>
              <w:rPr>
                <w:b/>
                <w:color w:val="000000"/>
                <w:sz w:val="24"/>
              </w:rPr>
            </w:pPr>
            <w:r>
              <w:rPr>
                <w:b/>
                <w:color w:val="000000"/>
                <w:sz w:val="24"/>
              </w:rPr>
              <w:t>项目名称</w:t>
            </w:r>
          </w:p>
        </w:tc>
        <w:tc>
          <w:tcPr>
            <w:tcW w:w="7774" w:type="dxa"/>
            <w:gridSpan w:val="9"/>
            <w:noWrap w:val="0"/>
            <w:vAlign w:val="center"/>
          </w:tcPr>
          <w:p>
            <w:pPr>
              <w:pStyle w:val="619"/>
              <w:topLinePunct w:val="0"/>
              <w:autoSpaceDE/>
              <w:autoSpaceDN/>
              <w:adjustRightInd/>
              <w:textAlignment w:val="auto"/>
              <w:rPr>
                <w:rFonts w:ascii="Times New Roman" w:hAnsi="Times New Roman"/>
                <w:color w:val="000000"/>
                <w:kern w:val="2"/>
                <w:sz w:val="24"/>
              </w:rPr>
            </w:pPr>
            <w:r>
              <w:rPr>
                <w:rFonts w:hint="eastAsia" w:ascii="Times New Roman" w:hAnsi="Times New Roman"/>
                <w:color w:val="000000"/>
                <w:kern w:val="2"/>
                <w:sz w:val="24"/>
                <w:szCs w:val="24"/>
              </w:rPr>
              <w:t>新建铁匠世家传统手工艺体验项目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3" w:hRule="atLeast"/>
        </w:trPr>
        <w:tc>
          <w:tcPr>
            <w:tcW w:w="1582" w:type="dxa"/>
            <w:noWrap w:val="0"/>
            <w:vAlign w:val="center"/>
          </w:tcPr>
          <w:p>
            <w:pPr>
              <w:jc w:val="center"/>
              <w:rPr>
                <w:b/>
                <w:color w:val="000000"/>
                <w:sz w:val="24"/>
              </w:rPr>
            </w:pPr>
            <w:r>
              <w:rPr>
                <w:b/>
                <w:color w:val="000000"/>
                <w:sz w:val="24"/>
              </w:rPr>
              <w:t>建设单位</w:t>
            </w:r>
          </w:p>
        </w:tc>
        <w:tc>
          <w:tcPr>
            <w:tcW w:w="7774" w:type="dxa"/>
            <w:gridSpan w:val="9"/>
            <w:noWrap w:val="0"/>
            <w:vAlign w:val="center"/>
          </w:tcPr>
          <w:p>
            <w:pPr>
              <w:pStyle w:val="619"/>
              <w:topLinePunct w:val="0"/>
              <w:autoSpaceDE/>
              <w:autoSpaceDN/>
              <w:adjustRightInd/>
              <w:textAlignment w:val="auto"/>
              <w:rPr>
                <w:rFonts w:ascii="Times New Roman" w:hAnsi="Times New Roman"/>
                <w:color w:val="000000"/>
                <w:kern w:val="2"/>
                <w:sz w:val="24"/>
                <w:szCs w:val="24"/>
              </w:rPr>
            </w:pPr>
            <w:r>
              <w:rPr>
                <w:rFonts w:hint="eastAsia" w:ascii="Times New Roman" w:hAnsi="Times New Roman"/>
                <w:color w:val="000000"/>
                <w:kern w:val="2"/>
                <w:sz w:val="24"/>
                <w:szCs w:val="24"/>
              </w:rPr>
              <w:t>乐山铁匠世家手工刀具有限公司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rPr>
        <w:tc>
          <w:tcPr>
            <w:tcW w:w="1582" w:type="dxa"/>
            <w:noWrap w:val="0"/>
            <w:vAlign w:val="center"/>
          </w:tcPr>
          <w:p>
            <w:pPr>
              <w:jc w:val="center"/>
              <w:rPr>
                <w:b/>
                <w:color w:val="000000"/>
                <w:sz w:val="24"/>
              </w:rPr>
            </w:pPr>
            <w:r>
              <w:rPr>
                <w:b/>
                <w:color w:val="000000"/>
                <w:sz w:val="24"/>
              </w:rPr>
              <w:t>法人代表</w:t>
            </w:r>
          </w:p>
        </w:tc>
        <w:tc>
          <w:tcPr>
            <w:tcW w:w="2886" w:type="dxa"/>
            <w:gridSpan w:val="3"/>
            <w:noWrap w:val="0"/>
            <w:vAlign w:val="center"/>
          </w:tcPr>
          <w:p>
            <w:pPr>
              <w:pStyle w:val="619"/>
              <w:topLinePunct w:val="0"/>
              <w:autoSpaceDE/>
              <w:autoSpaceDN/>
              <w:adjustRightInd/>
              <w:textAlignment w:val="auto"/>
              <w:rPr>
                <w:rFonts w:hint="eastAsia" w:ascii="Times New Roman" w:hAnsi="Times New Roman"/>
                <w:color w:val="000000"/>
                <w:kern w:val="2"/>
                <w:sz w:val="24"/>
              </w:rPr>
            </w:pPr>
            <w:r>
              <w:rPr>
                <w:rFonts w:hint="eastAsia" w:ascii="Times New Roman" w:hAnsi="Times New Roman"/>
                <w:color w:val="000000"/>
                <w:kern w:val="2"/>
                <w:sz w:val="24"/>
              </w:rPr>
              <w:t>饶祥</w:t>
            </w:r>
          </w:p>
        </w:tc>
        <w:tc>
          <w:tcPr>
            <w:tcW w:w="3000" w:type="dxa"/>
            <w:gridSpan w:val="4"/>
            <w:noWrap w:val="0"/>
            <w:vAlign w:val="center"/>
          </w:tcPr>
          <w:p>
            <w:pPr>
              <w:pStyle w:val="619"/>
              <w:topLinePunct w:val="0"/>
              <w:autoSpaceDE/>
              <w:autoSpaceDN/>
              <w:adjustRightInd/>
              <w:textAlignment w:val="auto"/>
              <w:rPr>
                <w:rFonts w:ascii="Times New Roman" w:hAnsi="Times New Roman"/>
                <w:b/>
                <w:color w:val="000000"/>
                <w:kern w:val="2"/>
                <w:sz w:val="24"/>
              </w:rPr>
            </w:pPr>
            <w:r>
              <w:rPr>
                <w:rFonts w:ascii="Times New Roman" w:hAnsi="Times New Roman"/>
                <w:b/>
                <w:color w:val="000000"/>
                <w:sz w:val="24"/>
              </w:rPr>
              <w:t>联 系 人</w:t>
            </w:r>
          </w:p>
        </w:tc>
        <w:tc>
          <w:tcPr>
            <w:tcW w:w="1888" w:type="dxa"/>
            <w:gridSpan w:val="2"/>
            <w:noWrap w:val="0"/>
            <w:vAlign w:val="center"/>
          </w:tcPr>
          <w:p>
            <w:pPr>
              <w:pStyle w:val="619"/>
              <w:topLinePunct w:val="0"/>
              <w:autoSpaceDE/>
              <w:autoSpaceDN/>
              <w:adjustRightInd/>
              <w:textAlignment w:val="auto"/>
              <w:rPr>
                <w:rFonts w:hint="eastAsia" w:ascii="Times New Roman" w:hAnsi="Times New Roman"/>
                <w:color w:val="000000"/>
                <w:kern w:val="2"/>
                <w:sz w:val="24"/>
              </w:rPr>
            </w:pPr>
            <w:r>
              <w:rPr>
                <w:rFonts w:hint="eastAsia" w:ascii="Times New Roman" w:hAnsi="Times New Roman"/>
                <w:color w:val="000000"/>
                <w:kern w:val="2"/>
                <w:sz w:val="24"/>
              </w:rPr>
              <w:t>饶祥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3" w:hRule="atLeast"/>
        </w:trPr>
        <w:tc>
          <w:tcPr>
            <w:tcW w:w="1582" w:type="dxa"/>
            <w:noWrap w:val="0"/>
            <w:vAlign w:val="center"/>
          </w:tcPr>
          <w:p>
            <w:pPr>
              <w:jc w:val="center"/>
              <w:rPr>
                <w:b/>
                <w:color w:val="000000"/>
                <w:sz w:val="24"/>
              </w:rPr>
            </w:pPr>
            <w:r>
              <w:rPr>
                <w:rFonts w:hint="eastAsia"/>
                <w:b/>
                <w:color w:val="000000"/>
                <w:sz w:val="24"/>
                <w:lang w:eastAsia="zh-CN"/>
              </w:rPr>
              <w:t>通信</w:t>
            </w:r>
            <w:r>
              <w:rPr>
                <w:b/>
                <w:color w:val="000000"/>
                <w:sz w:val="24"/>
              </w:rPr>
              <w:t>地址</w:t>
            </w:r>
          </w:p>
        </w:tc>
        <w:tc>
          <w:tcPr>
            <w:tcW w:w="7774" w:type="dxa"/>
            <w:gridSpan w:val="9"/>
            <w:noWrap w:val="0"/>
            <w:vAlign w:val="center"/>
          </w:tcPr>
          <w:p>
            <w:pPr>
              <w:ind w:firstLine="25"/>
              <w:jc w:val="center"/>
              <w:rPr>
                <w:rFonts w:hint="eastAsia"/>
                <w:sz w:val="24"/>
              </w:rPr>
            </w:pPr>
            <w:r>
              <w:rPr>
                <w:rFonts w:hint="eastAsia"/>
                <w:sz w:val="24"/>
              </w:rPr>
              <w:t>乐山市市中区悦来乡龙岩村二组398号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rPr>
        <w:tc>
          <w:tcPr>
            <w:tcW w:w="1582" w:type="dxa"/>
            <w:noWrap w:val="0"/>
            <w:vAlign w:val="center"/>
          </w:tcPr>
          <w:p>
            <w:pPr>
              <w:jc w:val="center"/>
              <w:rPr>
                <w:b/>
                <w:color w:val="000000"/>
                <w:sz w:val="24"/>
              </w:rPr>
            </w:pPr>
            <w:r>
              <w:rPr>
                <w:b/>
                <w:color w:val="000000"/>
                <w:sz w:val="24"/>
              </w:rPr>
              <w:t>联系电话</w:t>
            </w:r>
          </w:p>
        </w:tc>
        <w:tc>
          <w:tcPr>
            <w:tcW w:w="2299" w:type="dxa"/>
            <w:gridSpan w:val="2"/>
            <w:noWrap w:val="0"/>
            <w:vAlign w:val="center"/>
          </w:tcPr>
          <w:p>
            <w:pPr>
              <w:jc w:val="center"/>
              <w:rPr>
                <w:rFonts w:hint="eastAsia"/>
                <w:color w:val="000000"/>
                <w:sz w:val="24"/>
                <w:szCs w:val="20"/>
              </w:rPr>
            </w:pPr>
            <w:r>
              <w:rPr>
                <w:color w:val="000000"/>
                <w:sz w:val="24"/>
                <w:szCs w:val="20"/>
              </w:rPr>
              <w:t>13158848300</w:t>
            </w:r>
          </w:p>
        </w:tc>
        <w:tc>
          <w:tcPr>
            <w:tcW w:w="926" w:type="dxa"/>
            <w:gridSpan w:val="2"/>
            <w:noWrap w:val="0"/>
            <w:vAlign w:val="center"/>
          </w:tcPr>
          <w:p>
            <w:pPr>
              <w:jc w:val="center"/>
              <w:rPr>
                <w:b/>
                <w:color w:val="000000"/>
                <w:sz w:val="24"/>
                <w:szCs w:val="20"/>
              </w:rPr>
            </w:pPr>
            <w:r>
              <w:rPr>
                <w:b/>
                <w:color w:val="000000"/>
                <w:sz w:val="24"/>
              </w:rPr>
              <w:t>传真</w:t>
            </w:r>
          </w:p>
        </w:tc>
        <w:tc>
          <w:tcPr>
            <w:tcW w:w="2248" w:type="dxa"/>
            <w:gridSpan w:val="2"/>
            <w:noWrap w:val="0"/>
            <w:vAlign w:val="center"/>
          </w:tcPr>
          <w:p>
            <w:pPr>
              <w:jc w:val="center"/>
              <w:rPr>
                <w:color w:val="000000"/>
                <w:sz w:val="24"/>
                <w:szCs w:val="20"/>
              </w:rPr>
            </w:pPr>
            <w:r>
              <w:rPr>
                <w:rFonts w:hint="eastAsia"/>
                <w:color w:val="000000"/>
                <w:sz w:val="24"/>
                <w:szCs w:val="20"/>
              </w:rPr>
              <w:t>/</w:t>
            </w:r>
          </w:p>
        </w:tc>
        <w:tc>
          <w:tcPr>
            <w:tcW w:w="1202" w:type="dxa"/>
            <w:gridSpan w:val="2"/>
            <w:noWrap w:val="0"/>
            <w:vAlign w:val="center"/>
          </w:tcPr>
          <w:p>
            <w:pPr>
              <w:jc w:val="center"/>
              <w:rPr>
                <w:b/>
                <w:color w:val="000000"/>
                <w:sz w:val="24"/>
                <w:szCs w:val="20"/>
              </w:rPr>
            </w:pPr>
            <w:r>
              <w:rPr>
                <w:b/>
                <w:color w:val="000000"/>
                <w:sz w:val="24"/>
              </w:rPr>
              <w:t>邮政编码</w:t>
            </w:r>
          </w:p>
        </w:tc>
        <w:tc>
          <w:tcPr>
            <w:tcW w:w="1099" w:type="dxa"/>
            <w:noWrap w:val="0"/>
            <w:vAlign w:val="center"/>
          </w:tcPr>
          <w:p>
            <w:pPr>
              <w:jc w:val="center"/>
              <w:rPr>
                <w:color w:val="000000"/>
                <w:sz w:val="24"/>
                <w:szCs w:val="20"/>
              </w:rPr>
            </w:pPr>
            <w:r>
              <w:rPr>
                <w:color w:val="000000"/>
                <w:sz w:val="24"/>
                <w:szCs w:val="20"/>
              </w:rPr>
              <w:t>614000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trPr>
        <w:tc>
          <w:tcPr>
            <w:tcW w:w="1582" w:type="dxa"/>
            <w:noWrap w:val="0"/>
            <w:vAlign w:val="center"/>
          </w:tcPr>
          <w:p>
            <w:pPr>
              <w:jc w:val="center"/>
              <w:rPr>
                <w:b/>
                <w:color w:val="000000"/>
                <w:sz w:val="24"/>
              </w:rPr>
            </w:pPr>
            <w:r>
              <w:rPr>
                <w:b/>
                <w:color w:val="000000"/>
                <w:sz w:val="24"/>
              </w:rPr>
              <w:t>建设地点</w:t>
            </w:r>
          </w:p>
        </w:tc>
        <w:tc>
          <w:tcPr>
            <w:tcW w:w="7774" w:type="dxa"/>
            <w:gridSpan w:val="9"/>
            <w:noWrap w:val="0"/>
            <w:vAlign w:val="center"/>
          </w:tcPr>
          <w:p>
            <w:pPr>
              <w:ind w:firstLine="25"/>
              <w:jc w:val="center"/>
              <w:rPr>
                <w:sz w:val="24"/>
              </w:rPr>
            </w:pPr>
            <w:r>
              <w:rPr>
                <w:rFonts w:hint="eastAsia"/>
                <w:sz w:val="24"/>
              </w:rPr>
              <w:t>乐山市市中区悦来乡龙岩村二组398号</w:t>
            </w:r>
          </w:p>
          <w:p>
            <w:pPr>
              <w:jc w:val="center"/>
              <w:rPr>
                <w:sz w:val="24"/>
              </w:rPr>
            </w:pPr>
            <w:r>
              <w:rPr>
                <w:sz w:val="24"/>
              </w:rPr>
              <w:t>（东经10</w:t>
            </w:r>
            <w:r>
              <w:rPr>
                <w:rFonts w:hint="eastAsia"/>
                <w:sz w:val="24"/>
              </w:rPr>
              <w:t>3</w:t>
            </w:r>
            <w:r>
              <w:rPr>
                <w:sz w:val="24"/>
              </w:rPr>
              <w:t>.7303°</w:t>
            </w:r>
            <w:r>
              <w:rPr>
                <w:rFonts w:hint="eastAsia"/>
                <w:sz w:val="24"/>
              </w:rPr>
              <w:t>，</w:t>
            </w:r>
            <w:r>
              <w:rPr>
                <w:sz w:val="24"/>
              </w:rPr>
              <w:t>北纬29</w:t>
            </w:r>
            <w:r>
              <w:rPr>
                <w:rFonts w:hint="eastAsia"/>
                <w:sz w:val="24"/>
              </w:rPr>
              <w:t>.6</w:t>
            </w:r>
            <w:r>
              <w:rPr>
                <w:sz w:val="24"/>
              </w:rPr>
              <w:t>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80" w:hRule="atLeast"/>
        </w:trPr>
        <w:tc>
          <w:tcPr>
            <w:tcW w:w="1582" w:type="dxa"/>
            <w:noWrap w:val="0"/>
            <w:vAlign w:val="center"/>
          </w:tcPr>
          <w:p>
            <w:pPr>
              <w:jc w:val="center"/>
              <w:rPr>
                <w:b/>
                <w:color w:val="000000"/>
                <w:sz w:val="24"/>
              </w:rPr>
            </w:pPr>
            <w:r>
              <w:rPr>
                <w:b/>
                <w:color w:val="000000"/>
                <w:sz w:val="24"/>
              </w:rPr>
              <w:t>立项审批部门</w:t>
            </w:r>
          </w:p>
        </w:tc>
        <w:tc>
          <w:tcPr>
            <w:tcW w:w="2886" w:type="dxa"/>
            <w:gridSpan w:val="3"/>
            <w:noWrap w:val="0"/>
            <w:vAlign w:val="center"/>
          </w:tcPr>
          <w:p>
            <w:pPr>
              <w:jc w:val="center"/>
              <w:rPr>
                <w:color w:val="000000"/>
                <w:sz w:val="24"/>
              </w:rPr>
            </w:pPr>
            <w:r>
              <w:rPr>
                <w:rFonts w:hint="eastAsia"/>
                <w:color w:val="000000"/>
                <w:sz w:val="24"/>
              </w:rPr>
              <w:t>乐山市市中区发展</w:t>
            </w:r>
          </w:p>
          <w:p>
            <w:pPr>
              <w:jc w:val="center"/>
              <w:rPr>
                <w:color w:val="000000"/>
                <w:sz w:val="24"/>
              </w:rPr>
            </w:pPr>
            <w:r>
              <w:rPr>
                <w:rFonts w:hint="eastAsia"/>
                <w:color w:val="000000"/>
                <w:sz w:val="24"/>
              </w:rPr>
              <w:t>和改革局</w:t>
            </w:r>
          </w:p>
        </w:tc>
        <w:tc>
          <w:tcPr>
            <w:tcW w:w="2195" w:type="dxa"/>
            <w:gridSpan w:val="2"/>
            <w:noWrap w:val="0"/>
            <w:vAlign w:val="center"/>
          </w:tcPr>
          <w:p>
            <w:pPr>
              <w:jc w:val="center"/>
              <w:rPr>
                <w:b/>
                <w:color w:val="000000"/>
                <w:sz w:val="24"/>
              </w:rPr>
            </w:pPr>
            <w:r>
              <w:rPr>
                <w:b/>
                <w:color w:val="000000"/>
                <w:sz w:val="24"/>
              </w:rPr>
              <w:t>批准文号</w:t>
            </w:r>
          </w:p>
        </w:tc>
        <w:tc>
          <w:tcPr>
            <w:tcW w:w="2693" w:type="dxa"/>
            <w:gridSpan w:val="4"/>
            <w:noWrap w:val="0"/>
            <w:vAlign w:val="center"/>
          </w:tcPr>
          <w:p>
            <w:pPr>
              <w:jc w:val="center"/>
              <w:rPr>
                <w:sz w:val="24"/>
              </w:rPr>
            </w:pPr>
            <w:r>
              <w:rPr>
                <w:rFonts w:hint="eastAsia"/>
                <w:sz w:val="24"/>
              </w:rPr>
              <w:t>川投资备【2018-511102-87-03-297542】FGQB-0152号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1582" w:type="dxa"/>
            <w:noWrap w:val="0"/>
            <w:vAlign w:val="center"/>
          </w:tcPr>
          <w:p>
            <w:pPr>
              <w:jc w:val="center"/>
              <w:rPr>
                <w:b/>
                <w:color w:val="000000"/>
                <w:sz w:val="24"/>
              </w:rPr>
            </w:pPr>
            <w:r>
              <w:rPr>
                <w:b/>
                <w:color w:val="000000"/>
                <w:sz w:val="24"/>
              </w:rPr>
              <w:t>建设性质</w:t>
            </w:r>
          </w:p>
        </w:tc>
        <w:tc>
          <w:tcPr>
            <w:tcW w:w="2886" w:type="dxa"/>
            <w:gridSpan w:val="3"/>
            <w:noWrap w:val="0"/>
            <w:vAlign w:val="center"/>
          </w:tcPr>
          <w:p>
            <w:pPr>
              <w:jc w:val="center"/>
              <w:rPr>
                <w:color w:val="000000"/>
                <w:sz w:val="24"/>
              </w:rPr>
            </w:pPr>
            <w:r>
              <w:rPr>
                <w:rFonts w:hint="eastAsia"/>
                <w:color w:val="000000"/>
                <w:sz w:val="24"/>
              </w:rPr>
              <w:t>新建</w:t>
            </w:r>
          </w:p>
        </w:tc>
        <w:tc>
          <w:tcPr>
            <w:tcW w:w="2195" w:type="dxa"/>
            <w:gridSpan w:val="2"/>
            <w:noWrap w:val="0"/>
            <w:vAlign w:val="center"/>
          </w:tcPr>
          <w:p>
            <w:pPr>
              <w:jc w:val="center"/>
              <w:rPr>
                <w:b/>
                <w:color w:val="000000"/>
                <w:sz w:val="24"/>
              </w:rPr>
            </w:pPr>
            <w:r>
              <w:rPr>
                <w:b/>
                <w:color w:val="000000"/>
                <w:sz w:val="24"/>
              </w:rPr>
              <w:t>行业类别及代码</w:t>
            </w:r>
          </w:p>
        </w:tc>
        <w:tc>
          <w:tcPr>
            <w:tcW w:w="2693" w:type="dxa"/>
            <w:gridSpan w:val="4"/>
            <w:noWrap w:val="0"/>
            <w:vAlign w:val="center"/>
          </w:tcPr>
          <w:p>
            <w:pPr>
              <w:spacing w:line="280" w:lineRule="exact"/>
              <w:jc w:val="center"/>
              <w:rPr>
                <w:rFonts w:hint="default" w:eastAsia="宋体"/>
                <w:lang w:val="en-US" w:eastAsia="zh-CN"/>
              </w:rPr>
            </w:pPr>
            <w:r>
              <w:rPr>
                <w:rFonts w:hint="eastAsia"/>
                <w:sz w:val="24"/>
                <w:lang w:val="en-US" w:eastAsia="zh-CN"/>
              </w:rPr>
              <w:t>C3324刀剪及类似日用金属工具制造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1582" w:type="dxa"/>
            <w:noWrap w:val="0"/>
            <w:vAlign w:val="center"/>
          </w:tcPr>
          <w:p>
            <w:pPr>
              <w:jc w:val="center"/>
              <w:rPr>
                <w:b/>
                <w:color w:val="000000"/>
                <w:sz w:val="24"/>
              </w:rPr>
            </w:pPr>
            <w:r>
              <w:rPr>
                <w:b/>
                <w:color w:val="000000"/>
                <w:sz w:val="24"/>
              </w:rPr>
              <w:t>占地面积</w:t>
            </w:r>
          </w:p>
        </w:tc>
        <w:tc>
          <w:tcPr>
            <w:tcW w:w="2886" w:type="dxa"/>
            <w:gridSpan w:val="3"/>
            <w:noWrap w:val="0"/>
            <w:vAlign w:val="center"/>
          </w:tcPr>
          <w:p>
            <w:pPr>
              <w:jc w:val="center"/>
              <w:rPr>
                <w:rFonts w:hint="default" w:eastAsia="宋体"/>
                <w:sz w:val="24"/>
                <w:lang w:val="en-US" w:eastAsia="zh-CN"/>
              </w:rPr>
            </w:pPr>
            <w:r>
              <w:rPr>
                <w:rFonts w:hint="eastAsia" w:eastAsia="宋体"/>
                <w:sz w:val="24"/>
                <w:lang w:val="en-US" w:eastAsia="zh-CN"/>
              </w:rPr>
              <w:t>20亩</w:t>
            </w:r>
          </w:p>
        </w:tc>
        <w:tc>
          <w:tcPr>
            <w:tcW w:w="2195" w:type="dxa"/>
            <w:gridSpan w:val="2"/>
            <w:noWrap w:val="0"/>
            <w:vAlign w:val="center"/>
          </w:tcPr>
          <w:p>
            <w:pPr>
              <w:jc w:val="center"/>
              <w:rPr>
                <w:b/>
                <w:color w:val="000000"/>
                <w:sz w:val="24"/>
              </w:rPr>
            </w:pPr>
            <w:r>
              <w:rPr>
                <w:b/>
                <w:color w:val="000000"/>
                <w:sz w:val="24"/>
              </w:rPr>
              <w:t>绿化面积</w:t>
            </w:r>
          </w:p>
          <w:p>
            <w:pPr>
              <w:jc w:val="center"/>
              <w:rPr>
                <w:b/>
                <w:color w:val="000000"/>
                <w:sz w:val="24"/>
              </w:rPr>
            </w:pPr>
            <w:r>
              <w:rPr>
                <w:b/>
                <w:color w:val="000000"/>
                <w:sz w:val="24"/>
              </w:rPr>
              <w:t>(平方米)</w:t>
            </w:r>
          </w:p>
        </w:tc>
        <w:tc>
          <w:tcPr>
            <w:tcW w:w="2693" w:type="dxa"/>
            <w:gridSpan w:val="4"/>
            <w:noWrap w:val="0"/>
            <w:vAlign w:val="center"/>
          </w:tcPr>
          <w:p>
            <w:pPr>
              <w:jc w:val="center"/>
              <w:rPr>
                <w:color w:val="000000"/>
                <w:sz w:val="24"/>
              </w:rPr>
            </w:pPr>
            <w:r>
              <w:rPr>
                <w:rFonts w:hint="eastAsia"/>
                <w:color w:val="000000"/>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9" w:hRule="atLeast"/>
        </w:trPr>
        <w:tc>
          <w:tcPr>
            <w:tcW w:w="1582" w:type="dxa"/>
            <w:noWrap w:val="0"/>
            <w:vAlign w:val="center"/>
          </w:tcPr>
          <w:p>
            <w:pPr>
              <w:jc w:val="center"/>
              <w:rPr>
                <w:b/>
                <w:color w:val="000000"/>
                <w:sz w:val="24"/>
              </w:rPr>
            </w:pPr>
            <w:r>
              <w:rPr>
                <w:b/>
                <w:color w:val="000000"/>
                <w:sz w:val="24"/>
              </w:rPr>
              <w:t>总投资</w:t>
            </w:r>
          </w:p>
          <w:p>
            <w:pPr>
              <w:jc w:val="center"/>
              <w:rPr>
                <w:b/>
                <w:color w:val="000000"/>
                <w:sz w:val="24"/>
              </w:rPr>
            </w:pPr>
            <w:r>
              <w:rPr>
                <w:b/>
                <w:color w:val="000000"/>
                <w:sz w:val="24"/>
              </w:rPr>
              <w:t>(万</w:t>
            </w:r>
            <w:r>
              <w:rPr>
                <w:rFonts w:hint="eastAsia"/>
                <w:b/>
                <w:color w:val="000000"/>
                <w:sz w:val="24"/>
              </w:rPr>
              <w:t>元</w:t>
            </w:r>
            <w:r>
              <w:rPr>
                <w:b/>
                <w:color w:val="000000"/>
                <w:sz w:val="24"/>
              </w:rPr>
              <w:t>)</w:t>
            </w:r>
          </w:p>
        </w:tc>
        <w:tc>
          <w:tcPr>
            <w:tcW w:w="1473" w:type="dxa"/>
            <w:noWrap w:val="0"/>
            <w:vAlign w:val="center"/>
          </w:tcPr>
          <w:p>
            <w:pPr>
              <w:jc w:val="center"/>
              <w:rPr>
                <w:rFonts w:hint="eastAsia"/>
                <w:color w:val="000000"/>
                <w:sz w:val="24"/>
                <w:szCs w:val="18"/>
              </w:rPr>
            </w:pPr>
            <w:r>
              <w:rPr>
                <w:color w:val="000000"/>
                <w:sz w:val="24"/>
                <w:szCs w:val="18"/>
              </w:rPr>
              <w:t>100</w:t>
            </w:r>
          </w:p>
        </w:tc>
        <w:tc>
          <w:tcPr>
            <w:tcW w:w="1413" w:type="dxa"/>
            <w:gridSpan w:val="2"/>
            <w:noWrap w:val="0"/>
            <w:vAlign w:val="center"/>
          </w:tcPr>
          <w:p>
            <w:pPr>
              <w:jc w:val="center"/>
              <w:rPr>
                <w:b/>
                <w:color w:val="000000"/>
                <w:sz w:val="24"/>
              </w:rPr>
            </w:pPr>
            <w:r>
              <w:rPr>
                <w:b/>
                <w:color w:val="000000"/>
                <w:sz w:val="24"/>
              </w:rPr>
              <w:t>其中:环保投资(万</w:t>
            </w:r>
            <w:r>
              <w:rPr>
                <w:rFonts w:hint="eastAsia"/>
                <w:b/>
                <w:color w:val="000000"/>
                <w:sz w:val="24"/>
              </w:rPr>
              <w:t>元</w:t>
            </w:r>
            <w:r>
              <w:rPr>
                <w:b/>
                <w:color w:val="000000"/>
                <w:sz w:val="24"/>
              </w:rPr>
              <w:t>)</w:t>
            </w:r>
          </w:p>
        </w:tc>
        <w:tc>
          <w:tcPr>
            <w:tcW w:w="2195" w:type="dxa"/>
            <w:gridSpan w:val="2"/>
            <w:noWrap w:val="0"/>
            <w:vAlign w:val="center"/>
          </w:tcPr>
          <w:p>
            <w:pPr>
              <w:jc w:val="center"/>
              <w:rPr>
                <w:rFonts w:hint="default" w:eastAsia="宋体"/>
                <w:color w:val="000000"/>
                <w:sz w:val="24"/>
                <w:lang w:val="en-US" w:eastAsia="zh-CN"/>
              </w:rPr>
            </w:pPr>
            <w:r>
              <w:rPr>
                <w:rFonts w:hint="eastAsia"/>
                <w:color w:val="000000"/>
                <w:sz w:val="24"/>
                <w:lang w:val="en-US" w:eastAsia="zh-CN"/>
              </w:rPr>
              <w:t>13.5</w:t>
            </w:r>
          </w:p>
        </w:tc>
        <w:tc>
          <w:tcPr>
            <w:tcW w:w="1594" w:type="dxa"/>
            <w:gridSpan w:val="3"/>
            <w:noWrap w:val="0"/>
            <w:vAlign w:val="center"/>
          </w:tcPr>
          <w:p>
            <w:pPr>
              <w:jc w:val="center"/>
              <w:rPr>
                <w:b/>
                <w:color w:val="000000"/>
                <w:sz w:val="24"/>
              </w:rPr>
            </w:pPr>
            <w:r>
              <w:rPr>
                <w:b/>
                <w:color w:val="000000"/>
                <w:sz w:val="24"/>
              </w:rPr>
              <w:t>环保投资占总投资比例</w:t>
            </w:r>
          </w:p>
        </w:tc>
        <w:tc>
          <w:tcPr>
            <w:tcW w:w="1099" w:type="dxa"/>
            <w:noWrap w:val="0"/>
            <w:vAlign w:val="center"/>
          </w:tcPr>
          <w:p>
            <w:pPr>
              <w:jc w:val="center"/>
              <w:rPr>
                <w:color w:val="000000"/>
                <w:sz w:val="24"/>
              </w:rPr>
            </w:pPr>
            <w:r>
              <w:rPr>
                <w:rFonts w:hint="eastAsia"/>
                <w:color w:val="000000"/>
                <w:sz w:val="24"/>
                <w:lang w:val="en-US" w:eastAsia="zh-CN"/>
              </w:rPr>
              <w:t>13.5</w:t>
            </w:r>
            <w:r>
              <w:rPr>
                <w:color w:val="000000"/>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5" w:hRule="atLeast"/>
        </w:trPr>
        <w:tc>
          <w:tcPr>
            <w:tcW w:w="1582" w:type="dxa"/>
            <w:tcBorders>
              <w:bottom w:val="single" w:color="auto" w:sz="4" w:space="0"/>
            </w:tcBorders>
            <w:noWrap w:val="0"/>
            <w:vAlign w:val="center"/>
          </w:tcPr>
          <w:p>
            <w:pPr>
              <w:jc w:val="center"/>
              <w:rPr>
                <w:b/>
                <w:color w:val="000000"/>
                <w:sz w:val="24"/>
              </w:rPr>
            </w:pPr>
            <w:r>
              <w:rPr>
                <w:b/>
                <w:color w:val="000000"/>
                <w:sz w:val="24"/>
              </w:rPr>
              <w:t>评价经费</w:t>
            </w:r>
          </w:p>
          <w:p>
            <w:pPr>
              <w:jc w:val="center"/>
              <w:rPr>
                <w:b/>
                <w:color w:val="000000"/>
                <w:sz w:val="24"/>
              </w:rPr>
            </w:pPr>
            <w:r>
              <w:rPr>
                <w:b/>
                <w:color w:val="000000"/>
                <w:sz w:val="24"/>
              </w:rPr>
              <w:t>(万元)</w:t>
            </w:r>
          </w:p>
        </w:tc>
        <w:tc>
          <w:tcPr>
            <w:tcW w:w="1473" w:type="dxa"/>
            <w:tcBorders>
              <w:bottom w:val="single" w:color="auto" w:sz="4" w:space="0"/>
            </w:tcBorders>
            <w:noWrap w:val="0"/>
            <w:vAlign w:val="center"/>
          </w:tcPr>
          <w:p>
            <w:pPr>
              <w:jc w:val="center"/>
              <w:rPr>
                <w:color w:val="000000"/>
                <w:sz w:val="24"/>
              </w:rPr>
            </w:pPr>
            <w:r>
              <w:rPr>
                <w:color w:val="000000"/>
                <w:sz w:val="24"/>
              </w:rPr>
              <w:t>-</w:t>
            </w:r>
          </w:p>
        </w:tc>
        <w:tc>
          <w:tcPr>
            <w:tcW w:w="1413" w:type="dxa"/>
            <w:gridSpan w:val="2"/>
            <w:tcBorders>
              <w:bottom w:val="single" w:color="auto" w:sz="4" w:space="0"/>
            </w:tcBorders>
            <w:noWrap w:val="0"/>
            <w:vAlign w:val="center"/>
          </w:tcPr>
          <w:p>
            <w:pPr>
              <w:jc w:val="center"/>
              <w:rPr>
                <w:b/>
                <w:color w:val="000000"/>
                <w:sz w:val="24"/>
              </w:rPr>
            </w:pPr>
            <w:r>
              <w:rPr>
                <w:b/>
                <w:color w:val="000000"/>
                <w:sz w:val="24"/>
              </w:rPr>
              <w:t>预计投产日期</w:t>
            </w:r>
          </w:p>
        </w:tc>
        <w:tc>
          <w:tcPr>
            <w:tcW w:w="4888" w:type="dxa"/>
            <w:gridSpan w:val="6"/>
            <w:tcBorders>
              <w:bottom w:val="single" w:color="auto" w:sz="4" w:space="0"/>
            </w:tcBorders>
            <w:noWrap w:val="0"/>
            <w:vAlign w:val="center"/>
          </w:tcPr>
          <w:p>
            <w:pPr>
              <w:jc w:val="center"/>
              <w:rPr>
                <w:color w:val="000000"/>
                <w:sz w:val="24"/>
              </w:rPr>
            </w:pPr>
            <w:r>
              <w:rPr>
                <w:rFonts w:hint="eastAsia"/>
                <w:color w:val="000000"/>
                <w:sz w:val="24"/>
              </w:rPr>
              <w:t>201</w:t>
            </w:r>
            <w:r>
              <w:rPr>
                <w:color w:val="000000"/>
                <w:sz w:val="24"/>
              </w:rPr>
              <w:t>9</w:t>
            </w:r>
            <w:r>
              <w:rPr>
                <w:rFonts w:hint="eastAsia"/>
                <w:color w:val="000000"/>
                <w:sz w:val="24"/>
              </w:rPr>
              <w:t>年10月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5" w:hRule="atLeast"/>
        </w:trPr>
        <w:tc>
          <w:tcPr>
            <w:tcW w:w="9356" w:type="dxa"/>
            <w:gridSpan w:val="10"/>
            <w:tcBorders>
              <w:bottom w:val="single" w:color="auto" w:sz="4" w:space="0"/>
            </w:tcBorders>
            <w:noWrap w:val="0"/>
            <w:vAlign w:val="center"/>
          </w:tcPr>
          <w:p>
            <w:pPr>
              <w:spacing w:line="360" w:lineRule="auto"/>
              <w:rPr>
                <w:b/>
                <w:bCs/>
                <w:color w:val="000000"/>
                <w:sz w:val="24"/>
              </w:rPr>
            </w:pPr>
            <w:r>
              <w:rPr>
                <w:b/>
                <w:color w:val="000000"/>
                <w:sz w:val="24"/>
              </w:rPr>
              <w:t xml:space="preserve">工程内容及规模: </w:t>
            </w:r>
          </w:p>
          <w:p>
            <w:pPr>
              <w:spacing w:line="360" w:lineRule="auto"/>
              <w:ind w:firstLine="482"/>
              <w:rPr>
                <w:b/>
                <w:color w:val="000000"/>
                <w:sz w:val="24"/>
              </w:rPr>
            </w:pPr>
            <w:r>
              <w:rPr>
                <w:b/>
                <w:color w:val="000000"/>
                <w:sz w:val="24"/>
              </w:rPr>
              <w:t>一、项目简介：</w:t>
            </w:r>
          </w:p>
          <w:p>
            <w:pPr>
              <w:pStyle w:val="15"/>
              <w:adjustRightInd w:val="0"/>
              <w:snapToGrid w:val="0"/>
              <w:ind w:firstLine="480"/>
              <w:textAlignment w:val="center"/>
              <w:outlineLvl w:val="0"/>
              <w:rPr>
                <w:rFonts w:hint="eastAsia"/>
                <w:b w:val="0"/>
                <w:bCs w:val="0"/>
                <w:sz w:val="24"/>
                <w:lang w:eastAsia="zh-CN"/>
              </w:rPr>
            </w:pPr>
            <w:r>
              <w:rPr>
                <w:rFonts w:hint="eastAsia"/>
                <w:b w:val="0"/>
                <w:bCs w:val="0"/>
                <w:sz w:val="24"/>
              </w:rPr>
              <w:t>乐山铁匠世家手工刀具有限公司成立于2012年3月30日。2014年7月，铁匠世家被阿里巴巴专业研究机构-阿里研究院撰写进“传统企业转型”十佳案例；</w:t>
            </w:r>
            <w:r>
              <w:rPr>
                <w:rFonts w:hint="eastAsia"/>
                <w:b w:val="0"/>
                <w:bCs w:val="0"/>
                <w:sz w:val="24"/>
                <w:lang w:val="en-US" w:eastAsia="zh-CN"/>
              </w:rPr>
              <w:t>2014年9月</w:t>
            </w:r>
            <w:r>
              <w:rPr>
                <w:rFonts w:hint="eastAsia"/>
                <w:b w:val="0"/>
                <w:bCs w:val="0"/>
                <w:sz w:val="24"/>
              </w:rPr>
              <w:t>被乐山市创建省级创业型城市工作领导小组评为“乐山市优秀创业项目”</w:t>
            </w:r>
            <w:r>
              <w:rPr>
                <w:rFonts w:hint="eastAsia"/>
                <w:b w:val="0"/>
                <w:bCs w:val="0"/>
                <w:sz w:val="24"/>
                <w:lang w:eastAsia="zh-CN"/>
              </w:rPr>
              <w:t>，同年</w:t>
            </w:r>
            <w:r>
              <w:rPr>
                <w:rFonts w:hint="eastAsia"/>
                <w:b w:val="0"/>
                <w:bCs w:val="0"/>
                <w:sz w:val="24"/>
              </w:rPr>
              <w:t>入选“四川省商务厅培育内贸流通服务业电子商务重点项目”</w:t>
            </w:r>
            <w:r>
              <w:rPr>
                <w:rFonts w:hint="eastAsia"/>
                <w:b w:val="0"/>
                <w:bCs w:val="0"/>
                <w:sz w:val="24"/>
                <w:lang w:eastAsia="zh-CN"/>
              </w:rPr>
              <w:t>。</w:t>
            </w:r>
          </w:p>
          <w:p>
            <w:pPr>
              <w:pStyle w:val="15"/>
              <w:adjustRightInd w:val="0"/>
              <w:snapToGrid w:val="0"/>
              <w:ind w:firstLine="480"/>
              <w:textAlignment w:val="center"/>
              <w:outlineLvl w:val="0"/>
              <w:rPr>
                <w:b w:val="0"/>
                <w:sz w:val="24"/>
              </w:rPr>
            </w:pPr>
            <w:r>
              <w:rPr>
                <w:rFonts w:hint="eastAsia"/>
                <w:b w:val="0"/>
                <w:sz w:val="24"/>
              </w:rPr>
              <w:t>为了进一步传承和发展传统手工制刀工艺，乐山铁匠世家手工刀具有限公司决定租用场地，新建铁匠世家传统手工艺体验项目，拟建设地点位于乐山市市中区悦来乡龙岩村。</w:t>
            </w:r>
          </w:p>
          <w:p>
            <w:pPr>
              <w:pStyle w:val="15"/>
              <w:adjustRightInd w:val="0"/>
              <w:snapToGrid w:val="0"/>
              <w:ind w:firstLine="480"/>
              <w:textAlignment w:val="center"/>
              <w:outlineLvl w:val="0"/>
              <w:rPr>
                <w:b w:val="0"/>
                <w:sz w:val="24"/>
              </w:rPr>
            </w:pPr>
            <w:r>
              <w:rPr>
                <w:b w:val="0"/>
                <w:sz w:val="24"/>
              </w:rPr>
              <w:t>根据《中华人民共和国环境保护法》、《中华人民共和国环境影响评价法》和《建设项目环境保护管理办法》国务院令第682号，该项目需进行环境影响评价工作，依据《建设项目环境影响评价分类管理名录》规定，该项目需编制环境影响评价报告表。为此，</w:t>
            </w:r>
            <w:r>
              <w:rPr>
                <w:rFonts w:hint="eastAsia"/>
                <w:b w:val="0"/>
                <w:sz w:val="24"/>
              </w:rPr>
              <w:t>乐山铁匠世家手工刀具有限公司</w:t>
            </w:r>
            <w:r>
              <w:rPr>
                <w:b w:val="0"/>
                <w:sz w:val="24"/>
              </w:rPr>
              <w:t>于2018年6月委托我</w:t>
            </w:r>
            <w:r>
              <w:rPr>
                <w:rFonts w:hint="eastAsia"/>
                <w:b w:val="0"/>
                <w:sz w:val="24"/>
              </w:rPr>
              <w:t>四川省国环环境工程咨询有限公司</w:t>
            </w:r>
            <w:r>
              <w:rPr>
                <w:b w:val="0"/>
                <w:sz w:val="24"/>
              </w:rPr>
              <w:t>承担“</w:t>
            </w:r>
            <w:r>
              <w:rPr>
                <w:rFonts w:hint="eastAsia"/>
                <w:b w:val="0"/>
                <w:sz w:val="24"/>
              </w:rPr>
              <w:t>新建铁匠世家传统手工艺体验项目</w:t>
            </w:r>
            <w:r>
              <w:rPr>
                <w:b w:val="0"/>
                <w:sz w:val="24"/>
              </w:rPr>
              <w:t>”的环境影响报告表的编制工作。接受委托后，我单位立即组织有关技术人员</w:t>
            </w:r>
            <w:r>
              <w:rPr>
                <w:b w:val="0"/>
                <w:bCs w:val="0"/>
                <w:sz w:val="24"/>
              </w:rPr>
              <w:t>对项目进行现场踏勘和调查，了解了项目周围区域的自然环境和社会环境，收集了项目相关</w:t>
            </w:r>
            <w:r>
              <w:rPr>
                <w:b w:val="0"/>
                <w:sz w:val="24"/>
              </w:rPr>
              <w:t>资料。依据有关法律、法规文件及相关技术规范和要求，在此基础上开展了该项目的环境影响评价工作。</w:t>
            </w:r>
          </w:p>
          <w:p>
            <w:pPr>
              <w:pStyle w:val="160"/>
              <w:ind w:firstLine="482"/>
              <w:textAlignment w:val="center"/>
              <w:rPr>
                <w:rFonts w:ascii="Times New Roman" w:hAnsi="Times New Roman"/>
                <w:sz w:val="24"/>
                <w:szCs w:val="24"/>
              </w:rPr>
            </w:pPr>
            <w:r>
              <w:rPr>
                <w:rFonts w:hint="eastAsia" w:ascii="Times New Roman" w:hAnsi="宋体"/>
                <w:sz w:val="24"/>
                <w:szCs w:val="24"/>
              </w:rPr>
              <w:t>二</w:t>
            </w:r>
            <w:r>
              <w:rPr>
                <w:rFonts w:ascii="Times New Roman" w:hAnsi="宋体"/>
                <w:sz w:val="24"/>
                <w:szCs w:val="24"/>
              </w:rPr>
              <w:t>、项目建设的可行性</w:t>
            </w:r>
          </w:p>
          <w:p>
            <w:pPr>
              <w:spacing w:line="360" w:lineRule="auto"/>
              <w:ind w:firstLine="482" w:firstLineChars="200"/>
              <w:jc w:val="left"/>
              <w:textAlignment w:val="center"/>
              <w:rPr>
                <w:b/>
                <w:sz w:val="24"/>
              </w:rPr>
            </w:pPr>
            <w:r>
              <w:rPr>
                <w:b/>
                <w:sz w:val="24"/>
              </w:rPr>
              <w:t>2.1产业政策符合性分析</w:t>
            </w:r>
          </w:p>
          <w:p>
            <w:pPr>
              <w:spacing w:line="360" w:lineRule="auto"/>
              <w:ind w:firstLine="480" w:firstLineChars="200"/>
              <w:rPr>
                <w:sz w:val="24"/>
              </w:rPr>
            </w:pPr>
            <w:r>
              <w:rPr>
                <w:rFonts w:hint="eastAsia"/>
                <w:sz w:val="24"/>
              </w:rPr>
              <w:t>本项目租用厂房</w:t>
            </w:r>
            <w:r>
              <w:rPr>
                <w:sz w:val="24"/>
              </w:rPr>
              <w:t>3000</w:t>
            </w:r>
            <w:r>
              <w:rPr>
                <w:rFonts w:hint="eastAsia"/>
                <w:sz w:val="24"/>
              </w:rPr>
              <w:t>平方米，建设铁匠世家传统手工艺体验项目。根据</w:t>
            </w:r>
            <w:r>
              <w:rPr>
                <w:sz w:val="24"/>
              </w:rPr>
              <w:t>《产业结调整指导目录(2011年本)修订版》</w:t>
            </w:r>
            <w:r>
              <w:rPr>
                <w:rFonts w:hint="eastAsia" w:ascii="宋体" w:hAnsi="宋体" w:eastAsia="宋体" w:cs="宋体"/>
                <w:color w:val="000000"/>
                <w:spacing w:val="20"/>
                <w:kern w:val="2"/>
                <w:sz w:val="24"/>
                <w:szCs w:val="28"/>
                <w:lang w:val="en-US" w:eastAsia="zh-CN" w:bidi="ar"/>
              </w:rPr>
              <w:t>，本项目不属于其中的鼓励类、限制类和淘汰类，属于允许类。</w:t>
            </w:r>
            <w:r>
              <w:rPr>
                <w:rFonts w:hint="eastAsia"/>
                <w:sz w:val="24"/>
              </w:rPr>
              <w:t>且</w:t>
            </w:r>
            <w:r>
              <w:rPr>
                <w:rFonts w:hint="eastAsia" w:ascii="宋体" w:hAnsi="宋体" w:cs="宋体"/>
                <w:sz w:val="24"/>
              </w:rPr>
              <w:t>本项目具有乐山市市中区发展和改革局核发的企业投资项目备案通知书</w:t>
            </w:r>
            <w:r>
              <w:rPr>
                <w:rFonts w:hint="eastAsia"/>
                <w:sz w:val="24"/>
              </w:rPr>
              <w:t>，川投资备【2018-511102-87-03-297542】FGQB-0152号，项目建设符合产业政策。</w:t>
            </w:r>
          </w:p>
          <w:p>
            <w:pPr>
              <w:spacing w:line="360" w:lineRule="auto"/>
              <w:ind w:firstLine="480" w:firstLineChars="200"/>
              <w:jc w:val="left"/>
              <w:textAlignment w:val="center"/>
              <w:rPr>
                <w:sz w:val="24"/>
              </w:rPr>
            </w:pPr>
            <w:r>
              <w:rPr>
                <w:sz w:val="24"/>
              </w:rPr>
              <w:t>因此本项目的建设符合国家的产业政策。</w:t>
            </w:r>
          </w:p>
          <w:p>
            <w:pPr>
              <w:spacing w:line="360" w:lineRule="auto"/>
              <w:ind w:firstLine="482" w:firstLineChars="200"/>
              <w:jc w:val="left"/>
              <w:textAlignment w:val="center"/>
              <w:rPr>
                <w:b/>
                <w:sz w:val="24"/>
              </w:rPr>
            </w:pPr>
            <w:r>
              <w:rPr>
                <w:b/>
                <w:sz w:val="24"/>
              </w:rPr>
              <w:t>2.</w:t>
            </w:r>
            <w:r>
              <w:rPr>
                <w:rFonts w:hint="eastAsia"/>
                <w:b/>
                <w:sz w:val="24"/>
              </w:rPr>
              <w:t>2相关技术规范的符合性</w:t>
            </w:r>
          </w:p>
          <w:p>
            <w:pPr>
              <w:spacing w:line="360" w:lineRule="auto"/>
              <w:ind w:firstLine="480" w:firstLineChars="200"/>
              <w:rPr>
                <w:sz w:val="24"/>
              </w:rPr>
            </w:pPr>
            <w:r>
              <w:rPr>
                <w:rFonts w:hint="eastAsia"/>
                <w:sz w:val="24"/>
              </w:rPr>
              <w:t>1、与大气污染防治等相关规划符合性分析</w:t>
            </w:r>
          </w:p>
          <w:p>
            <w:pPr>
              <w:spacing w:line="360" w:lineRule="auto"/>
              <w:ind w:firstLine="480" w:firstLineChars="200"/>
              <w:rPr>
                <w:sz w:val="24"/>
              </w:rPr>
            </w:pPr>
            <w:r>
              <w:rPr>
                <w:rFonts w:hint="eastAsia"/>
                <w:sz w:val="24"/>
              </w:rPr>
              <w:t>本项目与《四川省灰霾污染防治实施方案（川环发〔2013〕78  号）》、《四川省大气污染防治行动计划实施细则2017年度实施计划》川办函〔2017〕102号的符合性如下所示：</w:t>
            </w:r>
          </w:p>
          <w:p>
            <w:pPr>
              <w:spacing w:line="360" w:lineRule="auto"/>
              <w:jc w:val="center"/>
              <w:outlineLvl w:val="0"/>
              <w:rPr>
                <w:rFonts w:hint="eastAsia"/>
                <w:b/>
                <w:sz w:val="24"/>
                <w:szCs w:val="21"/>
              </w:rPr>
            </w:pPr>
            <w:r>
              <w:rPr>
                <w:rFonts w:hint="eastAsia"/>
                <w:b/>
                <w:sz w:val="24"/>
                <w:szCs w:val="21"/>
              </w:rPr>
              <w:t>表1-</w:t>
            </w:r>
            <w:r>
              <w:rPr>
                <w:b/>
                <w:sz w:val="24"/>
                <w:szCs w:val="21"/>
              </w:rPr>
              <w:t>1</w:t>
            </w:r>
            <w:r>
              <w:rPr>
                <w:rFonts w:hint="eastAsia"/>
                <w:b/>
                <w:sz w:val="24"/>
                <w:szCs w:val="21"/>
              </w:rPr>
              <w:t xml:space="preserve"> 与大气污染防治等相关规划符合性分析</w:t>
            </w:r>
          </w:p>
          <w:tbl>
            <w:tblPr>
              <w:tblStyle w:val="69"/>
              <w:tblW w:w="913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4656"/>
              <w:gridCol w:w="1916"/>
              <w:gridCol w:w="104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17" w:type="dxa"/>
                  <w:noWrap w:val="0"/>
                  <w:vAlign w:val="top"/>
                </w:tcPr>
                <w:p>
                  <w:pPr>
                    <w:jc w:val="center"/>
                    <w:rPr>
                      <w:rFonts w:hint="eastAsia"/>
                      <w:sz w:val="18"/>
                      <w:szCs w:val="18"/>
                    </w:rPr>
                  </w:pPr>
                  <w:r>
                    <w:rPr>
                      <w:rFonts w:hint="eastAsia"/>
                      <w:sz w:val="18"/>
                      <w:szCs w:val="18"/>
                    </w:rPr>
                    <w:t>规划文件</w:t>
                  </w:r>
                </w:p>
              </w:tc>
              <w:tc>
                <w:tcPr>
                  <w:tcW w:w="4656" w:type="dxa"/>
                  <w:noWrap w:val="0"/>
                  <w:vAlign w:val="top"/>
                </w:tcPr>
                <w:p>
                  <w:pPr>
                    <w:jc w:val="center"/>
                    <w:rPr>
                      <w:rFonts w:hint="eastAsia"/>
                      <w:sz w:val="18"/>
                      <w:szCs w:val="18"/>
                    </w:rPr>
                  </w:pPr>
                  <w:r>
                    <w:rPr>
                      <w:rFonts w:hint="eastAsia"/>
                      <w:sz w:val="18"/>
                      <w:szCs w:val="18"/>
                    </w:rPr>
                    <w:t>规划要求</w:t>
                  </w:r>
                </w:p>
              </w:tc>
              <w:tc>
                <w:tcPr>
                  <w:tcW w:w="1916" w:type="dxa"/>
                  <w:noWrap w:val="0"/>
                  <w:vAlign w:val="top"/>
                </w:tcPr>
                <w:p>
                  <w:pPr>
                    <w:jc w:val="center"/>
                    <w:rPr>
                      <w:rFonts w:hint="eastAsia"/>
                      <w:sz w:val="18"/>
                      <w:szCs w:val="18"/>
                    </w:rPr>
                  </w:pPr>
                  <w:r>
                    <w:rPr>
                      <w:rFonts w:hint="eastAsia"/>
                      <w:sz w:val="18"/>
                      <w:szCs w:val="18"/>
                    </w:rPr>
                    <w:t>本项目情况</w:t>
                  </w:r>
                </w:p>
              </w:tc>
              <w:tc>
                <w:tcPr>
                  <w:tcW w:w="1041" w:type="dxa"/>
                  <w:noWrap w:val="0"/>
                  <w:vAlign w:val="center"/>
                </w:tcPr>
                <w:p>
                  <w:pPr>
                    <w:jc w:val="center"/>
                    <w:rPr>
                      <w:rFonts w:hint="eastAsia"/>
                      <w:sz w:val="18"/>
                      <w:szCs w:val="18"/>
                    </w:rPr>
                  </w:pPr>
                  <w:r>
                    <w:rPr>
                      <w:rFonts w:hint="eastAsia"/>
                      <w:sz w:val="18"/>
                      <w:szCs w:val="18"/>
                    </w:rPr>
                    <w:t>符合性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17" w:type="dxa"/>
                  <w:vMerge w:val="restart"/>
                  <w:noWrap w:val="0"/>
                  <w:vAlign w:val="top"/>
                </w:tcPr>
                <w:p>
                  <w:pPr>
                    <w:jc w:val="left"/>
                    <w:rPr>
                      <w:sz w:val="18"/>
                      <w:szCs w:val="18"/>
                    </w:rPr>
                  </w:pPr>
                </w:p>
                <w:p>
                  <w:pPr>
                    <w:jc w:val="left"/>
                    <w:rPr>
                      <w:sz w:val="18"/>
                      <w:szCs w:val="18"/>
                    </w:rPr>
                  </w:pPr>
                </w:p>
                <w:p>
                  <w:pPr>
                    <w:jc w:val="left"/>
                    <w:rPr>
                      <w:sz w:val="18"/>
                      <w:szCs w:val="18"/>
                    </w:rPr>
                  </w:pPr>
                </w:p>
                <w:p>
                  <w:pPr>
                    <w:jc w:val="left"/>
                    <w:rPr>
                      <w:sz w:val="18"/>
                      <w:szCs w:val="18"/>
                    </w:rPr>
                  </w:pPr>
                </w:p>
                <w:p>
                  <w:pPr>
                    <w:jc w:val="left"/>
                    <w:rPr>
                      <w:sz w:val="18"/>
                      <w:szCs w:val="18"/>
                    </w:rPr>
                  </w:pPr>
                </w:p>
                <w:p>
                  <w:pPr>
                    <w:jc w:val="left"/>
                    <w:rPr>
                      <w:rFonts w:hint="eastAsia"/>
                      <w:sz w:val="18"/>
                      <w:szCs w:val="18"/>
                    </w:rPr>
                  </w:pPr>
                  <w:r>
                    <w:rPr>
                      <w:rFonts w:hint="eastAsia"/>
                      <w:sz w:val="18"/>
                      <w:szCs w:val="18"/>
                    </w:rPr>
                    <w:t>《四川省灰霾污染防治实施方案（川环发〔2013〕78  号）》</w:t>
                  </w:r>
                </w:p>
              </w:tc>
              <w:tc>
                <w:tcPr>
                  <w:tcW w:w="4656" w:type="dxa"/>
                  <w:noWrap w:val="0"/>
                  <w:vAlign w:val="top"/>
                </w:tcPr>
                <w:p>
                  <w:pPr>
                    <w:rPr>
                      <w:rFonts w:hint="eastAsia"/>
                      <w:sz w:val="18"/>
                      <w:szCs w:val="18"/>
                    </w:rPr>
                  </w:pPr>
                  <w:r>
                    <w:rPr>
                      <w:rFonts w:hint="eastAsia"/>
                      <w:sz w:val="18"/>
                      <w:szCs w:val="18"/>
                    </w:rPr>
                    <w:t>国控一般控制区的13 个市城市建成区、市辖区要严格禁止新建不符合国家产业政策和行业准入条件的煤电、钢铁、建材、焦化、有色、石化、化工等行业中的高污染项目，城市建成区、工业园区禁止新建20 蒸吨/小时以下的高污染燃料锅炉。</w:t>
                  </w:r>
                </w:p>
              </w:tc>
              <w:tc>
                <w:tcPr>
                  <w:tcW w:w="1916" w:type="dxa"/>
                  <w:noWrap w:val="0"/>
                  <w:vAlign w:val="center"/>
                </w:tcPr>
                <w:p>
                  <w:pPr>
                    <w:jc w:val="center"/>
                    <w:rPr>
                      <w:rFonts w:hint="eastAsia"/>
                      <w:sz w:val="18"/>
                      <w:szCs w:val="18"/>
                    </w:rPr>
                  </w:pPr>
                  <w:r>
                    <w:rPr>
                      <w:rFonts w:hint="eastAsia"/>
                      <w:sz w:val="18"/>
                      <w:szCs w:val="18"/>
                    </w:rPr>
                    <w:t>本项目符合国家产业政策及行业准入，不属于高污染项目</w:t>
                  </w:r>
                </w:p>
              </w:tc>
              <w:tc>
                <w:tcPr>
                  <w:tcW w:w="1041" w:type="dxa"/>
                  <w:noWrap w:val="0"/>
                  <w:vAlign w:val="center"/>
                </w:tcPr>
                <w:p>
                  <w:pPr>
                    <w:jc w:val="center"/>
                    <w:rPr>
                      <w:rFonts w:hint="eastAsia"/>
                      <w:sz w:val="18"/>
                      <w:szCs w:val="18"/>
                    </w:rPr>
                  </w:pPr>
                  <w:r>
                    <w:rPr>
                      <w:rFonts w:hint="eastAsia"/>
                      <w:sz w:val="18"/>
                      <w:szCs w:val="18"/>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17" w:type="dxa"/>
                  <w:vMerge w:val="continue"/>
                  <w:noWrap w:val="0"/>
                  <w:vAlign w:val="top"/>
                </w:tcPr>
                <w:p>
                  <w:pPr>
                    <w:jc w:val="left"/>
                    <w:rPr>
                      <w:rFonts w:hint="eastAsia"/>
                      <w:sz w:val="18"/>
                      <w:szCs w:val="18"/>
                    </w:rPr>
                  </w:pPr>
                </w:p>
              </w:tc>
              <w:tc>
                <w:tcPr>
                  <w:tcW w:w="4656" w:type="dxa"/>
                  <w:noWrap w:val="0"/>
                  <w:vAlign w:val="top"/>
                </w:tcPr>
                <w:p>
                  <w:pPr>
                    <w:rPr>
                      <w:rFonts w:hint="eastAsia"/>
                      <w:sz w:val="18"/>
                      <w:szCs w:val="18"/>
                    </w:rPr>
                  </w:pPr>
                  <w:r>
                    <w:rPr>
                      <w:rFonts w:hint="eastAsia"/>
                      <w:sz w:val="18"/>
                      <w:szCs w:val="18"/>
                    </w:rPr>
                    <w:t>国控成渝城市群（四川）的14个市，新建排放二氧化硫、氮氧化物、工业烟粉尘、挥发性有机物的项目实行大气污染物排放减量替代，实现增产减污。国控重点控制区和一般控制区大气环境质量超标城市新建项目实行区域内现役源2 倍削减量替代，国控一般控制区实行1.5倍削减量替代。</w:t>
                  </w:r>
                </w:p>
              </w:tc>
              <w:tc>
                <w:tcPr>
                  <w:tcW w:w="1916" w:type="dxa"/>
                  <w:noWrap w:val="0"/>
                  <w:vAlign w:val="center"/>
                </w:tcPr>
                <w:p>
                  <w:pPr>
                    <w:jc w:val="center"/>
                    <w:rPr>
                      <w:rFonts w:hint="eastAsia" w:eastAsia="宋体"/>
                      <w:sz w:val="18"/>
                      <w:szCs w:val="18"/>
                      <w:lang w:eastAsia="zh-CN"/>
                    </w:rPr>
                  </w:pPr>
                  <w:r>
                    <w:rPr>
                      <w:rFonts w:hint="eastAsia"/>
                      <w:sz w:val="18"/>
                      <w:szCs w:val="18"/>
                    </w:rPr>
                    <w:t>项目位于乐山市市中区悦来乡，</w:t>
                  </w:r>
                  <w:r>
                    <w:rPr>
                      <w:rFonts w:hint="eastAsia"/>
                      <w:sz w:val="18"/>
                      <w:szCs w:val="18"/>
                      <w:lang w:eastAsia="zh-CN"/>
                    </w:rPr>
                    <w:t>项目使用清洁燃料无大气污染物总量指标产生</w:t>
                  </w:r>
                </w:p>
              </w:tc>
              <w:tc>
                <w:tcPr>
                  <w:tcW w:w="1041" w:type="dxa"/>
                  <w:noWrap w:val="0"/>
                  <w:vAlign w:val="center"/>
                </w:tcPr>
                <w:p>
                  <w:pPr>
                    <w:jc w:val="center"/>
                    <w:rPr>
                      <w:rFonts w:hint="eastAsia"/>
                      <w:sz w:val="18"/>
                      <w:szCs w:val="18"/>
                    </w:rPr>
                  </w:pPr>
                  <w:r>
                    <w:rPr>
                      <w:rFonts w:hint="eastAsia"/>
                      <w:sz w:val="18"/>
                      <w:szCs w:val="18"/>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17" w:type="dxa"/>
                  <w:vMerge w:val="restart"/>
                  <w:noWrap w:val="0"/>
                  <w:vAlign w:val="top"/>
                </w:tcPr>
                <w:p>
                  <w:pPr>
                    <w:jc w:val="left"/>
                    <w:rPr>
                      <w:sz w:val="18"/>
                      <w:szCs w:val="18"/>
                    </w:rPr>
                  </w:pPr>
                </w:p>
                <w:p>
                  <w:pPr>
                    <w:jc w:val="left"/>
                    <w:rPr>
                      <w:sz w:val="18"/>
                      <w:szCs w:val="18"/>
                    </w:rPr>
                  </w:pPr>
                </w:p>
                <w:p>
                  <w:pPr>
                    <w:jc w:val="left"/>
                    <w:rPr>
                      <w:sz w:val="18"/>
                      <w:szCs w:val="18"/>
                    </w:rPr>
                  </w:pPr>
                </w:p>
                <w:p>
                  <w:pPr>
                    <w:jc w:val="left"/>
                    <w:rPr>
                      <w:sz w:val="18"/>
                      <w:szCs w:val="18"/>
                    </w:rPr>
                  </w:pPr>
                </w:p>
                <w:p>
                  <w:pPr>
                    <w:jc w:val="left"/>
                    <w:rPr>
                      <w:sz w:val="18"/>
                      <w:szCs w:val="18"/>
                    </w:rPr>
                  </w:pPr>
                </w:p>
                <w:p>
                  <w:pPr>
                    <w:jc w:val="left"/>
                    <w:rPr>
                      <w:sz w:val="18"/>
                      <w:szCs w:val="18"/>
                    </w:rPr>
                  </w:pPr>
                </w:p>
                <w:p>
                  <w:pPr>
                    <w:jc w:val="left"/>
                    <w:rPr>
                      <w:sz w:val="18"/>
                      <w:szCs w:val="18"/>
                    </w:rPr>
                  </w:pPr>
                </w:p>
                <w:p>
                  <w:pPr>
                    <w:jc w:val="left"/>
                    <w:rPr>
                      <w:sz w:val="18"/>
                      <w:szCs w:val="18"/>
                    </w:rPr>
                  </w:pPr>
                </w:p>
                <w:p>
                  <w:pPr>
                    <w:jc w:val="left"/>
                    <w:rPr>
                      <w:sz w:val="18"/>
                      <w:szCs w:val="18"/>
                    </w:rPr>
                  </w:pPr>
                </w:p>
                <w:p>
                  <w:pPr>
                    <w:jc w:val="left"/>
                    <w:rPr>
                      <w:sz w:val="18"/>
                      <w:szCs w:val="18"/>
                    </w:rPr>
                  </w:pPr>
                </w:p>
                <w:p>
                  <w:pPr>
                    <w:jc w:val="left"/>
                    <w:rPr>
                      <w:sz w:val="18"/>
                      <w:szCs w:val="18"/>
                    </w:rPr>
                  </w:pPr>
                </w:p>
                <w:p>
                  <w:pPr>
                    <w:jc w:val="left"/>
                    <w:rPr>
                      <w:rFonts w:hint="eastAsia"/>
                      <w:sz w:val="18"/>
                      <w:szCs w:val="18"/>
                    </w:rPr>
                  </w:pPr>
                  <w:r>
                    <w:rPr>
                      <w:rFonts w:hint="eastAsia"/>
                      <w:sz w:val="18"/>
                      <w:szCs w:val="18"/>
                    </w:rPr>
                    <w:t>《四川省大气污染防治行动计划实施细则2017年度实施计划》川办函〔2017〕102号</w:t>
                  </w:r>
                </w:p>
              </w:tc>
              <w:tc>
                <w:tcPr>
                  <w:tcW w:w="4656" w:type="dxa"/>
                  <w:noWrap w:val="0"/>
                  <w:vAlign w:val="top"/>
                </w:tcPr>
                <w:p>
                  <w:pPr>
                    <w:rPr>
                      <w:rFonts w:hint="eastAsia"/>
                      <w:sz w:val="18"/>
                      <w:szCs w:val="18"/>
                    </w:rPr>
                  </w:pPr>
                  <w:r>
                    <w:rPr>
                      <w:rFonts w:hint="eastAsia"/>
                      <w:sz w:val="18"/>
                      <w:szCs w:val="18"/>
                    </w:rPr>
                    <w:t>强化节能环保指标约束。严格落实污染物排放总量控制  染源采取了相应的污制度，把二氧化硫、氮氧化物、工业烟粉尘、挥发性有机  染治理设施，确保污染物等主要污染物排放总量指标作为建设项目环境影响评物达标排放。总量指标价审批的前置条件。</w:t>
                  </w:r>
                </w:p>
              </w:tc>
              <w:tc>
                <w:tcPr>
                  <w:tcW w:w="1916" w:type="dxa"/>
                  <w:noWrap w:val="0"/>
                  <w:vAlign w:val="center"/>
                </w:tcPr>
                <w:p>
                  <w:pPr>
                    <w:jc w:val="center"/>
                    <w:rPr>
                      <w:rFonts w:hint="eastAsia"/>
                      <w:sz w:val="18"/>
                      <w:szCs w:val="18"/>
                    </w:rPr>
                  </w:pPr>
                  <w:r>
                    <w:rPr>
                      <w:rFonts w:hint="eastAsia"/>
                      <w:sz w:val="18"/>
                      <w:szCs w:val="18"/>
                    </w:rPr>
                    <w:t>本项目针对各废气污染源采取了相应的污染治理设施，确保污染物达标排放。不新增总量</w:t>
                  </w:r>
                </w:p>
              </w:tc>
              <w:tc>
                <w:tcPr>
                  <w:tcW w:w="1041" w:type="dxa"/>
                  <w:noWrap w:val="0"/>
                  <w:vAlign w:val="center"/>
                </w:tcPr>
                <w:p>
                  <w:pPr>
                    <w:jc w:val="center"/>
                    <w:rPr>
                      <w:rFonts w:hint="eastAsia"/>
                      <w:sz w:val="18"/>
                      <w:szCs w:val="18"/>
                    </w:rPr>
                  </w:pPr>
                  <w:r>
                    <w:rPr>
                      <w:rFonts w:hint="eastAsia"/>
                      <w:sz w:val="18"/>
                      <w:szCs w:val="18"/>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17" w:type="dxa"/>
                  <w:vMerge w:val="continue"/>
                  <w:noWrap w:val="0"/>
                  <w:vAlign w:val="top"/>
                </w:tcPr>
                <w:p>
                  <w:pPr>
                    <w:rPr>
                      <w:rFonts w:hint="eastAsia"/>
                      <w:sz w:val="18"/>
                      <w:szCs w:val="18"/>
                    </w:rPr>
                  </w:pPr>
                </w:p>
              </w:tc>
              <w:tc>
                <w:tcPr>
                  <w:tcW w:w="4656" w:type="dxa"/>
                  <w:noWrap w:val="0"/>
                  <w:vAlign w:val="top"/>
                </w:tcPr>
                <w:p>
                  <w:pPr>
                    <w:rPr>
                      <w:rFonts w:hint="eastAsia"/>
                      <w:sz w:val="18"/>
                      <w:szCs w:val="18"/>
                    </w:rPr>
                  </w:pPr>
                  <w:r>
                    <w:rPr>
                      <w:rFonts w:hint="eastAsia"/>
                      <w:sz w:val="18"/>
                      <w:szCs w:val="18"/>
                    </w:rPr>
                    <w:t>优化区域空间布局。加强产业政策在产业转移过程中的引导和约束作用，严格控制、限制在生态脆弱或环境敏感地区建设“两高”行业项目；加强各类产业发展规划环境影响评价工作。经依法批准的城乡规划应当严格执行，任何单位和个人未经法定程序不得擅自修改。积极调整城市（群）产业结构，优化工业布局，基本完成城市主城区钢铁、石化、化工、有色金属冶炼、水泥、平板玻璃等重污染企业环保搬迁及改造。加强区域合作联动，形成有利于大气污染物扩散的城市和区域空间格局。</w:t>
                  </w:r>
                </w:p>
              </w:tc>
              <w:tc>
                <w:tcPr>
                  <w:tcW w:w="1916" w:type="dxa"/>
                  <w:noWrap w:val="0"/>
                  <w:vAlign w:val="center"/>
                </w:tcPr>
                <w:p>
                  <w:pPr>
                    <w:jc w:val="center"/>
                    <w:rPr>
                      <w:rFonts w:hint="eastAsia"/>
                      <w:sz w:val="18"/>
                      <w:szCs w:val="18"/>
                    </w:rPr>
                  </w:pPr>
                  <w:r>
                    <w:rPr>
                      <w:rFonts w:hint="eastAsia"/>
                      <w:sz w:val="18"/>
                      <w:szCs w:val="18"/>
                    </w:rPr>
                    <w:t>项目位于乐山市市中区悦来乡，本次建设用地为工业用地，且不属于重污染企业</w:t>
                  </w:r>
                </w:p>
              </w:tc>
              <w:tc>
                <w:tcPr>
                  <w:tcW w:w="1041" w:type="dxa"/>
                  <w:noWrap w:val="0"/>
                  <w:vAlign w:val="center"/>
                </w:tcPr>
                <w:p>
                  <w:pPr>
                    <w:jc w:val="center"/>
                    <w:rPr>
                      <w:rFonts w:hint="eastAsia"/>
                      <w:sz w:val="18"/>
                      <w:szCs w:val="18"/>
                    </w:rPr>
                  </w:pPr>
                  <w:r>
                    <w:rPr>
                      <w:rFonts w:hint="eastAsia"/>
                      <w:sz w:val="18"/>
                      <w:szCs w:val="18"/>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17" w:type="dxa"/>
                  <w:vMerge w:val="continue"/>
                  <w:noWrap w:val="0"/>
                  <w:vAlign w:val="top"/>
                </w:tcPr>
                <w:p>
                  <w:pPr>
                    <w:rPr>
                      <w:rFonts w:hint="eastAsia"/>
                      <w:sz w:val="18"/>
                      <w:szCs w:val="18"/>
                    </w:rPr>
                  </w:pPr>
                </w:p>
              </w:tc>
              <w:tc>
                <w:tcPr>
                  <w:tcW w:w="4656" w:type="dxa"/>
                  <w:noWrap w:val="0"/>
                  <w:vAlign w:val="top"/>
                </w:tcPr>
                <w:p>
                  <w:pPr>
                    <w:rPr>
                      <w:rFonts w:hint="eastAsia"/>
                      <w:sz w:val="18"/>
                      <w:szCs w:val="18"/>
                    </w:rPr>
                  </w:pPr>
                  <w:r>
                    <w:rPr>
                      <w:rFonts w:hint="eastAsia"/>
                      <w:sz w:val="18"/>
                      <w:szCs w:val="18"/>
                    </w:rPr>
                    <w:t>深化面源污染治理，加强城市环境综合管理。</w:t>
                  </w:r>
                </w:p>
                <w:p>
                  <w:pPr>
                    <w:rPr>
                      <w:rFonts w:hint="eastAsia"/>
                      <w:sz w:val="18"/>
                      <w:szCs w:val="18"/>
                    </w:rPr>
                  </w:pPr>
                  <w:r>
                    <w:rPr>
                      <w:rFonts w:hint="eastAsia"/>
                      <w:sz w:val="18"/>
                      <w:szCs w:val="18"/>
                    </w:rPr>
                    <w:t>强化堆场扬尘控制。强化煤堆、料堆的监督管理，推进视频监控设施安装。大型煤堆、料堆场应建立密闭料仓与传送装置，生产企业中小型堆场和废渣堆场应搭建顶</w:t>
                  </w:r>
                  <w:r>
                    <w:rPr>
                      <w:rFonts w:hint="eastAsia"/>
                      <w:sz w:val="18"/>
                      <w:szCs w:val="18"/>
                      <w:lang w:val="en-US" w:eastAsia="zh-CN"/>
                    </w:rPr>
                    <w:t>篷</w:t>
                  </w:r>
                  <w:r>
                    <w:rPr>
                      <w:rFonts w:hint="eastAsia"/>
                      <w:sz w:val="18"/>
                      <w:szCs w:val="18"/>
                    </w:rPr>
                    <w:t>并修筑防风墙。对临时露天堆放的，应加以覆盖或建设自动喷淋装置；对长期堆放的废弃物，应采取覆绿、铺装、硬化、定期喷洒抑尘剂或稳定剂等措施。</w:t>
                  </w:r>
                </w:p>
              </w:tc>
              <w:tc>
                <w:tcPr>
                  <w:tcW w:w="1916" w:type="dxa"/>
                  <w:noWrap w:val="0"/>
                  <w:vAlign w:val="center"/>
                </w:tcPr>
                <w:p>
                  <w:pPr>
                    <w:jc w:val="center"/>
                    <w:rPr>
                      <w:rFonts w:hint="eastAsia"/>
                      <w:sz w:val="18"/>
                      <w:szCs w:val="18"/>
                    </w:rPr>
                  </w:pPr>
                  <w:r>
                    <w:rPr>
                      <w:rFonts w:hint="eastAsia"/>
                      <w:sz w:val="18"/>
                      <w:szCs w:val="18"/>
                    </w:rPr>
                    <w:t>项目建设车间均为封闭车间，且厂区建设有绿化。</w:t>
                  </w:r>
                </w:p>
              </w:tc>
              <w:tc>
                <w:tcPr>
                  <w:tcW w:w="1041" w:type="dxa"/>
                  <w:noWrap w:val="0"/>
                  <w:vAlign w:val="center"/>
                </w:tcPr>
                <w:p>
                  <w:pPr>
                    <w:jc w:val="center"/>
                    <w:rPr>
                      <w:rFonts w:hint="eastAsia"/>
                      <w:sz w:val="18"/>
                      <w:szCs w:val="18"/>
                    </w:rPr>
                  </w:pPr>
                  <w:r>
                    <w:rPr>
                      <w:rFonts w:hint="eastAsia"/>
                      <w:sz w:val="18"/>
                      <w:szCs w:val="18"/>
                    </w:rPr>
                    <w:t>符合</w:t>
                  </w:r>
                </w:p>
              </w:tc>
            </w:tr>
          </w:tbl>
          <w:p>
            <w:pPr>
              <w:spacing w:line="360" w:lineRule="auto"/>
              <w:ind w:firstLine="480" w:firstLineChars="200"/>
              <w:rPr>
                <w:sz w:val="24"/>
              </w:rPr>
            </w:pPr>
            <w:r>
              <w:rPr>
                <w:rFonts w:hint="eastAsia"/>
                <w:sz w:val="24"/>
              </w:rPr>
              <w:t>综上分析可见，本项目位于四川省乐山市市中区悦来乡，不在城市建成区。针对各废气污染源采取相应的污染治理设施，确保污染物达标排放，与《四川省灰霾污染防治实施方案（川环发〔2013〕78  号）》、《四川省大气污染防治行动计划实施细则2017年度实施计划》的相关要求相符。</w:t>
            </w:r>
          </w:p>
          <w:p>
            <w:pPr>
              <w:spacing w:line="360" w:lineRule="auto"/>
              <w:ind w:firstLine="480" w:firstLineChars="200"/>
              <w:rPr>
                <w:sz w:val="24"/>
              </w:rPr>
            </w:pPr>
            <w:r>
              <w:rPr>
                <w:rFonts w:hint="eastAsia"/>
                <w:sz w:val="24"/>
              </w:rPr>
              <w:t>2、项目与水污染防治相关规划的符合性分析</w:t>
            </w:r>
          </w:p>
          <w:p>
            <w:pPr>
              <w:spacing w:line="360" w:lineRule="auto"/>
              <w:ind w:firstLine="480" w:firstLineChars="200"/>
              <w:rPr>
                <w:sz w:val="24"/>
              </w:rPr>
            </w:pPr>
            <w:r>
              <w:rPr>
                <w:rFonts w:hint="eastAsia"/>
                <w:sz w:val="24"/>
              </w:rPr>
              <w:t>本项目与《水污染防治行动计划》四川省工作方案的符合性如下：</w:t>
            </w:r>
          </w:p>
          <w:p>
            <w:pPr>
              <w:spacing w:line="360" w:lineRule="auto"/>
              <w:jc w:val="center"/>
              <w:outlineLvl w:val="0"/>
              <w:rPr>
                <w:b/>
                <w:sz w:val="24"/>
                <w:szCs w:val="21"/>
              </w:rPr>
            </w:pPr>
            <w:r>
              <w:rPr>
                <w:rFonts w:hint="eastAsia"/>
                <w:b/>
                <w:sz w:val="24"/>
                <w:szCs w:val="21"/>
              </w:rPr>
              <w:t>表1-</w:t>
            </w:r>
            <w:r>
              <w:rPr>
                <w:b/>
                <w:sz w:val="24"/>
                <w:szCs w:val="21"/>
              </w:rPr>
              <w:t>2</w:t>
            </w:r>
            <w:r>
              <w:rPr>
                <w:rFonts w:hint="eastAsia"/>
                <w:b/>
                <w:sz w:val="24"/>
                <w:szCs w:val="21"/>
              </w:rPr>
              <w:t xml:space="preserve"> 与水污染防治等相关规划符合性分析</w:t>
            </w:r>
          </w:p>
          <w:tbl>
            <w:tblPr>
              <w:tblStyle w:val="69"/>
              <w:tblW w:w="913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4307"/>
              <w:gridCol w:w="1383"/>
              <w:gridCol w:w="115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282" w:type="dxa"/>
                  <w:noWrap w:val="0"/>
                  <w:vAlign w:val="top"/>
                </w:tcPr>
                <w:p>
                  <w:pPr>
                    <w:jc w:val="center"/>
                    <w:rPr>
                      <w:rFonts w:hint="eastAsia"/>
                      <w:sz w:val="18"/>
                      <w:szCs w:val="18"/>
                    </w:rPr>
                  </w:pPr>
                  <w:r>
                    <w:rPr>
                      <w:rFonts w:hint="eastAsia"/>
                      <w:sz w:val="18"/>
                      <w:szCs w:val="18"/>
                    </w:rPr>
                    <w:t>规划文件</w:t>
                  </w:r>
                </w:p>
              </w:tc>
              <w:tc>
                <w:tcPr>
                  <w:tcW w:w="4307" w:type="dxa"/>
                  <w:noWrap w:val="0"/>
                  <w:vAlign w:val="top"/>
                </w:tcPr>
                <w:p>
                  <w:pPr>
                    <w:jc w:val="center"/>
                    <w:rPr>
                      <w:rFonts w:hint="eastAsia"/>
                      <w:sz w:val="18"/>
                      <w:szCs w:val="18"/>
                    </w:rPr>
                  </w:pPr>
                  <w:r>
                    <w:rPr>
                      <w:rFonts w:hint="eastAsia"/>
                      <w:sz w:val="18"/>
                      <w:szCs w:val="18"/>
                    </w:rPr>
                    <w:t>规划要求</w:t>
                  </w:r>
                </w:p>
              </w:tc>
              <w:tc>
                <w:tcPr>
                  <w:tcW w:w="1383" w:type="dxa"/>
                  <w:noWrap w:val="0"/>
                  <w:vAlign w:val="top"/>
                </w:tcPr>
                <w:p>
                  <w:pPr>
                    <w:jc w:val="center"/>
                    <w:rPr>
                      <w:rFonts w:hint="eastAsia"/>
                      <w:sz w:val="18"/>
                      <w:szCs w:val="18"/>
                    </w:rPr>
                  </w:pPr>
                  <w:r>
                    <w:rPr>
                      <w:rFonts w:hint="eastAsia"/>
                      <w:sz w:val="18"/>
                      <w:szCs w:val="18"/>
                    </w:rPr>
                    <w:t>本项目情况</w:t>
                  </w:r>
                </w:p>
              </w:tc>
              <w:tc>
                <w:tcPr>
                  <w:tcW w:w="1158" w:type="dxa"/>
                  <w:noWrap w:val="0"/>
                  <w:vAlign w:val="center"/>
                </w:tcPr>
                <w:p>
                  <w:pPr>
                    <w:jc w:val="center"/>
                    <w:rPr>
                      <w:rFonts w:hint="eastAsia"/>
                      <w:sz w:val="18"/>
                      <w:szCs w:val="18"/>
                    </w:rPr>
                  </w:pPr>
                  <w:r>
                    <w:rPr>
                      <w:rFonts w:hint="eastAsia"/>
                      <w:sz w:val="18"/>
                      <w:szCs w:val="18"/>
                    </w:rPr>
                    <w:t>符合性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282" w:type="dxa"/>
                  <w:vMerge w:val="restart"/>
                  <w:noWrap w:val="0"/>
                  <w:vAlign w:val="center"/>
                </w:tcPr>
                <w:p>
                  <w:pPr>
                    <w:jc w:val="center"/>
                    <w:rPr>
                      <w:rFonts w:hint="eastAsia"/>
                      <w:sz w:val="18"/>
                      <w:szCs w:val="18"/>
                    </w:rPr>
                  </w:pPr>
                  <w:r>
                    <w:rPr>
                      <w:rFonts w:hint="eastAsia"/>
                      <w:sz w:val="18"/>
                      <w:szCs w:val="18"/>
                    </w:rPr>
                    <w:t>《水污染防治行动计划》四川省工作方案</w:t>
                  </w:r>
                </w:p>
              </w:tc>
              <w:tc>
                <w:tcPr>
                  <w:tcW w:w="4307" w:type="dxa"/>
                  <w:noWrap w:val="0"/>
                  <w:vAlign w:val="top"/>
                </w:tcPr>
                <w:p>
                  <w:pPr>
                    <w:rPr>
                      <w:rFonts w:hint="eastAsia"/>
                      <w:sz w:val="18"/>
                      <w:szCs w:val="18"/>
                    </w:rPr>
                  </w:pPr>
                  <w:r>
                    <w:rPr>
                      <w:rFonts w:hint="eastAsia"/>
                      <w:sz w:val="18"/>
                      <w:szCs w:val="18"/>
                    </w:rPr>
                    <w:t>狠抓工业污染防治。取缔“十小”企业。各市(州)人民政府全面排查装备水平低、环境保护设施差的小型工业企业。对不符合水污染防治法律法规要求和国家产业政策的小型造纸、制革、印染、 染料、炼焦、炼硫、炼砷、炼油、电镀、农药和磷化工等严重污染水环境的生产项目列出清单，2016年底前，依法全部予以取缔。</w:t>
                  </w:r>
                </w:p>
              </w:tc>
              <w:tc>
                <w:tcPr>
                  <w:tcW w:w="1383" w:type="dxa"/>
                  <w:noWrap w:val="0"/>
                  <w:vAlign w:val="top"/>
                </w:tcPr>
                <w:p>
                  <w:pPr>
                    <w:jc w:val="center"/>
                    <w:rPr>
                      <w:rFonts w:hint="eastAsia"/>
                      <w:sz w:val="18"/>
                      <w:szCs w:val="18"/>
                    </w:rPr>
                  </w:pPr>
                  <w:r>
                    <w:rPr>
                      <w:rFonts w:hint="eastAsia"/>
                      <w:sz w:val="18"/>
                      <w:szCs w:val="18"/>
                    </w:rPr>
                    <w:t>本项目不属于“十小”企业，不属于取缔项目</w:t>
                  </w:r>
                </w:p>
              </w:tc>
              <w:tc>
                <w:tcPr>
                  <w:tcW w:w="1158" w:type="dxa"/>
                  <w:noWrap w:val="0"/>
                  <w:vAlign w:val="top"/>
                </w:tcPr>
                <w:p>
                  <w:pPr>
                    <w:jc w:val="center"/>
                    <w:rPr>
                      <w:rFonts w:hint="eastAsia"/>
                      <w:sz w:val="18"/>
                      <w:szCs w:val="18"/>
                    </w:rPr>
                  </w:pPr>
                  <w:r>
                    <w:rPr>
                      <w:rFonts w:hint="eastAsia"/>
                      <w:sz w:val="18"/>
                      <w:szCs w:val="18"/>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282" w:type="dxa"/>
                  <w:vMerge w:val="continue"/>
                  <w:noWrap w:val="0"/>
                  <w:vAlign w:val="top"/>
                </w:tcPr>
                <w:p>
                  <w:pPr>
                    <w:jc w:val="center"/>
                    <w:rPr>
                      <w:rFonts w:hint="eastAsia"/>
                      <w:sz w:val="18"/>
                      <w:szCs w:val="18"/>
                    </w:rPr>
                  </w:pPr>
                </w:p>
              </w:tc>
              <w:tc>
                <w:tcPr>
                  <w:tcW w:w="4307" w:type="dxa"/>
                  <w:noWrap w:val="0"/>
                  <w:vAlign w:val="top"/>
                </w:tcPr>
                <w:p>
                  <w:pPr>
                    <w:rPr>
                      <w:rFonts w:hint="eastAsia"/>
                      <w:sz w:val="18"/>
                      <w:szCs w:val="18"/>
                    </w:rPr>
                  </w:pPr>
                  <w:r>
                    <w:rPr>
                      <w:rFonts w:hint="eastAsia"/>
                      <w:sz w:val="18"/>
                      <w:szCs w:val="18"/>
                    </w:rPr>
                    <w:t>优化空间布局。合理确定发展布局、结构和规模。充分考虑水资源、水环境承载能力，以水定城、以水定地、以水定人、以水定产。重大项目原则上布局在优化开发区和重点开发区，并符合城乡规划和土地利用总体规划。严格控制缺水、水污染严重地区和敏感区域的高耗水、高污染行业发展，长江干流（四川段）沿岸应严格控制石油加工、化学原料和化学制品制造、医药制造、化学纤维制造、有色金属冶炼、纺织印染等项目环境风险，合理布局生产装置及危险化学品仓储等设施。</w:t>
                  </w:r>
                </w:p>
              </w:tc>
              <w:tc>
                <w:tcPr>
                  <w:tcW w:w="1383" w:type="dxa"/>
                  <w:noWrap w:val="0"/>
                  <w:vAlign w:val="top"/>
                </w:tcPr>
                <w:p>
                  <w:pPr>
                    <w:jc w:val="center"/>
                    <w:rPr>
                      <w:rFonts w:hint="eastAsia"/>
                      <w:sz w:val="18"/>
                      <w:szCs w:val="18"/>
                    </w:rPr>
                  </w:pPr>
                  <w:r>
                    <w:rPr>
                      <w:rFonts w:hint="eastAsia"/>
                      <w:sz w:val="18"/>
                      <w:szCs w:val="18"/>
                    </w:rPr>
                    <w:t>本项目建设用地为工业用地。项目所在区域不属于缺水地区。</w:t>
                  </w:r>
                </w:p>
              </w:tc>
              <w:tc>
                <w:tcPr>
                  <w:tcW w:w="1158" w:type="dxa"/>
                  <w:noWrap w:val="0"/>
                  <w:vAlign w:val="top"/>
                </w:tcPr>
                <w:p>
                  <w:pPr>
                    <w:jc w:val="center"/>
                    <w:rPr>
                      <w:rFonts w:hint="eastAsia"/>
                      <w:sz w:val="18"/>
                      <w:szCs w:val="18"/>
                    </w:rPr>
                  </w:pPr>
                  <w:r>
                    <w:rPr>
                      <w:rFonts w:hint="eastAsia"/>
                      <w:sz w:val="18"/>
                      <w:szCs w:val="18"/>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282" w:type="dxa"/>
                  <w:vMerge w:val="continue"/>
                  <w:noWrap w:val="0"/>
                  <w:vAlign w:val="top"/>
                </w:tcPr>
                <w:p>
                  <w:pPr>
                    <w:jc w:val="center"/>
                    <w:rPr>
                      <w:rFonts w:hint="eastAsia"/>
                      <w:sz w:val="18"/>
                      <w:szCs w:val="18"/>
                    </w:rPr>
                  </w:pPr>
                </w:p>
              </w:tc>
              <w:tc>
                <w:tcPr>
                  <w:tcW w:w="4307" w:type="dxa"/>
                  <w:noWrap w:val="0"/>
                  <w:vAlign w:val="top"/>
                </w:tcPr>
                <w:p>
                  <w:pPr>
                    <w:rPr>
                      <w:rFonts w:hint="eastAsia"/>
                      <w:sz w:val="18"/>
                      <w:szCs w:val="18"/>
                    </w:rPr>
                  </w:pPr>
                  <w:r>
                    <w:rPr>
                      <w:rFonts w:hint="eastAsia"/>
                      <w:sz w:val="18"/>
                      <w:szCs w:val="18"/>
                    </w:rPr>
                    <w:t>推进循环发展。加强工业水循环利用。经济和信息化部门指导钢铁、纺织印染、造纸、石油石化、化工、制革等高耗水企业废水深度处理回用。</w:t>
                  </w:r>
                </w:p>
              </w:tc>
              <w:tc>
                <w:tcPr>
                  <w:tcW w:w="1383" w:type="dxa"/>
                  <w:noWrap w:val="0"/>
                  <w:vAlign w:val="top"/>
                </w:tcPr>
                <w:p>
                  <w:pPr>
                    <w:jc w:val="center"/>
                    <w:rPr>
                      <w:rFonts w:hint="eastAsia"/>
                      <w:sz w:val="18"/>
                      <w:szCs w:val="18"/>
                    </w:rPr>
                  </w:pPr>
                  <w:r>
                    <w:rPr>
                      <w:rFonts w:hint="eastAsia"/>
                      <w:sz w:val="18"/>
                      <w:szCs w:val="18"/>
                    </w:rPr>
                    <w:t>项目生产用水均循环利用</w:t>
                  </w:r>
                </w:p>
              </w:tc>
              <w:tc>
                <w:tcPr>
                  <w:tcW w:w="1158" w:type="dxa"/>
                  <w:noWrap w:val="0"/>
                  <w:vAlign w:val="top"/>
                </w:tcPr>
                <w:p>
                  <w:pPr>
                    <w:jc w:val="center"/>
                    <w:rPr>
                      <w:rFonts w:hint="eastAsia"/>
                      <w:sz w:val="18"/>
                      <w:szCs w:val="18"/>
                    </w:rPr>
                  </w:pPr>
                  <w:r>
                    <w:rPr>
                      <w:rFonts w:hint="eastAsia"/>
                      <w:sz w:val="18"/>
                      <w:szCs w:val="18"/>
                    </w:rPr>
                    <w:t>符合</w:t>
                  </w:r>
                </w:p>
              </w:tc>
            </w:tr>
          </w:tbl>
          <w:p>
            <w:pPr>
              <w:spacing w:line="360" w:lineRule="auto"/>
              <w:ind w:firstLine="480" w:firstLineChars="200"/>
              <w:jc w:val="center"/>
              <w:rPr>
                <w:sz w:val="24"/>
              </w:rPr>
            </w:pPr>
          </w:p>
          <w:p>
            <w:pPr>
              <w:spacing w:line="360" w:lineRule="auto"/>
              <w:ind w:firstLine="480" w:firstLineChars="200"/>
              <w:rPr>
                <w:rFonts w:hint="eastAsia"/>
                <w:sz w:val="24"/>
              </w:rPr>
            </w:pPr>
            <w:r>
              <w:rPr>
                <w:rFonts w:hint="eastAsia"/>
                <w:sz w:val="24"/>
              </w:rPr>
              <w:t>3、与《</w:t>
            </w:r>
            <w:r>
              <w:rPr>
                <w:rFonts w:hint="eastAsia"/>
                <w:sz w:val="24"/>
                <w:lang w:eastAsia="zh-CN"/>
              </w:rPr>
              <w:t>乐山市打赢蓝天保卫战等九个</w:t>
            </w:r>
            <w:r>
              <w:rPr>
                <w:rFonts w:hint="eastAsia"/>
                <w:sz w:val="24"/>
              </w:rPr>
              <w:t>实施方案》（</w:t>
            </w:r>
            <w:r>
              <w:rPr>
                <w:rFonts w:hint="eastAsia"/>
                <w:sz w:val="24"/>
                <w:lang w:val="en-US" w:eastAsia="zh-CN"/>
              </w:rPr>
              <w:t>2019</w:t>
            </w:r>
            <w:r>
              <w:rPr>
                <w:rFonts w:hint="eastAsia"/>
                <w:sz w:val="24"/>
              </w:rPr>
              <w:t>）的符合性分析</w:t>
            </w:r>
          </w:p>
          <w:p>
            <w:pPr>
              <w:spacing w:line="360" w:lineRule="auto"/>
              <w:jc w:val="center"/>
              <w:outlineLvl w:val="0"/>
              <w:rPr>
                <w:b/>
                <w:sz w:val="24"/>
                <w:szCs w:val="21"/>
              </w:rPr>
            </w:pPr>
            <w:r>
              <w:rPr>
                <w:rFonts w:hint="eastAsia"/>
                <w:b/>
                <w:sz w:val="24"/>
                <w:szCs w:val="21"/>
              </w:rPr>
              <w:t>表1-3 与《</w:t>
            </w:r>
            <w:r>
              <w:rPr>
                <w:rFonts w:hint="eastAsia"/>
                <w:b/>
                <w:sz w:val="24"/>
                <w:szCs w:val="21"/>
                <w:lang w:eastAsia="zh-CN"/>
              </w:rPr>
              <w:t>乐山市打赢蓝天保卫战等九个</w:t>
            </w:r>
            <w:r>
              <w:rPr>
                <w:rFonts w:hint="eastAsia"/>
                <w:b/>
                <w:sz w:val="24"/>
                <w:szCs w:val="21"/>
              </w:rPr>
              <w:t>实施方案》符合性分析</w:t>
            </w:r>
          </w:p>
          <w:tbl>
            <w:tblPr>
              <w:tblStyle w:val="69"/>
              <w:tblW w:w="913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4827"/>
              <w:gridCol w:w="1773"/>
              <w:gridCol w:w="76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762" w:type="dxa"/>
                  <w:noWrap w:val="0"/>
                  <w:vAlign w:val="top"/>
                </w:tcPr>
                <w:p>
                  <w:pPr>
                    <w:jc w:val="center"/>
                    <w:rPr>
                      <w:rFonts w:hint="eastAsia"/>
                      <w:sz w:val="18"/>
                      <w:szCs w:val="18"/>
                    </w:rPr>
                  </w:pPr>
                  <w:r>
                    <w:rPr>
                      <w:rFonts w:hint="eastAsia"/>
                      <w:sz w:val="18"/>
                      <w:szCs w:val="18"/>
                    </w:rPr>
                    <w:t>规划文件</w:t>
                  </w:r>
                </w:p>
              </w:tc>
              <w:tc>
                <w:tcPr>
                  <w:tcW w:w="4827" w:type="dxa"/>
                  <w:noWrap w:val="0"/>
                  <w:vAlign w:val="top"/>
                </w:tcPr>
                <w:p>
                  <w:pPr>
                    <w:jc w:val="center"/>
                    <w:rPr>
                      <w:rFonts w:hint="eastAsia"/>
                      <w:sz w:val="18"/>
                      <w:szCs w:val="18"/>
                    </w:rPr>
                  </w:pPr>
                  <w:r>
                    <w:rPr>
                      <w:rFonts w:hint="eastAsia"/>
                      <w:sz w:val="18"/>
                      <w:szCs w:val="18"/>
                    </w:rPr>
                    <w:t>规划要求</w:t>
                  </w:r>
                </w:p>
              </w:tc>
              <w:tc>
                <w:tcPr>
                  <w:tcW w:w="1773" w:type="dxa"/>
                  <w:noWrap w:val="0"/>
                  <w:vAlign w:val="top"/>
                </w:tcPr>
                <w:p>
                  <w:pPr>
                    <w:jc w:val="center"/>
                    <w:rPr>
                      <w:rFonts w:hint="eastAsia"/>
                      <w:sz w:val="18"/>
                      <w:szCs w:val="18"/>
                    </w:rPr>
                  </w:pPr>
                  <w:r>
                    <w:rPr>
                      <w:rFonts w:hint="eastAsia"/>
                      <w:sz w:val="18"/>
                      <w:szCs w:val="18"/>
                    </w:rPr>
                    <w:t>本项目情况</w:t>
                  </w:r>
                </w:p>
              </w:tc>
              <w:tc>
                <w:tcPr>
                  <w:tcW w:w="768" w:type="dxa"/>
                  <w:noWrap w:val="0"/>
                  <w:vAlign w:val="center"/>
                </w:tcPr>
                <w:p>
                  <w:pPr>
                    <w:jc w:val="center"/>
                    <w:rPr>
                      <w:rFonts w:hint="eastAsia"/>
                      <w:sz w:val="18"/>
                      <w:szCs w:val="18"/>
                    </w:rPr>
                  </w:pPr>
                  <w:r>
                    <w:rPr>
                      <w:rFonts w:hint="eastAsia"/>
                      <w:sz w:val="18"/>
                      <w:szCs w:val="18"/>
                    </w:rPr>
                    <w:t>符合性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762" w:type="dxa"/>
                  <w:vMerge w:val="restart"/>
                  <w:noWrap w:val="0"/>
                  <w:vAlign w:val="center"/>
                </w:tcPr>
                <w:p>
                  <w:pPr>
                    <w:jc w:val="center"/>
                    <w:rPr>
                      <w:rFonts w:hint="eastAsia"/>
                      <w:szCs w:val="21"/>
                    </w:rPr>
                  </w:pPr>
                  <w:r>
                    <w:rPr>
                      <w:rFonts w:hint="eastAsia"/>
                      <w:sz w:val="21"/>
                      <w:szCs w:val="21"/>
                    </w:rPr>
                    <w:t>《</w:t>
                  </w:r>
                  <w:r>
                    <w:rPr>
                      <w:rFonts w:hint="eastAsia"/>
                      <w:sz w:val="21"/>
                      <w:szCs w:val="21"/>
                      <w:lang w:eastAsia="zh-CN"/>
                    </w:rPr>
                    <w:t>乐山市打赢蓝天保卫战等九个</w:t>
                  </w:r>
                  <w:r>
                    <w:rPr>
                      <w:rFonts w:hint="eastAsia"/>
                      <w:sz w:val="21"/>
                      <w:szCs w:val="21"/>
                    </w:rPr>
                    <w:t>实施方案》</w:t>
                  </w:r>
                </w:p>
              </w:tc>
              <w:tc>
                <w:tcPr>
                  <w:tcW w:w="4827" w:type="dxa"/>
                  <w:noWrap w:val="0"/>
                  <w:vAlign w:val="top"/>
                </w:tcPr>
                <w:p>
                  <w:pPr>
                    <w:rPr>
                      <w:rFonts w:hint="eastAsia" w:eastAsia="宋体"/>
                      <w:sz w:val="18"/>
                      <w:szCs w:val="18"/>
                      <w:lang w:eastAsia="zh-CN"/>
                    </w:rPr>
                  </w:pPr>
                  <w:r>
                    <w:rPr>
                      <w:rFonts w:hint="eastAsia"/>
                      <w:sz w:val="18"/>
                      <w:szCs w:val="18"/>
                    </w:rPr>
                    <w:t>蓝天保卫战</w:t>
                  </w:r>
                  <w:r>
                    <w:rPr>
                      <w:rFonts w:hint="eastAsia"/>
                      <w:sz w:val="18"/>
                      <w:szCs w:val="18"/>
                      <w:lang w:eastAsia="zh-CN"/>
                    </w:rPr>
                    <w:t>要求“</w:t>
                  </w:r>
                  <w:r>
                    <w:rPr>
                      <w:rFonts w:hint="eastAsia"/>
                      <w:sz w:val="18"/>
                      <w:szCs w:val="18"/>
                    </w:rPr>
                    <w:t>强化“三线一单”约束，严把产业准入关</w:t>
                  </w:r>
                  <w:r>
                    <w:rPr>
                      <w:rFonts w:hint="eastAsia"/>
                      <w:sz w:val="18"/>
                      <w:szCs w:val="18"/>
                      <w:lang w:eastAsia="zh-CN"/>
                    </w:rPr>
                    <w:t>，</w:t>
                  </w:r>
                  <w:r>
                    <w:rPr>
                      <w:rFonts w:hint="eastAsia"/>
                      <w:sz w:val="18"/>
                      <w:szCs w:val="18"/>
                    </w:rPr>
                    <w:t>禁止新建、扩建燃煤锅炉</w:t>
                  </w:r>
                  <w:r>
                    <w:rPr>
                      <w:rFonts w:hint="eastAsia"/>
                      <w:sz w:val="18"/>
                      <w:szCs w:val="18"/>
                      <w:lang w:eastAsia="zh-CN"/>
                    </w:rPr>
                    <w:t>，</w:t>
                  </w:r>
                  <w:r>
                    <w:rPr>
                      <w:rFonts w:hint="eastAsia"/>
                      <w:sz w:val="18"/>
                      <w:szCs w:val="18"/>
                    </w:rPr>
                    <w:t>推进工业污染源全面达标排放。严禁新增钢铁、电力、水泥、玻璃、砖瓦、陶瓷、焦化、电解铝、有色等重点行业大气污染物排放。加强工业无组织排放管控</w:t>
                  </w:r>
                  <w:r>
                    <w:rPr>
                      <w:rFonts w:hint="eastAsia"/>
                      <w:sz w:val="18"/>
                      <w:szCs w:val="18"/>
                      <w:lang w:eastAsia="zh-CN"/>
                    </w:rPr>
                    <w:t>”</w:t>
                  </w:r>
                </w:p>
              </w:tc>
              <w:tc>
                <w:tcPr>
                  <w:tcW w:w="1773" w:type="dxa"/>
                  <w:noWrap w:val="0"/>
                  <w:vAlign w:val="top"/>
                </w:tcPr>
                <w:p>
                  <w:pPr>
                    <w:jc w:val="center"/>
                    <w:rPr>
                      <w:rFonts w:hint="eastAsia"/>
                      <w:sz w:val="18"/>
                      <w:szCs w:val="18"/>
                    </w:rPr>
                  </w:pPr>
                  <w:r>
                    <w:rPr>
                      <w:rFonts w:hint="eastAsia"/>
                      <w:sz w:val="18"/>
                      <w:szCs w:val="18"/>
                    </w:rPr>
                    <w:t>本项目</w:t>
                  </w:r>
                  <w:r>
                    <w:rPr>
                      <w:rFonts w:hint="eastAsia"/>
                      <w:sz w:val="18"/>
                      <w:szCs w:val="18"/>
                      <w:lang w:eastAsia="zh-CN"/>
                    </w:rPr>
                    <w:t>符合产业政策，</w:t>
                  </w:r>
                  <w:r>
                    <w:rPr>
                      <w:rFonts w:hint="eastAsia"/>
                      <w:sz w:val="18"/>
                      <w:szCs w:val="18"/>
                    </w:rPr>
                    <w:t>使用环保生物醇燃料，且</w:t>
                  </w:r>
                  <w:r>
                    <w:rPr>
                      <w:rFonts w:hint="eastAsia"/>
                      <w:sz w:val="18"/>
                      <w:szCs w:val="18"/>
                      <w:lang w:eastAsia="zh-CN"/>
                    </w:rPr>
                    <w:t>厂房进行封闭，</w:t>
                  </w:r>
                  <w:r>
                    <w:rPr>
                      <w:rFonts w:hint="eastAsia"/>
                      <w:sz w:val="18"/>
                      <w:szCs w:val="18"/>
                    </w:rPr>
                    <w:t>废气经过净化设备处理达标排放</w:t>
                  </w:r>
                </w:p>
              </w:tc>
              <w:tc>
                <w:tcPr>
                  <w:tcW w:w="768" w:type="dxa"/>
                  <w:noWrap w:val="0"/>
                  <w:vAlign w:val="top"/>
                </w:tcPr>
                <w:p>
                  <w:pPr>
                    <w:jc w:val="center"/>
                    <w:rPr>
                      <w:rFonts w:hint="eastAsia"/>
                      <w:sz w:val="18"/>
                      <w:szCs w:val="18"/>
                    </w:rPr>
                  </w:pPr>
                  <w:r>
                    <w:rPr>
                      <w:rFonts w:hint="eastAsia"/>
                      <w:sz w:val="18"/>
                      <w:szCs w:val="18"/>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762" w:type="dxa"/>
                  <w:vMerge w:val="continue"/>
                  <w:noWrap w:val="0"/>
                  <w:vAlign w:val="top"/>
                </w:tcPr>
                <w:p>
                  <w:pPr>
                    <w:jc w:val="center"/>
                    <w:rPr>
                      <w:rFonts w:hint="eastAsia"/>
                      <w:sz w:val="18"/>
                      <w:szCs w:val="18"/>
                    </w:rPr>
                  </w:pPr>
                </w:p>
              </w:tc>
              <w:tc>
                <w:tcPr>
                  <w:tcW w:w="4827" w:type="dxa"/>
                  <w:noWrap w:val="0"/>
                  <w:vAlign w:val="top"/>
                </w:tcPr>
                <w:p>
                  <w:pPr>
                    <w:rPr>
                      <w:rFonts w:hint="eastAsia"/>
                      <w:sz w:val="18"/>
                      <w:szCs w:val="18"/>
                    </w:rPr>
                  </w:pPr>
                  <w:r>
                    <w:rPr>
                      <w:rFonts w:hint="eastAsia"/>
                      <w:sz w:val="18"/>
                      <w:szCs w:val="18"/>
                    </w:rPr>
                    <w:t>赢碧水保卫战</w:t>
                  </w:r>
                  <w:r>
                    <w:rPr>
                      <w:rFonts w:hint="eastAsia"/>
                      <w:sz w:val="18"/>
                      <w:szCs w:val="18"/>
                      <w:lang w:eastAsia="zh-CN"/>
                    </w:rPr>
                    <w:t>要求“</w:t>
                  </w:r>
                  <w:r>
                    <w:rPr>
                      <w:rFonts w:hint="eastAsia"/>
                      <w:sz w:val="18"/>
                      <w:szCs w:val="18"/>
                    </w:rPr>
                    <w:t>实施园区工业废水达标整治</w:t>
                  </w:r>
                  <w:r>
                    <w:rPr>
                      <w:rFonts w:hint="eastAsia"/>
                      <w:sz w:val="18"/>
                      <w:szCs w:val="18"/>
                      <w:lang w:eastAsia="zh-CN"/>
                    </w:rPr>
                    <w:t>，</w:t>
                  </w:r>
                  <w:r>
                    <w:rPr>
                      <w:rFonts w:hint="eastAsia"/>
                      <w:sz w:val="18"/>
                      <w:szCs w:val="18"/>
                    </w:rPr>
                    <w:t>推进重点行业企业达标和提标改造</w:t>
                  </w:r>
                  <w:r>
                    <w:rPr>
                      <w:rFonts w:hint="eastAsia"/>
                      <w:sz w:val="18"/>
                      <w:szCs w:val="18"/>
                      <w:lang w:eastAsia="zh-CN"/>
                    </w:rPr>
                    <w:t>，</w:t>
                  </w:r>
                  <w:r>
                    <w:rPr>
                      <w:rFonts w:hint="eastAsia"/>
                      <w:sz w:val="18"/>
                      <w:szCs w:val="18"/>
                    </w:rPr>
                    <w:t>减少工业废水排放量</w:t>
                  </w:r>
                  <w:r>
                    <w:rPr>
                      <w:rFonts w:hint="eastAsia"/>
                      <w:sz w:val="18"/>
                      <w:szCs w:val="18"/>
                      <w:lang w:eastAsia="zh-CN"/>
                    </w:rPr>
                    <w:t>，</w:t>
                  </w:r>
                  <w:r>
                    <w:rPr>
                      <w:rFonts w:hint="eastAsia"/>
                      <w:sz w:val="18"/>
                      <w:szCs w:val="18"/>
                    </w:rPr>
                    <w:t>强化企业监管，推行企业双达标清洁生产行动。集中综合整治重点流域污染。”</w:t>
                  </w:r>
                </w:p>
              </w:tc>
              <w:tc>
                <w:tcPr>
                  <w:tcW w:w="1773" w:type="dxa"/>
                  <w:noWrap w:val="0"/>
                  <w:vAlign w:val="top"/>
                </w:tcPr>
                <w:p>
                  <w:pPr>
                    <w:rPr>
                      <w:rFonts w:hint="eastAsia"/>
                      <w:sz w:val="18"/>
                      <w:szCs w:val="18"/>
                    </w:rPr>
                  </w:pPr>
                  <w:r>
                    <w:rPr>
                      <w:rFonts w:hint="eastAsia"/>
                      <w:sz w:val="18"/>
                      <w:szCs w:val="18"/>
                    </w:rPr>
                    <w:t>项目生产用水均循环利用，</w:t>
                  </w:r>
                  <w:r>
                    <w:rPr>
                      <w:rFonts w:hint="eastAsia"/>
                      <w:sz w:val="18"/>
                      <w:szCs w:val="18"/>
                      <w:lang w:eastAsia="zh-CN"/>
                    </w:rPr>
                    <w:t>生活废水预处理后综合利用，不外排。</w:t>
                  </w:r>
                </w:p>
              </w:tc>
              <w:tc>
                <w:tcPr>
                  <w:tcW w:w="768" w:type="dxa"/>
                  <w:noWrap w:val="0"/>
                  <w:vAlign w:val="top"/>
                </w:tcPr>
                <w:p>
                  <w:pPr>
                    <w:jc w:val="center"/>
                    <w:rPr>
                      <w:rFonts w:hint="eastAsia"/>
                      <w:sz w:val="18"/>
                      <w:szCs w:val="18"/>
                    </w:rPr>
                  </w:pPr>
                  <w:r>
                    <w:rPr>
                      <w:rFonts w:hint="eastAsia"/>
                      <w:sz w:val="18"/>
                      <w:szCs w:val="18"/>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762" w:type="dxa"/>
                  <w:vMerge w:val="continue"/>
                  <w:noWrap w:val="0"/>
                  <w:vAlign w:val="top"/>
                </w:tcPr>
                <w:p>
                  <w:pPr>
                    <w:jc w:val="center"/>
                    <w:rPr>
                      <w:rFonts w:hint="eastAsia"/>
                      <w:sz w:val="18"/>
                      <w:szCs w:val="18"/>
                    </w:rPr>
                  </w:pPr>
                </w:p>
              </w:tc>
              <w:tc>
                <w:tcPr>
                  <w:tcW w:w="4827" w:type="dxa"/>
                  <w:noWrap w:val="0"/>
                  <w:vAlign w:val="top"/>
                </w:tcPr>
                <w:p>
                  <w:pPr>
                    <w:jc w:val="both"/>
                    <w:rPr>
                      <w:rFonts w:hint="eastAsia"/>
                      <w:sz w:val="18"/>
                      <w:szCs w:val="18"/>
                      <w:lang w:eastAsia="zh-CN"/>
                    </w:rPr>
                  </w:pPr>
                  <w:r>
                    <w:rPr>
                      <w:rFonts w:hint="eastAsia"/>
                      <w:sz w:val="18"/>
                      <w:szCs w:val="18"/>
                    </w:rPr>
                    <w:t>完善生态环境准入促进绿色发展实施方案</w:t>
                  </w:r>
                  <w:r>
                    <w:rPr>
                      <w:rFonts w:hint="eastAsia"/>
                      <w:sz w:val="18"/>
                      <w:szCs w:val="18"/>
                      <w:lang w:eastAsia="zh-CN"/>
                    </w:rPr>
                    <w:t>要求“</w:t>
                  </w:r>
                  <w:r>
                    <w:rPr>
                      <w:rFonts w:hint="eastAsia"/>
                      <w:sz w:val="18"/>
                      <w:szCs w:val="18"/>
                    </w:rPr>
                    <w:t>强化“三线一单”对规划环评和项目环评的指导，丰富并完善“区域—规划—项目”的环评制度，构建绿色低碳循环体系，加快形成节约资源和保护环境的空间格局、产业结构、生产方式、生活方式</w:t>
                  </w:r>
                  <w:r>
                    <w:rPr>
                      <w:rFonts w:hint="eastAsia"/>
                      <w:sz w:val="18"/>
                      <w:szCs w:val="18"/>
                      <w:lang w:eastAsia="zh-CN"/>
                    </w:rPr>
                    <w:t>”</w:t>
                  </w:r>
                </w:p>
                <w:p>
                  <w:pPr>
                    <w:rPr>
                      <w:rFonts w:hint="eastAsia"/>
                      <w:sz w:val="18"/>
                      <w:szCs w:val="18"/>
                    </w:rPr>
                  </w:pPr>
                </w:p>
              </w:tc>
              <w:tc>
                <w:tcPr>
                  <w:tcW w:w="1773" w:type="dxa"/>
                  <w:noWrap w:val="0"/>
                  <w:vAlign w:val="top"/>
                </w:tcPr>
                <w:p>
                  <w:pPr>
                    <w:jc w:val="center"/>
                    <w:rPr>
                      <w:rFonts w:hint="eastAsia"/>
                      <w:sz w:val="18"/>
                      <w:szCs w:val="18"/>
                    </w:rPr>
                  </w:pPr>
                  <w:r>
                    <w:rPr>
                      <w:rFonts w:hint="eastAsia"/>
                      <w:sz w:val="18"/>
                      <w:szCs w:val="18"/>
                    </w:rPr>
                    <w:t>项目</w:t>
                  </w:r>
                  <w:r>
                    <w:rPr>
                      <w:rFonts w:hint="eastAsia"/>
                      <w:sz w:val="18"/>
                      <w:szCs w:val="18"/>
                      <w:lang w:eastAsia="zh-CN"/>
                    </w:rPr>
                    <w:t>不在市中区生态红线及负面清单内，使用清洁能源，污染物经治理后达标排放。</w:t>
                  </w:r>
                </w:p>
              </w:tc>
              <w:tc>
                <w:tcPr>
                  <w:tcW w:w="768" w:type="dxa"/>
                  <w:noWrap w:val="0"/>
                  <w:vAlign w:val="top"/>
                </w:tcPr>
                <w:p>
                  <w:pPr>
                    <w:jc w:val="center"/>
                    <w:rPr>
                      <w:rFonts w:hint="eastAsia"/>
                      <w:sz w:val="18"/>
                      <w:szCs w:val="18"/>
                    </w:rPr>
                  </w:pPr>
                  <w:r>
                    <w:rPr>
                      <w:rFonts w:hint="eastAsia"/>
                      <w:sz w:val="18"/>
                      <w:szCs w:val="18"/>
                    </w:rPr>
                    <w:t>符合</w:t>
                  </w:r>
                </w:p>
              </w:tc>
            </w:tr>
          </w:tbl>
          <w:p>
            <w:pPr>
              <w:spacing w:line="360" w:lineRule="auto"/>
              <w:ind w:firstLine="480" w:firstLineChars="200"/>
              <w:rPr>
                <w:rFonts w:hint="eastAsia"/>
                <w:sz w:val="24"/>
              </w:rPr>
            </w:pPr>
          </w:p>
          <w:p>
            <w:pPr>
              <w:spacing w:line="360" w:lineRule="auto"/>
              <w:ind w:firstLine="480" w:firstLineChars="200"/>
              <w:rPr>
                <w:sz w:val="24"/>
              </w:rPr>
            </w:pPr>
            <w:r>
              <w:rPr>
                <w:rFonts w:hint="eastAsia"/>
                <w:sz w:val="24"/>
              </w:rPr>
              <w:t>4、与《关于以改善环境质量为核心加强环境影响评价管理的通知》（环评[2016]150  号）的符合性分析</w:t>
            </w:r>
          </w:p>
          <w:p>
            <w:pPr>
              <w:spacing w:line="360" w:lineRule="auto"/>
              <w:ind w:firstLine="480" w:firstLineChars="200"/>
              <w:rPr>
                <w:sz w:val="24"/>
              </w:rPr>
            </w:pPr>
            <w:r>
              <w:rPr>
                <w:rFonts w:hint="eastAsia"/>
                <w:sz w:val="24"/>
              </w:rPr>
              <w:t>为更好的建立项目环评审批与规划环评、现有项目环境管理、区域环境质量联动机制，更好地发挥环评制度从源头防范环境污染和生态破坏的作用，加快推进改善环境质量，环保部于2016年10月27日印发了《关于以改善环境质量为核心加强环境影响评价管理的通知》（环评[2016]150 号），该《通知》明确环境影响评价需要落实“生态保护红线、环境质量底线、资源利用上限和环境准入负面清单”（简称“三线一单”）约束。本项目与《通知》的符合性分析见下表：</w:t>
            </w:r>
          </w:p>
          <w:p>
            <w:pPr>
              <w:spacing w:line="360" w:lineRule="auto"/>
              <w:jc w:val="center"/>
              <w:outlineLvl w:val="0"/>
              <w:rPr>
                <w:b/>
                <w:sz w:val="24"/>
                <w:szCs w:val="21"/>
              </w:rPr>
            </w:pPr>
            <w:r>
              <w:rPr>
                <w:rFonts w:hint="eastAsia"/>
                <w:b/>
                <w:sz w:val="24"/>
                <w:szCs w:val="21"/>
              </w:rPr>
              <w:t>表1-4  本项目与环评[2016]150号文的符合性分析</w:t>
            </w:r>
          </w:p>
          <w:tbl>
            <w:tblPr>
              <w:tblStyle w:val="69"/>
              <w:tblW w:w="913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7"/>
              <w:gridCol w:w="967"/>
              <w:gridCol w:w="4567"/>
              <w:gridCol w:w="1940"/>
              <w:gridCol w:w="101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37" w:type="dxa"/>
                  <w:noWrap w:val="0"/>
                  <w:vAlign w:val="center"/>
                </w:tcPr>
                <w:p>
                  <w:pPr>
                    <w:jc w:val="center"/>
                    <w:rPr>
                      <w:rFonts w:hint="eastAsia"/>
                      <w:sz w:val="18"/>
                      <w:szCs w:val="18"/>
                    </w:rPr>
                  </w:pPr>
                  <w:r>
                    <w:rPr>
                      <w:rFonts w:hint="eastAsia"/>
                      <w:sz w:val="18"/>
                      <w:szCs w:val="18"/>
                    </w:rPr>
                    <w:t>序号</w:t>
                  </w:r>
                </w:p>
              </w:tc>
              <w:tc>
                <w:tcPr>
                  <w:tcW w:w="967" w:type="dxa"/>
                  <w:noWrap w:val="0"/>
                  <w:vAlign w:val="center"/>
                </w:tcPr>
                <w:p>
                  <w:pPr>
                    <w:jc w:val="center"/>
                    <w:rPr>
                      <w:rFonts w:hint="eastAsia"/>
                      <w:sz w:val="18"/>
                      <w:szCs w:val="18"/>
                    </w:rPr>
                  </w:pPr>
                  <w:r>
                    <w:rPr>
                      <w:rFonts w:hint="eastAsia"/>
                      <w:sz w:val="18"/>
                      <w:szCs w:val="18"/>
                    </w:rPr>
                    <w:t>项目</w:t>
                  </w:r>
                </w:p>
              </w:tc>
              <w:tc>
                <w:tcPr>
                  <w:tcW w:w="4567" w:type="dxa"/>
                  <w:noWrap w:val="0"/>
                  <w:vAlign w:val="center"/>
                </w:tcPr>
                <w:p>
                  <w:pPr>
                    <w:jc w:val="center"/>
                    <w:rPr>
                      <w:rFonts w:hint="eastAsia"/>
                      <w:sz w:val="18"/>
                      <w:szCs w:val="18"/>
                    </w:rPr>
                  </w:pPr>
                  <w:r>
                    <w:rPr>
                      <w:rFonts w:hint="eastAsia"/>
                      <w:sz w:val="18"/>
                      <w:szCs w:val="18"/>
                    </w:rPr>
                    <w:t>具体要求</w:t>
                  </w:r>
                </w:p>
              </w:tc>
              <w:tc>
                <w:tcPr>
                  <w:tcW w:w="1940" w:type="dxa"/>
                  <w:noWrap w:val="0"/>
                  <w:vAlign w:val="center"/>
                </w:tcPr>
                <w:p>
                  <w:pPr>
                    <w:jc w:val="center"/>
                    <w:rPr>
                      <w:rFonts w:hint="eastAsia"/>
                      <w:sz w:val="18"/>
                      <w:szCs w:val="18"/>
                    </w:rPr>
                  </w:pPr>
                  <w:r>
                    <w:rPr>
                      <w:rFonts w:hint="eastAsia"/>
                      <w:sz w:val="18"/>
                      <w:szCs w:val="18"/>
                    </w:rPr>
                    <w:t>本项目</w:t>
                  </w:r>
                </w:p>
              </w:tc>
              <w:tc>
                <w:tcPr>
                  <w:tcW w:w="1019" w:type="dxa"/>
                  <w:noWrap w:val="0"/>
                  <w:vAlign w:val="center"/>
                </w:tcPr>
                <w:p>
                  <w:pPr>
                    <w:jc w:val="center"/>
                    <w:rPr>
                      <w:rFonts w:hint="eastAsia"/>
                      <w:sz w:val="18"/>
                      <w:szCs w:val="18"/>
                    </w:rPr>
                  </w:pPr>
                  <w:r>
                    <w:rPr>
                      <w:rFonts w:hint="eastAsia"/>
                      <w:sz w:val="18"/>
                      <w:szCs w:val="18"/>
                    </w:rPr>
                    <w:t>是否符合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37" w:type="dxa"/>
                  <w:noWrap w:val="0"/>
                  <w:vAlign w:val="center"/>
                </w:tcPr>
                <w:p>
                  <w:pPr>
                    <w:jc w:val="center"/>
                    <w:rPr>
                      <w:rFonts w:hint="eastAsia"/>
                      <w:sz w:val="18"/>
                      <w:szCs w:val="18"/>
                    </w:rPr>
                  </w:pPr>
                  <w:r>
                    <w:rPr>
                      <w:rFonts w:hint="eastAsia"/>
                      <w:sz w:val="18"/>
                      <w:szCs w:val="18"/>
                    </w:rPr>
                    <w:t>1</w:t>
                  </w:r>
                </w:p>
              </w:tc>
              <w:tc>
                <w:tcPr>
                  <w:tcW w:w="967" w:type="dxa"/>
                  <w:noWrap w:val="0"/>
                  <w:vAlign w:val="center"/>
                </w:tcPr>
                <w:p>
                  <w:pPr>
                    <w:jc w:val="center"/>
                    <w:rPr>
                      <w:rFonts w:hint="eastAsia"/>
                      <w:sz w:val="18"/>
                      <w:szCs w:val="18"/>
                    </w:rPr>
                  </w:pPr>
                  <w:r>
                    <w:rPr>
                      <w:rFonts w:hint="eastAsia"/>
                      <w:sz w:val="18"/>
                      <w:szCs w:val="18"/>
                    </w:rPr>
                    <w:t>生态红线</w:t>
                  </w:r>
                </w:p>
              </w:tc>
              <w:tc>
                <w:tcPr>
                  <w:tcW w:w="4567" w:type="dxa"/>
                  <w:noWrap w:val="0"/>
                  <w:vAlign w:val="center"/>
                </w:tcPr>
                <w:p>
                  <w:pPr>
                    <w:rPr>
                      <w:rFonts w:hint="eastAsia"/>
                      <w:sz w:val="18"/>
                      <w:szCs w:val="18"/>
                    </w:rPr>
                  </w:pPr>
                  <w:r>
                    <w:rPr>
                      <w:rFonts w:hint="eastAsia"/>
                      <w:sz w:val="18"/>
                      <w:szCs w:val="18"/>
                    </w:rPr>
                    <w:t>生态保护红线是生态空间范围内具有特殊重要生态功能必须实行强制性严格保护的区域。除受自然条件限制、确实无法避让的铁路、公路、航  寺村，道、防洪、管道、干渠、</w:t>
                  </w:r>
                  <w:r>
                    <w:rPr>
                      <w:rFonts w:hint="eastAsia"/>
                      <w:sz w:val="18"/>
                      <w:szCs w:val="18"/>
                      <w:lang w:eastAsia="zh-CN"/>
                    </w:rPr>
                    <w:t>通信</w:t>
                  </w:r>
                  <w:r>
                    <w:rPr>
                      <w:rFonts w:hint="eastAsia"/>
                      <w:sz w:val="18"/>
                      <w:szCs w:val="18"/>
                    </w:rPr>
                    <w:t>、输变电等重要基础设施项目外，在生态保护红线范围内，严控各类开发建设动，依法不予审批新建工业项目和矿产开发项目的环评文件。</w:t>
                  </w:r>
                </w:p>
              </w:tc>
              <w:tc>
                <w:tcPr>
                  <w:tcW w:w="1940" w:type="dxa"/>
                  <w:noWrap w:val="0"/>
                  <w:vAlign w:val="center"/>
                </w:tcPr>
                <w:p>
                  <w:pPr>
                    <w:jc w:val="center"/>
                    <w:rPr>
                      <w:rFonts w:hint="eastAsia"/>
                      <w:sz w:val="18"/>
                      <w:szCs w:val="18"/>
                    </w:rPr>
                  </w:pPr>
                  <w:r>
                    <w:rPr>
                      <w:rFonts w:hint="eastAsia"/>
                      <w:sz w:val="18"/>
                      <w:szCs w:val="18"/>
                    </w:rPr>
                    <w:t>项目位于乐山市市中区悦来乡，属总体规划中的建设用地，不在市中区生态红线范围内</w:t>
                  </w:r>
                </w:p>
              </w:tc>
              <w:tc>
                <w:tcPr>
                  <w:tcW w:w="1019" w:type="dxa"/>
                  <w:noWrap w:val="0"/>
                  <w:vAlign w:val="center"/>
                </w:tcPr>
                <w:p>
                  <w:pPr>
                    <w:jc w:val="center"/>
                    <w:rPr>
                      <w:rFonts w:hint="eastAsia"/>
                      <w:sz w:val="18"/>
                      <w:szCs w:val="18"/>
                    </w:rPr>
                  </w:pPr>
                  <w:r>
                    <w:rPr>
                      <w:rFonts w:hint="eastAsia"/>
                      <w:sz w:val="18"/>
                      <w:szCs w:val="18"/>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37" w:type="dxa"/>
                  <w:noWrap w:val="0"/>
                  <w:vAlign w:val="center"/>
                </w:tcPr>
                <w:p>
                  <w:pPr>
                    <w:jc w:val="center"/>
                    <w:rPr>
                      <w:rFonts w:hint="eastAsia"/>
                      <w:sz w:val="18"/>
                      <w:szCs w:val="18"/>
                    </w:rPr>
                  </w:pPr>
                  <w:r>
                    <w:rPr>
                      <w:rFonts w:hint="eastAsia"/>
                      <w:sz w:val="18"/>
                      <w:szCs w:val="18"/>
                    </w:rPr>
                    <w:t>2</w:t>
                  </w:r>
                </w:p>
              </w:tc>
              <w:tc>
                <w:tcPr>
                  <w:tcW w:w="967" w:type="dxa"/>
                  <w:noWrap w:val="0"/>
                  <w:vAlign w:val="center"/>
                </w:tcPr>
                <w:p>
                  <w:pPr>
                    <w:jc w:val="center"/>
                    <w:rPr>
                      <w:rFonts w:hint="eastAsia"/>
                      <w:sz w:val="18"/>
                      <w:szCs w:val="18"/>
                    </w:rPr>
                  </w:pPr>
                  <w:r>
                    <w:rPr>
                      <w:rFonts w:hint="eastAsia"/>
                      <w:sz w:val="18"/>
                      <w:szCs w:val="18"/>
                    </w:rPr>
                    <w:t>环境质量底线</w:t>
                  </w:r>
                </w:p>
              </w:tc>
              <w:tc>
                <w:tcPr>
                  <w:tcW w:w="4567" w:type="dxa"/>
                  <w:noWrap w:val="0"/>
                  <w:vAlign w:val="center"/>
                </w:tcPr>
                <w:p>
                  <w:pPr>
                    <w:rPr>
                      <w:rFonts w:hint="eastAsia"/>
                      <w:sz w:val="18"/>
                      <w:szCs w:val="18"/>
                    </w:rPr>
                  </w:pPr>
                  <w:r>
                    <w:rPr>
                      <w:rFonts w:hint="eastAsia"/>
                      <w:sz w:val="18"/>
                      <w:szCs w:val="18"/>
                    </w:rPr>
                    <w:t>环境质量底线是国家和地方设置的大气、水和土壤环境质量目标，也是改善环境质量的基准线。项目环评应对照区域环境质量目标，深入分析预测项目建设对环境质量的影响，强化污染防治措环境质量影施和污染物排放控制要求。</w:t>
                  </w:r>
                </w:p>
              </w:tc>
              <w:tc>
                <w:tcPr>
                  <w:tcW w:w="1940" w:type="dxa"/>
                  <w:noWrap w:val="0"/>
                  <w:vAlign w:val="center"/>
                </w:tcPr>
                <w:p>
                  <w:pPr>
                    <w:jc w:val="center"/>
                    <w:rPr>
                      <w:rFonts w:hint="eastAsia"/>
                      <w:sz w:val="18"/>
                      <w:szCs w:val="18"/>
                    </w:rPr>
                  </w:pPr>
                  <w:r>
                    <w:rPr>
                      <w:rFonts w:hint="eastAsia"/>
                      <w:sz w:val="18"/>
                      <w:szCs w:val="18"/>
                    </w:rPr>
                    <w:t>本评价结合市中区环境质量目标，分析了项目建设对区域环境质量影响；经分析项目实施对区域环境质量影响较小，不会影响区域环境质量目标的实现</w:t>
                  </w:r>
                </w:p>
              </w:tc>
              <w:tc>
                <w:tcPr>
                  <w:tcW w:w="1019" w:type="dxa"/>
                  <w:noWrap w:val="0"/>
                  <w:vAlign w:val="center"/>
                </w:tcPr>
                <w:p>
                  <w:pPr>
                    <w:jc w:val="center"/>
                    <w:rPr>
                      <w:rFonts w:hint="eastAsia"/>
                      <w:sz w:val="18"/>
                      <w:szCs w:val="18"/>
                    </w:rPr>
                  </w:pPr>
                  <w:r>
                    <w:rPr>
                      <w:rFonts w:hint="eastAsia"/>
                      <w:sz w:val="18"/>
                      <w:szCs w:val="18"/>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37" w:type="dxa"/>
                  <w:noWrap w:val="0"/>
                  <w:vAlign w:val="center"/>
                </w:tcPr>
                <w:p>
                  <w:pPr>
                    <w:jc w:val="center"/>
                    <w:rPr>
                      <w:rFonts w:hint="eastAsia"/>
                      <w:sz w:val="18"/>
                      <w:szCs w:val="18"/>
                    </w:rPr>
                  </w:pPr>
                  <w:r>
                    <w:rPr>
                      <w:rFonts w:hint="eastAsia"/>
                      <w:sz w:val="18"/>
                      <w:szCs w:val="18"/>
                    </w:rPr>
                    <w:t>3</w:t>
                  </w:r>
                </w:p>
              </w:tc>
              <w:tc>
                <w:tcPr>
                  <w:tcW w:w="967" w:type="dxa"/>
                  <w:noWrap w:val="0"/>
                  <w:vAlign w:val="center"/>
                </w:tcPr>
                <w:p>
                  <w:pPr>
                    <w:jc w:val="center"/>
                    <w:rPr>
                      <w:rFonts w:hint="eastAsia"/>
                      <w:sz w:val="18"/>
                      <w:szCs w:val="18"/>
                    </w:rPr>
                  </w:pPr>
                  <w:r>
                    <w:rPr>
                      <w:rFonts w:hint="eastAsia"/>
                      <w:sz w:val="18"/>
                      <w:szCs w:val="18"/>
                    </w:rPr>
                    <w:t>资源利用上线</w:t>
                  </w:r>
                </w:p>
              </w:tc>
              <w:tc>
                <w:tcPr>
                  <w:tcW w:w="4567" w:type="dxa"/>
                  <w:noWrap w:val="0"/>
                  <w:vAlign w:val="center"/>
                </w:tcPr>
                <w:p>
                  <w:pPr>
                    <w:rPr>
                      <w:rFonts w:hint="eastAsia"/>
                      <w:sz w:val="18"/>
                      <w:szCs w:val="18"/>
                    </w:rPr>
                  </w:pPr>
                  <w:r>
                    <w:rPr>
                      <w:rFonts w:hint="eastAsia"/>
                      <w:sz w:val="18"/>
                      <w:szCs w:val="18"/>
                    </w:rPr>
                    <w:t>资源是环境的载体，资源利用上线是各地区能源、水、土地等资源消耗不得突破的“天花板”。 相关规划环评应依据有关资源利用上线，对规划实施以及规划内项目的资源开发利用，区分不同行业，从能源资源开发等量或减量替代、开采方式和规模控制、利用效率和保护措施等方面提出资源利用上限建议，为规划编制和审批决策提供重要依据。</w:t>
                  </w:r>
                </w:p>
              </w:tc>
              <w:tc>
                <w:tcPr>
                  <w:tcW w:w="1940" w:type="dxa"/>
                  <w:noWrap w:val="0"/>
                  <w:vAlign w:val="center"/>
                </w:tcPr>
                <w:p>
                  <w:pPr>
                    <w:jc w:val="center"/>
                    <w:rPr>
                      <w:rFonts w:hint="eastAsia"/>
                      <w:sz w:val="18"/>
                      <w:szCs w:val="18"/>
                    </w:rPr>
                  </w:pPr>
                  <w:r>
                    <w:rPr>
                      <w:rFonts w:hint="eastAsia"/>
                      <w:sz w:val="18"/>
                      <w:szCs w:val="18"/>
                    </w:rPr>
                    <w:t>项目实施后生产水循环使用，将减少厂区耗水量及耗电量，不会突区域资源利用上线</w:t>
                  </w:r>
                </w:p>
              </w:tc>
              <w:tc>
                <w:tcPr>
                  <w:tcW w:w="1019" w:type="dxa"/>
                  <w:noWrap w:val="0"/>
                  <w:vAlign w:val="center"/>
                </w:tcPr>
                <w:p>
                  <w:pPr>
                    <w:jc w:val="center"/>
                    <w:rPr>
                      <w:rFonts w:hint="eastAsia"/>
                      <w:sz w:val="18"/>
                      <w:szCs w:val="18"/>
                    </w:rPr>
                  </w:pPr>
                  <w:r>
                    <w:rPr>
                      <w:rFonts w:hint="eastAsia"/>
                      <w:sz w:val="18"/>
                      <w:szCs w:val="18"/>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37" w:type="dxa"/>
                  <w:noWrap w:val="0"/>
                  <w:vAlign w:val="center"/>
                </w:tcPr>
                <w:p>
                  <w:pPr>
                    <w:jc w:val="center"/>
                    <w:rPr>
                      <w:rFonts w:hint="eastAsia"/>
                      <w:sz w:val="18"/>
                      <w:szCs w:val="18"/>
                    </w:rPr>
                  </w:pPr>
                  <w:r>
                    <w:rPr>
                      <w:rFonts w:hint="eastAsia"/>
                      <w:sz w:val="18"/>
                      <w:szCs w:val="18"/>
                    </w:rPr>
                    <w:t>4</w:t>
                  </w:r>
                </w:p>
              </w:tc>
              <w:tc>
                <w:tcPr>
                  <w:tcW w:w="967" w:type="dxa"/>
                  <w:noWrap w:val="0"/>
                  <w:vAlign w:val="center"/>
                </w:tcPr>
                <w:p>
                  <w:pPr>
                    <w:jc w:val="center"/>
                    <w:rPr>
                      <w:rFonts w:hint="eastAsia"/>
                      <w:sz w:val="18"/>
                      <w:szCs w:val="18"/>
                    </w:rPr>
                  </w:pPr>
                  <w:r>
                    <w:rPr>
                      <w:rFonts w:hint="eastAsia"/>
                      <w:sz w:val="18"/>
                      <w:szCs w:val="18"/>
                    </w:rPr>
                    <w:t>负面清单</w:t>
                  </w:r>
                </w:p>
              </w:tc>
              <w:tc>
                <w:tcPr>
                  <w:tcW w:w="4567" w:type="dxa"/>
                  <w:noWrap w:val="0"/>
                  <w:vAlign w:val="center"/>
                </w:tcPr>
                <w:p>
                  <w:pPr>
                    <w:rPr>
                      <w:rFonts w:hint="eastAsia"/>
                      <w:sz w:val="18"/>
                      <w:szCs w:val="18"/>
                    </w:rPr>
                  </w:pPr>
                  <w:r>
                    <w:rPr>
                      <w:rFonts w:hint="eastAsia"/>
                      <w:sz w:val="18"/>
                      <w:szCs w:val="18"/>
                    </w:rPr>
                    <w:t>环境准入负面清单是基于生态保护红线、环境质量底线和资源利用上线，以清单方式列出的禁止、限制等差别化环境准入条件和要求。要在规划环评清单式管理试点的基础上， 从布局选址、资源利用效率、资源配置方式等方面入手，制定环境准入负面清单，充分发挥负面清单对产业发展和项目准入的指导和约束作用。</w:t>
                  </w:r>
                </w:p>
              </w:tc>
              <w:tc>
                <w:tcPr>
                  <w:tcW w:w="1940" w:type="dxa"/>
                  <w:noWrap w:val="0"/>
                  <w:vAlign w:val="center"/>
                </w:tcPr>
                <w:p>
                  <w:pPr>
                    <w:jc w:val="center"/>
                    <w:rPr>
                      <w:rFonts w:hint="eastAsia"/>
                      <w:sz w:val="18"/>
                      <w:szCs w:val="18"/>
                    </w:rPr>
                  </w:pPr>
                  <w:r>
                    <w:rPr>
                      <w:rFonts w:hint="eastAsia"/>
                      <w:sz w:val="18"/>
                      <w:szCs w:val="18"/>
                    </w:rPr>
                    <w:t>本项目不在负面清单内</w:t>
                  </w:r>
                </w:p>
              </w:tc>
              <w:tc>
                <w:tcPr>
                  <w:tcW w:w="1019" w:type="dxa"/>
                  <w:noWrap w:val="0"/>
                  <w:vAlign w:val="center"/>
                </w:tcPr>
                <w:p>
                  <w:pPr>
                    <w:jc w:val="center"/>
                    <w:rPr>
                      <w:rFonts w:hint="eastAsia"/>
                      <w:sz w:val="18"/>
                      <w:szCs w:val="18"/>
                    </w:rPr>
                  </w:pPr>
                  <w:r>
                    <w:rPr>
                      <w:rFonts w:hint="eastAsia"/>
                      <w:sz w:val="18"/>
                      <w:szCs w:val="18"/>
                    </w:rPr>
                    <w:t>符合</w:t>
                  </w:r>
                </w:p>
              </w:tc>
            </w:tr>
          </w:tbl>
          <w:p>
            <w:pPr>
              <w:spacing w:line="360" w:lineRule="auto"/>
              <w:ind w:firstLine="480" w:firstLineChars="200"/>
              <w:rPr>
                <w:rFonts w:hint="eastAsia"/>
                <w:sz w:val="24"/>
              </w:rPr>
            </w:pPr>
            <w:r>
              <w:rPr>
                <w:rFonts w:hint="eastAsia"/>
                <w:sz w:val="24"/>
              </w:rPr>
              <w:t>由上表可知，本项目的建设落实了“生态保护红线、环境质量底线、资源利用上限和环境准入负面清单”的约束要求，体现了从源头防范区域环境污染和加快推进改善环境质量为核心的环保管理要求。因此，本次规划与《关于以改善环境质量为核心加强环境影响评价管理的通知》（环环评[2016]150 号）要求保持一致。</w:t>
            </w:r>
          </w:p>
          <w:p>
            <w:pPr>
              <w:spacing w:line="360" w:lineRule="auto"/>
              <w:ind w:firstLine="482" w:firstLineChars="200"/>
              <w:jc w:val="left"/>
              <w:textAlignment w:val="center"/>
              <w:rPr>
                <w:rFonts w:hAnsi="宋体"/>
                <w:b/>
                <w:sz w:val="24"/>
              </w:rPr>
            </w:pPr>
            <w:r>
              <w:rPr>
                <w:b/>
                <w:sz w:val="24"/>
              </w:rPr>
              <w:t>2.</w:t>
            </w:r>
            <w:r>
              <w:rPr>
                <w:rFonts w:hint="eastAsia"/>
                <w:b/>
                <w:sz w:val="24"/>
              </w:rPr>
              <w:t xml:space="preserve">3 </w:t>
            </w:r>
            <w:r>
              <w:rPr>
                <w:rFonts w:hAnsi="宋体"/>
                <w:b/>
                <w:sz w:val="24"/>
              </w:rPr>
              <w:t>规划相符性</w:t>
            </w:r>
          </w:p>
          <w:p>
            <w:pPr>
              <w:spacing w:line="360" w:lineRule="auto"/>
              <w:ind w:firstLine="480" w:firstLineChars="200"/>
              <w:jc w:val="left"/>
              <w:textAlignment w:val="center"/>
              <w:rPr>
                <w:rFonts w:hint="eastAsia" w:eastAsia="宋体"/>
                <w:sz w:val="24"/>
                <w:lang w:eastAsia="zh-CN"/>
              </w:rPr>
            </w:pPr>
            <w:r>
              <w:rPr>
                <w:rFonts w:hint="eastAsia"/>
                <w:sz w:val="24"/>
              </w:rPr>
              <w:t>项目建设于乐山市市中区悦来乡龙岩村二组3</w:t>
            </w:r>
            <w:r>
              <w:rPr>
                <w:sz w:val="24"/>
              </w:rPr>
              <w:t>98</w:t>
            </w:r>
            <w:r>
              <w:rPr>
                <w:rFonts w:hint="eastAsia"/>
                <w:sz w:val="24"/>
              </w:rPr>
              <w:t>号（原中铁五局</w:t>
            </w:r>
            <w:r>
              <w:rPr>
                <w:rFonts w:hint="eastAsia"/>
                <w:sz w:val="24"/>
                <w:lang w:eastAsia="zh-CN"/>
              </w:rPr>
              <w:t>拌和站</w:t>
            </w:r>
            <w:r>
              <w:rPr>
                <w:rFonts w:hint="eastAsia"/>
                <w:sz w:val="24"/>
              </w:rPr>
              <w:t>占地），占地约</w:t>
            </w:r>
            <w:r>
              <w:rPr>
                <w:rFonts w:hint="eastAsia"/>
                <w:sz w:val="24"/>
                <w:lang w:val="en-US" w:eastAsia="zh-CN"/>
              </w:rPr>
              <w:t>20亩</w:t>
            </w:r>
            <w:r>
              <w:rPr>
                <w:rFonts w:hint="eastAsia"/>
                <w:sz w:val="24"/>
              </w:rPr>
              <w:t>。乐山市市中区规划分局出具关于该项目地块规划情况说明中明确，该地块属于国有建设用地。</w:t>
            </w:r>
            <w:r>
              <w:rPr>
                <w:rFonts w:hint="eastAsia"/>
                <w:sz w:val="24"/>
                <w:lang w:eastAsia="zh-CN"/>
              </w:rPr>
              <w:t>项目建设符合相关规划。</w:t>
            </w:r>
          </w:p>
          <w:p>
            <w:pPr>
              <w:spacing w:line="360" w:lineRule="auto"/>
              <w:ind w:firstLine="482" w:firstLineChars="200"/>
              <w:jc w:val="left"/>
              <w:textAlignment w:val="center"/>
              <w:rPr>
                <w:b/>
                <w:sz w:val="24"/>
              </w:rPr>
            </w:pPr>
            <w:r>
              <w:rPr>
                <w:b/>
                <w:sz w:val="24"/>
              </w:rPr>
              <w:t>2.3</w:t>
            </w:r>
            <w:r>
              <w:rPr>
                <w:rFonts w:hAnsi="宋体"/>
                <w:b/>
                <w:sz w:val="24"/>
              </w:rPr>
              <w:t>选址合理性分析</w:t>
            </w:r>
          </w:p>
          <w:p>
            <w:pPr>
              <w:spacing w:line="360" w:lineRule="auto"/>
              <w:ind w:firstLine="480" w:firstLineChars="200"/>
              <w:rPr>
                <w:rFonts w:hint="eastAsia" w:hAnsi="宋体"/>
                <w:color w:val="000000"/>
                <w:sz w:val="24"/>
              </w:rPr>
            </w:pPr>
            <w:r>
              <w:rPr>
                <w:rFonts w:hint="eastAsia"/>
                <w:sz w:val="24"/>
              </w:rPr>
              <w:t>项目建设于乐山市市中区悦来乡龙岩村，该地区交通方便，电力</w:t>
            </w:r>
            <w:r>
              <w:rPr>
                <w:rFonts w:hint="eastAsia"/>
                <w:sz w:val="24"/>
                <w:lang w:eastAsia="zh-CN"/>
              </w:rPr>
              <w:t>通信</w:t>
            </w:r>
            <w:r>
              <w:rPr>
                <w:rFonts w:hint="eastAsia"/>
                <w:sz w:val="24"/>
              </w:rPr>
              <w:t>网络具备，区域内的基础设施正逐步修建完善。</w:t>
            </w:r>
          </w:p>
          <w:p>
            <w:pPr>
              <w:spacing w:line="360" w:lineRule="auto"/>
              <w:ind w:firstLine="480" w:firstLineChars="200"/>
              <w:rPr>
                <w:sz w:val="24"/>
              </w:rPr>
            </w:pPr>
            <w:r>
              <w:rPr>
                <w:rFonts w:hint="eastAsia"/>
                <w:sz w:val="24"/>
              </w:rPr>
              <w:t>根据现场踏勘，项目建设区域周围外环境关系具体如下：项目东面紧邻山林地，2</w:t>
            </w:r>
            <w:r>
              <w:rPr>
                <w:sz w:val="24"/>
              </w:rPr>
              <w:t>00m</w:t>
            </w:r>
            <w:r>
              <w:rPr>
                <w:rFonts w:hint="eastAsia"/>
                <w:sz w:val="24"/>
              </w:rPr>
              <w:t>范围内无农户等敏感点；南面紧邻山林地，2</w:t>
            </w:r>
            <w:r>
              <w:rPr>
                <w:sz w:val="24"/>
              </w:rPr>
              <w:t>00m</w:t>
            </w:r>
            <w:r>
              <w:rPr>
                <w:rFonts w:hint="eastAsia"/>
                <w:sz w:val="24"/>
              </w:rPr>
              <w:t>范围内有</w:t>
            </w:r>
            <w:r>
              <w:rPr>
                <w:sz w:val="24"/>
              </w:rPr>
              <w:t>1</w:t>
            </w:r>
            <w:r>
              <w:rPr>
                <w:rFonts w:hint="eastAsia"/>
                <w:sz w:val="24"/>
              </w:rPr>
              <w:t>户住户，距边界最近距离约4</w:t>
            </w:r>
            <w:r>
              <w:rPr>
                <w:sz w:val="24"/>
              </w:rPr>
              <w:t>0m</w:t>
            </w:r>
            <w:r>
              <w:rPr>
                <w:rFonts w:hint="eastAsia"/>
                <w:sz w:val="24"/>
              </w:rPr>
              <w:t>，地势低于本项目约1</w:t>
            </w:r>
            <w:r>
              <w:rPr>
                <w:sz w:val="24"/>
              </w:rPr>
              <w:t>0m</w:t>
            </w:r>
            <w:r>
              <w:rPr>
                <w:rFonts w:hint="eastAsia"/>
                <w:sz w:val="24"/>
              </w:rPr>
              <w:t>；西面距边界2</w:t>
            </w:r>
            <w:r>
              <w:rPr>
                <w:sz w:val="24"/>
              </w:rPr>
              <w:t>0m</w:t>
            </w:r>
            <w:r>
              <w:rPr>
                <w:rFonts w:hint="eastAsia"/>
                <w:sz w:val="24"/>
              </w:rPr>
              <w:t>处为乐青路，2</w:t>
            </w:r>
            <w:r>
              <w:rPr>
                <w:sz w:val="24"/>
              </w:rPr>
              <w:t>00m</w:t>
            </w:r>
            <w:r>
              <w:rPr>
                <w:rFonts w:hint="eastAsia"/>
                <w:sz w:val="24"/>
              </w:rPr>
              <w:t>范围内无农户等敏感点；北面紧邻木材加工厂，2</w:t>
            </w:r>
            <w:r>
              <w:rPr>
                <w:sz w:val="24"/>
              </w:rPr>
              <w:t>00m</w:t>
            </w:r>
            <w:r>
              <w:rPr>
                <w:rFonts w:hint="eastAsia"/>
                <w:sz w:val="24"/>
              </w:rPr>
              <w:t>范围内无农户等敏感点。</w:t>
            </w:r>
          </w:p>
          <w:p>
            <w:pPr>
              <w:spacing w:line="360" w:lineRule="auto"/>
              <w:ind w:firstLine="480" w:firstLineChars="200"/>
              <w:rPr>
                <w:rFonts w:hint="eastAsia"/>
                <w:sz w:val="24"/>
              </w:rPr>
            </w:pPr>
            <w:r>
              <w:rPr>
                <w:rFonts w:hint="eastAsia"/>
                <w:sz w:val="24"/>
              </w:rPr>
              <w:t>根据调查，项目评价范围内无自然保护区、风景名胜区、文化遗产保护区、世界文化自然遗产和森林公园、地质公园、湿地公园等保护地，因此外环境无明显环境制约因素。项目建设与周边外环境基本相容。</w:t>
            </w:r>
          </w:p>
          <w:p>
            <w:pPr>
              <w:spacing w:line="360" w:lineRule="auto"/>
              <w:ind w:firstLine="480" w:firstLineChars="200"/>
              <w:jc w:val="left"/>
              <w:textAlignment w:val="center"/>
              <w:rPr>
                <w:rFonts w:hint="eastAsia"/>
                <w:sz w:val="24"/>
              </w:rPr>
            </w:pPr>
            <w:r>
              <w:rPr>
                <w:rFonts w:hint="eastAsia"/>
                <w:sz w:val="24"/>
              </w:rPr>
              <w:t>综上所述，本项目外环境无重大环境制约因素，且同区域环境功能具有一定兼容性，从环境保护角度而言，选址合理。</w:t>
            </w:r>
          </w:p>
          <w:p>
            <w:pPr>
              <w:spacing w:line="360" w:lineRule="auto"/>
              <w:ind w:firstLine="482" w:firstLineChars="200"/>
              <w:rPr>
                <w:rFonts w:hint="eastAsia"/>
                <w:b/>
                <w:color w:val="000000"/>
                <w:sz w:val="24"/>
              </w:rPr>
            </w:pPr>
            <w:r>
              <w:rPr>
                <w:rFonts w:hint="eastAsia"/>
                <w:b/>
                <w:color w:val="000000"/>
                <w:sz w:val="24"/>
              </w:rPr>
              <w:t>三</w:t>
            </w:r>
            <w:r>
              <w:rPr>
                <w:b/>
                <w:color w:val="000000"/>
                <w:sz w:val="24"/>
              </w:rPr>
              <w:t>、</w:t>
            </w:r>
            <w:r>
              <w:rPr>
                <w:rFonts w:hint="eastAsia"/>
                <w:b/>
                <w:color w:val="000000"/>
                <w:sz w:val="24"/>
              </w:rPr>
              <w:t>建设工程概况</w:t>
            </w:r>
          </w:p>
          <w:p>
            <w:pPr>
              <w:spacing w:line="360" w:lineRule="auto"/>
              <w:ind w:firstLine="482" w:firstLineChars="200"/>
              <w:jc w:val="left"/>
              <w:textAlignment w:val="center"/>
              <w:rPr>
                <w:b/>
                <w:sz w:val="24"/>
              </w:rPr>
            </w:pPr>
            <w:r>
              <w:rPr>
                <w:b/>
                <w:sz w:val="24"/>
              </w:rPr>
              <w:t>3.1</w:t>
            </w:r>
            <w:r>
              <w:rPr>
                <w:rFonts w:hAnsi="宋体"/>
                <w:b/>
                <w:sz w:val="24"/>
              </w:rPr>
              <w:t>项目基本概况</w:t>
            </w:r>
          </w:p>
          <w:p>
            <w:pPr>
              <w:spacing w:line="360" w:lineRule="auto"/>
              <w:ind w:firstLine="480" w:firstLineChars="200"/>
              <w:textAlignment w:val="center"/>
              <w:rPr>
                <w:rFonts w:hint="eastAsia" w:hAnsi="宋体"/>
                <w:sz w:val="24"/>
              </w:rPr>
            </w:pPr>
            <w:r>
              <w:rPr>
                <w:rFonts w:hAnsi="宋体"/>
                <w:sz w:val="24"/>
              </w:rPr>
              <w:t>项目名称：</w:t>
            </w:r>
            <w:r>
              <w:rPr>
                <w:rFonts w:hint="eastAsia" w:hAnsi="宋体"/>
                <w:sz w:val="24"/>
              </w:rPr>
              <w:t>新建铁匠世家传统手工艺体验项目</w:t>
            </w:r>
          </w:p>
          <w:p>
            <w:pPr>
              <w:spacing w:line="360" w:lineRule="auto"/>
              <w:ind w:firstLine="480" w:firstLineChars="200"/>
              <w:textAlignment w:val="center"/>
              <w:rPr>
                <w:sz w:val="24"/>
              </w:rPr>
            </w:pPr>
            <w:r>
              <w:rPr>
                <w:rFonts w:hAnsi="宋体"/>
                <w:sz w:val="24"/>
              </w:rPr>
              <w:t>项目性质：</w:t>
            </w:r>
            <w:r>
              <w:rPr>
                <w:rFonts w:hint="eastAsia" w:hAnsi="宋体"/>
                <w:sz w:val="24"/>
              </w:rPr>
              <w:t>新建</w:t>
            </w:r>
          </w:p>
          <w:p>
            <w:pPr>
              <w:spacing w:line="360" w:lineRule="auto"/>
              <w:ind w:firstLine="480" w:firstLineChars="200"/>
              <w:textAlignment w:val="center"/>
              <w:rPr>
                <w:rFonts w:hAnsi="宋体"/>
                <w:sz w:val="24"/>
              </w:rPr>
            </w:pPr>
            <w:r>
              <w:rPr>
                <w:rFonts w:hAnsi="宋体"/>
                <w:sz w:val="24"/>
              </w:rPr>
              <w:t>建设地点：</w:t>
            </w:r>
            <w:r>
              <w:rPr>
                <w:rFonts w:hint="eastAsia" w:hAnsi="宋体"/>
                <w:sz w:val="24"/>
              </w:rPr>
              <w:t>乐山市市中区悦来乡龙岩村二组3</w:t>
            </w:r>
            <w:r>
              <w:rPr>
                <w:rFonts w:hAnsi="宋体"/>
                <w:sz w:val="24"/>
              </w:rPr>
              <w:t>98</w:t>
            </w:r>
            <w:r>
              <w:rPr>
                <w:rFonts w:hint="eastAsia" w:hAnsi="宋体"/>
                <w:sz w:val="24"/>
              </w:rPr>
              <w:t>号</w:t>
            </w:r>
          </w:p>
          <w:p>
            <w:pPr>
              <w:spacing w:line="360" w:lineRule="auto"/>
              <w:ind w:firstLine="480" w:firstLineChars="200"/>
              <w:textAlignment w:val="center"/>
              <w:rPr>
                <w:sz w:val="24"/>
              </w:rPr>
            </w:pPr>
            <w:r>
              <w:rPr>
                <w:rFonts w:hAnsi="宋体"/>
                <w:sz w:val="24"/>
              </w:rPr>
              <w:t>建设单位：</w:t>
            </w:r>
            <w:r>
              <w:rPr>
                <w:rFonts w:hint="eastAsia" w:hAnsi="宋体"/>
                <w:sz w:val="24"/>
              </w:rPr>
              <w:t>乐山铁匠世家手工刀具有限公司</w:t>
            </w:r>
          </w:p>
          <w:p>
            <w:pPr>
              <w:spacing w:line="360" w:lineRule="auto"/>
              <w:ind w:firstLine="480" w:firstLineChars="200"/>
              <w:textAlignment w:val="center"/>
              <w:rPr>
                <w:sz w:val="24"/>
              </w:rPr>
            </w:pPr>
            <w:r>
              <w:rPr>
                <w:rFonts w:hAnsi="宋体"/>
                <w:sz w:val="24"/>
              </w:rPr>
              <w:t>项目投资：</w:t>
            </w:r>
            <w:r>
              <w:rPr>
                <w:sz w:val="24"/>
              </w:rPr>
              <w:t>100</w:t>
            </w:r>
            <w:r>
              <w:rPr>
                <w:rFonts w:hint="eastAsia"/>
                <w:sz w:val="24"/>
              </w:rPr>
              <w:t>万元，资金来源：企业自筹</w:t>
            </w:r>
          </w:p>
          <w:p>
            <w:pPr>
              <w:spacing w:line="360" w:lineRule="auto"/>
              <w:ind w:firstLine="482" w:firstLineChars="200"/>
              <w:textAlignment w:val="center"/>
              <w:rPr>
                <w:b/>
                <w:sz w:val="24"/>
              </w:rPr>
            </w:pPr>
            <w:r>
              <w:rPr>
                <w:b/>
                <w:sz w:val="24"/>
              </w:rPr>
              <w:t>3.2</w:t>
            </w:r>
            <w:r>
              <w:rPr>
                <w:rFonts w:hAnsi="宋体"/>
                <w:b/>
                <w:sz w:val="24"/>
              </w:rPr>
              <w:t>项目建设内容及规模</w:t>
            </w:r>
          </w:p>
          <w:p>
            <w:pPr>
              <w:spacing w:line="360" w:lineRule="auto"/>
              <w:ind w:firstLine="480" w:firstLineChars="200"/>
              <w:jc w:val="left"/>
              <w:rPr>
                <w:sz w:val="24"/>
              </w:rPr>
            </w:pPr>
            <w:r>
              <w:rPr>
                <w:rFonts w:hint="eastAsia"/>
                <w:sz w:val="24"/>
              </w:rPr>
              <w:t>租用厂房3000平方米，购置安装醇基燃料发热炉、打磨机、抛光机等设备，外购刀坯半成品，建设家用刀具传统手工艺制作体验项目。具体建设内容详见下表。</w:t>
            </w:r>
          </w:p>
          <w:p>
            <w:pPr>
              <w:spacing w:line="360" w:lineRule="auto"/>
              <w:jc w:val="center"/>
              <w:rPr>
                <w:rFonts w:hAnsi="宋体"/>
                <w:b/>
                <w:color w:val="000000"/>
                <w:sz w:val="24"/>
              </w:rPr>
            </w:pPr>
            <w:r>
              <w:rPr>
                <w:rFonts w:hAnsi="宋体"/>
                <w:b/>
                <w:color w:val="000000"/>
                <w:sz w:val="24"/>
              </w:rPr>
              <w:t>表</w:t>
            </w:r>
            <w:r>
              <w:rPr>
                <w:b/>
                <w:color w:val="000000"/>
                <w:sz w:val="24"/>
              </w:rPr>
              <w:t>1-</w:t>
            </w:r>
            <w:r>
              <w:rPr>
                <w:rFonts w:hint="eastAsia"/>
                <w:b/>
                <w:color w:val="000000"/>
                <w:sz w:val="24"/>
              </w:rPr>
              <w:t>5</w:t>
            </w:r>
            <w:r>
              <w:rPr>
                <w:b/>
                <w:color w:val="000000"/>
                <w:sz w:val="24"/>
              </w:rPr>
              <w:t xml:space="preserve">  </w:t>
            </w:r>
            <w:r>
              <w:rPr>
                <w:rFonts w:hAnsi="宋体"/>
                <w:b/>
                <w:color w:val="000000"/>
                <w:sz w:val="24"/>
              </w:rPr>
              <w:t>本项目主要建设内容一览表</w:t>
            </w:r>
          </w:p>
          <w:tbl>
            <w:tblPr>
              <w:tblStyle w:val="69"/>
              <w:tblW w:w="895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8"/>
              <w:gridCol w:w="884"/>
              <w:gridCol w:w="724"/>
              <w:gridCol w:w="3747"/>
              <w:gridCol w:w="1084"/>
              <w:gridCol w:w="2090"/>
            </w:tblGrid>
            <w:tr>
              <w:tblPrEx>
                <w:tblLayout w:type="fixed"/>
                <w:tblCellMar>
                  <w:top w:w="0" w:type="dxa"/>
                  <w:left w:w="108" w:type="dxa"/>
                  <w:bottom w:w="0" w:type="dxa"/>
                  <w:right w:w="108" w:type="dxa"/>
                </w:tblCellMar>
              </w:tblPrEx>
              <w:trPr>
                <w:cantSplit/>
                <w:jc w:val="center"/>
              </w:trPr>
              <w:tc>
                <w:tcPr>
                  <w:tcW w:w="428" w:type="dxa"/>
                  <w:vMerge w:val="restart"/>
                  <w:noWrap w:val="0"/>
                  <w:vAlign w:val="center"/>
                </w:tcPr>
                <w:p>
                  <w:pPr>
                    <w:adjustRightInd w:val="0"/>
                    <w:snapToGrid w:val="0"/>
                    <w:jc w:val="center"/>
                    <w:rPr>
                      <w:rFonts w:hint="eastAsia" w:ascii="T" w:hAnsi="T"/>
                      <w:snapToGrid w:val="0"/>
                      <w:kern w:val="0"/>
                      <w:szCs w:val="21"/>
                    </w:rPr>
                  </w:pPr>
                  <w:r>
                    <w:rPr>
                      <w:rFonts w:ascii="T" w:hAnsi="T"/>
                      <w:szCs w:val="21"/>
                    </w:rPr>
                    <w:t>名称</w:t>
                  </w:r>
                </w:p>
              </w:tc>
              <w:tc>
                <w:tcPr>
                  <w:tcW w:w="5355" w:type="dxa"/>
                  <w:gridSpan w:val="3"/>
                  <w:vMerge w:val="restart"/>
                  <w:noWrap w:val="0"/>
                  <w:vAlign w:val="center"/>
                </w:tcPr>
                <w:p>
                  <w:pPr>
                    <w:adjustRightInd w:val="0"/>
                    <w:snapToGrid w:val="0"/>
                    <w:jc w:val="center"/>
                    <w:rPr>
                      <w:rFonts w:hint="eastAsia" w:ascii="T" w:hAnsi="T"/>
                      <w:snapToGrid w:val="0"/>
                      <w:kern w:val="0"/>
                      <w:szCs w:val="21"/>
                    </w:rPr>
                  </w:pPr>
                  <w:r>
                    <w:rPr>
                      <w:rFonts w:ascii="T" w:hAnsi="T"/>
                      <w:szCs w:val="21"/>
                    </w:rPr>
                    <w:t>建设内容及规模</w:t>
                  </w:r>
                </w:p>
              </w:tc>
              <w:tc>
                <w:tcPr>
                  <w:tcW w:w="3174" w:type="dxa"/>
                  <w:gridSpan w:val="2"/>
                  <w:noWrap w:val="0"/>
                  <w:vAlign w:val="center"/>
                </w:tcPr>
                <w:p>
                  <w:pPr>
                    <w:adjustRightInd w:val="0"/>
                    <w:snapToGrid w:val="0"/>
                    <w:jc w:val="center"/>
                    <w:rPr>
                      <w:rFonts w:hint="eastAsia" w:ascii="T" w:hAnsi="T"/>
                      <w:snapToGrid w:val="0"/>
                      <w:kern w:val="0"/>
                      <w:szCs w:val="21"/>
                    </w:rPr>
                  </w:pPr>
                  <w:r>
                    <w:rPr>
                      <w:rFonts w:ascii="T" w:hAnsi="T"/>
                      <w:spacing w:val="-10"/>
                      <w:szCs w:val="21"/>
                    </w:rPr>
                    <w:t>可能产生的环境问题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8" w:type="dxa"/>
                  <w:vMerge w:val="continue"/>
                  <w:noWrap w:val="0"/>
                  <w:vAlign w:val="center"/>
                </w:tcPr>
                <w:p/>
              </w:tc>
              <w:tc>
                <w:tcPr>
                  <w:tcW w:w="5355" w:type="dxa"/>
                  <w:gridSpan w:val="3"/>
                  <w:vMerge w:val="continue"/>
                  <w:noWrap w:val="0"/>
                  <w:vAlign w:val="center"/>
                </w:tcPr>
                <w:p/>
              </w:tc>
              <w:tc>
                <w:tcPr>
                  <w:tcW w:w="1084" w:type="dxa"/>
                  <w:noWrap w:val="0"/>
                  <w:vAlign w:val="center"/>
                </w:tcPr>
                <w:p>
                  <w:pPr>
                    <w:snapToGrid w:val="0"/>
                    <w:spacing w:line="300" w:lineRule="exact"/>
                    <w:jc w:val="center"/>
                    <w:rPr>
                      <w:rFonts w:ascii="T" w:hAnsi="T"/>
                      <w:szCs w:val="21"/>
                    </w:rPr>
                  </w:pPr>
                  <w:r>
                    <w:rPr>
                      <w:rFonts w:ascii="T" w:hAnsi="T"/>
                      <w:szCs w:val="21"/>
                    </w:rPr>
                    <w:t>施工期</w:t>
                  </w:r>
                </w:p>
              </w:tc>
              <w:tc>
                <w:tcPr>
                  <w:tcW w:w="2090" w:type="dxa"/>
                  <w:noWrap w:val="0"/>
                  <w:vAlign w:val="center"/>
                </w:tcPr>
                <w:p>
                  <w:pPr>
                    <w:snapToGrid w:val="0"/>
                    <w:spacing w:line="300" w:lineRule="exact"/>
                    <w:jc w:val="center"/>
                    <w:rPr>
                      <w:rFonts w:ascii="T" w:hAnsi="T"/>
                      <w:szCs w:val="21"/>
                    </w:rPr>
                  </w:pPr>
                  <w:r>
                    <w:rPr>
                      <w:rFonts w:ascii="T" w:hAnsi="T"/>
                      <w:szCs w:val="21"/>
                    </w:rPr>
                    <w:t>营运期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428" w:type="dxa"/>
                  <w:vMerge w:val="restart"/>
                  <w:noWrap w:val="0"/>
                  <w:vAlign w:val="center"/>
                </w:tcPr>
                <w:p>
                  <w:pPr>
                    <w:snapToGrid w:val="0"/>
                    <w:spacing w:line="300" w:lineRule="exact"/>
                    <w:jc w:val="center"/>
                    <w:rPr>
                      <w:rFonts w:ascii="T" w:hAnsi="T"/>
                      <w:szCs w:val="21"/>
                    </w:rPr>
                  </w:pPr>
                  <w:r>
                    <w:rPr>
                      <w:rFonts w:ascii="T" w:hAnsi="T"/>
                      <w:szCs w:val="21"/>
                    </w:rPr>
                    <w:t>主体</w:t>
                  </w:r>
                </w:p>
                <w:p>
                  <w:pPr>
                    <w:adjustRightInd w:val="0"/>
                    <w:snapToGrid w:val="0"/>
                    <w:jc w:val="center"/>
                    <w:rPr>
                      <w:rFonts w:hint="eastAsia" w:ascii="T" w:hAnsi="T"/>
                      <w:snapToGrid w:val="0"/>
                      <w:kern w:val="0"/>
                      <w:szCs w:val="21"/>
                    </w:rPr>
                  </w:pPr>
                  <w:r>
                    <w:rPr>
                      <w:rFonts w:ascii="T" w:hAnsi="T"/>
                      <w:szCs w:val="21"/>
                    </w:rPr>
                    <w:t>工程</w:t>
                  </w:r>
                </w:p>
              </w:tc>
              <w:tc>
                <w:tcPr>
                  <w:tcW w:w="884" w:type="dxa"/>
                  <w:noWrap w:val="0"/>
                  <w:vAlign w:val="center"/>
                </w:tcPr>
                <w:p>
                  <w:pPr>
                    <w:adjustRightInd w:val="0"/>
                    <w:snapToGrid w:val="0"/>
                    <w:jc w:val="center"/>
                    <w:rPr>
                      <w:rFonts w:hint="eastAsia" w:ascii="T" w:hAnsi="T" w:eastAsia="宋体"/>
                      <w:snapToGrid w:val="0"/>
                      <w:kern w:val="0"/>
                      <w:szCs w:val="21"/>
                      <w:lang w:eastAsia="zh-CN"/>
                    </w:rPr>
                  </w:pPr>
                  <w:r>
                    <w:rPr>
                      <w:rFonts w:hint="eastAsia" w:ascii="T" w:hAnsi="T"/>
                      <w:snapToGrid w:val="0"/>
                      <w:kern w:val="0"/>
                      <w:szCs w:val="21"/>
                    </w:rPr>
                    <w:t>抛光</w:t>
                  </w:r>
                  <w:r>
                    <w:rPr>
                      <w:rFonts w:hint="eastAsia" w:ascii="T" w:hAnsi="T"/>
                      <w:snapToGrid w:val="0"/>
                      <w:kern w:val="0"/>
                      <w:szCs w:val="21"/>
                      <w:lang w:eastAsia="zh-CN"/>
                    </w:rPr>
                    <w:t>车间</w:t>
                  </w:r>
                </w:p>
              </w:tc>
              <w:tc>
                <w:tcPr>
                  <w:tcW w:w="4471" w:type="dxa"/>
                  <w:gridSpan w:val="2"/>
                  <w:noWrap w:val="0"/>
                  <w:vAlign w:val="center"/>
                </w:tcPr>
                <w:p>
                  <w:pPr>
                    <w:adjustRightInd w:val="0"/>
                    <w:snapToGrid w:val="0"/>
                    <w:rPr>
                      <w:rFonts w:hint="eastAsia" w:ascii="T" w:hAnsi="T"/>
                      <w:snapToGrid w:val="0"/>
                      <w:kern w:val="0"/>
                      <w:szCs w:val="21"/>
                    </w:rPr>
                  </w:pPr>
                  <w:r>
                    <w:rPr>
                      <w:rFonts w:hint="eastAsia" w:ascii="T" w:hAnsi="T"/>
                      <w:szCs w:val="21"/>
                    </w:rPr>
                    <w:t>1</w:t>
                  </w:r>
                  <w:r>
                    <w:rPr>
                      <w:rFonts w:ascii="T" w:hAnsi="T"/>
                      <w:szCs w:val="21"/>
                    </w:rPr>
                    <w:t>F</w:t>
                  </w:r>
                  <w:r>
                    <w:rPr>
                      <w:rFonts w:hint="eastAsia" w:ascii="T" w:hAnsi="T"/>
                      <w:szCs w:val="21"/>
                    </w:rPr>
                    <w:t>，钢架结构，建筑面积3</w:t>
                  </w:r>
                  <w:r>
                    <w:rPr>
                      <w:rFonts w:ascii="T" w:hAnsi="T"/>
                      <w:szCs w:val="21"/>
                    </w:rPr>
                    <w:t>80</w:t>
                  </w:r>
                  <w:r>
                    <w:rPr>
                      <w:rFonts w:hint="eastAsia" w:ascii="T" w:hAnsi="T"/>
                      <w:szCs w:val="21"/>
                    </w:rPr>
                    <w:t>㎡，共2座；设置砂带机、砂圈机、尼龙轮机、软布轮机；主要进行刀柄抛光工艺</w:t>
                  </w:r>
                </w:p>
              </w:tc>
              <w:tc>
                <w:tcPr>
                  <w:tcW w:w="1084" w:type="dxa"/>
                  <w:vMerge w:val="restart"/>
                  <w:noWrap w:val="0"/>
                  <w:vAlign w:val="center"/>
                </w:tcPr>
                <w:p>
                  <w:pPr>
                    <w:adjustRightInd w:val="0"/>
                    <w:snapToGrid w:val="0"/>
                    <w:jc w:val="center"/>
                    <w:rPr>
                      <w:rFonts w:hint="eastAsia" w:ascii="T" w:hAnsi="T"/>
                      <w:snapToGrid w:val="0"/>
                      <w:kern w:val="0"/>
                      <w:szCs w:val="21"/>
                    </w:rPr>
                  </w:pPr>
                  <w:r>
                    <w:rPr>
                      <w:rFonts w:hint="eastAsia" w:ascii="T" w:hAnsi="T"/>
                      <w:snapToGrid w:val="0"/>
                      <w:kern w:val="0"/>
                      <w:szCs w:val="21"/>
                    </w:rPr>
                    <w:t>施工扬尘、废水、噪声、弃土渣</w:t>
                  </w:r>
                </w:p>
              </w:tc>
              <w:tc>
                <w:tcPr>
                  <w:tcW w:w="2090" w:type="dxa"/>
                  <w:vMerge w:val="restart"/>
                  <w:noWrap w:val="0"/>
                  <w:vAlign w:val="center"/>
                </w:tcPr>
                <w:p>
                  <w:pPr>
                    <w:adjustRightInd w:val="0"/>
                    <w:snapToGrid w:val="0"/>
                    <w:jc w:val="center"/>
                    <w:rPr>
                      <w:rFonts w:ascii="T" w:hAnsi="T"/>
                      <w:snapToGrid w:val="0"/>
                      <w:kern w:val="0"/>
                      <w:szCs w:val="21"/>
                    </w:rPr>
                  </w:pPr>
                  <w:r>
                    <w:rPr>
                      <w:rFonts w:hint="eastAsia" w:ascii="T" w:hAnsi="T"/>
                      <w:snapToGrid w:val="0"/>
                      <w:kern w:val="0"/>
                      <w:szCs w:val="21"/>
                    </w:rPr>
                    <w:t>打磨粉尘</w:t>
                  </w:r>
                </w:p>
                <w:p>
                  <w:pPr>
                    <w:adjustRightInd w:val="0"/>
                    <w:snapToGrid w:val="0"/>
                    <w:jc w:val="center"/>
                    <w:rPr>
                      <w:rFonts w:ascii="T" w:hAnsi="T"/>
                      <w:snapToGrid w:val="0"/>
                      <w:kern w:val="0"/>
                      <w:szCs w:val="21"/>
                    </w:rPr>
                  </w:pPr>
                  <w:r>
                    <w:rPr>
                      <w:rFonts w:hint="eastAsia" w:ascii="T" w:hAnsi="T"/>
                      <w:snapToGrid w:val="0"/>
                      <w:kern w:val="0"/>
                      <w:szCs w:val="21"/>
                    </w:rPr>
                    <w:t>设备噪声</w:t>
                  </w:r>
                </w:p>
                <w:p>
                  <w:pPr>
                    <w:adjustRightInd w:val="0"/>
                    <w:snapToGrid w:val="0"/>
                    <w:jc w:val="center"/>
                    <w:rPr>
                      <w:rFonts w:hint="eastAsia" w:ascii="T" w:hAnsi="T"/>
                      <w:snapToGrid w:val="0"/>
                      <w:kern w:val="0"/>
                      <w:szCs w:val="21"/>
                    </w:rPr>
                  </w:pPr>
                  <w:r>
                    <w:rPr>
                      <w:rFonts w:hint="eastAsia" w:ascii="T" w:hAnsi="T"/>
                      <w:snapToGrid w:val="0"/>
                      <w:kern w:val="0"/>
                      <w:szCs w:val="21"/>
                    </w:rPr>
                    <w:t>固体废物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0" w:hRule="atLeast"/>
                <w:jc w:val="center"/>
              </w:trPr>
              <w:tc>
                <w:tcPr>
                  <w:tcW w:w="428" w:type="dxa"/>
                  <w:vMerge w:val="continue"/>
                  <w:noWrap w:val="0"/>
                  <w:vAlign w:val="center"/>
                </w:tcPr>
                <w:p/>
              </w:tc>
              <w:tc>
                <w:tcPr>
                  <w:tcW w:w="884" w:type="dxa"/>
                  <w:noWrap w:val="0"/>
                  <w:vAlign w:val="center"/>
                </w:tcPr>
                <w:p>
                  <w:pPr>
                    <w:adjustRightInd w:val="0"/>
                    <w:snapToGrid w:val="0"/>
                    <w:jc w:val="center"/>
                    <w:rPr>
                      <w:rFonts w:hint="eastAsia" w:ascii="T" w:hAnsi="T" w:eastAsia="宋体"/>
                      <w:snapToGrid w:val="0"/>
                      <w:kern w:val="0"/>
                      <w:szCs w:val="21"/>
                      <w:lang w:eastAsia="zh-CN"/>
                    </w:rPr>
                  </w:pPr>
                  <w:r>
                    <w:rPr>
                      <w:rFonts w:hint="eastAsia" w:ascii="T" w:hAnsi="T"/>
                      <w:snapToGrid w:val="0"/>
                      <w:kern w:val="0"/>
                      <w:szCs w:val="21"/>
                    </w:rPr>
                    <w:t>打磨</w:t>
                  </w:r>
                  <w:r>
                    <w:rPr>
                      <w:rFonts w:hint="eastAsia" w:ascii="T" w:hAnsi="T"/>
                      <w:snapToGrid w:val="0"/>
                      <w:kern w:val="0"/>
                      <w:szCs w:val="21"/>
                      <w:lang w:eastAsia="zh-CN"/>
                    </w:rPr>
                    <w:t>车间</w:t>
                  </w:r>
                </w:p>
              </w:tc>
              <w:tc>
                <w:tcPr>
                  <w:tcW w:w="4471" w:type="dxa"/>
                  <w:gridSpan w:val="2"/>
                  <w:noWrap w:val="0"/>
                  <w:vAlign w:val="center"/>
                </w:tcPr>
                <w:p>
                  <w:pPr>
                    <w:adjustRightInd w:val="0"/>
                    <w:snapToGrid w:val="0"/>
                    <w:rPr>
                      <w:rFonts w:ascii="T" w:hAnsi="T"/>
                      <w:szCs w:val="21"/>
                    </w:rPr>
                  </w:pPr>
                  <w:r>
                    <w:rPr>
                      <w:rFonts w:ascii="T" w:hAnsi="T"/>
                      <w:szCs w:val="21"/>
                    </w:rPr>
                    <w:t>1F</w:t>
                  </w:r>
                  <w:r>
                    <w:rPr>
                      <w:rFonts w:hint="eastAsia" w:ascii="T" w:hAnsi="T"/>
                      <w:szCs w:val="21"/>
                    </w:rPr>
                    <w:t>，钢架结构，建筑面积3</w:t>
                  </w:r>
                  <w:r>
                    <w:rPr>
                      <w:rFonts w:ascii="T" w:hAnsi="T"/>
                      <w:szCs w:val="21"/>
                    </w:rPr>
                    <w:t>80</w:t>
                  </w:r>
                  <w:r>
                    <w:rPr>
                      <w:rFonts w:hint="eastAsia" w:ascii="T" w:hAnsi="T"/>
                      <w:szCs w:val="21"/>
                    </w:rPr>
                    <w:t>㎡，共2座；设置砂轮机、金刚砂轮机、磨削机、水磨机；主要进行刀身打磨工艺</w:t>
                  </w:r>
                </w:p>
              </w:tc>
              <w:tc>
                <w:tcPr>
                  <w:tcW w:w="1084" w:type="dxa"/>
                  <w:vMerge w:val="continue"/>
                  <w:noWrap w:val="0"/>
                  <w:vAlign w:val="center"/>
                </w:tcPr>
                <w:p/>
              </w:tc>
              <w:tc>
                <w:tcPr>
                  <w:tcW w:w="2090" w:type="dxa"/>
                  <w:vMerge w:val="continue"/>
                  <w:noWrap w:val="0"/>
                  <w:vAlign w:val="center"/>
                </w:tcPr>
                <w:p>
                  <w:pPr>
                    <w:adjustRightInd w:val="0"/>
                    <w:snapToGrid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428" w:type="dxa"/>
                  <w:vMerge w:val="continue"/>
                  <w:noWrap w:val="0"/>
                  <w:vAlign w:val="center"/>
                </w:tcPr>
                <w:p/>
              </w:tc>
              <w:tc>
                <w:tcPr>
                  <w:tcW w:w="884" w:type="dxa"/>
                  <w:noWrap w:val="0"/>
                  <w:vAlign w:val="center"/>
                </w:tcPr>
                <w:p>
                  <w:pPr>
                    <w:adjustRightInd w:val="0"/>
                    <w:snapToGrid w:val="0"/>
                    <w:jc w:val="center"/>
                    <w:rPr>
                      <w:rFonts w:hint="eastAsia" w:ascii="T" w:hAnsi="T" w:eastAsia="宋体"/>
                      <w:snapToGrid w:val="0"/>
                      <w:kern w:val="0"/>
                      <w:szCs w:val="21"/>
                      <w:lang w:eastAsia="zh-CN"/>
                    </w:rPr>
                  </w:pPr>
                  <w:r>
                    <w:rPr>
                      <w:rFonts w:hint="eastAsia" w:ascii="T" w:hAnsi="T"/>
                      <w:snapToGrid w:val="0"/>
                      <w:kern w:val="0"/>
                      <w:szCs w:val="21"/>
                    </w:rPr>
                    <w:t>热处理</w:t>
                  </w:r>
                  <w:r>
                    <w:rPr>
                      <w:rFonts w:hint="eastAsia" w:ascii="T" w:hAnsi="T"/>
                      <w:snapToGrid w:val="0"/>
                      <w:kern w:val="0"/>
                      <w:szCs w:val="21"/>
                      <w:lang w:eastAsia="zh-CN"/>
                    </w:rPr>
                    <w:t>车间</w:t>
                  </w:r>
                </w:p>
              </w:tc>
              <w:tc>
                <w:tcPr>
                  <w:tcW w:w="4471" w:type="dxa"/>
                  <w:gridSpan w:val="2"/>
                  <w:noWrap w:val="0"/>
                  <w:vAlign w:val="center"/>
                </w:tcPr>
                <w:p>
                  <w:pPr>
                    <w:snapToGrid w:val="0"/>
                    <w:spacing w:line="300" w:lineRule="exact"/>
                    <w:rPr>
                      <w:rFonts w:hint="eastAsia" w:ascii="T" w:hAnsi="T"/>
                      <w:szCs w:val="21"/>
                    </w:rPr>
                  </w:pPr>
                  <w:r>
                    <w:rPr>
                      <w:rFonts w:hint="eastAsia" w:ascii="T" w:hAnsi="T"/>
                      <w:szCs w:val="21"/>
                    </w:rPr>
                    <w:t>1</w:t>
                  </w:r>
                  <w:r>
                    <w:rPr>
                      <w:rFonts w:ascii="T" w:hAnsi="T"/>
                      <w:szCs w:val="21"/>
                    </w:rPr>
                    <w:t>F</w:t>
                  </w:r>
                  <w:r>
                    <w:rPr>
                      <w:rFonts w:hint="eastAsia" w:ascii="T" w:hAnsi="T"/>
                      <w:szCs w:val="21"/>
                    </w:rPr>
                    <w:t>，钢架结构，建筑面积3</w:t>
                  </w:r>
                  <w:r>
                    <w:rPr>
                      <w:rFonts w:ascii="T" w:hAnsi="T"/>
                      <w:szCs w:val="21"/>
                    </w:rPr>
                    <w:t>80</w:t>
                  </w:r>
                  <w:r>
                    <w:rPr>
                      <w:rFonts w:hint="eastAsia" w:ascii="T" w:hAnsi="T"/>
                      <w:szCs w:val="21"/>
                    </w:rPr>
                    <w:t>㎡；设置醇基燃料转换炉、高频炉、空气锤等；主要进行刀身成型、淬火、回火等工艺</w:t>
                  </w:r>
                </w:p>
              </w:tc>
              <w:tc>
                <w:tcPr>
                  <w:tcW w:w="1084" w:type="dxa"/>
                  <w:vMerge w:val="continue"/>
                  <w:noWrap w:val="0"/>
                  <w:vAlign w:val="center"/>
                </w:tcPr>
                <w:p/>
              </w:tc>
              <w:tc>
                <w:tcPr>
                  <w:tcW w:w="2090" w:type="dxa"/>
                  <w:vMerge w:val="continue"/>
                  <w:noWrap w:val="0"/>
                  <w:vAlign w:val="center"/>
                </w:tcPr>
                <w:p>
                  <w:pPr>
                    <w:adjustRightInd w:val="0"/>
                    <w:snapToGrid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428" w:type="dxa"/>
                  <w:vMerge w:val="continue"/>
                  <w:noWrap w:val="0"/>
                  <w:vAlign w:val="center"/>
                </w:tcPr>
                <w:p/>
              </w:tc>
              <w:tc>
                <w:tcPr>
                  <w:tcW w:w="884" w:type="dxa"/>
                  <w:noWrap w:val="0"/>
                  <w:vAlign w:val="center"/>
                </w:tcPr>
                <w:p>
                  <w:pPr>
                    <w:snapToGrid w:val="0"/>
                    <w:spacing w:line="300" w:lineRule="exact"/>
                    <w:jc w:val="center"/>
                    <w:rPr>
                      <w:rFonts w:hint="eastAsia" w:ascii="T" w:hAnsi="T"/>
                      <w:szCs w:val="21"/>
                    </w:rPr>
                  </w:pPr>
                  <w:r>
                    <w:rPr>
                      <w:rFonts w:hint="eastAsia" w:ascii="T" w:hAnsi="T"/>
                      <w:szCs w:val="21"/>
                    </w:rPr>
                    <w:t>组装</w:t>
                  </w:r>
                </w:p>
                <w:p>
                  <w:pPr>
                    <w:snapToGrid w:val="0"/>
                    <w:spacing w:line="300" w:lineRule="exact"/>
                    <w:jc w:val="center"/>
                    <w:rPr>
                      <w:rFonts w:hint="eastAsia" w:ascii="T" w:hAnsi="T" w:eastAsia="宋体"/>
                      <w:szCs w:val="21"/>
                      <w:lang w:eastAsia="zh-CN"/>
                    </w:rPr>
                  </w:pPr>
                  <w:r>
                    <w:rPr>
                      <w:rFonts w:hint="eastAsia" w:ascii="T" w:hAnsi="T"/>
                      <w:snapToGrid w:val="0"/>
                      <w:kern w:val="0"/>
                      <w:szCs w:val="21"/>
                      <w:lang w:eastAsia="zh-CN"/>
                    </w:rPr>
                    <w:t>车间</w:t>
                  </w:r>
                </w:p>
              </w:tc>
              <w:tc>
                <w:tcPr>
                  <w:tcW w:w="4471" w:type="dxa"/>
                  <w:gridSpan w:val="2"/>
                  <w:noWrap w:val="0"/>
                  <w:vAlign w:val="center"/>
                </w:tcPr>
                <w:p>
                  <w:pPr>
                    <w:snapToGrid w:val="0"/>
                    <w:spacing w:line="300" w:lineRule="exact"/>
                    <w:jc w:val="center"/>
                    <w:rPr>
                      <w:rFonts w:ascii="T" w:hAnsi="T"/>
                      <w:szCs w:val="21"/>
                    </w:rPr>
                  </w:pPr>
                  <w:r>
                    <w:rPr>
                      <w:rFonts w:hint="eastAsia" w:ascii="T" w:hAnsi="T"/>
                      <w:szCs w:val="21"/>
                    </w:rPr>
                    <w:t>1</w:t>
                  </w:r>
                  <w:r>
                    <w:rPr>
                      <w:rFonts w:ascii="T" w:hAnsi="T"/>
                      <w:szCs w:val="21"/>
                    </w:rPr>
                    <w:t>F</w:t>
                  </w:r>
                  <w:r>
                    <w:rPr>
                      <w:rFonts w:hint="eastAsia" w:ascii="T" w:hAnsi="T"/>
                      <w:szCs w:val="21"/>
                    </w:rPr>
                    <w:t>，钢架结构，建筑面积3</w:t>
                  </w:r>
                  <w:r>
                    <w:rPr>
                      <w:rFonts w:ascii="T" w:hAnsi="T"/>
                      <w:szCs w:val="21"/>
                    </w:rPr>
                    <w:t>80</w:t>
                  </w:r>
                  <w:r>
                    <w:rPr>
                      <w:rFonts w:hint="eastAsia" w:ascii="T" w:hAnsi="T"/>
                      <w:szCs w:val="21"/>
                    </w:rPr>
                    <w:t>㎡，共2座；设置切割机、台钻、小型冲床；主要进行刀身与刀柄组装等工艺</w:t>
                  </w:r>
                </w:p>
              </w:tc>
              <w:tc>
                <w:tcPr>
                  <w:tcW w:w="1084" w:type="dxa"/>
                  <w:vMerge w:val="continue"/>
                  <w:noWrap w:val="0"/>
                  <w:vAlign w:val="center"/>
                </w:tcPr>
                <w:p/>
              </w:tc>
              <w:tc>
                <w:tcPr>
                  <w:tcW w:w="2090" w:type="dxa"/>
                  <w:vMerge w:val="continue"/>
                  <w:noWrap w:val="0"/>
                  <w:vAlign w:val="center"/>
                </w:tcPr>
                <w:p>
                  <w:pPr>
                    <w:adjustRightInd w:val="0"/>
                    <w:snapToGrid w:val="0"/>
                    <w:jc w:val="center"/>
                    <w:rPr>
                      <w:rFonts w:ascii="T" w:hAnsi="T"/>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8" w:type="dxa"/>
                  <w:vMerge w:val="continue"/>
                  <w:noWrap w:val="0"/>
                  <w:vAlign w:val="center"/>
                </w:tcPr>
                <w:p/>
              </w:tc>
              <w:tc>
                <w:tcPr>
                  <w:tcW w:w="884" w:type="dxa"/>
                  <w:noWrap w:val="0"/>
                  <w:vAlign w:val="center"/>
                </w:tcPr>
                <w:p>
                  <w:pPr>
                    <w:snapToGrid w:val="0"/>
                    <w:spacing w:line="300" w:lineRule="exact"/>
                    <w:jc w:val="center"/>
                    <w:rPr>
                      <w:rFonts w:hint="eastAsia" w:ascii="T" w:hAnsi="T"/>
                      <w:szCs w:val="21"/>
                    </w:rPr>
                  </w:pPr>
                  <w:r>
                    <w:rPr>
                      <w:rFonts w:hint="eastAsia" w:ascii="T" w:hAnsi="T"/>
                      <w:szCs w:val="21"/>
                    </w:rPr>
                    <w:t>传统手工艺网络直播间</w:t>
                  </w:r>
                </w:p>
              </w:tc>
              <w:tc>
                <w:tcPr>
                  <w:tcW w:w="4471" w:type="dxa"/>
                  <w:gridSpan w:val="2"/>
                  <w:noWrap w:val="0"/>
                  <w:vAlign w:val="center"/>
                </w:tcPr>
                <w:p>
                  <w:pPr>
                    <w:snapToGrid w:val="0"/>
                    <w:spacing w:line="300" w:lineRule="exact"/>
                    <w:jc w:val="center"/>
                    <w:rPr>
                      <w:rFonts w:ascii="T" w:hAnsi="T"/>
                      <w:szCs w:val="21"/>
                    </w:rPr>
                  </w:pPr>
                  <w:r>
                    <w:rPr>
                      <w:rFonts w:ascii="T" w:hAnsi="T"/>
                      <w:szCs w:val="21"/>
                    </w:rPr>
                    <w:t>1F</w:t>
                  </w:r>
                  <w:r>
                    <w:rPr>
                      <w:rFonts w:hint="eastAsia" w:ascii="T" w:hAnsi="T"/>
                      <w:szCs w:val="21"/>
                    </w:rPr>
                    <w:t>，钢架结构，建筑面积3</w:t>
                  </w:r>
                  <w:r>
                    <w:rPr>
                      <w:rFonts w:ascii="T" w:hAnsi="T"/>
                      <w:szCs w:val="21"/>
                    </w:rPr>
                    <w:t>50</w:t>
                  </w:r>
                  <w:r>
                    <w:rPr>
                      <w:rFonts w:hint="eastAsia" w:ascii="T" w:hAnsi="T"/>
                      <w:szCs w:val="21"/>
                    </w:rPr>
                    <w:t>㎡，对传统手工艺进行网络直播</w:t>
                  </w:r>
                </w:p>
              </w:tc>
              <w:tc>
                <w:tcPr>
                  <w:tcW w:w="1084" w:type="dxa"/>
                  <w:vMerge w:val="continue"/>
                  <w:noWrap w:val="0"/>
                  <w:vAlign w:val="center"/>
                </w:tcPr>
                <w:p/>
              </w:tc>
              <w:tc>
                <w:tcPr>
                  <w:tcW w:w="2090" w:type="dxa"/>
                  <w:noWrap w:val="0"/>
                  <w:vAlign w:val="center"/>
                </w:tcPr>
                <w:p>
                  <w:pPr>
                    <w:adjustRightInd w:val="0"/>
                    <w:snapToGrid w:val="0"/>
                    <w:jc w:val="center"/>
                    <w:rPr>
                      <w:rFonts w:hint="eastAsia" w:ascii="T" w:hAnsi="T"/>
                      <w:snapToGrid w:val="0"/>
                      <w:kern w:val="0"/>
                      <w:szCs w:val="21"/>
                    </w:rPr>
                  </w:pPr>
                  <w:r>
                    <w:rPr>
                      <w:rFonts w:hint="eastAsia" w:ascii="T" w:hAnsi="T"/>
                      <w:snapToGrid w:val="0"/>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8" w:type="dxa"/>
                  <w:vMerge w:val="restart"/>
                  <w:noWrap w:val="0"/>
                  <w:vAlign w:val="center"/>
                </w:tcPr>
                <w:p>
                  <w:pPr>
                    <w:snapToGrid w:val="0"/>
                    <w:spacing w:line="300" w:lineRule="exact"/>
                    <w:jc w:val="center"/>
                    <w:rPr>
                      <w:rFonts w:ascii="T" w:hAnsi="T"/>
                      <w:szCs w:val="21"/>
                    </w:rPr>
                  </w:pPr>
                  <w:r>
                    <w:rPr>
                      <w:rFonts w:ascii="T" w:hAnsi="T"/>
                      <w:szCs w:val="21"/>
                    </w:rPr>
                    <w:t>辅助</w:t>
                  </w:r>
                </w:p>
                <w:p>
                  <w:pPr>
                    <w:adjustRightInd w:val="0"/>
                    <w:snapToGrid w:val="0"/>
                    <w:jc w:val="center"/>
                    <w:rPr>
                      <w:rFonts w:hint="eastAsia" w:ascii="T" w:hAnsi="T"/>
                      <w:snapToGrid w:val="0"/>
                      <w:kern w:val="0"/>
                      <w:szCs w:val="21"/>
                    </w:rPr>
                  </w:pPr>
                  <w:r>
                    <w:rPr>
                      <w:rFonts w:ascii="T" w:hAnsi="T"/>
                      <w:szCs w:val="21"/>
                    </w:rPr>
                    <w:t>工程</w:t>
                  </w:r>
                </w:p>
              </w:tc>
              <w:tc>
                <w:tcPr>
                  <w:tcW w:w="884" w:type="dxa"/>
                  <w:noWrap w:val="0"/>
                  <w:vAlign w:val="center"/>
                </w:tcPr>
                <w:p>
                  <w:pPr>
                    <w:snapToGrid w:val="0"/>
                    <w:spacing w:line="300" w:lineRule="exact"/>
                    <w:jc w:val="center"/>
                    <w:rPr>
                      <w:rFonts w:ascii="T" w:hAnsi="T"/>
                      <w:szCs w:val="21"/>
                    </w:rPr>
                  </w:pPr>
                  <w:r>
                    <w:rPr>
                      <w:rFonts w:hint="eastAsia" w:ascii="T" w:hAnsi="T"/>
                      <w:szCs w:val="21"/>
                    </w:rPr>
                    <w:t>仓库</w:t>
                  </w:r>
                </w:p>
              </w:tc>
              <w:tc>
                <w:tcPr>
                  <w:tcW w:w="4471" w:type="dxa"/>
                  <w:gridSpan w:val="2"/>
                  <w:noWrap w:val="0"/>
                  <w:vAlign w:val="center"/>
                </w:tcPr>
                <w:p>
                  <w:pPr>
                    <w:snapToGrid w:val="0"/>
                    <w:spacing w:line="300" w:lineRule="exact"/>
                    <w:jc w:val="center"/>
                    <w:rPr>
                      <w:rFonts w:ascii="T" w:hAnsi="T"/>
                      <w:szCs w:val="21"/>
                    </w:rPr>
                  </w:pPr>
                  <w:r>
                    <w:rPr>
                      <w:rFonts w:ascii="T" w:hAnsi="T"/>
                      <w:szCs w:val="21"/>
                    </w:rPr>
                    <w:t>1F</w:t>
                  </w:r>
                  <w:r>
                    <w:rPr>
                      <w:rFonts w:hint="eastAsia" w:ascii="T" w:hAnsi="T"/>
                      <w:szCs w:val="21"/>
                    </w:rPr>
                    <w:t>，钢架结构，建筑面积3</w:t>
                  </w:r>
                  <w:r>
                    <w:rPr>
                      <w:rFonts w:ascii="T" w:hAnsi="T"/>
                      <w:szCs w:val="21"/>
                    </w:rPr>
                    <w:t>50</w:t>
                  </w:r>
                  <w:r>
                    <w:rPr>
                      <w:rFonts w:hint="eastAsia" w:ascii="T" w:hAnsi="T"/>
                      <w:szCs w:val="21"/>
                    </w:rPr>
                    <w:t>㎡，存放刀具纪念品</w:t>
                  </w:r>
                </w:p>
              </w:tc>
              <w:tc>
                <w:tcPr>
                  <w:tcW w:w="1084" w:type="dxa"/>
                  <w:vMerge w:val="continue"/>
                  <w:noWrap w:val="0"/>
                  <w:vAlign w:val="center"/>
                </w:tcPr>
                <w:p/>
              </w:tc>
              <w:tc>
                <w:tcPr>
                  <w:tcW w:w="2090" w:type="dxa"/>
                  <w:noWrap w:val="0"/>
                  <w:vAlign w:val="center"/>
                </w:tcPr>
                <w:p>
                  <w:pPr>
                    <w:adjustRightInd w:val="0"/>
                    <w:snapToGrid w:val="0"/>
                    <w:jc w:val="center"/>
                    <w:rPr>
                      <w:rFonts w:hint="eastAsia" w:ascii="T" w:hAnsi="T"/>
                      <w:snapToGrid w:val="0"/>
                      <w:kern w:val="0"/>
                      <w:szCs w:val="21"/>
                    </w:rPr>
                  </w:pPr>
                  <w:r>
                    <w:rPr>
                      <w:rFonts w:hint="eastAsia" w:ascii="T" w:hAnsi="T"/>
                      <w:snapToGrid w:val="0"/>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8" w:type="dxa"/>
                  <w:vMerge w:val="continue"/>
                  <w:noWrap w:val="0"/>
                  <w:vAlign w:val="center"/>
                </w:tcPr>
                <w:p/>
              </w:tc>
              <w:tc>
                <w:tcPr>
                  <w:tcW w:w="884" w:type="dxa"/>
                  <w:noWrap w:val="0"/>
                  <w:vAlign w:val="center"/>
                </w:tcPr>
                <w:p>
                  <w:pPr>
                    <w:snapToGrid w:val="0"/>
                    <w:spacing w:line="300" w:lineRule="exact"/>
                    <w:jc w:val="center"/>
                    <w:rPr>
                      <w:rFonts w:ascii="T" w:hAnsi="T"/>
                      <w:szCs w:val="21"/>
                    </w:rPr>
                  </w:pPr>
                  <w:r>
                    <w:rPr>
                      <w:rFonts w:hint="eastAsia" w:ascii="T" w:hAnsi="T"/>
                      <w:szCs w:val="21"/>
                    </w:rPr>
                    <w:t>包装间</w:t>
                  </w:r>
                </w:p>
              </w:tc>
              <w:tc>
                <w:tcPr>
                  <w:tcW w:w="4471" w:type="dxa"/>
                  <w:gridSpan w:val="2"/>
                  <w:noWrap w:val="0"/>
                  <w:vAlign w:val="center"/>
                </w:tcPr>
                <w:p>
                  <w:pPr>
                    <w:snapToGrid w:val="0"/>
                    <w:spacing w:line="300" w:lineRule="exact"/>
                    <w:jc w:val="center"/>
                    <w:rPr>
                      <w:rFonts w:ascii="T" w:hAnsi="T"/>
                      <w:szCs w:val="21"/>
                    </w:rPr>
                  </w:pPr>
                  <w:r>
                    <w:rPr>
                      <w:rFonts w:ascii="T" w:hAnsi="T"/>
                      <w:szCs w:val="21"/>
                    </w:rPr>
                    <w:t>1F</w:t>
                  </w:r>
                  <w:r>
                    <w:rPr>
                      <w:rFonts w:hint="eastAsia" w:ascii="T" w:hAnsi="T"/>
                      <w:szCs w:val="21"/>
                    </w:rPr>
                    <w:t>，钢架结构，建筑面积</w:t>
                  </w:r>
                  <w:r>
                    <w:rPr>
                      <w:rFonts w:ascii="T" w:hAnsi="T"/>
                      <w:szCs w:val="21"/>
                    </w:rPr>
                    <w:t>100</w:t>
                  </w:r>
                  <w:r>
                    <w:rPr>
                      <w:rFonts w:hint="eastAsia" w:ascii="T" w:hAnsi="T"/>
                      <w:szCs w:val="21"/>
                    </w:rPr>
                    <w:t>㎡，主要进行刀具包装</w:t>
                  </w:r>
                </w:p>
              </w:tc>
              <w:tc>
                <w:tcPr>
                  <w:tcW w:w="1084" w:type="dxa"/>
                  <w:vMerge w:val="continue"/>
                  <w:noWrap w:val="0"/>
                  <w:vAlign w:val="center"/>
                </w:tcPr>
                <w:p/>
              </w:tc>
              <w:tc>
                <w:tcPr>
                  <w:tcW w:w="2090" w:type="dxa"/>
                  <w:noWrap w:val="0"/>
                  <w:vAlign w:val="center"/>
                </w:tcPr>
                <w:p>
                  <w:pPr>
                    <w:adjustRightInd w:val="0"/>
                    <w:snapToGrid w:val="0"/>
                    <w:jc w:val="center"/>
                    <w:rPr>
                      <w:rFonts w:hint="eastAsia" w:ascii="T" w:hAnsi="T"/>
                      <w:snapToGrid w:val="0"/>
                      <w:kern w:val="0"/>
                      <w:szCs w:val="21"/>
                    </w:rPr>
                  </w:pPr>
                  <w:r>
                    <w:rPr>
                      <w:rFonts w:hint="eastAsia" w:ascii="T" w:hAnsi="T"/>
                      <w:snapToGrid w:val="0"/>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428" w:type="dxa"/>
                  <w:vMerge w:val="restart"/>
                  <w:noWrap w:val="0"/>
                  <w:vAlign w:val="center"/>
                </w:tcPr>
                <w:p>
                  <w:r>
                    <w:rPr>
                      <w:rFonts w:hint="eastAsia"/>
                    </w:rPr>
                    <w:t>公用工程</w:t>
                  </w:r>
                </w:p>
              </w:tc>
              <w:tc>
                <w:tcPr>
                  <w:tcW w:w="884" w:type="dxa"/>
                  <w:noWrap w:val="0"/>
                  <w:vAlign w:val="top"/>
                </w:tcPr>
                <w:p>
                  <w:pPr>
                    <w:jc w:val="center"/>
                    <w:textAlignment w:val="center"/>
                    <w:rPr>
                      <w:rFonts w:hint="eastAsia" w:hAnsi="宋体"/>
                      <w:szCs w:val="21"/>
                    </w:rPr>
                  </w:pPr>
                  <w:r>
                    <w:rPr>
                      <w:rFonts w:hint="eastAsia" w:hAnsi="宋体"/>
                      <w:szCs w:val="21"/>
                    </w:rPr>
                    <w:t>供电</w:t>
                  </w:r>
                </w:p>
              </w:tc>
              <w:tc>
                <w:tcPr>
                  <w:tcW w:w="4471" w:type="dxa"/>
                  <w:gridSpan w:val="2"/>
                  <w:noWrap w:val="0"/>
                  <w:vAlign w:val="top"/>
                </w:tcPr>
                <w:p>
                  <w:pPr>
                    <w:textAlignment w:val="center"/>
                    <w:rPr>
                      <w:rFonts w:hint="eastAsia" w:hAnsi="宋体"/>
                      <w:szCs w:val="21"/>
                    </w:rPr>
                  </w:pPr>
                  <w:r>
                    <w:rPr>
                      <w:rFonts w:hint="eastAsia" w:hAnsi="宋体"/>
                      <w:szCs w:val="21"/>
                    </w:rPr>
                    <w:t>接入市政供电网，供电充足</w:t>
                  </w:r>
                </w:p>
              </w:tc>
              <w:tc>
                <w:tcPr>
                  <w:tcW w:w="1084" w:type="dxa"/>
                  <w:vMerge w:val="continue"/>
                  <w:noWrap w:val="0"/>
                  <w:vAlign w:val="center"/>
                </w:tcPr>
                <w:p/>
              </w:tc>
              <w:tc>
                <w:tcPr>
                  <w:tcW w:w="2090" w:type="dxa"/>
                  <w:vMerge w:val="restart"/>
                  <w:noWrap w:val="0"/>
                  <w:vAlign w:val="center"/>
                </w:tcPr>
                <w:p>
                  <w:pPr>
                    <w:adjustRightInd w:val="0"/>
                    <w:snapToGrid w:val="0"/>
                    <w:jc w:val="center"/>
                    <w:rPr>
                      <w:rFonts w:hint="eastAsia" w:ascii="T" w:hAnsi="T"/>
                      <w:snapToGrid w:val="0"/>
                      <w:kern w:val="0"/>
                      <w:szCs w:val="21"/>
                    </w:rPr>
                  </w:pPr>
                  <w:r>
                    <w:rPr>
                      <w:rFonts w:hint="eastAsia" w:ascii="T" w:hAnsi="T"/>
                      <w:snapToGrid w:val="0"/>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428" w:type="dxa"/>
                  <w:vMerge w:val="continue"/>
                  <w:noWrap w:val="0"/>
                  <w:vAlign w:val="center"/>
                </w:tcPr>
                <w:p>
                  <w:pPr>
                    <w:rPr>
                      <w:rFonts w:hint="eastAsia"/>
                    </w:rPr>
                  </w:pPr>
                </w:p>
              </w:tc>
              <w:tc>
                <w:tcPr>
                  <w:tcW w:w="884" w:type="dxa"/>
                  <w:noWrap w:val="0"/>
                  <w:vAlign w:val="top"/>
                </w:tcPr>
                <w:p>
                  <w:pPr>
                    <w:jc w:val="center"/>
                    <w:textAlignment w:val="center"/>
                    <w:rPr>
                      <w:rFonts w:hint="eastAsia" w:hAnsi="宋体"/>
                      <w:szCs w:val="21"/>
                    </w:rPr>
                  </w:pPr>
                  <w:r>
                    <w:rPr>
                      <w:rFonts w:hint="eastAsia" w:hAnsi="宋体"/>
                      <w:szCs w:val="21"/>
                    </w:rPr>
                    <w:t>供水</w:t>
                  </w:r>
                </w:p>
              </w:tc>
              <w:tc>
                <w:tcPr>
                  <w:tcW w:w="4471" w:type="dxa"/>
                  <w:gridSpan w:val="2"/>
                  <w:noWrap w:val="0"/>
                  <w:vAlign w:val="top"/>
                </w:tcPr>
                <w:p>
                  <w:pPr>
                    <w:textAlignment w:val="center"/>
                    <w:rPr>
                      <w:rFonts w:hint="eastAsia" w:hAnsi="宋体"/>
                      <w:szCs w:val="21"/>
                    </w:rPr>
                  </w:pPr>
                  <w:r>
                    <w:rPr>
                      <w:rFonts w:hint="eastAsia" w:hAnsi="宋体"/>
                      <w:szCs w:val="21"/>
                    </w:rPr>
                    <w:t>接入市政供水管网，供水充足</w:t>
                  </w:r>
                </w:p>
              </w:tc>
              <w:tc>
                <w:tcPr>
                  <w:tcW w:w="1084" w:type="dxa"/>
                  <w:vMerge w:val="continue"/>
                  <w:noWrap w:val="0"/>
                  <w:vAlign w:val="center"/>
                </w:tcPr>
                <w:p/>
              </w:tc>
              <w:tc>
                <w:tcPr>
                  <w:tcW w:w="2090" w:type="dxa"/>
                  <w:vMerge w:val="continue"/>
                  <w:noWrap w:val="0"/>
                  <w:vAlign w:val="center"/>
                </w:tcPr>
                <w:p>
                  <w:pPr>
                    <w:adjustRightInd w:val="0"/>
                    <w:snapToGrid w:val="0"/>
                    <w:jc w:val="center"/>
                    <w:rPr>
                      <w:rFonts w:hint="eastAsia" w:ascii="T" w:hAnsi="T"/>
                      <w:snapToGrid w:val="0"/>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12" w:type="dxa"/>
                  <w:gridSpan w:val="2"/>
                  <w:vMerge w:val="restart"/>
                  <w:noWrap w:val="0"/>
                  <w:vAlign w:val="center"/>
                </w:tcPr>
                <w:p>
                  <w:pPr>
                    <w:pStyle w:val="167"/>
                    <w:tabs>
                      <w:tab w:val="left" w:pos="-2848"/>
                    </w:tabs>
                    <w:adjustRightInd/>
                    <w:snapToGrid w:val="0"/>
                    <w:spacing w:before="0" w:line="300" w:lineRule="exact"/>
                    <w:textAlignment w:val="auto"/>
                    <w:rPr>
                      <w:rFonts w:hint="eastAsia" w:ascii="T" w:hAnsi="T"/>
                      <w:spacing w:val="-20"/>
                      <w:sz w:val="21"/>
                      <w:szCs w:val="21"/>
                    </w:rPr>
                  </w:pPr>
                  <w:r>
                    <w:rPr>
                      <w:rFonts w:hint="eastAsia" w:ascii="T" w:hAnsi="T"/>
                      <w:spacing w:val="-20"/>
                      <w:sz w:val="21"/>
                      <w:szCs w:val="21"/>
                    </w:rPr>
                    <w:t>办公及生活设施</w:t>
                  </w:r>
                </w:p>
              </w:tc>
              <w:tc>
                <w:tcPr>
                  <w:tcW w:w="4471" w:type="dxa"/>
                  <w:gridSpan w:val="2"/>
                  <w:noWrap w:val="0"/>
                  <w:vAlign w:val="center"/>
                </w:tcPr>
                <w:p>
                  <w:pPr>
                    <w:snapToGrid w:val="0"/>
                    <w:spacing w:line="300" w:lineRule="exact"/>
                    <w:jc w:val="center"/>
                    <w:rPr>
                      <w:rFonts w:ascii="T" w:hAnsi="T"/>
                      <w:kern w:val="0"/>
                      <w:szCs w:val="21"/>
                    </w:rPr>
                  </w:pPr>
                  <w:r>
                    <w:rPr>
                      <w:rFonts w:hint="eastAsia" w:ascii="T" w:hAnsi="T"/>
                      <w:kern w:val="0"/>
                      <w:szCs w:val="21"/>
                    </w:rPr>
                    <w:t>办公用房，1</w:t>
                  </w:r>
                  <w:r>
                    <w:rPr>
                      <w:rFonts w:ascii="T" w:hAnsi="T"/>
                      <w:kern w:val="0"/>
                      <w:szCs w:val="21"/>
                    </w:rPr>
                    <w:t>F</w:t>
                  </w:r>
                  <w:r>
                    <w:rPr>
                      <w:rFonts w:hint="eastAsia" w:ascii="T" w:hAnsi="T"/>
                      <w:kern w:val="0"/>
                      <w:szCs w:val="21"/>
                    </w:rPr>
                    <w:t>，彩钢板房，建筑面积2</w:t>
                  </w:r>
                  <w:r>
                    <w:rPr>
                      <w:rFonts w:ascii="T" w:hAnsi="T"/>
                      <w:kern w:val="0"/>
                      <w:szCs w:val="21"/>
                    </w:rPr>
                    <w:t>60</w:t>
                  </w:r>
                  <w:r>
                    <w:rPr>
                      <w:rFonts w:hint="eastAsia" w:ascii="T" w:hAnsi="T"/>
                      <w:szCs w:val="21"/>
                    </w:rPr>
                    <w:t>㎡，位于西北侧</w:t>
                  </w:r>
                </w:p>
              </w:tc>
              <w:tc>
                <w:tcPr>
                  <w:tcW w:w="1084" w:type="dxa"/>
                  <w:vMerge w:val="continue"/>
                  <w:noWrap w:val="0"/>
                  <w:vAlign w:val="center"/>
                </w:tcPr>
                <w:p/>
              </w:tc>
              <w:tc>
                <w:tcPr>
                  <w:tcW w:w="2090" w:type="dxa"/>
                  <w:vMerge w:val="restart"/>
                  <w:noWrap w:val="0"/>
                  <w:vAlign w:val="center"/>
                </w:tcPr>
                <w:p>
                  <w:pPr>
                    <w:adjustRightInd w:val="0"/>
                    <w:snapToGrid w:val="0"/>
                    <w:jc w:val="center"/>
                    <w:rPr>
                      <w:rFonts w:ascii="T" w:hAnsi="T"/>
                      <w:snapToGrid w:val="0"/>
                      <w:kern w:val="0"/>
                      <w:szCs w:val="21"/>
                    </w:rPr>
                  </w:pPr>
                  <w:r>
                    <w:rPr>
                      <w:rFonts w:hint="eastAsia" w:ascii="T" w:hAnsi="T"/>
                      <w:snapToGrid w:val="0"/>
                      <w:kern w:val="0"/>
                      <w:szCs w:val="21"/>
                    </w:rPr>
                    <w:t>生活废水</w:t>
                  </w:r>
                </w:p>
                <w:p>
                  <w:pPr>
                    <w:adjustRightInd w:val="0"/>
                    <w:snapToGrid w:val="0"/>
                    <w:jc w:val="center"/>
                    <w:rPr>
                      <w:rFonts w:hint="eastAsia" w:ascii="T" w:hAnsi="T"/>
                      <w:snapToGrid w:val="0"/>
                      <w:kern w:val="0"/>
                      <w:szCs w:val="21"/>
                    </w:rPr>
                  </w:pPr>
                  <w:r>
                    <w:rPr>
                      <w:rFonts w:hint="eastAsia" w:ascii="T" w:hAnsi="T"/>
                      <w:snapToGrid w:val="0"/>
                      <w:kern w:val="0"/>
                      <w:szCs w:val="21"/>
                    </w:rPr>
                    <w:t>生活垃圾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12" w:type="dxa"/>
                  <w:gridSpan w:val="2"/>
                  <w:vMerge w:val="continue"/>
                  <w:noWrap w:val="0"/>
                  <w:vAlign w:val="center"/>
                </w:tcPr>
                <w:p>
                  <w:pPr>
                    <w:pStyle w:val="167"/>
                    <w:tabs>
                      <w:tab w:val="left" w:pos="-2848"/>
                    </w:tabs>
                    <w:adjustRightInd/>
                    <w:snapToGrid w:val="0"/>
                    <w:spacing w:before="0" w:line="300" w:lineRule="exact"/>
                    <w:textAlignment w:val="auto"/>
                    <w:rPr>
                      <w:rFonts w:hint="eastAsia" w:ascii="T" w:hAnsi="T"/>
                      <w:sz w:val="21"/>
                      <w:szCs w:val="21"/>
                    </w:rPr>
                  </w:pPr>
                </w:p>
              </w:tc>
              <w:tc>
                <w:tcPr>
                  <w:tcW w:w="4471" w:type="dxa"/>
                  <w:gridSpan w:val="2"/>
                  <w:noWrap w:val="0"/>
                  <w:vAlign w:val="center"/>
                </w:tcPr>
                <w:p>
                  <w:pPr>
                    <w:snapToGrid w:val="0"/>
                    <w:spacing w:line="300" w:lineRule="exact"/>
                    <w:jc w:val="center"/>
                    <w:rPr>
                      <w:rFonts w:hint="eastAsia" w:ascii="T" w:hAnsi="T"/>
                      <w:kern w:val="0"/>
                      <w:szCs w:val="21"/>
                    </w:rPr>
                  </w:pPr>
                  <w:r>
                    <w:rPr>
                      <w:rFonts w:hint="eastAsia" w:ascii="T" w:hAnsi="T"/>
                      <w:kern w:val="0"/>
                      <w:szCs w:val="21"/>
                    </w:rPr>
                    <w:t>食堂，1</w:t>
                  </w:r>
                  <w:r>
                    <w:rPr>
                      <w:rFonts w:ascii="T" w:hAnsi="T"/>
                      <w:kern w:val="0"/>
                      <w:szCs w:val="21"/>
                    </w:rPr>
                    <w:t>F</w:t>
                  </w:r>
                  <w:r>
                    <w:rPr>
                      <w:rFonts w:hint="eastAsia" w:ascii="T" w:hAnsi="T"/>
                      <w:kern w:val="0"/>
                      <w:szCs w:val="21"/>
                    </w:rPr>
                    <w:t>，彩钢板房，建筑面积</w:t>
                  </w:r>
                  <w:r>
                    <w:rPr>
                      <w:rFonts w:ascii="T" w:hAnsi="T"/>
                      <w:kern w:val="0"/>
                      <w:szCs w:val="21"/>
                    </w:rPr>
                    <w:t>40</w:t>
                  </w:r>
                  <w:r>
                    <w:rPr>
                      <w:rFonts w:hint="eastAsia" w:ascii="T" w:hAnsi="T"/>
                      <w:szCs w:val="21"/>
                    </w:rPr>
                    <w:t>㎡，位于办公用房东侧</w:t>
                  </w:r>
                </w:p>
              </w:tc>
              <w:tc>
                <w:tcPr>
                  <w:tcW w:w="1084" w:type="dxa"/>
                  <w:vMerge w:val="continue"/>
                  <w:noWrap w:val="0"/>
                  <w:vAlign w:val="center"/>
                </w:tcPr>
                <w:p/>
              </w:tc>
              <w:tc>
                <w:tcPr>
                  <w:tcW w:w="2090" w:type="dxa"/>
                  <w:vMerge w:val="continue"/>
                  <w:noWrap w:val="0"/>
                  <w:vAlign w:val="center"/>
                </w:tcPr>
                <w:p>
                  <w:pPr>
                    <w:adjustRightInd w:val="0"/>
                    <w:snapToGrid w:val="0"/>
                    <w:jc w:val="center"/>
                    <w:rPr>
                      <w:rFonts w:hint="eastAsia" w:ascii="T" w:hAnsi="T"/>
                      <w:snapToGrid w:val="0"/>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 w:hRule="atLeast"/>
                <w:jc w:val="center"/>
              </w:trPr>
              <w:tc>
                <w:tcPr>
                  <w:tcW w:w="1312" w:type="dxa"/>
                  <w:gridSpan w:val="2"/>
                  <w:vMerge w:val="restart"/>
                  <w:noWrap w:val="0"/>
                  <w:vAlign w:val="center"/>
                </w:tcPr>
                <w:p>
                  <w:pPr>
                    <w:pStyle w:val="167"/>
                    <w:tabs>
                      <w:tab w:val="left" w:pos="-2848"/>
                    </w:tabs>
                    <w:adjustRightInd/>
                    <w:snapToGrid w:val="0"/>
                    <w:spacing w:before="0" w:line="300" w:lineRule="exact"/>
                    <w:textAlignment w:val="auto"/>
                    <w:rPr>
                      <w:rFonts w:hint="eastAsia" w:ascii="T" w:hAnsi="T" w:eastAsia="宋体"/>
                      <w:sz w:val="21"/>
                      <w:szCs w:val="21"/>
                      <w:lang w:eastAsia="zh-CN"/>
                    </w:rPr>
                  </w:pPr>
                  <w:r>
                    <w:rPr>
                      <w:rFonts w:hint="eastAsia" w:ascii="T" w:hAnsi="T"/>
                      <w:sz w:val="21"/>
                      <w:szCs w:val="21"/>
                      <w:lang w:eastAsia="zh-CN"/>
                    </w:rPr>
                    <w:t>环保工程</w:t>
                  </w:r>
                </w:p>
              </w:tc>
              <w:tc>
                <w:tcPr>
                  <w:tcW w:w="724" w:type="dxa"/>
                  <w:noWrap w:val="0"/>
                  <w:vAlign w:val="center"/>
                </w:tcPr>
                <w:p>
                  <w:pPr>
                    <w:snapToGrid w:val="0"/>
                    <w:spacing w:line="300" w:lineRule="exact"/>
                    <w:jc w:val="both"/>
                    <w:rPr>
                      <w:rFonts w:hint="eastAsia" w:ascii="T" w:hAnsi="T" w:eastAsia="宋体"/>
                      <w:kern w:val="0"/>
                      <w:szCs w:val="21"/>
                      <w:lang w:eastAsia="zh-CN"/>
                    </w:rPr>
                  </w:pPr>
                  <w:r>
                    <w:rPr>
                      <w:rFonts w:hint="eastAsia" w:ascii="T" w:hAnsi="T"/>
                      <w:kern w:val="0"/>
                      <w:szCs w:val="21"/>
                      <w:lang w:eastAsia="zh-CN"/>
                    </w:rPr>
                    <w:t>废水</w:t>
                  </w:r>
                </w:p>
              </w:tc>
              <w:tc>
                <w:tcPr>
                  <w:tcW w:w="3747" w:type="dxa"/>
                  <w:noWrap w:val="0"/>
                  <w:vAlign w:val="center"/>
                </w:tcPr>
                <w:p>
                  <w:pPr>
                    <w:snapToGrid w:val="0"/>
                    <w:spacing w:line="300" w:lineRule="exact"/>
                    <w:jc w:val="center"/>
                    <w:rPr>
                      <w:rFonts w:hint="eastAsia" w:ascii="T" w:hAnsi="T"/>
                      <w:kern w:val="0"/>
                      <w:szCs w:val="21"/>
                      <w:lang w:eastAsia="zh-CN"/>
                    </w:rPr>
                  </w:pPr>
                  <w:r>
                    <w:rPr>
                      <w:rFonts w:hint="eastAsia" w:ascii="T" w:hAnsi="T"/>
                      <w:kern w:val="0"/>
                      <w:szCs w:val="21"/>
                      <w:lang w:eastAsia="zh-CN"/>
                    </w:rPr>
                    <w:t>生产废水排入循环沉淀池循环使用，不外排。生活废水经预处理池处理后用作农肥</w:t>
                  </w:r>
                </w:p>
              </w:tc>
              <w:tc>
                <w:tcPr>
                  <w:tcW w:w="1084" w:type="dxa"/>
                  <w:vMerge w:val="restart"/>
                  <w:noWrap w:val="0"/>
                  <w:vAlign w:val="center"/>
                </w:tcPr>
                <w:p>
                  <w:pPr>
                    <w:jc w:val="center"/>
                    <w:rPr>
                      <w:rFonts w:hint="eastAsia" w:eastAsia="宋体"/>
                      <w:lang w:val="en-US" w:eastAsia="zh-CN"/>
                    </w:rPr>
                  </w:pPr>
                  <w:r>
                    <w:rPr>
                      <w:rFonts w:hint="eastAsia"/>
                      <w:lang w:val="en-US" w:eastAsia="zh-CN"/>
                    </w:rPr>
                    <w:t>/</w:t>
                  </w:r>
                </w:p>
              </w:tc>
              <w:tc>
                <w:tcPr>
                  <w:tcW w:w="2090" w:type="dxa"/>
                  <w:noWrap w:val="0"/>
                  <w:vAlign w:val="center"/>
                </w:tcPr>
                <w:p>
                  <w:pPr>
                    <w:snapToGrid w:val="0"/>
                    <w:spacing w:line="300" w:lineRule="exact"/>
                    <w:jc w:val="center"/>
                    <w:rPr>
                      <w:rFonts w:hint="eastAsia" w:ascii="T" w:hAnsi="T"/>
                      <w:snapToGrid w:val="0"/>
                      <w:kern w:val="0"/>
                      <w:szCs w:val="21"/>
                    </w:rPr>
                  </w:pPr>
                  <w:r>
                    <w:rPr>
                      <w:rFonts w:hint="eastAsia" w:ascii="T" w:hAnsi="T"/>
                      <w:kern w:val="0"/>
                      <w:szCs w:val="21"/>
                      <w:lang w:eastAsia="zh-CN"/>
                    </w:rPr>
                    <w:t>废水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 w:hRule="atLeast"/>
                <w:jc w:val="center"/>
              </w:trPr>
              <w:tc>
                <w:tcPr>
                  <w:tcW w:w="1312" w:type="dxa"/>
                  <w:gridSpan w:val="2"/>
                  <w:vMerge w:val="continue"/>
                  <w:noWrap w:val="0"/>
                  <w:vAlign w:val="center"/>
                </w:tcPr>
                <w:p>
                  <w:pPr>
                    <w:pStyle w:val="167"/>
                    <w:tabs>
                      <w:tab w:val="left" w:pos="-2848"/>
                    </w:tabs>
                    <w:adjustRightInd/>
                    <w:snapToGrid w:val="0"/>
                    <w:spacing w:before="0" w:line="300" w:lineRule="exact"/>
                    <w:textAlignment w:val="auto"/>
                    <w:rPr>
                      <w:rFonts w:hint="eastAsia" w:ascii="T" w:hAnsi="T"/>
                      <w:sz w:val="21"/>
                      <w:szCs w:val="21"/>
                      <w:lang w:eastAsia="zh-CN"/>
                    </w:rPr>
                  </w:pPr>
                </w:p>
              </w:tc>
              <w:tc>
                <w:tcPr>
                  <w:tcW w:w="724" w:type="dxa"/>
                  <w:noWrap w:val="0"/>
                  <w:vAlign w:val="center"/>
                </w:tcPr>
                <w:p>
                  <w:pPr>
                    <w:snapToGrid w:val="0"/>
                    <w:spacing w:line="300" w:lineRule="exact"/>
                    <w:jc w:val="both"/>
                    <w:rPr>
                      <w:rFonts w:hint="eastAsia" w:ascii="T" w:hAnsi="T" w:eastAsia="宋体"/>
                      <w:kern w:val="0"/>
                      <w:szCs w:val="21"/>
                      <w:lang w:eastAsia="zh-CN"/>
                    </w:rPr>
                  </w:pPr>
                  <w:r>
                    <w:rPr>
                      <w:rFonts w:hint="eastAsia" w:ascii="T" w:hAnsi="T"/>
                      <w:kern w:val="0"/>
                      <w:szCs w:val="21"/>
                      <w:lang w:eastAsia="zh-CN"/>
                    </w:rPr>
                    <w:t>废气</w:t>
                  </w:r>
                </w:p>
              </w:tc>
              <w:tc>
                <w:tcPr>
                  <w:tcW w:w="3747" w:type="dxa"/>
                  <w:noWrap w:val="0"/>
                  <w:vAlign w:val="center"/>
                </w:tcPr>
                <w:p>
                  <w:pPr>
                    <w:snapToGrid w:val="0"/>
                    <w:spacing w:line="300" w:lineRule="exact"/>
                    <w:jc w:val="center"/>
                    <w:rPr>
                      <w:rFonts w:hint="default" w:ascii="T" w:hAnsi="T" w:eastAsia="宋体"/>
                      <w:kern w:val="0"/>
                      <w:szCs w:val="21"/>
                      <w:lang w:val="en-US" w:eastAsia="zh-CN"/>
                    </w:rPr>
                  </w:pPr>
                  <w:r>
                    <w:rPr>
                      <w:rFonts w:hint="eastAsia" w:ascii="T" w:hAnsi="T"/>
                      <w:kern w:val="0"/>
                      <w:szCs w:val="21"/>
                      <w:lang w:eastAsia="zh-CN"/>
                    </w:rPr>
                    <w:t>淬火油烟经过油烟净化器处理后由</w:t>
                  </w:r>
                  <w:r>
                    <w:rPr>
                      <w:rFonts w:hint="eastAsia" w:ascii="T" w:hAnsi="T"/>
                      <w:kern w:val="0"/>
                      <w:szCs w:val="21"/>
                      <w:lang w:val="en-US" w:eastAsia="zh-CN"/>
                    </w:rPr>
                    <w:t>15m排气筒排放；刀柄抛光粉尘经布袋收尘设施收集；食堂油烟经油烟净化器处理</w:t>
                  </w:r>
                </w:p>
              </w:tc>
              <w:tc>
                <w:tcPr>
                  <w:tcW w:w="1084" w:type="dxa"/>
                  <w:vMerge w:val="continue"/>
                  <w:noWrap w:val="0"/>
                  <w:vAlign w:val="center"/>
                </w:tcPr>
                <w:p/>
              </w:tc>
              <w:tc>
                <w:tcPr>
                  <w:tcW w:w="2090" w:type="dxa"/>
                  <w:noWrap w:val="0"/>
                  <w:vAlign w:val="center"/>
                </w:tcPr>
                <w:p>
                  <w:pPr>
                    <w:snapToGrid w:val="0"/>
                    <w:spacing w:line="300" w:lineRule="exact"/>
                    <w:jc w:val="center"/>
                    <w:rPr>
                      <w:rFonts w:hint="eastAsia" w:ascii="T" w:hAnsi="T"/>
                      <w:snapToGrid w:val="0"/>
                      <w:kern w:val="0"/>
                      <w:szCs w:val="21"/>
                    </w:rPr>
                  </w:pPr>
                  <w:r>
                    <w:rPr>
                      <w:rFonts w:hint="eastAsia" w:ascii="T" w:hAnsi="T"/>
                      <w:kern w:val="0"/>
                      <w:szCs w:val="21"/>
                      <w:lang w:eastAsia="zh-CN"/>
                    </w:rPr>
                    <w:t>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41" w:hRule="atLeast"/>
                <w:jc w:val="center"/>
              </w:trPr>
              <w:tc>
                <w:tcPr>
                  <w:tcW w:w="1312" w:type="dxa"/>
                  <w:gridSpan w:val="2"/>
                  <w:vMerge w:val="continue"/>
                  <w:noWrap w:val="0"/>
                  <w:vAlign w:val="center"/>
                </w:tcPr>
                <w:p>
                  <w:pPr>
                    <w:pStyle w:val="167"/>
                    <w:tabs>
                      <w:tab w:val="left" w:pos="-2848"/>
                    </w:tabs>
                    <w:adjustRightInd/>
                    <w:snapToGrid w:val="0"/>
                    <w:spacing w:before="0" w:line="300" w:lineRule="exact"/>
                    <w:textAlignment w:val="auto"/>
                    <w:rPr>
                      <w:rFonts w:hint="eastAsia" w:ascii="T" w:hAnsi="T"/>
                      <w:sz w:val="21"/>
                      <w:szCs w:val="21"/>
                      <w:lang w:eastAsia="zh-CN"/>
                    </w:rPr>
                  </w:pPr>
                </w:p>
              </w:tc>
              <w:tc>
                <w:tcPr>
                  <w:tcW w:w="724" w:type="dxa"/>
                  <w:noWrap w:val="0"/>
                  <w:vAlign w:val="center"/>
                </w:tcPr>
                <w:p>
                  <w:pPr>
                    <w:snapToGrid w:val="0"/>
                    <w:spacing w:line="300" w:lineRule="exact"/>
                    <w:jc w:val="both"/>
                    <w:rPr>
                      <w:rFonts w:hint="eastAsia" w:ascii="T" w:hAnsi="T" w:eastAsia="宋体"/>
                      <w:kern w:val="0"/>
                      <w:szCs w:val="21"/>
                      <w:lang w:eastAsia="zh-CN"/>
                    </w:rPr>
                  </w:pPr>
                  <w:r>
                    <w:rPr>
                      <w:rFonts w:hint="eastAsia" w:ascii="T" w:hAnsi="T"/>
                      <w:kern w:val="0"/>
                      <w:szCs w:val="21"/>
                      <w:lang w:eastAsia="zh-CN"/>
                    </w:rPr>
                    <w:t>噪声</w:t>
                  </w:r>
                </w:p>
              </w:tc>
              <w:tc>
                <w:tcPr>
                  <w:tcW w:w="3747" w:type="dxa"/>
                  <w:noWrap w:val="0"/>
                  <w:vAlign w:val="center"/>
                </w:tcPr>
                <w:p>
                  <w:pPr>
                    <w:snapToGrid w:val="0"/>
                    <w:spacing w:line="300" w:lineRule="exact"/>
                    <w:jc w:val="center"/>
                    <w:rPr>
                      <w:rFonts w:hint="eastAsia" w:ascii="T" w:hAnsi="T" w:eastAsia="宋体"/>
                      <w:kern w:val="0"/>
                      <w:szCs w:val="21"/>
                      <w:lang w:eastAsia="zh-CN"/>
                    </w:rPr>
                  </w:pPr>
                  <w:r>
                    <w:rPr>
                      <w:rFonts w:hint="eastAsia" w:ascii="T" w:hAnsi="T"/>
                      <w:kern w:val="0"/>
                      <w:szCs w:val="21"/>
                      <w:lang w:eastAsia="zh-CN"/>
                    </w:rPr>
                    <w:t>选取低噪声设备，采取减振、厂房隔音等措施</w:t>
                  </w:r>
                </w:p>
              </w:tc>
              <w:tc>
                <w:tcPr>
                  <w:tcW w:w="1084" w:type="dxa"/>
                  <w:vMerge w:val="continue"/>
                  <w:noWrap w:val="0"/>
                  <w:vAlign w:val="center"/>
                </w:tcPr>
                <w:p/>
              </w:tc>
              <w:tc>
                <w:tcPr>
                  <w:tcW w:w="2090" w:type="dxa"/>
                  <w:noWrap w:val="0"/>
                  <w:vAlign w:val="center"/>
                </w:tcPr>
                <w:p>
                  <w:pPr>
                    <w:snapToGrid w:val="0"/>
                    <w:spacing w:line="300" w:lineRule="exact"/>
                    <w:jc w:val="center"/>
                    <w:rPr>
                      <w:rFonts w:hint="eastAsia" w:ascii="T" w:hAnsi="T"/>
                      <w:snapToGrid w:val="0"/>
                      <w:kern w:val="0"/>
                      <w:szCs w:val="21"/>
                    </w:rPr>
                  </w:pPr>
                  <w:r>
                    <w:rPr>
                      <w:rFonts w:hint="eastAsia" w:ascii="T" w:hAnsi="T"/>
                      <w:kern w:val="0"/>
                      <w:szCs w:val="21"/>
                      <w:lang w:eastAsia="zh-CN"/>
                    </w:rPr>
                    <w:t>噪声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99" w:hRule="atLeast"/>
                <w:jc w:val="center"/>
              </w:trPr>
              <w:tc>
                <w:tcPr>
                  <w:tcW w:w="1312" w:type="dxa"/>
                  <w:gridSpan w:val="2"/>
                  <w:vMerge w:val="continue"/>
                  <w:noWrap w:val="0"/>
                  <w:vAlign w:val="center"/>
                </w:tcPr>
                <w:p>
                  <w:pPr>
                    <w:pStyle w:val="167"/>
                    <w:tabs>
                      <w:tab w:val="left" w:pos="-2848"/>
                    </w:tabs>
                    <w:adjustRightInd/>
                    <w:snapToGrid w:val="0"/>
                    <w:spacing w:before="0" w:line="300" w:lineRule="exact"/>
                    <w:textAlignment w:val="auto"/>
                    <w:rPr>
                      <w:rFonts w:hint="eastAsia" w:ascii="T" w:hAnsi="T"/>
                      <w:sz w:val="21"/>
                      <w:szCs w:val="21"/>
                      <w:lang w:eastAsia="zh-CN"/>
                    </w:rPr>
                  </w:pPr>
                </w:p>
              </w:tc>
              <w:tc>
                <w:tcPr>
                  <w:tcW w:w="724" w:type="dxa"/>
                  <w:noWrap w:val="0"/>
                  <w:vAlign w:val="center"/>
                </w:tcPr>
                <w:p>
                  <w:pPr>
                    <w:snapToGrid w:val="0"/>
                    <w:spacing w:line="300" w:lineRule="exact"/>
                    <w:jc w:val="both"/>
                    <w:rPr>
                      <w:rFonts w:hint="eastAsia" w:ascii="T" w:hAnsi="T" w:eastAsia="宋体"/>
                      <w:kern w:val="0"/>
                      <w:szCs w:val="21"/>
                      <w:lang w:eastAsia="zh-CN"/>
                    </w:rPr>
                  </w:pPr>
                  <w:r>
                    <w:rPr>
                      <w:rFonts w:hint="eastAsia" w:ascii="T" w:hAnsi="T"/>
                      <w:kern w:val="0"/>
                      <w:szCs w:val="21"/>
                      <w:lang w:eastAsia="zh-CN"/>
                    </w:rPr>
                    <w:t>固废</w:t>
                  </w:r>
                </w:p>
              </w:tc>
              <w:tc>
                <w:tcPr>
                  <w:tcW w:w="3747" w:type="dxa"/>
                  <w:noWrap w:val="0"/>
                  <w:vAlign w:val="center"/>
                </w:tcPr>
                <w:p>
                  <w:pPr>
                    <w:snapToGrid w:val="0"/>
                    <w:spacing w:line="300" w:lineRule="exact"/>
                    <w:jc w:val="center"/>
                    <w:rPr>
                      <w:rFonts w:hint="eastAsia" w:ascii="T" w:hAnsi="T" w:eastAsia="宋体"/>
                      <w:kern w:val="0"/>
                      <w:szCs w:val="21"/>
                      <w:lang w:eastAsia="zh-CN"/>
                    </w:rPr>
                  </w:pPr>
                  <w:r>
                    <w:rPr>
                      <w:rFonts w:hint="eastAsia" w:ascii="T" w:hAnsi="T"/>
                      <w:kern w:val="0"/>
                      <w:szCs w:val="21"/>
                      <w:lang w:eastAsia="zh-CN"/>
                    </w:rPr>
                    <w:t>生活垃圾、除尘灰、油浸淬火废渣收集后交环卫部门清运至垃圾处理厂；循环水池污泥、废矿物质油收至危废暂存间定期交由有资质单位处置</w:t>
                  </w:r>
                </w:p>
              </w:tc>
              <w:tc>
                <w:tcPr>
                  <w:tcW w:w="1084" w:type="dxa"/>
                  <w:vMerge w:val="continue"/>
                  <w:noWrap w:val="0"/>
                  <w:vAlign w:val="center"/>
                </w:tcPr>
                <w:p/>
              </w:tc>
              <w:tc>
                <w:tcPr>
                  <w:tcW w:w="2090" w:type="dxa"/>
                  <w:noWrap w:val="0"/>
                  <w:vAlign w:val="center"/>
                </w:tcPr>
                <w:p>
                  <w:pPr>
                    <w:snapToGrid w:val="0"/>
                    <w:spacing w:line="300" w:lineRule="exact"/>
                    <w:jc w:val="center"/>
                    <w:rPr>
                      <w:rFonts w:hint="eastAsia" w:ascii="T" w:hAnsi="T"/>
                      <w:snapToGrid w:val="0"/>
                      <w:kern w:val="0"/>
                      <w:szCs w:val="21"/>
                    </w:rPr>
                  </w:pPr>
                  <w:r>
                    <w:rPr>
                      <w:rFonts w:hint="eastAsia" w:ascii="T" w:hAnsi="T"/>
                      <w:kern w:val="0"/>
                      <w:szCs w:val="21"/>
                      <w:lang w:eastAsia="zh-CN"/>
                    </w:rPr>
                    <w:t>固废</w:t>
                  </w:r>
                </w:p>
              </w:tc>
            </w:tr>
          </w:tbl>
          <w:p>
            <w:pPr>
              <w:jc w:val="center"/>
              <w:rPr>
                <w:rFonts w:hint="eastAsia"/>
                <w:b/>
                <w:color w:val="000000"/>
                <w:szCs w:val="21"/>
              </w:rPr>
            </w:pPr>
          </w:p>
          <w:p>
            <w:pPr>
              <w:spacing w:line="360" w:lineRule="auto"/>
              <w:ind w:firstLine="482" w:firstLineChars="200"/>
              <w:rPr>
                <w:b/>
                <w:sz w:val="24"/>
              </w:rPr>
            </w:pPr>
            <w:r>
              <w:rPr>
                <w:rFonts w:hint="eastAsia"/>
                <w:b/>
                <w:sz w:val="24"/>
              </w:rPr>
              <w:t>3</w:t>
            </w:r>
            <w:r>
              <w:rPr>
                <w:b/>
                <w:sz w:val="24"/>
              </w:rPr>
              <w:t>.4</w:t>
            </w:r>
            <w:r>
              <w:rPr>
                <w:rFonts w:hint="eastAsia"/>
                <w:b/>
                <w:sz w:val="24"/>
              </w:rPr>
              <w:t>本项目</w:t>
            </w:r>
            <w:r>
              <w:rPr>
                <w:b/>
                <w:sz w:val="24"/>
              </w:rPr>
              <w:t>主要</w:t>
            </w:r>
            <w:r>
              <w:rPr>
                <w:rFonts w:hint="eastAsia"/>
                <w:b/>
                <w:sz w:val="24"/>
              </w:rPr>
              <w:t>产品及</w:t>
            </w:r>
            <w:r>
              <w:rPr>
                <w:b/>
                <w:sz w:val="24"/>
              </w:rPr>
              <w:t>原辅材料及</w:t>
            </w:r>
            <w:r>
              <w:rPr>
                <w:rFonts w:hint="eastAsia"/>
                <w:b/>
                <w:sz w:val="24"/>
              </w:rPr>
              <w:t>能</w:t>
            </w:r>
            <w:r>
              <w:rPr>
                <w:b/>
                <w:sz w:val="24"/>
              </w:rPr>
              <w:t>耗量</w:t>
            </w:r>
            <w:r>
              <w:rPr>
                <w:rFonts w:hint="eastAsia"/>
                <w:b/>
                <w:sz w:val="24"/>
              </w:rPr>
              <w:t>：</w:t>
            </w:r>
          </w:p>
          <w:p>
            <w:pPr>
              <w:spacing w:line="360" w:lineRule="auto"/>
              <w:ind w:firstLine="480" w:firstLineChars="200"/>
              <w:rPr>
                <w:rFonts w:hint="eastAsia"/>
                <w:b w:val="0"/>
                <w:bCs/>
                <w:sz w:val="24"/>
              </w:rPr>
            </w:pPr>
            <w:r>
              <w:rPr>
                <w:rFonts w:hint="eastAsia"/>
                <w:b w:val="0"/>
                <w:bCs/>
                <w:sz w:val="24"/>
              </w:rPr>
              <w:t>项目每年约制作刀具5</w:t>
            </w:r>
            <w:r>
              <w:rPr>
                <w:b w:val="0"/>
                <w:bCs/>
                <w:sz w:val="24"/>
              </w:rPr>
              <w:t>3000</w:t>
            </w:r>
            <w:r>
              <w:rPr>
                <w:rFonts w:hint="eastAsia"/>
                <w:b w:val="0"/>
                <w:bCs/>
                <w:sz w:val="24"/>
              </w:rPr>
              <w:t>把，制作过程所需原辅材料及消耗量见下表。</w:t>
            </w:r>
          </w:p>
          <w:p>
            <w:pPr>
              <w:jc w:val="center"/>
              <w:rPr>
                <w:rFonts w:hint="eastAsia" w:hAnsi="宋体"/>
                <w:b/>
                <w:szCs w:val="21"/>
                <w:lang w:eastAsia="zh-CN"/>
              </w:rPr>
            </w:pPr>
          </w:p>
          <w:p>
            <w:pPr>
              <w:jc w:val="center"/>
              <w:rPr>
                <w:rFonts w:hint="eastAsia" w:hAnsi="宋体"/>
                <w:b/>
                <w:szCs w:val="21"/>
                <w:lang w:eastAsia="zh-CN"/>
              </w:rPr>
            </w:pPr>
          </w:p>
          <w:p>
            <w:pPr>
              <w:jc w:val="center"/>
              <w:rPr>
                <w:rFonts w:hint="eastAsia" w:hAnsi="宋体"/>
                <w:b/>
                <w:szCs w:val="21"/>
                <w:lang w:eastAsia="zh-CN"/>
              </w:rPr>
            </w:pPr>
          </w:p>
          <w:p>
            <w:pPr>
              <w:jc w:val="center"/>
              <w:rPr>
                <w:rFonts w:hint="eastAsia" w:hAnsi="宋体"/>
                <w:b/>
                <w:szCs w:val="21"/>
                <w:lang w:eastAsia="zh-CN"/>
              </w:rPr>
            </w:pPr>
          </w:p>
          <w:p>
            <w:pPr>
              <w:jc w:val="center"/>
              <w:rPr>
                <w:rFonts w:hint="eastAsia" w:hAnsi="宋体"/>
                <w:b/>
                <w:szCs w:val="21"/>
                <w:lang w:val="en-US" w:eastAsia="zh-CN"/>
              </w:rPr>
            </w:pPr>
            <w:r>
              <w:rPr>
                <w:rFonts w:hint="eastAsia" w:hAnsi="宋体"/>
                <w:b/>
                <w:szCs w:val="21"/>
                <w:lang w:eastAsia="zh-CN"/>
              </w:rPr>
              <w:t>表</w:t>
            </w:r>
            <w:r>
              <w:rPr>
                <w:rFonts w:hint="eastAsia" w:hAnsi="宋体"/>
                <w:b/>
                <w:szCs w:val="21"/>
                <w:lang w:val="en-US" w:eastAsia="zh-CN"/>
              </w:rPr>
              <w:t>1-6  项目产品方案</w:t>
            </w:r>
          </w:p>
          <w:tbl>
            <w:tblPr>
              <w:tblStyle w:val="70"/>
              <w:tblW w:w="9130"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282"/>
              <w:gridCol w:w="2282"/>
              <w:gridCol w:w="2283"/>
              <w:gridCol w:w="2283"/>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2282" w:type="dxa"/>
                  <w:tcBorders>
                    <w:tl2br w:val="nil"/>
                    <w:tr2bl w:val="nil"/>
                  </w:tcBorders>
                  <w:noWrap w:val="0"/>
                  <w:vAlign w:val="top"/>
                </w:tcPr>
                <w:p>
                  <w:pPr>
                    <w:numPr>
                      <w:ilvl w:val="0"/>
                      <w:numId w:val="0"/>
                    </w:numPr>
                    <w:autoSpaceDE/>
                    <w:autoSpaceDN/>
                    <w:spacing w:before="0" w:after="160" w:line="240" w:lineRule="auto"/>
                    <w:ind w:left="0" w:right="0" w:firstLine="0"/>
                    <w:jc w:val="center"/>
                    <w:rPr>
                      <w:rFonts w:hint="default" w:ascii="Times New Roman" w:hAnsi="Times New Roman" w:eastAsia="Times New Roman"/>
                      <w:color w:val="auto"/>
                      <w:position w:val="0"/>
                      <w:sz w:val="21"/>
                      <w:szCs w:val="21"/>
                      <w:vertAlign w:val="baseline"/>
                    </w:rPr>
                  </w:pPr>
                  <w:r>
                    <w:rPr>
                      <w:rFonts w:hint="default" w:ascii="Times New Roman" w:hAnsi="Times New Roman" w:eastAsia="Times New Roman"/>
                      <w:color w:val="auto"/>
                      <w:position w:val="0"/>
                      <w:sz w:val="21"/>
                      <w:szCs w:val="21"/>
                      <w:vertAlign w:val="baseline"/>
                    </w:rPr>
                    <w:t>名称</w:t>
                  </w:r>
                </w:p>
              </w:tc>
              <w:tc>
                <w:tcPr>
                  <w:tcW w:w="2282" w:type="dxa"/>
                  <w:tcBorders>
                    <w:tl2br w:val="nil"/>
                    <w:tr2bl w:val="nil"/>
                  </w:tcBorders>
                  <w:noWrap w:val="0"/>
                  <w:vAlign w:val="top"/>
                </w:tcPr>
                <w:p>
                  <w:pPr>
                    <w:numPr>
                      <w:ilvl w:val="0"/>
                      <w:numId w:val="0"/>
                    </w:numPr>
                    <w:autoSpaceDE/>
                    <w:autoSpaceDN/>
                    <w:spacing w:before="0" w:after="160" w:line="240" w:lineRule="auto"/>
                    <w:ind w:left="0" w:right="0" w:firstLine="0"/>
                    <w:jc w:val="center"/>
                    <w:rPr>
                      <w:rFonts w:hint="default" w:ascii="Times New Roman" w:hAnsi="Times New Roman" w:eastAsia="Times New Roman"/>
                      <w:color w:val="auto"/>
                      <w:position w:val="0"/>
                      <w:sz w:val="21"/>
                      <w:szCs w:val="21"/>
                      <w:vertAlign w:val="baseline"/>
                    </w:rPr>
                  </w:pPr>
                  <w:r>
                    <w:rPr>
                      <w:rFonts w:hint="default" w:ascii="Times New Roman" w:hAnsi="Times New Roman" w:eastAsia="Times New Roman"/>
                      <w:color w:val="auto"/>
                      <w:position w:val="0"/>
                      <w:sz w:val="21"/>
                      <w:szCs w:val="21"/>
                      <w:vertAlign w:val="baseline"/>
                    </w:rPr>
                    <w:t>规格</w:t>
                  </w:r>
                </w:p>
              </w:tc>
              <w:tc>
                <w:tcPr>
                  <w:tcW w:w="2283" w:type="dxa"/>
                  <w:tcBorders>
                    <w:tl2br w:val="nil"/>
                    <w:tr2bl w:val="nil"/>
                  </w:tcBorders>
                  <w:noWrap w:val="0"/>
                  <w:vAlign w:val="top"/>
                </w:tcPr>
                <w:p>
                  <w:pPr>
                    <w:numPr>
                      <w:ilvl w:val="0"/>
                      <w:numId w:val="0"/>
                    </w:numPr>
                    <w:autoSpaceDE/>
                    <w:autoSpaceDN/>
                    <w:spacing w:before="0" w:after="160" w:line="240" w:lineRule="auto"/>
                    <w:ind w:left="0" w:right="0" w:firstLine="630" w:firstLineChars="300"/>
                    <w:jc w:val="both"/>
                    <w:rPr>
                      <w:rFonts w:hint="default" w:ascii="Times New Roman" w:hAnsi="Times New Roman" w:eastAsia="Times New Roman"/>
                      <w:color w:val="auto"/>
                      <w:position w:val="0"/>
                      <w:sz w:val="21"/>
                      <w:szCs w:val="21"/>
                      <w:vertAlign w:val="baseline"/>
                    </w:rPr>
                  </w:pPr>
                  <w:r>
                    <w:rPr>
                      <w:rFonts w:hint="default" w:ascii="Times New Roman" w:hAnsi="Times New Roman" w:eastAsia="Times New Roman"/>
                      <w:color w:val="auto"/>
                      <w:position w:val="0"/>
                      <w:sz w:val="21"/>
                      <w:szCs w:val="21"/>
                      <w:vertAlign w:val="baseline"/>
                    </w:rPr>
                    <w:t>年产量</w:t>
                  </w:r>
                </w:p>
              </w:tc>
              <w:tc>
                <w:tcPr>
                  <w:tcW w:w="2283" w:type="dxa"/>
                  <w:tcBorders>
                    <w:tl2br w:val="nil"/>
                    <w:tr2bl w:val="nil"/>
                  </w:tcBorders>
                  <w:noWrap w:val="0"/>
                  <w:vAlign w:val="top"/>
                </w:tcPr>
                <w:p>
                  <w:pPr>
                    <w:numPr>
                      <w:ilvl w:val="0"/>
                      <w:numId w:val="0"/>
                    </w:numPr>
                    <w:autoSpaceDE/>
                    <w:autoSpaceDN/>
                    <w:spacing w:before="0" w:after="160" w:line="240" w:lineRule="auto"/>
                    <w:ind w:left="0" w:right="0" w:firstLine="0"/>
                    <w:jc w:val="center"/>
                    <w:rPr>
                      <w:rFonts w:hint="default" w:ascii="Times New Roman" w:hAnsi="Times New Roman" w:eastAsia="Times New Roman"/>
                      <w:color w:val="auto"/>
                      <w:position w:val="0"/>
                      <w:sz w:val="21"/>
                      <w:szCs w:val="21"/>
                      <w:vertAlign w:val="baseline"/>
                    </w:rPr>
                  </w:pPr>
                  <w:r>
                    <w:rPr>
                      <w:rFonts w:hint="default" w:ascii="Times New Roman" w:hAnsi="Times New Roman" w:eastAsia="Times New Roman"/>
                      <w:color w:val="auto"/>
                      <w:position w:val="0"/>
                      <w:sz w:val="21"/>
                      <w:szCs w:val="21"/>
                      <w:vertAlign w:val="baseline"/>
                    </w:rPr>
                    <w:t>备注</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2282" w:type="dxa"/>
                  <w:tcBorders>
                    <w:tl2br w:val="nil"/>
                    <w:tr2bl w:val="nil"/>
                  </w:tcBorders>
                  <w:noWrap w:val="0"/>
                  <w:vAlign w:val="top"/>
                </w:tcPr>
                <w:p>
                  <w:pPr>
                    <w:numPr>
                      <w:ilvl w:val="0"/>
                      <w:numId w:val="0"/>
                    </w:numPr>
                    <w:autoSpaceDE/>
                    <w:autoSpaceDN/>
                    <w:spacing w:before="0" w:after="160" w:line="240" w:lineRule="auto"/>
                    <w:ind w:left="0" w:right="0" w:firstLine="0"/>
                    <w:jc w:val="center"/>
                    <w:rPr>
                      <w:rFonts w:hint="default" w:ascii="Times New Roman" w:hAnsi="Times New Roman" w:eastAsia="Times New Roman"/>
                      <w:color w:val="auto"/>
                      <w:position w:val="0"/>
                      <w:sz w:val="21"/>
                      <w:szCs w:val="21"/>
                      <w:vertAlign w:val="baseline"/>
                    </w:rPr>
                  </w:pPr>
                  <w:r>
                    <w:rPr>
                      <w:rFonts w:hint="default" w:ascii="Times New Roman" w:hAnsi="Times New Roman" w:eastAsia="Times New Roman"/>
                      <w:color w:val="auto"/>
                      <w:position w:val="0"/>
                      <w:sz w:val="21"/>
                      <w:szCs w:val="21"/>
                      <w:vertAlign w:val="baseline"/>
                    </w:rPr>
                    <w:t>切刀</w:t>
                  </w:r>
                </w:p>
              </w:tc>
              <w:tc>
                <w:tcPr>
                  <w:tcW w:w="2282" w:type="dxa"/>
                  <w:tcBorders>
                    <w:tl2br w:val="nil"/>
                    <w:tr2bl w:val="nil"/>
                  </w:tcBorders>
                  <w:noWrap w:val="0"/>
                  <w:vAlign w:val="top"/>
                </w:tcPr>
                <w:p>
                  <w:pPr>
                    <w:numPr>
                      <w:ilvl w:val="0"/>
                      <w:numId w:val="0"/>
                    </w:numPr>
                    <w:autoSpaceDE/>
                    <w:autoSpaceDN/>
                    <w:spacing w:before="0" w:after="160" w:line="240" w:lineRule="auto"/>
                    <w:ind w:left="0" w:right="0" w:firstLine="0"/>
                    <w:jc w:val="center"/>
                    <w:rPr>
                      <w:rFonts w:hint="default" w:ascii="Times New Roman" w:hAnsi="Times New Roman" w:eastAsia="Times New Roman"/>
                      <w:color w:val="auto"/>
                      <w:position w:val="0"/>
                      <w:sz w:val="21"/>
                      <w:szCs w:val="21"/>
                      <w:vertAlign w:val="baseline"/>
                    </w:rPr>
                  </w:pPr>
                  <w:r>
                    <w:rPr>
                      <w:rFonts w:hint="default" w:ascii="Times New Roman" w:hAnsi="Times New Roman" w:eastAsia="Times New Roman"/>
                      <w:color w:val="auto"/>
                      <w:position w:val="0"/>
                      <w:sz w:val="21"/>
                      <w:szCs w:val="21"/>
                      <w:vertAlign w:val="baseline"/>
                    </w:rPr>
                    <w:t>约215mm*115mm</w:t>
                  </w:r>
                </w:p>
              </w:tc>
              <w:tc>
                <w:tcPr>
                  <w:tcW w:w="2283" w:type="dxa"/>
                  <w:tcBorders>
                    <w:tl2br w:val="nil"/>
                    <w:tr2bl w:val="nil"/>
                  </w:tcBorders>
                  <w:noWrap w:val="0"/>
                  <w:vAlign w:val="top"/>
                </w:tcPr>
                <w:p>
                  <w:pPr>
                    <w:numPr>
                      <w:ilvl w:val="0"/>
                      <w:numId w:val="0"/>
                    </w:numPr>
                    <w:autoSpaceDE/>
                    <w:autoSpaceDN/>
                    <w:spacing w:before="0" w:after="160" w:line="240" w:lineRule="auto"/>
                    <w:ind w:left="0" w:right="0" w:firstLine="0"/>
                    <w:jc w:val="center"/>
                    <w:rPr>
                      <w:rFonts w:hint="default" w:ascii="Times New Roman" w:hAnsi="Times New Roman" w:eastAsia="Times New Roman"/>
                      <w:color w:val="auto"/>
                      <w:position w:val="0"/>
                      <w:sz w:val="21"/>
                      <w:szCs w:val="21"/>
                      <w:vertAlign w:val="baseline"/>
                    </w:rPr>
                  </w:pPr>
                  <w:r>
                    <w:rPr>
                      <w:rFonts w:hint="eastAsia" w:ascii="Times New Roman" w:hAnsi="Times New Roman" w:eastAsia="宋体"/>
                      <w:color w:val="auto"/>
                      <w:position w:val="0"/>
                      <w:sz w:val="21"/>
                      <w:szCs w:val="21"/>
                      <w:vertAlign w:val="baseline"/>
                      <w:lang w:val="en-US" w:eastAsia="zh-CN"/>
                    </w:rPr>
                    <w:t>30000</w:t>
                  </w:r>
                  <w:r>
                    <w:rPr>
                      <w:rFonts w:hint="default" w:ascii="Times New Roman" w:hAnsi="Times New Roman" w:eastAsia="Times New Roman"/>
                      <w:color w:val="auto"/>
                      <w:position w:val="0"/>
                      <w:sz w:val="21"/>
                      <w:szCs w:val="21"/>
                      <w:vertAlign w:val="baseline"/>
                    </w:rPr>
                    <w:t>把</w:t>
                  </w:r>
                </w:p>
              </w:tc>
              <w:tc>
                <w:tcPr>
                  <w:tcW w:w="2283" w:type="dxa"/>
                  <w:tcBorders>
                    <w:tl2br w:val="nil"/>
                    <w:tr2bl w:val="nil"/>
                  </w:tcBorders>
                  <w:noWrap w:val="0"/>
                  <w:vAlign w:val="top"/>
                </w:tcPr>
                <w:p>
                  <w:pPr>
                    <w:numPr>
                      <w:ilvl w:val="0"/>
                      <w:numId w:val="0"/>
                    </w:numPr>
                    <w:autoSpaceDE/>
                    <w:autoSpaceDN/>
                    <w:spacing w:before="0" w:after="160" w:line="240" w:lineRule="auto"/>
                    <w:ind w:left="0" w:right="0" w:firstLine="0"/>
                    <w:jc w:val="center"/>
                    <w:rPr>
                      <w:rFonts w:hint="default" w:ascii="Times New Roman" w:hAnsi="Times New Roman" w:eastAsia="Times New Roman"/>
                      <w:color w:val="auto"/>
                      <w:position w:val="0"/>
                      <w:sz w:val="21"/>
                      <w:szCs w:val="21"/>
                      <w:vertAlign w:val="baseli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2282" w:type="dxa"/>
                  <w:tcBorders>
                    <w:tl2br w:val="nil"/>
                    <w:tr2bl w:val="nil"/>
                  </w:tcBorders>
                  <w:noWrap w:val="0"/>
                  <w:vAlign w:val="top"/>
                </w:tcPr>
                <w:p>
                  <w:pPr>
                    <w:numPr>
                      <w:ilvl w:val="0"/>
                      <w:numId w:val="0"/>
                    </w:numPr>
                    <w:autoSpaceDE/>
                    <w:autoSpaceDN/>
                    <w:spacing w:before="0" w:after="160" w:line="240" w:lineRule="auto"/>
                    <w:ind w:left="0" w:right="0" w:firstLine="0"/>
                    <w:jc w:val="center"/>
                    <w:rPr>
                      <w:rFonts w:hint="default" w:ascii="Times New Roman" w:hAnsi="Times New Roman" w:eastAsia="Times New Roman"/>
                      <w:color w:val="auto"/>
                      <w:position w:val="0"/>
                      <w:sz w:val="21"/>
                      <w:szCs w:val="21"/>
                      <w:vertAlign w:val="baseline"/>
                    </w:rPr>
                  </w:pPr>
                  <w:r>
                    <w:rPr>
                      <w:rFonts w:hint="default" w:ascii="Times New Roman" w:hAnsi="Times New Roman" w:eastAsia="Times New Roman"/>
                      <w:color w:val="auto"/>
                      <w:position w:val="0"/>
                      <w:sz w:val="21"/>
                      <w:szCs w:val="21"/>
                      <w:vertAlign w:val="baseline"/>
                    </w:rPr>
                    <w:t>斩刀</w:t>
                  </w:r>
                </w:p>
              </w:tc>
              <w:tc>
                <w:tcPr>
                  <w:tcW w:w="2282" w:type="dxa"/>
                  <w:tcBorders>
                    <w:tl2br w:val="nil"/>
                    <w:tr2bl w:val="nil"/>
                  </w:tcBorders>
                  <w:noWrap w:val="0"/>
                  <w:vAlign w:val="top"/>
                </w:tcPr>
                <w:p>
                  <w:pPr>
                    <w:numPr>
                      <w:ilvl w:val="0"/>
                      <w:numId w:val="0"/>
                    </w:numPr>
                    <w:autoSpaceDE/>
                    <w:autoSpaceDN/>
                    <w:spacing w:before="0" w:after="160" w:line="240" w:lineRule="auto"/>
                    <w:ind w:left="0" w:right="0" w:firstLine="0"/>
                    <w:jc w:val="center"/>
                    <w:rPr>
                      <w:rFonts w:hint="default" w:ascii="Times New Roman" w:hAnsi="Times New Roman" w:eastAsia="Times New Roman"/>
                      <w:color w:val="auto"/>
                      <w:position w:val="0"/>
                      <w:sz w:val="21"/>
                      <w:szCs w:val="21"/>
                      <w:vertAlign w:val="baseline"/>
                    </w:rPr>
                  </w:pPr>
                  <w:r>
                    <w:rPr>
                      <w:rFonts w:hint="default" w:ascii="Times New Roman" w:hAnsi="Times New Roman" w:eastAsia="Times New Roman"/>
                      <w:color w:val="auto"/>
                      <w:position w:val="0"/>
                      <w:sz w:val="21"/>
                      <w:szCs w:val="21"/>
                      <w:vertAlign w:val="baseline"/>
                    </w:rPr>
                    <w:t>约185mm*10mm</w:t>
                  </w:r>
                </w:p>
              </w:tc>
              <w:tc>
                <w:tcPr>
                  <w:tcW w:w="2283" w:type="dxa"/>
                  <w:tcBorders>
                    <w:tl2br w:val="nil"/>
                    <w:tr2bl w:val="nil"/>
                  </w:tcBorders>
                  <w:noWrap w:val="0"/>
                  <w:vAlign w:val="top"/>
                </w:tcPr>
                <w:p>
                  <w:pPr>
                    <w:numPr>
                      <w:ilvl w:val="0"/>
                      <w:numId w:val="0"/>
                    </w:numPr>
                    <w:autoSpaceDE/>
                    <w:autoSpaceDN/>
                    <w:spacing w:before="0" w:after="160" w:line="240" w:lineRule="auto"/>
                    <w:ind w:left="0" w:right="0" w:firstLine="0"/>
                    <w:jc w:val="center"/>
                    <w:rPr>
                      <w:rFonts w:hint="default" w:ascii="Times New Roman" w:hAnsi="Times New Roman" w:eastAsia="Times New Roman"/>
                      <w:color w:val="auto"/>
                      <w:position w:val="0"/>
                      <w:sz w:val="21"/>
                      <w:szCs w:val="21"/>
                      <w:vertAlign w:val="baseline"/>
                    </w:rPr>
                  </w:pPr>
                  <w:r>
                    <w:rPr>
                      <w:rFonts w:hint="eastAsia" w:ascii="Times New Roman" w:hAnsi="Times New Roman" w:eastAsia="宋体"/>
                      <w:color w:val="auto"/>
                      <w:position w:val="0"/>
                      <w:sz w:val="21"/>
                      <w:szCs w:val="21"/>
                      <w:vertAlign w:val="baseline"/>
                      <w:lang w:val="en-US" w:eastAsia="zh-CN"/>
                    </w:rPr>
                    <w:t>23000</w:t>
                  </w:r>
                  <w:r>
                    <w:rPr>
                      <w:rFonts w:hint="default" w:ascii="Times New Roman" w:hAnsi="Times New Roman" w:eastAsia="Times New Roman"/>
                      <w:color w:val="auto"/>
                      <w:position w:val="0"/>
                      <w:sz w:val="21"/>
                      <w:szCs w:val="21"/>
                      <w:vertAlign w:val="baseline"/>
                    </w:rPr>
                    <w:t>把</w:t>
                  </w:r>
                </w:p>
              </w:tc>
              <w:tc>
                <w:tcPr>
                  <w:tcW w:w="2283" w:type="dxa"/>
                  <w:tcBorders>
                    <w:tl2br w:val="nil"/>
                    <w:tr2bl w:val="nil"/>
                  </w:tcBorders>
                  <w:noWrap w:val="0"/>
                  <w:vAlign w:val="top"/>
                </w:tcPr>
                <w:p>
                  <w:pPr>
                    <w:numPr>
                      <w:ilvl w:val="0"/>
                      <w:numId w:val="0"/>
                    </w:numPr>
                    <w:autoSpaceDE/>
                    <w:autoSpaceDN/>
                    <w:spacing w:before="0" w:after="160" w:line="240" w:lineRule="auto"/>
                    <w:ind w:left="0" w:right="0" w:firstLine="0"/>
                    <w:jc w:val="center"/>
                    <w:rPr>
                      <w:rFonts w:hint="default" w:ascii="Times New Roman" w:hAnsi="Times New Roman" w:eastAsia="Times New Roman"/>
                      <w:color w:val="auto"/>
                      <w:position w:val="0"/>
                      <w:sz w:val="21"/>
                      <w:szCs w:val="21"/>
                      <w:vertAlign w:val="baseline"/>
                    </w:rPr>
                  </w:pPr>
                </w:p>
              </w:tc>
            </w:tr>
          </w:tbl>
          <w:p>
            <w:pPr>
              <w:jc w:val="center"/>
              <w:rPr>
                <w:rFonts w:hint="default" w:hAnsi="宋体"/>
                <w:b/>
                <w:szCs w:val="21"/>
                <w:lang w:val="en-US" w:eastAsia="zh-CN"/>
              </w:rPr>
            </w:pPr>
          </w:p>
          <w:p>
            <w:pPr>
              <w:jc w:val="center"/>
              <w:rPr>
                <w:b/>
                <w:bCs/>
                <w:szCs w:val="21"/>
              </w:rPr>
            </w:pPr>
            <w:r>
              <w:rPr>
                <w:rFonts w:hAnsi="宋体"/>
                <w:b/>
                <w:szCs w:val="21"/>
              </w:rPr>
              <w:t>表</w:t>
            </w:r>
            <w:r>
              <w:rPr>
                <w:b/>
                <w:szCs w:val="21"/>
              </w:rPr>
              <w:t>1-</w:t>
            </w:r>
            <w:r>
              <w:rPr>
                <w:rFonts w:hint="eastAsia" w:eastAsia="宋体"/>
                <w:b/>
                <w:szCs w:val="21"/>
                <w:lang w:val="en-US" w:eastAsia="zh-CN"/>
              </w:rPr>
              <w:t>7</w:t>
            </w:r>
            <w:r>
              <w:rPr>
                <w:b/>
                <w:szCs w:val="21"/>
              </w:rPr>
              <w:t xml:space="preserve">  </w:t>
            </w:r>
            <w:r>
              <w:rPr>
                <w:rFonts w:hint="eastAsia"/>
                <w:b/>
                <w:szCs w:val="21"/>
              </w:rPr>
              <w:t>本</w:t>
            </w:r>
            <w:r>
              <w:rPr>
                <w:rFonts w:hAnsi="宋体"/>
                <w:b/>
                <w:bCs/>
                <w:szCs w:val="21"/>
              </w:rPr>
              <w:t>项目原材料用量表</w:t>
            </w:r>
          </w:p>
          <w:tbl>
            <w:tblPr>
              <w:tblStyle w:val="69"/>
              <w:tblW w:w="9025" w:type="dxa"/>
              <w:jc w:val="center"/>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196"/>
              <w:gridCol w:w="2561"/>
              <w:gridCol w:w="2222"/>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046" w:type="dxa"/>
                  <w:noWrap w:val="0"/>
                  <w:vAlign w:val="center"/>
                </w:tcPr>
                <w:p>
                  <w:pPr>
                    <w:jc w:val="center"/>
                    <w:rPr>
                      <w:b/>
                      <w:szCs w:val="21"/>
                    </w:rPr>
                  </w:pPr>
                  <w:r>
                    <w:rPr>
                      <w:rFonts w:hAnsi="宋体"/>
                      <w:b/>
                      <w:szCs w:val="21"/>
                    </w:rPr>
                    <w:t>序号</w:t>
                  </w:r>
                </w:p>
              </w:tc>
              <w:tc>
                <w:tcPr>
                  <w:tcW w:w="2196" w:type="dxa"/>
                  <w:noWrap w:val="0"/>
                  <w:vAlign w:val="center"/>
                </w:tcPr>
                <w:p>
                  <w:pPr>
                    <w:jc w:val="center"/>
                    <w:rPr>
                      <w:b/>
                      <w:szCs w:val="21"/>
                    </w:rPr>
                  </w:pPr>
                  <w:r>
                    <w:rPr>
                      <w:rFonts w:hAnsi="宋体"/>
                      <w:b/>
                      <w:szCs w:val="21"/>
                    </w:rPr>
                    <w:t>原辅材料种类</w:t>
                  </w:r>
                </w:p>
              </w:tc>
              <w:tc>
                <w:tcPr>
                  <w:tcW w:w="2561" w:type="dxa"/>
                  <w:noWrap w:val="0"/>
                  <w:vAlign w:val="center"/>
                </w:tcPr>
                <w:p>
                  <w:pPr>
                    <w:jc w:val="center"/>
                    <w:rPr>
                      <w:b/>
                      <w:szCs w:val="21"/>
                    </w:rPr>
                  </w:pPr>
                  <w:r>
                    <w:rPr>
                      <w:rFonts w:hAnsi="宋体"/>
                      <w:b/>
                      <w:szCs w:val="21"/>
                    </w:rPr>
                    <w:t>年用量</w:t>
                  </w:r>
                </w:p>
              </w:tc>
              <w:tc>
                <w:tcPr>
                  <w:tcW w:w="2222" w:type="dxa"/>
                  <w:noWrap w:val="0"/>
                  <w:vAlign w:val="center"/>
                </w:tcPr>
                <w:p>
                  <w:pPr>
                    <w:jc w:val="center"/>
                    <w:rPr>
                      <w:b/>
                      <w:szCs w:val="21"/>
                    </w:rPr>
                  </w:pPr>
                  <w:r>
                    <w:rPr>
                      <w:rFonts w:hint="eastAsia"/>
                      <w:b/>
                      <w:szCs w:val="21"/>
                    </w:rPr>
                    <w:t>来源</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7" w:hRule="atLeast"/>
                <w:jc w:val="center"/>
              </w:trPr>
              <w:tc>
                <w:tcPr>
                  <w:tcW w:w="2046" w:type="dxa"/>
                  <w:noWrap w:val="0"/>
                  <w:vAlign w:val="center"/>
                </w:tcPr>
                <w:p>
                  <w:pPr>
                    <w:jc w:val="center"/>
                    <w:rPr>
                      <w:szCs w:val="21"/>
                    </w:rPr>
                  </w:pPr>
                  <w:r>
                    <w:rPr>
                      <w:szCs w:val="21"/>
                    </w:rPr>
                    <w:t>1</w:t>
                  </w:r>
                </w:p>
              </w:tc>
              <w:tc>
                <w:tcPr>
                  <w:tcW w:w="2196" w:type="dxa"/>
                  <w:noWrap w:val="0"/>
                  <w:vAlign w:val="center"/>
                </w:tcPr>
                <w:p>
                  <w:pPr>
                    <w:autoSpaceDE w:val="0"/>
                    <w:autoSpaceDN w:val="0"/>
                    <w:jc w:val="center"/>
                    <w:rPr>
                      <w:rFonts w:ascii="新宋体" w:hAnsi="宋体" w:eastAsia="新宋体"/>
                      <w:szCs w:val="21"/>
                    </w:rPr>
                  </w:pPr>
                  <w:r>
                    <w:rPr>
                      <w:rFonts w:hint="eastAsia" w:ascii="新宋体" w:hAnsi="宋体" w:eastAsia="新宋体"/>
                      <w:szCs w:val="21"/>
                    </w:rPr>
                    <w:t>半成品刀坯</w:t>
                  </w:r>
                </w:p>
              </w:tc>
              <w:tc>
                <w:tcPr>
                  <w:tcW w:w="2561" w:type="dxa"/>
                  <w:noWrap w:val="0"/>
                  <w:vAlign w:val="center"/>
                </w:tcPr>
                <w:p>
                  <w:pPr>
                    <w:autoSpaceDE w:val="0"/>
                    <w:autoSpaceDN w:val="0"/>
                    <w:jc w:val="center"/>
                    <w:rPr>
                      <w:rFonts w:ascii="新宋体" w:hAnsi="宋体" w:eastAsia="新宋体"/>
                      <w:szCs w:val="21"/>
                    </w:rPr>
                  </w:pPr>
                  <w:r>
                    <w:rPr>
                      <w:rFonts w:hint="eastAsia" w:ascii="新宋体" w:hAnsi="宋体" w:eastAsia="新宋体"/>
                      <w:szCs w:val="21"/>
                    </w:rPr>
                    <w:t>5</w:t>
                  </w:r>
                  <w:r>
                    <w:rPr>
                      <w:rFonts w:ascii="新宋体" w:hAnsi="宋体" w:eastAsia="新宋体"/>
                      <w:szCs w:val="21"/>
                    </w:rPr>
                    <w:t>3000</w:t>
                  </w:r>
                  <w:r>
                    <w:rPr>
                      <w:rFonts w:hint="eastAsia" w:ascii="新宋体" w:hAnsi="宋体" w:eastAsia="新宋体"/>
                      <w:szCs w:val="21"/>
                    </w:rPr>
                    <w:t>把</w:t>
                  </w:r>
                </w:p>
              </w:tc>
              <w:tc>
                <w:tcPr>
                  <w:tcW w:w="2222" w:type="dxa"/>
                  <w:vMerge w:val="restart"/>
                  <w:noWrap w:val="0"/>
                  <w:vAlign w:val="top"/>
                </w:tcPr>
                <w:p>
                  <w:pPr>
                    <w:ind w:firstLine="630" w:firstLineChars="300"/>
                    <w:jc w:val="left"/>
                    <w:rPr>
                      <w:rFonts w:hAnsi="宋体"/>
                      <w:szCs w:val="21"/>
                    </w:rPr>
                  </w:pPr>
                </w:p>
                <w:p>
                  <w:pPr>
                    <w:ind w:firstLine="630" w:firstLineChars="300"/>
                    <w:jc w:val="left"/>
                    <w:rPr>
                      <w:rFonts w:hAnsi="宋体"/>
                      <w:szCs w:val="21"/>
                    </w:rPr>
                  </w:pPr>
                </w:p>
                <w:p>
                  <w:pPr>
                    <w:ind w:firstLine="630" w:firstLineChars="300"/>
                    <w:jc w:val="left"/>
                    <w:rPr>
                      <w:rFonts w:hAnsi="宋体"/>
                      <w:szCs w:val="21"/>
                    </w:rPr>
                  </w:pPr>
                </w:p>
                <w:p>
                  <w:pPr>
                    <w:ind w:firstLine="630" w:firstLineChars="300"/>
                    <w:jc w:val="left"/>
                    <w:rPr>
                      <w:rFonts w:hAnsi="宋体"/>
                      <w:szCs w:val="21"/>
                    </w:rPr>
                  </w:pPr>
                </w:p>
                <w:p>
                  <w:pPr>
                    <w:ind w:firstLine="630" w:firstLineChars="300"/>
                    <w:jc w:val="left"/>
                    <w:rPr>
                      <w:rFonts w:hAnsi="宋体"/>
                      <w:szCs w:val="21"/>
                    </w:rPr>
                  </w:pPr>
                </w:p>
                <w:p>
                  <w:pPr>
                    <w:ind w:firstLine="630" w:firstLineChars="300"/>
                    <w:jc w:val="left"/>
                    <w:rPr>
                      <w:rFonts w:hAnsi="宋体"/>
                      <w:szCs w:val="21"/>
                    </w:rPr>
                  </w:pPr>
                </w:p>
                <w:p>
                  <w:pPr>
                    <w:ind w:firstLine="840" w:firstLineChars="400"/>
                    <w:jc w:val="left"/>
                    <w:rPr>
                      <w:rFonts w:hAnsi="宋体"/>
                      <w:szCs w:val="21"/>
                    </w:rPr>
                  </w:pPr>
                  <w:r>
                    <w:rPr>
                      <w:rFonts w:hAnsi="宋体"/>
                      <w:szCs w:val="21"/>
                    </w:rPr>
                    <w:t>外购</w:t>
                  </w:r>
                </w:p>
                <w:p>
                  <w:pPr>
                    <w:jc w:val="left"/>
                    <w:rPr>
                      <w:rFonts w:hAnsi="宋体"/>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2046" w:type="dxa"/>
                  <w:noWrap w:val="0"/>
                  <w:vAlign w:val="center"/>
                </w:tcPr>
                <w:p>
                  <w:pPr>
                    <w:jc w:val="center"/>
                    <w:rPr>
                      <w:szCs w:val="21"/>
                    </w:rPr>
                  </w:pPr>
                  <w:r>
                    <w:rPr>
                      <w:szCs w:val="21"/>
                    </w:rPr>
                    <w:t>2</w:t>
                  </w:r>
                </w:p>
              </w:tc>
              <w:tc>
                <w:tcPr>
                  <w:tcW w:w="2196" w:type="dxa"/>
                  <w:noWrap w:val="0"/>
                  <w:vAlign w:val="center"/>
                </w:tcPr>
                <w:p>
                  <w:pPr>
                    <w:autoSpaceDE w:val="0"/>
                    <w:autoSpaceDN w:val="0"/>
                    <w:jc w:val="center"/>
                    <w:rPr>
                      <w:rFonts w:ascii="新宋体" w:hAnsi="宋体" w:eastAsia="新宋体"/>
                      <w:szCs w:val="21"/>
                    </w:rPr>
                  </w:pPr>
                  <w:r>
                    <w:rPr>
                      <w:rFonts w:ascii="新宋体" w:hAnsi="宋体" w:eastAsia="新宋体"/>
                      <w:szCs w:val="21"/>
                    </w:rPr>
                    <w:t>木柄</w:t>
                  </w:r>
                </w:p>
              </w:tc>
              <w:tc>
                <w:tcPr>
                  <w:tcW w:w="2561" w:type="dxa"/>
                  <w:noWrap w:val="0"/>
                  <w:vAlign w:val="center"/>
                </w:tcPr>
                <w:p>
                  <w:pPr>
                    <w:autoSpaceDE w:val="0"/>
                    <w:autoSpaceDN w:val="0"/>
                    <w:jc w:val="center"/>
                    <w:rPr>
                      <w:rFonts w:ascii="新宋体" w:hAnsi="宋体" w:eastAsia="新宋体"/>
                      <w:szCs w:val="21"/>
                    </w:rPr>
                  </w:pPr>
                  <w:r>
                    <w:rPr>
                      <w:rFonts w:ascii="新宋体" w:hAnsi="宋体" w:eastAsia="新宋体"/>
                      <w:szCs w:val="21"/>
                    </w:rPr>
                    <w:t>约53000副</w:t>
                  </w:r>
                </w:p>
              </w:tc>
              <w:tc>
                <w:tcPr>
                  <w:tcW w:w="2222" w:type="dxa"/>
                  <w:vMerge w:val="continue"/>
                  <w:noWrap w:val="0"/>
                  <w:vAlign w:val="top"/>
                </w:tcPr>
                <w:p>
                  <w:pPr>
                    <w:jc w:val="left"/>
                    <w:rPr>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7" w:hRule="atLeast"/>
                <w:jc w:val="center"/>
              </w:trPr>
              <w:tc>
                <w:tcPr>
                  <w:tcW w:w="2046" w:type="dxa"/>
                  <w:noWrap w:val="0"/>
                  <w:vAlign w:val="center"/>
                </w:tcPr>
                <w:p>
                  <w:pPr>
                    <w:jc w:val="center"/>
                    <w:rPr>
                      <w:szCs w:val="21"/>
                    </w:rPr>
                  </w:pPr>
                  <w:r>
                    <w:rPr>
                      <w:rFonts w:hint="eastAsia"/>
                      <w:szCs w:val="21"/>
                    </w:rPr>
                    <w:t>3</w:t>
                  </w:r>
                </w:p>
              </w:tc>
              <w:tc>
                <w:tcPr>
                  <w:tcW w:w="2196" w:type="dxa"/>
                  <w:noWrap w:val="0"/>
                  <w:vAlign w:val="center"/>
                </w:tcPr>
                <w:p>
                  <w:pPr>
                    <w:autoSpaceDE w:val="0"/>
                    <w:autoSpaceDN w:val="0"/>
                    <w:jc w:val="center"/>
                    <w:rPr>
                      <w:rFonts w:ascii="新宋体" w:hAnsi="宋体" w:eastAsia="新宋体"/>
                      <w:szCs w:val="21"/>
                    </w:rPr>
                  </w:pPr>
                  <w:r>
                    <w:rPr>
                      <w:rFonts w:ascii="新宋体" w:hAnsi="宋体" w:eastAsia="新宋体"/>
                      <w:szCs w:val="21"/>
                    </w:rPr>
                    <w:t>铆钉</w:t>
                  </w:r>
                </w:p>
              </w:tc>
              <w:tc>
                <w:tcPr>
                  <w:tcW w:w="2561" w:type="dxa"/>
                  <w:noWrap w:val="0"/>
                  <w:vAlign w:val="center"/>
                </w:tcPr>
                <w:p>
                  <w:pPr>
                    <w:autoSpaceDE w:val="0"/>
                    <w:autoSpaceDN w:val="0"/>
                    <w:jc w:val="center"/>
                    <w:rPr>
                      <w:rFonts w:ascii="新宋体" w:hAnsi="宋体" w:eastAsia="新宋体"/>
                      <w:szCs w:val="21"/>
                    </w:rPr>
                  </w:pPr>
                  <w:r>
                    <w:rPr>
                      <w:rFonts w:ascii="新宋体" w:hAnsi="宋体" w:eastAsia="新宋体"/>
                      <w:szCs w:val="21"/>
                    </w:rPr>
                    <w:t>约106000对</w:t>
                  </w:r>
                </w:p>
              </w:tc>
              <w:tc>
                <w:tcPr>
                  <w:tcW w:w="2222" w:type="dxa"/>
                  <w:vMerge w:val="continue"/>
                  <w:noWrap w:val="0"/>
                  <w:vAlign w:val="top"/>
                </w:tcPr>
                <w:p>
                  <w:pPr>
                    <w:jc w:val="left"/>
                    <w:rPr>
                      <w:rFonts w:hAnsi="宋体"/>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7" w:hRule="atLeast"/>
                <w:jc w:val="center"/>
              </w:trPr>
              <w:tc>
                <w:tcPr>
                  <w:tcW w:w="2046" w:type="dxa"/>
                  <w:noWrap w:val="0"/>
                  <w:vAlign w:val="center"/>
                </w:tcPr>
                <w:p>
                  <w:pPr>
                    <w:jc w:val="center"/>
                    <w:rPr>
                      <w:rFonts w:hint="eastAsia"/>
                      <w:szCs w:val="21"/>
                    </w:rPr>
                  </w:pPr>
                  <w:r>
                    <w:rPr>
                      <w:rFonts w:hint="eastAsia"/>
                      <w:szCs w:val="21"/>
                    </w:rPr>
                    <w:t>4</w:t>
                  </w:r>
                </w:p>
              </w:tc>
              <w:tc>
                <w:tcPr>
                  <w:tcW w:w="2196" w:type="dxa"/>
                  <w:noWrap w:val="0"/>
                  <w:vAlign w:val="center"/>
                </w:tcPr>
                <w:p>
                  <w:pPr>
                    <w:autoSpaceDE w:val="0"/>
                    <w:autoSpaceDN w:val="0"/>
                    <w:jc w:val="center"/>
                    <w:rPr>
                      <w:rFonts w:ascii="新宋体" w:hAnsi="宋体" w:eastAsia="新宋体"/>
                      <w:szCs w:val="21"/>
                    </w:rPr>
                  </w:pPr>
                  <w:r>
                    <w:rPr>
                      <w:rFonts w:ascii="新宋体" w:hAnsi="宋体" w:eastAsia="新宋体"/>
                      <w:szCs w:val="21"/>
                    </w:rPr>
                    <w:t>金刚砂</w:t>
                  </w:r>
                </w:p>
              </w:tc>
              <w:tc>
                <w:tcPr>
                  <w:tcW w:w="2561" w:type="dxa"/>
                  <w:noWrap w:val="0"/>
                  <w:vAlign w:val="center"/>
                </w:tcPr>
                <w:p>
                  <w:pPr>
                    <w:autoSpaceDE w:val="0"/>
                    <w:autoSpaceDN w:val="0"/>
                    <w:jc w:val="center"/>
                    <w:rPr>
                      <w:rFonts w:ascii="新宋体" w:hAnsi="宋体" w:eastAsia="新宋体"/>
                      <w:szCs w:val="21"/>
                    </w:rPr>
                  </w:pPr>
                  <w:r>
                    <w:rPr>
                      <w:rFonts w:ascii="新宋体" w:hAnsi="宋体" w:eastAsia="新宋体"/>
                      <w:szCs w:val="21"/>
                    </w:rPr>
                    <w:t>约0.5吨</w:t>
                  </w:r>
                </w:p>
              </w:tc>
              <w:tc>
                <w:tcPr>
                  <w:tcW w:w="2222" w:type="dxa"/>
                  <w:vMerge w:val="continue"/>
                  <w:noWrap w:val="0"/>
                  <w:vAlign w:val="top"/>
                </w:tcPr>
                <w:p>
                  <w:pPr>
                    <w:jc w:val="left"/>
                    <w:rPr>
                      <w:rFonts w:hint="eastAsia" w:hAnsi="宋体"/>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7" w:hRule="atLeast"/>
                <w:jc w:val="center"/>
              </w:trPr>
              <w:tc>
                <w:tcPr>
                  <w:tcW w:w="2046" w:type="dxa"/>
                  <w:noWrap w:val="0"/>
                  <w:vAlign w:val="center"/>
                </w:tcPr>
                <w:p>
                  <w:pPr>
                    <w:jc w:val="center"/>
                    <w:rPr>
                      <w:rFonts w:hint="eastAsia"/>
                      <w:szCs w:val="21"/>
                    </w:rPr>
                  </w:pPr>
                  <w:r>
                    <w:rPr>
                      <w:rFonts w:hint="eastAsia"/>
                      <w:szCs w:val="21"/>
                    </w:rPr>
                    <w:t>5</w:t>
                  </w:r>
                </w:p>
              </w:tc>
              <w:tc>
                <w:tcPr>
                  <w:tcW w:w="2196" w:type="dxa"/>
                  <w:noWrap w:val="0"/>
                  <w:vAlign w:val="center"/>
                </w:tcPr>
                <w:p>
                  <w:pPr>
                    <w:autoSpaceDE w:val="0"/>
                    <w:autoSpaceDN w:val="0"/>
                    <w:jc w:val="center"/>
                    <w:rPr>
                      <w:rFonts w:ascii="新宋体" w:hAnsi="宋体" w:eastAsia="新宋体"/>
                      <w:szCs w:val="21"/>
                    </w:rPr>
                  </w:pPr>
                  <w:r>
                    <w:rPr>
                      <w:rFonts w:ascii="新宋体" w:hAnsi="宋体" w:eastAsia="新宋体"/>
                      <w:szCs w:val="21"/>
                    </w:rPr>
                    <w:t>砂轮</w:t>
                  </w:r>
                </w:p>
              </w:tc>
              <w:tc>
                <w:tcPr>
                  <w:tcW w:w="2561" w:type="dxa"/>
                  <w:noWrap w:val="0"/>
                  <w:vAlign w:val="center"/>
                </w:tcPr>
                <w:p>
                  <w:pPr>
                    <w:autoSpaceDE w:val="0"/>
                    <w:autoSpaceDN w:val="0"/>
                    <w:jc w:val="center"/>
                    <w:rPr>
                      <w:rFonts w:ascii="新宋体" w:hAnsi="宋体" w:eastAsia="新宋体"/>
                      <w:szCs w:val="21"/>
                    </w:rPr>
                  </w:pPr>
                  <w:r>
                    <w:rPr>
                      <w:rFonts w:ascii="新宋体" w:hAnsi="宋体" w:eastAsia="新宋体"/>
                      <w:szCs w:val="21"/>
                    </w:rPr>
                    <w:t>约36个</w:t>
                  </w:r>
                </w:p>
              </w:tc>
              <w:tc>
                <w:tcPr>
                  <w:tcW w:w="2222" w:type="dxa"/>
                  <w:vMerge w:val="continue"/>
                  <w:noWrap w:val="0"/>
                  <w:vAlign w:val="top"/>
                </w:tcPr>
                <w:p>
                  <w:pPr>
                    <w:jc w:val="left"/>
                    <w:rPr>
                      <w:rFonts w:hint="eastAsia" w:hAnsi="宋体"/>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7" w:hRule="atLeast"/>
                <w:jc w:val="center"/>
              </w:trPr>
              <w:tc>
                <w:tcPr>
                  <w:tcW w:w="2046" w:type="dxa"/>
                  <w:noWrap w:val="0"/>
                  <w:vAlign w:val="center"/>
                </w:tcPr>
                <w:p>
                  <w:pPr>
                    <w:jc w:val="center"/>
                    <w:rPr>
                      <w:rFonts w:hint="eastAsia"/>
                      <w:szCs w:val="21"/>
                    </w:rPr>
                  </w:pPr>
                  <w:r>
                    <w:rPr>
                      <w:rFonts w:hint="eastAsia"/>
                      <w:szCs w:val="21"/>
                    </w:rPr>
                    <w:t>6</w:t>
                  </w:r>
                </w:p>
              </w:tc>
              <w:tc>
                <w:tcPr>
                  <w:tcW w:w="2196" w:type="dxa"/>
                  <w:noWrap w:val="0"/>
                  <w:vAlign w:val="center"/>
                </w:tcPr>
                <w:p>
                  <w:pPr>
                    <w:autoSpaceDE w:val="0"/>
                    <w:autoSpaceDN w:val="0"/>
                    <w:jc w:val="center"/>
                    <w:rPr>
                      <w:rFonts w:ascii="新宋体" w:hAnsi="宋体" w:eastAsia="新宋体"/>
                      <w:szCs w:val="21"/>
                    </w:rPr>
                  </w:pPr>
                  <w:r>
                    <w:rPr>
                      <w:rFonts w:ascii="新宋体" w:hAnsi="宋体" w:eastAsia="新宋体"/>
                      <w:szCs w:val="21"/>
                    </w:rPr>
                    <w:t>砂带</w:t>
                  </w:r>
                </w:p>
              </w:tc>
              <w:tc>
                <w:tcPr>
                  <w:tcW w:w="2561" w:type="dxa"/>
                  <w:noWrap w:val="0"/>
                  <w:vAlign w:val="center"/>
                </w:tcPr>
                <w:p>
                  <w:pPr>
                    <w:autoSpaceDE w:val="0"/>
                    <w:autoSpaceDN w:val="0"/>
                    <w:jc w:val="center"/>
                    <w:rPr>
                      <w:rFonts w:ascii="新宋体" w:hAnsi="宋体" w:eastAsia="新宋体"/>
                      <w:szCs w:val="21"/>
                    </w:rPr>
                  </w:pPr>
                  <w:r>
                    <w:rPr>
                      <w:rFonts w:ascii="新宋体" w:hAnsi="宋体" w:eastAsia="新宋体"/>
                      <w:szCs w:val="21"/>
                    </w:rPr>
                    <w:t>约600条</w:t>
                  </w:r>
                </w:p>
              </w:tc>
              <w:tc>
                <w:tcPr>
                  <w:tcW w:w="2222" w:type="dxa"/>
                  <w:vMerge w:val="continue"/>
                  <w:noWrap w:val="0"/>
                  <w:vAlign w:val="top"/>
                </w:tcPr>
                <w:p>
                  <w:pPr>
                    <w:jc w:val="left"/>
                    <w:rPr>
                      <w:rFonts w:hint="eastAsia" w:hAnsi="宋体"/>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7" w:hRule="atLeast"/>
                <w:jc w:val="center"/>
              </w:trPr>
              <w:tc>
                <w:tcPr>
                  <w:tcW w:w="2046" w:type="dxa"/>
                  <w:noWrap w:val="0"/>
                  <w:vAlign w:val="center"/>
                </w:tcPr>
                <w:p>
                  <w:pPr>
                    <w:jc w:val="center"/>
                    <w:rPr>
                      <w:rFonts w:hint="eastAsia"/>
                      <w:szCs w:val="21"/>
                    </w:rPr>
                  </w:pPr>
                  <w:r>
                    <w:rPr>
                      <w:rFonts w:hint="eastAsia"/>
                      <w:szCs w:val="21"/>
                    </w:rPr>
                    <w:t>7</w:t>
                  </w:r>
                </w:p>
              </w:tc>
              <w:tc>
                <w:tcPr>
                  <w:tcW w:w="2196" w:type="dxa"/>
                  <w:noWrap w:val="0"/>
                  <w:vAlign w:val="center"/>
                </w:tcPr>
                <w:p>
                  <w:pPr>
                    <w:autoSpaceDE w:val="0"/>
                    <w:autoSpaceDN w:val="0"/>
                    <w:jc w:val="center"/>
                    <w:rPr>
                      <w:rFonts w:ascii="新宋体" w:hAnsi="宋体" w:eastAsia="新宋体"/>
                      <w:szCs w:val="21"/>
                    </w:rPr>
                  </w:pPr>
                  <w:r>
                    <w:rPr>
                      <w:rFonts w:ascii="新宋体" w:hAnsi="宋体" w:eastAsia="新宋体"/>
                      <w:szCs w:val="21"/>
                    </w:rPr>
                    <w:t>砂圈</w:t>
                  </w:r>
                </w:p>
              </w:tc>
              <w:tc>
                <w:tcPr>
                  <w:tcW w:w="2561" w:type="dxa"/>
                  <w:noWrap w:val="0"/>
                  <w:vAlign w:val="center"/>
                </w:tcPr>
                <w:p>
                  <w:pPr>
                    <w:autoSpaceDE w:val="0"/>
                    <w:autoSpaceDN w:val="0"/>
                    <w:jc w:val="center"/>
                    <w:rPr>
                      <w:rFonts w:ascii="新宋体" w:hAnsi="宋体" w:eastAsia="新宋体"/>
                      <w:szCs w:val="21"/>
                    </w:rPr>
                  </w:pPr>
                  <w:r>
                    <w:rPr>
                      <w:rFonts w:ascii="新宋体" w:hAnsi="宋体" w:eastAsia="新宋体"/>
                      <w:szCs w:val="21"/>
                    </w:rPr>
                    <w:t>约800个</w:t>
                  </w:r>
                </w:p>
              </w:tc>
              <w:tc>
                <w:tcPr>
                  <w:tcW w:w="2222" w:type="dxa"/>
                  <w:vMerge w:val="continue"/>
                  <w:noWrap w:val="0"/>
                  <w:vAlign w:val="top"/>
                </w:tcPr>
                <w:p>
                  <w:pPr>
                    <w:jc w:val="left"/>
                    <w:rPr>
                      <w:rFonts w:hint="eastAsia" w:hAnsi="宋体"/>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7" w:hRule="atLeast"/>
                <w:jc w:val="center"/>
              </w:trPr>
              <w:tc>
                <w:tcPr>
                  <w:tcW w:w="2046" w:type="dxa"/>
                  <w:noWrap w:val="0"/>
                  <w:vAlign w:val="center"/>
                </w:tcPr>
                <w:p>
                  <w:pPr>
                    <w:jc w:val="center"/>
                    <w:rPr>
                      <w:rFonts w:hint="eastAsia"/>
                      <w:szCs w:val="21"/>
                    </w:rPr>
                  </w:pPr>
                  <w:r>
                    <w:rPr>
                      <w:rFonts w:hint="eastAsia"/>
                      <w:szCs w:val="21"/>
                    </w:rPr>
                    <w:t>8</w:t>
                  </w:r>
                </w:p>
              </w:tc>
              <w:tc>
                <w:tcPr>
                  <w:tcW w:w="2196" w:type="dxa"/>
                  <w:noWrap w:val="0"/>
                  <w:vAlign w:val="center"/>
                </w:tcPr>
                <w:p>
                  <w:pPr>
                    <w:autoSpaceDE w:val="0"/>
                    <w:autoSpaceDN w:val="0"/>
                    <w:jc w:val="center"/>
                    <w:rPr>
                      <w:rFonts w:ascii="新宋体" w:hAnsi="宋体" w:eastAsia="新宋体"/>
                      <w:szCs w:val="21"/>
                    </w:rPr>
                  </w:pPr>
                  <w:r>
                    <w:rPr>
                      <w:rFonts w:ascii="新宋体" w:hAnsi="宋体" w:eastAsia="新宋体"/>
                      <w:szCs w:val="21"/>
                    </w:rPr>
                    <w:t>尼龙轮</w:t>
                  </w:r>
                </w:p>
              </w:tc>
              <w:tc>
                <w:tcPr>
                  <w:tcW w:w="2561" w:type="dxa"/>
                  <w:noWrap w:val="0"/>
                  <w:vAlign w:val="center"/>
                </w:tcPr>
                <w:p>
                  <w:pPr>
                    <w:autoSpaceDE w:val="0"/>
                    <w:autoSpaceDN w:val="0"/>
                    <w:jc w:val="center"/>
                    <w:rPr>
                      <w:rFonts w:ascii="新宋体" w:hAnsi="宋体" w:eastAsia="新宋体"/>
                      <w:szCs w:val="21"/>
                    </w:rPr>
                  </w:pPr>
                  <w:r>
                    <w:rPr>
                      <w:rFonts w:ascii="新宋体" w:hAnsi="宋体" w:eastAsia="新宋体"/>
                      <w:szCs w:val="21"/>
                    </w:rPr>
                    <w:t>约60个</w:t>
                  </w:r>
                </w:p>
              </w:tc>
              <w:tc>
                <w:tcPr>
                  <w:tcW w:w="2222" w:type="dxa"/>
                  <w:vMerge w:val="continue"/>
                  <w:noWrap w:val="0"/>
                  <w:vAlign w:val="top"/>
                </w:tcPr>
                <w:p>
                  <w:pPr>
                    <w:jc w:val="left"/>
                    <w:rPr>
                      <w:rFonts w:hint="eastAsia" w:hAnsi="宋体"/>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7" w:hRule="atLeast"/>
                <w:jc w:val="center"/>
              </w:trPr>
              <w:tc>
                <w:tcPr>
                  <w:tcW w:w="2046" w:type="dxa"/>
                  <w:noWrap w:val="0"/>
                  <w:vAlign w:val="center"/>
                </w:tcPr>
                <w:p>
                  <w:pPr>
                    <w:jc w:val="center"/>
                    <w:rPr>
                      <w:rFonts w:hint="eastAsia"/>
                      <w:szCs w:val="21"/>
                    </w:rPr>
                  </w:pPr>
                  <w:r>
                    <w:rPr>
                      <w:rFonts w:hint="eastAsia"/>
                      <w:szCs w:val="21"/>
                    </w:rPr>
                    <w:t>9</w:t>
                  </w:r>
                </w:p>
              </w:tc>
              <w:tc>
                <w:tcPr>
                  <w:tcW w:w="2196" w:type="dxa"/>
                  <w:noWrap w:val="0"/>
                  <w:vAlign w:val="center"/>
                </w:tcPr>
                <w:p>
                  <w:pPr>
                    <w:autoSpaceDE w:val="0"/>
                    <w:autoSpaceDN w:val="0"/>
                    <w:jc w:val="center"/>
                    <w:rPr>
                      <w:rFonts w:ascii="新宋体" w:hAnsi="宋体" w:eastAsia="新宋体"/>
                      <w:szCs w:val="21"/>
                    </w:rPr>
                  </w:pPr>
                  <w:r>
                    <w:rPr>
                      <w:rFonts w:ascii="新宋体" w:hAnsi="宋体" w:eastAsia="新宋体"/>
                      <w:szCs w:val="21"/>
                    </w:rPr>
                    <w:t>软布轮</w:t>
                  </w:r>
                </w:p>
              </w:tc>
              <w:tc>
                <w:tcPr>
                  <w:tcW w:w="2561" w:type="dxa"/>
                  <w:noWrap w:val="0"/>
                  <w:vAlign w:val="center"/>
                </w:tcPr>
                <w:p>
                  <w:pPr>
                    <w:autoSpaceDE w:val="0"/>
                    <w:autoSpaceDN w:val="0"/>
                    <w:jc w:val="center"/>
                    <w:rPr>
                      <w:rFonts w:ascii="新宋体" w:hAnsi="宋体" w:eastAsia="新宋体"/>
                      <w:szCs w:val="21"/>
                    </w:rPr>
                  </w:pPr>
                  <w:r>
                    <w:rPr>
                      <w:rFonts w:ascii="新宋体" w:hAnsi="宋体" w:eastAsia="新宋体"/>
                      <w:szCs w:val="21"/>
                    </w:rPr>
                    <w:t>约60个</w:t>
                  </w:r>
                </w:p>
              </w:tc>
              <w:tc>
                <w:tcPr>
                  <w:tcW w:w="2222" w:type="dxa"/>
                  <w:vMerge w:val="continue"/>
                  <w:noWrap w:val="0"/>
                  <w:vAlign w:val="top"/>
                </w:tcPr>
                <w:p>
                  <w:pPr>
                    <w:jc w:val="left"/>
                    <w:rPr>
                      <w:rFonts w:hint="eastAsia" w:hAnsi="宋体"/>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7" w:hRule="atLeast"/>
                <w:jc w:val="center"/>
              </w:trPr>
              <w:tc>
                <w:tcPr>
                  <w:tcW w:w="2046" w:type="dxa"/>
                  <w:noWrap w:val="0"/>
                  <w:vAlign w:val="center"/>
                </w:tcPr>
                <w:p>
                  <w:pPr>
                    <w:jc w:val="center"/>
                    <w:rPr>
                      <w:rFonts w:hint="eastAsia"/>
                      <w:szCs w:val="21"/>
                    </w:rPr>
                  </w:pPr>
                  <w:r>
                    <w:rPr>
                      <w:rFonts w:hint="eastAsia"/>
                      <w:szCs w:val="21"/>
                    </w:rPr>
                    <w:t>1</w:t>
                  </w:r>
                  <w:r>
                    <w:rPr>
                      <w:szCs w:val="21"/>
                    </w:rPr>
                    <w:t>0</w:t>
                  </w:r>
                </w:p>
              </w:tc>
              <w:tc>
                <w:tcPr>
                  <w:tcW w:w="2196" w:type="dxa"/>
                  <w:noWrap w:val="0"/>
                  <w:vAlign w:val="center"/>
                </w:tcPr>
                <w:p>
                  <w:pPr>
                    <w:autoSpaceDE w:val="0"/>
                    <w:autoSpaceDN w:val="0"/>
                    <w:jc w:val="center"/>
                    <w:rPr>
                      <w:rFonts w:ascii="新宋体" w:hAnsi="宋体" w:eastAsia="新宋体"/>
                      <w:szCs w:val="21"/>
                    </w:rPr>
                  </w:pPr>
                  <w:r>
                    <w:rPr>
                      <w:rFonts w:ascii="新宋体" w:hAnsi="宋体" w:eastAsia="新宋体"/>
                      <w:szCs w:val="21"/>
                    </w:rPr>
                    <w:t>合成圆形磨刀石</w:t>
                  </w:r>
                </w:p>
              </w:tc>
              <w:tc>
                <w:tcPr>
                  <w:tcW w:w="2561" w:type="dxa"/>
                  <w:noWrap w:val="0"/>
                  <w:vAlign w:val="center"/>
                </w:tcPr>
                <w:p>
                  <w:pPr>
                    <w:autoSpaceDE w:val="0"/>
                    <w:autoSpaceDN w:val="0"/>
                    <w:jc w:val="center"/>
                    <w:rPr>
                      <w:rFonts w:ascii="新宋体" w:hAnsi="宋体" w:eastAsia="新宋体"/>
                      <w:szCs w:val="21"/>
                    </w:rPr>
                  </w:pPr>
                  <w:r>
                    <w:rPr>
                      <w:rFonts w:ascii="新宋体" w:hAnsi="宋体" w:eastAsia="新宋体"/>
                      <w:szCs w:val="21"/>
                    </w:rPr>
                    <w:t>约100个</w:t>
                  </w:r>
                </w:p>
              </w:tc>
              <w:tc>
                <w:tcPr>
                  <w:tcW w:w="2222" w:type="dxa"/>
                  <w:vMerge w:val="continue"/>
                  <w:noWrap w:val="0"/>
                  <w:vAlign w:val="top"/>
                </w:tcPr>
                <w:p>
                  <w:pPr>
                    <w:jc w:val="left"/>
                    <w:rPr>
                      <w:rFonts w:hint="eastAsia" w:hAnsi="宋体"/>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7" w:hRule="atLeast"/>
                <w:jc w:val="center"/>
              </w:trPr>
              <w:tc>
                <w:tcPr>
                  <w:tcW w:w="2046" w:type="dxa"/>
                  <w:noWrap w:val="0"/>
                  <w:vAlign w:val="center"/>
                </w:tcPr>
                <w:p>
                  <w:pPr>
                    <w:jc w:val="center"/>
                    <w:rPr>
                      <w:rFonts w:hint="eastAsia"/>
                      <w:szCs w:val="21"/>
                    </w:rPr>
                  </w:pPr>
                  <w:r>
                    <w:rPr>
                      <w:rFonts w:hint="eastAsia"/>
                      <w:szCs w:val="21"/>
                    </w:rPr>
                    <w:t>1</w:t>
                  </w:r>
                  <w:r>
                    <w:rPr>
                      <w:szCs w:val="21"/>
                    </w:rPr>
                    <w:t>1</w:t>
                  </w:r>
                </w:p>
              </w:tc>
              <w:tc>
                <w:tcPr>
                  <w:tcW w:w="2196" w:type="dxa"/>
                  <w:noWrap w:val="0"/>
                  <w:vAlign w:val="center"/>
                </w:tcPr>
                <w:p>
                  <w:pPr>
                    <w:autoSpaceDE w:val="0"/>
                    <w:autoSpaceDN w:val="0"/>
                    <w:jc w:val="center"/>
                    <w:rPr>
                      <w:rFonts w:ascii="新宋体" w:hAnsi="宋体" w:eastAsia="新宋体"/>
                      <w:szCs w:val="21"/>
                    </w:rPr>
                  </w:pPr>
                  <w:r>
                    <w:rPr>
                      <w:rFonts w:ascii="新宋体" w:hAnsi="宋体" w:eastAsia="新宋体"/>
                      <w:szCs w:val="21"/>
                    </w:rPr>
                    <w:t>小块磨刀石</w:t>
                  </w:r>
                </w:p>
              </w:tc>
              <w:tc>
                <w:tcPr>
                  <w:tcW w:w="2561" w:type="dxa"/>
                  <w:noWrap w:val="0"/>
                  <w:vAlign w:val="center"/>
                </w:tcPr>
                <w:p>
                  <w:pPr>
                    <w:autoSpaceDE w:val="0"/>
                    <w:autoSpaceDN w:val="0"/>
                    <w:jc w:val="center"/>
                    <w:rPr>
                      <w:rFonts w:ascii="新宋体" w:hAnsi="宋体" w:eastAsia="新宋体"/>
                      <w:szCs w:val="21"/>
                    </w:rPr>
                  </w:pPr>
                  <w:r>
                    <w:rPr>
                      <w:rFonts w:ascii="新宋体" w:hAnsi="宋体" w:eastAsia="新宋体"/>
                      <w:szCs w:val="21"/>
                    </w:rPr>
                    <w:t>约300个</w:t>
                  </w:r>
                </w:p>
              </w:tc>
              <w:tc>
                <w:tcPr>
                  <w:tcW w:w="2222" w:type="dxa"/>
                  <w:vMerge w:val="continue"/>
                  <w:noWrap w:val="0"/>
                  <w:vAlign w:val="top"/>
                </w:tcPr>
                <w:p>
                  <w:pPr>
                    <w:jc w:val="left"/>
                    <w:rPr>
                      <w:rFonts w:hint="eastAsia" w:hAnsi="宋体"/>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7" w:hRule="atLeast"/>
                <w:jc w:val="center"/>
              </w:trPr>
              <w:tc>
                <w:tcPr>
                  <w:tcW w:w="2046" w:type="dxa"/>
                  <w:noWrap w:val="0"/>
                  <w:vAlign w:val="center"/>
                </w:tcPr>
                <w:p>
                  <w:pPr>
                    <w:jc w:val="center"/>
                    <w:rPr>
                      <w:rFonts w:eastAsia="Times New Roman"/>
                      <w:szCs w:val="21"/>
                    </w:rPr>
                  </w:pPr>
                  <w:r>
                    <w:rPr>
                      <w:rFonts w:hint="eastAsia"/>
                      <w:szCs w:val="21"/>
                    </w:rPr>
                    <w:t>12</w:t>
                  </w:r>
                </w:p>
              </w:tc>
              <w:tc>
                <w:tcPr>
                  <w:tcW w:w="2196" w:type="dxa"/>
                  <w:noWrap w:val="0"/>
                  <w:vAlign w:val="center"/>
                </w:tcPr>
                <w:p>
                  <w:pPr>
                    <w:autoSpaceDE w:val="0"/>
                    <w:autoSpaceDN w:val="0"/>
                    <w:jc w:val="center"/>
                    <w:rPr>
                      <w:rFonts w:hint="eastAsia" w:ascii="新宋体" w:hAnsi="宋体" w:eastAsia="新宋体"/>
                      <w:szCs w:val="21"/>
                      <w:lang w:eastAsia="zh-CN"/>
                    </w:rPr>
                  </w:pPr>
                  <w:r>
                    <w:rPr>
                      <w:rFonts w:hint="eastAsia" w:ascii="新宋体" w:hAnsi="宋体" w:eastAsia="新宋体"/>
                      <w:szCs w:val="21"/>
                    </w:rPr>
                    <w:t>生物醇燃料</w:t>
                  </w:r>
                  <w:r>
                    <w:rPr>
                      <w:rFonts w:hint="eastAsia" w:ascii="新宋体" w:hAnsi="宋体" w:eastAsia="新宋体"/>
                      <w:szCs w:val="21"/>
                      <w:lang w:eastAsia="zh-CN"/>
                    </w:rPr>
                    <w:t>（主要成分为甲醇）</w:t>
                  </w:r>
                </w:p>
              </w:tc>
              <w:tc>
                <w:tcPr>
                  <w:tcW w:w="2561" w:type="dxa"/>
                  <w:noWrap w:val="0"/>
                  <w:vAlign w:val="center"/>
                </w:tcPr>
                <w:p>
                  <w:pPr>
                    <w:autoSpaceDE w:val="0"/>
                    <w:autoSpaceDN w:val="0"/>
                    <w:jc w:val="center"/>
                    <w:rPr>
                      <w:rFonts w:hint="eastAsia" w:ascii="新宋体" w:hAnsi="宋体" w:eastAsia="新宋体"/>
                      <w:szCs w:val="21"/>
                      <w:lang w:eastAsia="zh-CN"/>
                    </w:rPr>
                  </w:pPr>
                  <w:r>
                    <w:rPr>
                      <w:rFonts w:hint="eastAsia" w:ascii="新宋体" w:hAnsi="宋体" w:eastAsia="新宋体"/>
                      <w:szCs w:val="21"/>
                    </w:rPr>
                    <w:t>10吨</w:t>
                  </w:r>
                  <w:r>
                    <w:rPr>
                      <w:rFonts w:hint="eastAsia" w:ascii="新宋体" w:hAnsi="宋体" w:eastAsia="新宋体"/>
                      <w:szCs w:val="21"/>
                      <w:lang w:eastAsia="zh-CN"/>
                    </w:rPr>
                    <w:t>（最大储存量</w:t>
                  </w:r>
                  <w:r>
                    <w:rPr>
                      <w:rFonts w:hint="eastAsia" w:ascii="新宋体" w:hAnsi="宋体" w:eastAsia="新宋体"/>
                      <w:szCs w:val="21"/>
                      <w:lang w:val="en-US" w:eastAsia="zh-CN"/>
                    </w:rPr>
                    <w:t>0.5t，</w:t>
                  </w:r>
                  <w:r>
                    <w:rPr>
                      <w:rFonts w:hint="eastAsia" w:ascii="新宋体" w:hAnsi="宋体" w:eastAsia="新宋体"/>
                      <w:szCs w:val="21"/>
                      <w:lang w:eastAsia="zh-CN"/>
                    </w:rPr>
                    <w:t>利用专用容器存放于醇油贮存间）</w:t>
                  </w:r>
                </w:p>
              </w:tc>
              <w:tc>
                <w:tcPr>
                  <w:tcW w:w="2222" w:type="dxa"/>
                  <w:vMerge w:val="continue"/>
                  <w:noWrap w:val="0"/>
                  <w:vAlign w:val="top"/>
                </w:tcPr>
                <w:p>
                  <w:pPr>
                    <w:jc w:val="left"/>
                    <w:rPr>
                      <w:rFonts w:hint="eastAsia" w:hAnsi="宋体"/>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7" w:hRule="atLeast"/>
                <w:jc w:val="center"/>
              </w:trPr>
              <w:tc>
                <w:tcPr>
                  <w:tcW w:w="2046" w:type="dxa"/>
                  <w:noWrap w:val="0"/>
                  <w:vAlign w:val="center"/>
                </w:tcPr>
                <w:p>
                  <w:pPr>
                    <w:jc w:val="center"/>
                    <w:rPr>
                      <w:rFonts w:hint="default" w:eastAsia="宋体"/>
                      <w:szCs w:val="21"/>
                      <w:lang w:val="en-US" w:eastAsia="zh-CN"/>
                    </w:rPr>
                  </w:pPr>
                  <w:r>
                    <w:rPr>
                      <w:rFonts w:hint="eastAsia"/>
                      <w:szCs w:val="21"/>
                      <w:lang w:val="en-US" w:eastAsia="zh-CN"/>
                    </w:rPr>
                    <w:t>13</w:t>
                  </w:r>
                </w:p>
              </w:tc>
              <w:tc>
                <w:tcPr>
                  <w:tcW w:w="2196" w:type="dxa"/>
                  <w:noWrap w:val="0"/>
                  <w:vAlign w:val="center"/>
                </w:tcPr>
                <w:p>
                  <w:pPr>
                    <w:autoSpaceDE w:val="0"/>
                    <w:autoSpaceDN w:val="0"/>
                    <w:jc w:val="center"/>
                    <w:rPr>
                      <w:rFonts w:hint="default" w:ascii="新宋体" w:hAnsi="宋体" w:eastAsia="新宋体"/>
                      <w:szCs w:val="21"/>
                      <w:lang w:val="en-US" w:eastAsia="zh-CN"/>
                    </w:rPr>
                  </w:pPr>
                  <w:r>
                    <w:rPr>
                      <w:rFonts w:hint="eastAsia" w:ascii="新宋体" w:hAnsi="宋体" w:eastAsia="新宋体"/>
                      <w:szCs w:val="21"/>
                      <w:lang w:eastAsia="zh-CN"/>
                    </w:rPr>
                    <w:t>淬火油（植物油）</w:t>
                  </w:r>
                </w:p>
              </w:tc>
              <w:tc>
                <w:tcPr>
                  <w:tcW w:w="2561" w:type="dxa"/>
                  <w:noWrap w:val="0"/>
                  <w:vAlign w:val="center"/>
                </w:tcPr>
                <w:p>
                  <w:pPr>
                    <w:autoSpaceDE w:val="0"/>
                    <w:autoSpaceDN w:val="0"/>
                    <w:jc w:val="center"/>
                    <w:rPr>
                      <w:rFonts w:hint="default" w:ascii="新宋体" w:hAnsi="宋体" w:eastAsia="新宋体"/>
                      <w:szCs w:val="21"/>
                      <w:lang w:val="en-US" w:eastAsia="zh-CN"/>
                    </w:rPr>
                  </w:pPr>
                  <w:r>
                    <w:rPr>
                      <w:rFonts w:hint="eastAsia" w:ascii="新宋体" w:hAnsi="宋体" w:eastAsia="新宋体"/>
                      <w:szCs w:val="21"/>
                      <w:lang w:val="en-US" w:eastAsia="zh-CN"/>
                    </w:rPr>
                    <w:t>0.2吨</w:t>
                  </w:r>
                </w:p>
              </w:tc>
              <w:tc>
                <w:tcPr>
                  <w:tcW w:w="2222" w:type="dxa"/>
                  <w:vMerge w:val="continue"/>
                  <w:noWrap w:val="0"/>
                  <w:vAlign w:val="top"/>
                </w:tcPr>
                <w:p>
                  <w:pPr>
                    <w:jc w:val="left"/>
                    <w:rPr>
                      <w:rFonts w:hint="eastAsia" w:hAnsi="宋体"/>
                      <w:szCs w:val="21"/>
                    </w:rPr>
                  </w:pPr>
                </w:p>
              </w:tc>
            </w:tr>
          </w:tbl>
          <w:p>
            <w:pPr>
              <w:spacing w:line="360" w:lineRule="auto"/>
              <w:ind w:firstLine="482" w:firstLineChars="200"/>
              <w:rPr>
                <w:rFonts w:hint="eastAsia"/>
                <w:b/>
                <w:sz w:val="24"/>
              </w:rPr>
            </w:pPr>
          </w:p>
          <w:p>
            <w:pPr>
              <w:spacing w:line="360" w:lineRule="auto"/>
              <w:ind w:firstLine="480" w:firstLineChars="200"/>
              <w:rPr>
                <w:rFonts w:hint="eastAsia"/>
                <w:color w:val="000000"/>
                <w:sz w:val="24"/>
                <w:lang w:eastAsia="zh-CN"/>
              </w:rPr>
            </w:pPr>
            <w:r>
              <w:rPr>
                <w:rFonts w:hint="eastAsia"/>
                <w:color w:val="000000"/>
                <w:sz w:val="24"/>
              </w:rPr>
              <w:t>生物醇油</w:t>
            </w:r>
            <w:r>
              <w:rPr>
                <w:rFonts w:hint="eastAsia"/>
                <w:color w:val="000000"/>
                <w:sz w:val="24"/>
                <w:lang w:eastAsia="zh-CN"/>
              </w:rPr>
              <w:t>：</w:t>
            </w:r>
            <w:r>
              <w:rPr>
                <w:rFonts w:hint="eastAsia"/>
                <w:color w:val="000000"/>
                <w:sz w:val="24"/>
              </w:rPr>
              <w:t>其实就是醇基液体燃料民间的一种俗称，大多人称呼为生物醇油。国家标准是《GB16663-1996醇基液体燃料》。生物醇油是以甲醇</w:t>
            </w:r>
            <w:r>
              <w:rPr>
                <w:rFonts w:hint="default"/>
                <w:color w:val="000000"/>
                <w:sz w:val="24"/>
              </w:rPr>
              <w:t>为主要原料</w:t>
            </w:r>
            <w:r>
              <w:rPr>
                <w:rFonts w:hint="eastAsia"/>
                <w:color w:val="000000"/>
                <w:sz w:val="24"/>
                <w:lang w:eastAsia="zh-CN"/>
              </w:rPr>
              <w:t>。</w:t>
            </w:r>
            <w:r>
              <w:rPr>
                <w:rFonts w:hint="eastAsia"/>
                <w:color w:val="000000"/>
                <w:sz w:val="24"/>
              </w:rPr>
              <w:t>甲醇（Methanol，CH</w:t>
            </w:r>
            <w:r>
              <w:rPr>
                <w:rFonts w:hint="default"/>
                <w:color w:val="000000"/>
                <w:sz w:val="24"/>
              </w:rPr>
              <w:t>3OH）是结构最为简单的饱和</w:t>
            </w:r>
            <w:r>
              <w:rPr>
                <w:rFonts w:hint="default"/>
                <w:color w:val="000000"/>
                <w:sz w:val="24"/>
              </w:rPr>
              <w:fldChar w:fldCharType="begin"/>
            </w:r>
            <w:r>
              <w:rPr>
                <w:rFonts w:hint="default"/>
                <w:color w:val="000000"/>
                <w:sz w:val="24"/>
              </w:rPr>
              <w:instrText xml:space="preserve"> HYPERLINK "https://baike.baidu.com/item/%E4%B8%80%E5%85%83%E9%86%87" \t "https://baike.baidu.com/item/%E7%94%B2%E9%86%87/_blank" </w:instrText>
            </w:r>
            <w:r>
              <w:rPr>
                <w:rFonts w:hint="default"/>
                <w:color w:val="000000"/>
                <w:sz w:val="24"/>
              </w:rPr>
              <w:fldChar w:fldCharType="separate"/>
            </w:r>
            <w:r>
              <w:rPr>
                <w:rFonts w:hint="default"/>
                <w:color w:val="000000"/>
                <w:sz w:val="24"/>
              </w:rPr>
              <w:t>一元醇</w:t>
            </w:r>
            <w:r>
              <w:rPr>
                <w:rFonts w:hint="default"/>
                <w:color w:val="000000"/>
                <w:sz w:val="24"/>
              </w:rPr>
              <w:fldChar w:fldCharType="end"/>
            </w:r>
            <w:r>
              <w:rPr>
                <w:rFonts w:hint="default"/>
                <w:color w:val="000000"/>
                <w:sz w:val="24"/>
              </w:rPr>
              <w:t>，CAS号为67-56-1或170082-17-4，分子量为32.04，沸点为64.7℃。因在干馏木材中首次发现，故又称“</w:t>
            </w:r>
            <w:r>
              <w:rPr>
                <w:rFonts w:hint="default"/>
                <w:color w:val="000000"/>
                <w:sz w:val="24"/>
              </w:rPr>
              <w:fldChar w:fldCharType="begin"/>
            </w:r>
            <w:r>
              <w:rPr>
                <w:rFonts w:hint="default"/>
                <w:color w:val="000000"/>
                <w:sz w:val="24"/>
              </w:rPr>
              <w:instrText xml:space="preserve"> HYPERLINK "https://baike.baidu.com/item/%E6%9C%A8%E9%86%87/10956462" \t "https://baike.baidu.com/item/%E7%94%B2%E9%86%87/_blank" </w:instrText>
            </w:r>
            <w:r>
              <w:rPr>
                <w:rFonts w:hint="default"/>
                <w:color w:val="000000"/>
                <w:sz w:val="24"/>
              </w:rPr>
              <w:fldChar w:fldCharType="separate"/>
            </w:r>
            <w:r>
              <w:rPr>
                <w:rFonts w:hint="default"/>
                <w:color w:val="000000"/>
                <w:sz w:val="24"/>
              </w:rPr>
              <w:t>木醇</w:t>
            </w:r>
            <w:r>
              <w:rPr>
                <w:rFonts w:hint="default"/>
                <w:color w:val="000000"/>
                <w:sz w:val="24"/>
              </w:rPr>
              <w:fldChar w:fldCharType="end"/>
            </w:r>
            <w:r>
              <w:rPr>
                <w:rFonts w:hint="default"/>
                <w:color w:val="000000"/>
                <w:sz w:val="24"/>
              </w:rPr>
              <w:t>”或“</w:t>
            </w:r>
            <w:r>
              <w:rPr>
                <w:rFonts w:hint="default"/>
                <w:color w:val="000000"/>
                <w:sz w:val="24"/>
              </w:rPr>
              <w:fldChar w:fldCharType="begin"/>
            </w:r>
            <w:r>
              <w:rPr>
                <w:rFonts w:hint="default"/>
                <w:color w:val="000000"/>
                <w:sz w:val="24"/>
              </w:rPr>
              <w:instrText xml:space="preserve"> HYPERLINK "https://baike.baidu.com/item/%E6%9C%A8%E7%B2%BE/6715223" \t "https://baike.baidu.com/item/%E7%94%B2%E9%86%87/_blank" </w:instrText>
            </w:r>
            <w:r>
              <w:rPr>
                <w:rFonts w:hint="default"/>
                <w:color w:val="000000"/>
                <w:sz w:val="24"/>
              </w:rPr>
              <w:fldChar w:fldCharType="separate"/>
            </w:r>
            <w:r>
              <w:rPr>
                <w:rFonts w:hint="default"/>
                <w:color w:val="000000"/>
                <w:sz w:val="24"/>
              </w:rPr>
              <w:t>木精</w:t>
            </w:r>
            <w:r>
              <w:rPr>
                <w:rFonts w:hint="default"/>
                <w:color w:val="000000"/>
                <w:sz w:val="24"/>
              </w:rPr>
              <w:fldChar w:fldCharType="end"/>
            </w:r>
            <w:r>
              <w:rPr>
                <w:rFonts w:hint="default"/>
                <w:color w:val="000000"/>
                <w:sz w:val="24"/>
              </w:rPr>
              <w:t>”。是无色有</w:t>
            </w:r>
            <w:r>
              <w:rPr>
                <w:rFonts w:hint="default"/>
                <w:color w:val="000000"/>
                <w:sz w:val="24"/>
              </w:rPr>
              <w:fldChar w:fldCharType="begin"/>
            </w:r>
            <w:r>
              <w:rPr>
                <w:rFonts w:hint="default"/>
                <w:color w:val="000000"/>
                <w:sz w:val="24"/>
              </w:rPr>
              <w:instrText xml:space="preserve"> HYPERLINK "https://baike.baidu.com/item/%E9%85%92%E7%B2%BE/114404" \t "https://baike.baidu.com/item/%E7%94%B2%E9%86%87/_blank" </w:instrText>
            </w:r>
            <w:r>
              <w:rPr>
                <w:rFonts w:hint="default"/>
                <w:color w:val="000000"/>
                <w:sz w:val="24"/>
              </w:rPr>
              <w:fldChar w:fldCharType="separate"/>
            </w:r>
            <w:r>
              <w:rPr>
                <w:rFonts w:hint="default"/>
                <w:color w:val="000000"/>
                <w:sz w:val="24"/>
              </w:rPr>
              <w:t>酒精</w:t>
            </w:r>
            <w:r>
              <w:rPr>
                <w:rFonts w:hint="default"/>
                <w:color w:val="000000"/>
                <w:sz w:val="24"/>
              </w:rPr>
              <w:fldChar w:fldCharType="end"/>
            </w:r>
            <w:r>
              <w:rPr>
                <w:rFonts w:hint="default"/>
                <w:color w:val="000000"/>
                <w:sz w:val="24"/>
              </w:rPr>
              <w:t>气味易挥发的液体。</w:t>
            </w:r>
          </w:p>
          <w:p>
            <w:pPr>
              <w:spacing w:line="360" w:lineRule="auto"/>
              <w:ind w:firstLine="482" w:firstLineChars="200"/>
              <w:rPr>
                <w:rFonts w:hint="eastAsia"/>
                <w:b/>
                <w:sz w:val="24"/>
              </w:rPr>
            </w:pPr>
            <w:r>
              <w:rPr>
                <w:rFonts w:hint="eastAsia"/>
                <w:b/>
                <w:sz w:val="24"/>
              </w:rPr>
              <w:t>3</w:t>
            </w:r>
            <w:r>
              <w:rPr>
                <w:b/>
                <w:sz w:val="24"/>
              </w:rPr>
              <w:t>.5</w:t>
            </w:r>
            <w:r>
              <w:rPr>
                <w:rFonts w:hint="eastAsia"/>
                <w:b/>
                <w:sz w:val="24"/>
              </w:rPr>
              <w:t>本项目</w:t>
            </w:r>
            <w:r>
              <w:rPr>
                <w:b/>
                <w:sz w:val="24"/>
              </w:rPr>
              <w:t>主要设备：</w:t>
            </w:r>
          </w:p>
          <w:p>
            <w:pPr>
              <w:jc w:val="center"/>
              <w:rPr>
                <w:rFonts w:hAnsi="宋体"/>
                <w:b/>
                <w:szCs w:val="21"/>
              </w:rPr>
            </w:pPr>
            <w:r>
              <w:rPr>
                <w:rFonts w:hAnsi="宋体"/>
                <w:b/>
                <w:szCs w:val="21"/>
              </w:rPr>
              <w:t>表1-</w:t>
            </w:r>
            <w:r>
              <w:rPr>
                <w:rFonts w:hint="eastAsia" w:hAnsi="宋体" w:eastAsia="宋体"/>
                <w:b/>
                <w:szCs w:val="21"/>
                <w:lang w:val="en-US" w:eastAsia="zh-CN"/>
              </w:rPr>
              <w:t>8</w:t>
            </w:r>
            <w:r>
              <w:rPr>
                <w:rFonts w:hAnsi="宋体"/>
                <w:b/>
                <w:szCs w:val="21"/>
              </w:rPr>
              <w:t xml:space="preserve">  本项目主要设备表</w:t>
            </w:r>
          </w:p>
          <w:tbl>
            <w:tblPr>
              <w:tblStyle w:val="69"/>
              <w:tblW w:w="911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
              <w:gridCol w:w="1950"/>
              <w:gridCol w:w="1276"/>
              <w:gridCol w:w="1016"/>
              <w:gridCol w:w="2154"/>
              <w:gridCol w:w="18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8" w:hRule="atLeast"/>
                <w:jc w:val="center"/>
              </w:trPr>
              <w:tc>
                <w:tcPr>
                  <w:tcW w:w="907" w:type="dxa"/>
                  <w:tcBorders>
                    <w:top w:val="single" w:color="auto" w:sz="6" w:space="0"/>
                    <w:left w:val="nil"/>
                  </w:tcBorders>
                  <w:noWrap w:val="0"/>
                  <w:vAlign w:val="center"/>
                </w:tcPr>
                <w:p>
                  <w:pPr>
                    <w:keepNext w:val="0"/>
                    <w:keepLines w:val="0"/>
                    <w:pageBreakBefore w:val="0"/>
                    <w:kinsoku/>
                    <w:overflowPunct/>
                    <w:topLinePunct w:val="0"/>
                    <w:bidi w:val="0"/>
                    <w:adjustRightInd w:val="0"/>
                    <w:snapToGrid w:val="0"/>
                    <w:jc w:val="center"/>
                    <w:textAlignment w:val="auto"/>
                    <w:rPr>
                      <w:b/>
                      <w:szCs w:val="21"/>
                    </w:rPr>
                  </w:pPr>
                  <w:r>
                    <w:rPr>
                      <w:b/>
                      <w:szCs w:val="21"/>
                    </w:rPr>
                    <w:t>序号</w:t>
                  </w:r>
                </w:p>
              </w:tc>
              <w:tc>
                <w:tcPr>
                  <w:tcW w:w="1950" w:type="dxa"/>
                  <w:tcBorders>
                    <w:top w:val="single" w:color="auto" w:sz="6" w:space="0"/>
                  </w:tcBorders>
                  <w:noWrap w:val="0"/>
                  <w:vAlign w:val="center"/>
                </w:tcPr>
                <w:p>
                  <w:pPr>
                    <w:keepNext w:val="0"/>
                    <w:keepLines w:val="0"/>
                    <w:pageBreakBefore w:val="0"/>
                    <w:kinsoku/>
                    <w:overflowPunct/>
                    <w:topLinePunct w:val="0"/>
                    <w:bidi w:val="0"/>
                    <w:adjustRightInd w:val="0"/>
                    <w:snapToGrid w:val="0"/>
                    <w:jc w:val="center"/>
                    <w:textAlignment w:val="auto"/>
                    <w:rPr>
                      <w:b/>
                      <w:szCs w:val="21"/>
                    </w:rPr>
                  </w:pPr>
                  <w:r>
                    <w:rPr>
                      <w:b/>
                      <w:szCs w:val="21"/>
                    </w:rPr>
                    <w:t>设备名称</w:t>
                  </w:r>
                </w:p>
              </w:tc>
              <w:tc>
                <w:tcPr>
                  <w:tcW w:w="1276" w:type="dxa"/>
                  <w:tcBorders>
                    <w:top w:val="single" w:color="auto" w:sz="6" w:space="0"/>
                  </w:tcBorders>
                  <w:noWrap w:val="0"/>
                  <w:vAlign w:val="center"/>
                </w:tcPr>
                <w:p>
                  <w:pPr>
                    <w:keepNext w:val="0"/>
                    <w:keepLines w:val="0"/>
                    <w:pageBreakBefore w:val="0"/>
                    <w:kinsoku/>
                    <w:overflowPunct/>
                    <w:topLinePunct w:val="0"/>
                    <w:bidi w:val="0"/>
                    <w:adjustRightInd w:val="0"/>
                    <w:snapToGrid w:val="0"/>
                    <w:jc w:val="center"/>
                    <w:textAlignment w:val="auto"/>
                    <w:rPr>
                      <w:b/>
                      <w:szCs w:val="21"/>
                    </w:rPr>
                  </w:pPr>
                  <w:r>
                    <w:rPr>
                      <w:b/>
                      <w:szCs w:val="21"/>
                    </w:rPr>
                    <w:t>单位</w:t>
                  </w:r>
                </w:p>
              </w:tc>
              <w:tc>
                <w:tcPr>
                  <w:tcW w:w="1016" w:type="dxa"/>
                  <w:tcBorders>
                    <w:top w:val="single" w:color="auto" w:sz="6" w:space="0"/>
                  </w:tcBorders>
                  <w:noWrap w:val="0"/>
                  <w:vAlign w:val="center"/>
                </w:tcPr>
                <w:p>
                  <w:pPr>
                    <w:keepNext w:val="0"/>
                    <w:keepLines w:val="0"/>
                    <w:pageBreakBefore w:val="0"/>
                    <w:kinsoku/>
                    <w:overflowPunct/>
                    <w:topLinePunct w:val="0"/>
                    <w:bidi w:val="0"/>
                    <w:adjustRightInd w:val="0"/>
                    <w:snapToGrid w:val="0"/>
                    <w:jc w:val="center"/>
                    <w:textAlignment w:val="auto"/>
                    <w:rPr>
                      <w:b/>
                      <w:szCs w:val="21"/>
                    </w:rPr>
                  </w:pPr>
                  <w:r>
                    <w:rPr>
                      <w:b/>
                      <w:szCs w:val="21"/>
                    </w:rPr>
                    <w:t>数量</w:t>
                  </w:r>
                </w:p>
              </w:tc>
              <w:tc>
                <w:tcPr>
                  <w:tcW w:w="2154" w:type="dxa"/>
                  <w:tcBorders>
                    <w:top w:val="single" w:color="auto" w:sz="6" w:space="0"/>
                    <w:right w:val="single" w:color="auto" w:sz="4" w:space="0"/>
                  </w:tcBorders>
                  <w:noWrap w:val="0"/>
                  <w:vAlign w:val="center"/>
                </w:tcPr>
                <w:p>
                  <w:pPr>
                    <w:keepNext w:val="0"/>
                    <w:keepLines w:val="0"/>
                    <w:pageBreakBefore w:val="0"/>
                    <w:kinsoku/>
                    <w:overflowPunct/>
                    <w:topLinePunct w:val="0"/>
                    <w:bidi w:val="0"/>
                    <w:adjustRightInd w:val="0"/>
                    <w:snapToGrid w:val="0"/>
                    <w:jc w:val="center"/>
                    <w:textAlignment w:val="auto"/>
                    <w:rPr>
                      <w:b/>
                      <w:szCs w:val="21"/>
                    </w:rPr>
                  </w:pPr>
                  <w:r>
                    <w:rPr>
                      <w:rFonts w:hint="eastAsia"/>
                      <w:b/>
                      <w:szCs w:val="21"/>
                    </w:rPr>
                    <w:t>型号</w:t>
                  </w:r>
                </w:p>
              </w:tc>
              <w:tc>
                <w:tcPr>
                  <w:tcW w:w="1807" w:type="dxa"/>
                  <w:tcBorders>
                    <w:top w:val="single" w:color="auto" w:sz="6" w:space="0"/>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b/>
                      <w:szCs w:val="21"/>
                    </w:rPr>
                  </w:pPr>
                  <w:r>
                    <w:rPr>
                      <w:b/>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07" w:type="dxa"/>
                  <w:tcBorders>
                    <w:left w:val="nil"/>
                  </w:tcBorders>
                  <w:noWrap w:val="0"/>
                  <w:vAlign w:val="center"/>
                </w:tcPr>
                <w:p>
                  <w:pPr>
                    <w:keepNext w:val="0"/>
                    <w:keepLines w:val="0"/>
                    <w:pageBreakBefore w:val="0"/>
                    <w:kinsoku/>
                    <w:overflowPunct/>
                    <w:topLinePunct w:val="0"/>
                    <w:bidi w:val="0"/>
                    <w:adjustRightInd w:val="0"/>
                    <w:snapToGrid w:val="0"/>
                    <w:jc w:val="center"/>
                    <w:textAlignment w:val="auto"/>
                    <w:rPr>
                      <w:szCs w:val="21"/>
                    </w:rPr>
                  </w:pPr>
                  <w:r>
                    <w:rPr>
                      <w:szCs w:val="21"/>
                    </w:rPr>
                    <w:t>1</w:t>
                  </w:r>
                </w:p>
              </w:tc>
              <w:tc>
                <w:tcPr>
                  <w:tcW w:w="1950"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空气锤</w:t>
                  </w:r>
                </w:p>
              </w:tc>
              <w:tc>
                <w:tcPr>
                  <w:tcW w:w="1276" w:type="dxa"/>
                  <w:noWrap w:val="0"/>
                  <w:vAlign w:val="center"/>
                </w:tcPr>
                <w:p>
                  <w:pPr>
                    <w:pStyle w:val="33"/>
                    <w:keepNext w:val="0"/>
                    <w:keepLines w:val="0"/>
                    <w:pageBreakBefore w:val="0"/>
                    <w:kinsoku/>
                    <w:overflowPunct/>
                    <w:topLinePunct w:val="0"/>
                    <w:bidi w:val="0"/>
                    <w:adjustRightInd w:val="0"/>
                    <w:snapToGrid w:val="0"/>
                    <w:ind w:firstLine="0"/>
                    <w:jc w:val="center"/>
                    <w:textAlignment w:val="auto"/>
                    <w:rPr>
                      <w:sz w:val="21"/>
                      <w:szCs w:val="21"/>
                      <w:lang w:val="en-US" w:eastAsia="zh-CN"/>
                    </w:rPr>
                  </w:pPr>
                  <w:r>
                    <w:rPr>
                      <w:rFonts w:hint="eastAsia"/>
                      <w:sz w:val="21"/>
                      <w:szCs w:val="21"/>
                      <w:lang w:val="en-US" w:eastAsia="zh-CN"/>
                    </w:rPr>
                    <w:t>台</w:t>
                  </w:r>
                </w:p>
              </w:tc>
              <w:tc>
                <w:tcPr>
                  <w:tcW w:w="1016"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3</w:t>
                  </w:r>
                </w:p>
              </w:tc>
              <w:tc>
                <w:tcPr>
                  <w:tcW w:w="2154" w:type="dxa"/>
                  <w:tcBorders>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szCs w:val="21"/>
                    </w:rPr>
                  </w:pPr>
                  <w:r>
                    <w:rPr>
                      <w:rFonts w:hint="default" w:ascii="新宋体" w:hAnsi="新宋体" w:eastAsia="新宋体"/>
                      <w:color w:val="000000"/>
                      <w:position w:val="0"/>
                      <w:sz w:val="21"/>
                      <w:szCs w:val="21"/>
                    </w:rPr>
                    <w:t>天津65型</w:t>
                  </w:r>
                </w:p>
              </w:tc>
              <w:tc>
                <w:tcPr>
                  <w:tcW w:w="1807" w:type="dxa"/>
                  <w:vMerge w:val="restart"/>
                  <w:tcBorders>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07" w:type="dxa"/>
                  <w:tcBorders>
                    <w:left w:val="nil"/>
                  </w:tcBorders>
                  <w:noWrap w:val="0"/>
                  <w:vAlign w:val="center"/>
                </w:tcPr>
                <w:p>
                  <w:pPr>
                    <w:keepNext w:val="0"/>
                    <w:keepLines w:val="0"/>
                    <w:pageBreakBefore w:val="0"/>
                    <w:kinsoku/>
                    <w:overflowPunct/>
                    <w:topLinePunct w:val="0"/>
                    <w:bidi w:val="0"/>
                    <w:adjustRightInd w:val="0"/>
                    <w:snapToGrid w:val="0"/>
                    <w:jc w:val="center"/>
                    <w:textAlignment w:val="auto"/>
                    <w:rPr>
                      <w:szCs w:val="21"/>
                    </w:rPr>
                  </w:pPr>
                  <w:r>
                    <w:rPr>
                      <w:szCs w:val="21"/>
                    </w:rPr>
                    <w:t>2</w:t>
                  </w:r>
                </w:p>
              </w:tc>
              <w:tc>
                <w:tcPr>
                  <w:tcW w:w="1950"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高频炉</w:t>
                  </w:r>
                </w:p>
              </w:tc>
              <w:tc>
                <w:tcPr>
                  <w:tcW w:w="1276" w:type="dxa"/>
                  <w:noWrap w:val="0"/>
                  <w:vAlign w:val="center"/>
                </w:tcPr>
                <w:p>
                  <w:pPr>
                    <w:pStyle w:val="33"/>
                    <w:keepNext w:val="0"/>
                    <w:keepLines w:val="0"/>
                    <w:pageBreakBefore w:val="0"/>
                    <w:kinsoku/>
                    <w:overflowPunct/>
                    <w:topLinePunct w:val="0"/>
                    <w:bidi w:val="0"/>
                    <w:adjustRightInd w:val="0"/>
                    <w:snapToGrid w:val="0"/>
                    <w:ind w:firstLine="0"/>
                    <w:jc w:val="center"/>
                    <w:textAlignment w:val="auto"/>
                    <w:rPr>
                      <w:sz w:val="21"/>
                      <w:szCs w:val="21"/>
                      <w:lang w:val="en-US" w:eastAsia="zh-CN"/>
                    </w:rPr>
                  </w:pPr>
                  <w:r>
                    <w:rPr>
                      <w:sz w:val="21"/>
                      <w:szCs w:val="21"/>
                      <w:lang w:val="en-US" w:eastAsia="zh-CN"/>
                    </w:rPr>
                    <w:t>台</w:t>
                  </w:r>
                </w:p>
              </w:tc>
              <w:tc>
                <w:tcPr>
                  <w:tcW w:w="1016"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3</w:t>
                  </w:r>
                </w:p>
              </w:tc>
              <w:tc>
                <w:tcPr>
                  <w:tcW w:w="2154" w:type="dxa"/>
                  <w:tcBorders>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szCs w:val="21"/>
                    </w:rPr>
                  </w:pPr>
                  <w:r>
                    <w:rPr>
                      <w:rFonts w:hint="default" w:ascii="新宋体" w:hAnsi="新宋体" w:eastAsia="新宋体"/>
                      <w:color w:val="000000"/>
                      <w:position w:val="0"/>
                      <w:sz w:val="21"/>
                      <w:szCs w:val="21"/>
                    </w:rPr>
                    <w:t>广发-50</w:t>
                  </w:r>
                </w:p>
              </w:tc>
              <w:tc>
                <w:tcPr>
                  <w:tcW w:w="1807" w:type="dxa"/>
                  <w:vMerge w:val="continue"/>
                  <w:tcBorders>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07" w:type="dxa"/>
                  <w:tcBorders>
                    <w:left w:val="nil"/>
                  </w:tcBorders>
                  <w:noWrap w:val="0"/>
                  <w:vAlign w:val="center"/>
                </w:tcPr>
                <w:p>
                  <w:pPr>
                    <w:keepNext w:val="0"/>
                    <w:keepLines w:val="0"/>
                    <w:pageBreakBefore w:val="0"/>
                    <w:kinsoku/>
                    <w:overflowPunct/>
                    <w:topLinePunct w:val="0"/>
                    <w:bidi w:val="0"/>
                    <w:adjustRightInd w:val="0"/>
                    <w:snapToGrid w:val="0"/>
                    <w:jc w:val="center"/>
                    <w:textAlignment w:val="auto"/>
                    <w:rPr>
                      <w:szCs w:val="21"/>
                    </w:rPr>
                  </w:pPr>
                  <w:r>
                    <w:rPr>
                      <w:szCs w:val="21"/>
                    </w:rPr>
                    <w:t>3</w:t>
                  </w:r>
                </w:p>
              </w:tc>
              <w:tc>
                <w:tcPr>
                  <w:tcW w:w="1950"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醇基燃料转化机</w:t>
                  </w:r>
                </w:p>
              </w:tc>
              <w:tc>
                <w:tcPr>
                  <w:tcW w:w="1276" w:type="dxa"/>
                  <w:noWrap w:val="0"/>
                  <w:vAlign w:val="center"/>
                </w:tcPr>
                <w:p>
                  <w:pPr>
                    <w:pStyle w:val="33"/>
                    <w:keepNext w:val="0"/>
                    <w:keepLines w:val="0"/>
                    <w:pageBreakBefore w:val="0"/>
                    <w:kinsoku/>
                    <w:overflowPunct/>
                    <w:topLinePunct w:val="0"/>
                    <w:bidi w:val="0"/>
                    <w:adjustRightInd w:val="0"/>
                    <w:snapToGrid w:val="0"/>
                    <w:ind w:firstLine="0"/>
                    <w:jc w:val="center"/>
                    <w:textAlignment w:val="auto"/>
                    <w:rPr>
                      <w:rFonts w:hint="eastAsia"/>
                      <w:sz w:val="21"/>
                      <w:szCs w:val="21"/>
                      <w:lang w:val="en-US" w:eastAsia="zh-CN"/>
                    </w:rPr>
                  </w:pPr>
                  <w:r>
                    <w:rPr>
                      <w:rFonts w:hint="eastAsia"/>
                      <w:sz w:val="21"/>
                      <w:szCs w:val="21"/>
                      <w:lang w:val="en-US" w:eastAsia="zh-CN"/>
                    </w:rPr>
                    <w:t>台</w:t>
                  </w:r>
                </w:p>
              </w:tc>
              <w:tc>
                <w:tcPr>
                  <w:tcW w:w="1016"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2</w:t>
                  </w:r>
                </w:p>
              </w:tc>
              <w:tc>
                <w:tcPr>
                  <w:tcW w:w="2154" w:type="dxa"/>
                  <w:tcBorders>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color w:val="FF0000"/>
                      <w:szCs w:val="21"/>
                    </w:rPr>
                  </w:pPr>
                  <w:r>
                    <w:rPr>
                      <w:rFonts w:hint="default" w:ascii="新宋体" w:hAnsi="新宋体" w:eastAsia="新宋体"/>
                      <w:color w:val="000000"/>
                      <w:position w:val="0"/>
                      <w:sz w:val="21"/>
                      <w:szCs w:val="21"/>
                    </w:rPr>
                    <w:t>凯利CX-5</w:t>
                  </w:r>
                </w:p>
              </w:tc>
              <w:tc>
                <w:tcPr>
                  <w:tcW w:w="1807" w:type="dxa"/>
                  <w:vMerge w:val="continue"/>
                  <w:tcBorders>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07" w:type="dxa"/>
                  <w:tcBorders>
                    <w:left w:val="nil"/>
                  </w:tcBorders>
                  <w:noWrap w:val="0"/>
                  <w:vAlign w:val="center"/>
                </w:tcPr>
                <w:p>
                  <w:pPr>
                    <w:keepNext w:val="0"/>
                    <w:keepLines w:val="0"/>
                    <w:pageBreakBefore w:val="0"/>
                    <w:kinsoku/>
                    <w:overflowPunct/>
                    <w:topLinePunct w:val="0"/>
                    <w:bidi w:val="0"/>
                    <w:adjustRightInd w:val="0"/>
                    <w:snapToGrid w:val="0"/>
                    <w:jc w:val="center"/>
                    <w:textAlignment w:val="auto"/>
                    <w:rPr>
                      <w:szCs w:val="21"/>
                    </w:rPr>
                  </w:pPr>
                  <w:r>
                    <w:rPr>
                      <w:szCs w:val="21"/>
                    </w:rPr>
                    <w:t>4</w:t>
                  </w:r>
                </w:p>
              </w:tc>
              <w:tc>
                <w:tcPr>
                  <w:tcW w:w="1950"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砂轮机</w:t>
                  </w:r>
                </w:p>
              </w:tc>
              <w:tc>
                <w:tcPr>
                  <w:tcW w:w="1276" w:type="dxa"/>
                  <w:noWrap w:val="0"/>
                  <w:vAlign w:val="center"/>
                </w:tcPr>
                <w:p>
                  <w:pPr>
                    <w:pStyle w:val="33"/>
                    <w:keepNext w:val="0"/>
                    <w:keepLines w:val="0"/>
                    <w:pageBreakBefore w:val="0"/>
                    <w:kinsoku/>
                    <w:overflowPunct/>
                    <w:topLinePunct w:val="0"/>
                    <w:bidi w:val="0"/>
                    <w:adjustRightInd w:val="0"/>
                    <w:snapToGrid w:val="0"/>
                    <w:ind w:firstLine="0"/>
                    <w:jc w:val="center"/>
                    <w:textAlignment w:val="auto"/>
                    <w:rPr>
                      <w:rFonts w:hint="eastAsia"/>
                      <w:sz w:val="21"/>
                      <w:szCs w:val="21"/>
                      <w:lang w:val="en-US" w:eastAsia="zh-CN"/>
                    </w:rPr>
                  </w:pPr>
                  <w:r>
                    <w:rPr>
                      <w:rFonts w:hint="eastAsia"/>
                      <w:sz w:val="21"/>
                      <w:szCs w:val="21"/>
                      <w:lang w:val="en-US" w:eastAsia="zh-CN"/>
                    </w:rPr>
                    <w:t>台</w:t>
                  </w:r>
                </w:p>
              </w:tc>
              <w:tc>
                <w:tcPr>
                  <w:tcW w:w="1016"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5</w:t>
                  </w:r>
                </w:p>
              </w:tc>
              <w:tc>
                <w:tcPr>
                  <w:tcW w:w="2154" w:type="dxa"/>
                  <w:tcBorders>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color w:val="FF0000"/>
                      <w:szCs w:val="21"/>
                    </w:rPr>
                  </w:pPr>
                  <w:r>
                    <w:rPr>
                      <w:rFonts w:hint="default" w:ascii="新宋体" w:hAnsi="新宋体" w:eastAsia="新宋体"/>
                      <w:color w:val="000000"/>
                      <w:position w:val="0"/>
                      <w:sz w:val="21"/>
                      <w:szCs w:val="21"/>
                    </w:rPr>
                    <w:t>自制</w:t>
                  </w:r>
                </w:p>
              </w:tc>
              <w:tc>
                <w:tcPr>
                  <w:tcW w:w="1807" w:type="dxa"/>
                  <w:vMerge w:val="restart"/>
                  <w:tcBorders>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eastAsia="宋体"/>
                      <w:szCs w:val="21"/>
                      <w:lang w:val="en-US" w:eastAsia="zh-CN"/>
                    </w:rPr>
                  </w:pPr>
                  <w:r>
                    <w:rPr>
                      <w:rFonts w:hint="eastAsia" w:eastAsia="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2" w:hRule="atLeast"/>
                <w:jc w:val="center"/>
              </w:trPr>
              <w:tc>
                <w:tcPr>
                  <w:tcW w:w="907" w:type="dxa"/>
                  <w:tcBorders>
                    <w:left w:val="nil"/>
                    <w:bottom w:val="single" w:color="auto" w:sz="4" w:space="0"/>
                  </w:tcBorders>
                  <w:noWrap w:val="0"/>
                  <w:vAlign w:val="center"/>
                </w:tcPr>
                <w:p>
                  <w:pPr>
                    <w:keepNext w:val="0"/>
                    <w:keepLines w:val="0"/>
                    <w:pageBreakBefore w:val="0"/>
                    <w:kinsoku/>
                    <w:overflowPunct/>
                    <w:topLinePunct w:val="0"/>
                    <w:bidi w:val="0"/>
                    <w:adjustRightInd w:val="0"/>
                    <w:snapToGrid w:val="0"/>
                    <w:jc w:val="center"/>
                    <w:textAlignment w:val="auto"/>
                    <w:rPr>
                      <w:szCs w:val="21"/>
                    </w:rPr>
                  </w:pPr>
                  <w:r>
                    <w:rPr>
                      <w:rFonts w:hint="eastAsia"/>
                      <w:szCs w:val="21"/>
                    </w:rPr>
                    <w:t>5</w:t>
                  </w:r>
                </w:p>
              </w:tc>
              <w:tc>
                <w:tcPr>
                  <w:tcW w:w="1950" w:type="dxa"/>
                  <w:tcBorders>
                    <w:bottom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砂带机</w:t>
                  </w:r>
                </w:p>
              </w:tc>
              <w:tc>
                <w:tcPr>
                  <w:tcW w:w="1276" w:type="dxa"/>
                  <w:tcBorders>
                    <w:bottom w:val="single" w:color="auto" w:sz="4" w:space="0"/>
                  </w:tcBorders>
                  <w:noWrap w:val="0"/>
                  <w:vAlign w:val="center"/>
                </w:tcPr>
                <w:p>
                  <w:pPr>
                    <w:pStyle w:val="33"/>
                    <w:keepNext w:val="0"/>
                    <w:keepLines w:val="0"/>
                    <w:pageBreakBefore w:val="0"/>
                    <w:kinsoku/>
                    <w:overflowPunct/>
                    <w:topLinePunct w:val="0"/>
                    <w:bidi w:val="0"/>
                    <w:adjustRightInd w:val="0"/>
                    <w:snapToGrid w:val="0"/>
                    <w:ind w:firstLine="0"/>
                    <w:jc w:val="center"/>
                    <w:textAlignment w:val="auto"/>
                    <w:rPr>
                      <w:sz w:val="21"/>
                      <w:szCs w:val="21"/>
                      <w:lang w:val="en-US" w:eastAsia="zh-CN"/>
                    </w:rPr>
                  </w:pPr>
                  <w:r>
                    <w:rPr>
                      <w:rFonts w:hint="eastAsia"/>
                      <w:sz w:val="21"/>
                      <w:szCs w:val="21"/>
                      <w:lang w:val="en-US" w:eastAsia="zh-CN"/>
                    </w:rPr>
                    <w:t>台</w:t>
                  </w:r>
                </w:p>
              </w:tc>
              <w:tc>
                <w:tcPr>
                  <w:tcW w:w="1016" w:type="dxa"/>
                  <w:tcBorders>
                    <w:bottom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4</w:t>
                  </w:r>
                </w:p>
              </w:tc>
              <w:tc>
                <w:tcPr>
                  <w:tcW w:w="2154" w:type="dxa"/>
                  <w:tcBorders>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color w:val="FF0000"/>
                      <w:szCs w:val="21"/>
                    </w:rPr>
                  </w:pPr>
                  <w:r>
                    <w:rPr>
                      <w:rFonts w:hint="default" w:ascii="新宋体" w:hAnsi="新宋体" w:eastAsia="新宋体"/>
                      <w:color w:val="000000"/>
                      <w:position w:val="0"/>
                      <w:sz w:val="21"/>
                      <w:szCs w:val="21"/>
                    </w:rPr>
                    <w:t>阳轻-双1512</w:t>
                  </w:r>
                </w:p>
              </w:tc>
              <w:tc>
                <w:tcPr>
                  <w:tcW w:w="1807" w:type="dxa"/>
                  <w:vMerge w:val="continue"/>
                  <w:tcBorders>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2" w:hRule="atLeast"/>
                <w:jc w:val="center"/>
              </w:trPr>
              <w:tc>
                <w:tcPr>
                  <w:tcW w:w="907" w:type="dxa"/>
                  <w:tcBorders>
                    <w:left w:val="nil"/>
                    <w:bottom w:val="single" w:color="auto" w:sz="4" w:space="0"/>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r>
                    <w:rPr>
                      <w:rFonts w:hint="eastAsia"/>
                      <w:szCs w:val="21"/>
                    </w:rPr>
                    <w:t>6</w:t>
                  </w:r>
                </w:p>
              </w:tc>
              <w:tc>
                <w:tcPr>
                  <w:tcW w:w="1950" w:type="dxa"/>
                  <w:tcBorders>
                    <w:bottom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砂圈机</w:t>
                  </w:r>
                </w:p>
              </w:tc>
              <w:tc>
                <w:tcPr>
                  <w:tcW w:w="1276" w:type="dxa"/>
                  <w:tcBorders>
                    <w:bottom w:val="single" w:color="auto" w:sz="4" w:space="0"/>
                  </w:tcBorders>
                  <w:noWrap w:val="0"/>
                  <w:vAlign w:val="center"/>
                </w:tcPr>
                <w:p>
                  <w:pPr>
                    <w:pStyle w:val="33"/>
                    <w:keepNext w:val="0"/>
                    <w:keepLines w:val="0"/>
                    <w:pageBreakBefore w:val="0"/>
                    <w:kinsoku/>
                    <w:overflowPunct/>
                    <w:topLinePunct w:val="0"/>
                    <w:bidi w:val="0"/>
                    <w:adjustRightInd w:val="0"/>
                    <w:snapToGrid w:val="0"/>
                    <w:ind w:firstLine="0"/>
                    <w:jc w:val="center"/>
                    <w:textAlignment w:val="auto"/>
                    <w:rPr>
                      <w:rFonts w:hint="eastAsia"/>
                      <w:sz w:val="21"/>
                      <w:szCs w:val="21"/>
                      <w:lang w:val="en-US" w:eastAsia="zh-CN"/>
                    </w:rPr>
                  </w:pPr>
                  <w:r>
                    <w:rPr>
                      <w:rFonts w:hint="eastAsia"/>
                      <w:sz w:val="21"/>
                      <w:szCs w:val="21"/>
                      <w:lang w:val="en-US" w:eastAsia="zh-CN"/>
                    </w:rPr>
                    <w:t>台</w:t>
                  </w:r>
                </w:p>
              </w:tc>
              <w:tc>
                <w:tcPr>
                  <w:tcW w:w="1016" w:type="dxa"/>
                  <w:tcBorders>
                    <w:bottom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3</w:t>
                  </w:r>
                </w:p>
              </w:tc>
              <w:tc>
                <w:tcPr>
                  <w:tcW w:w="2154" w:type="dxa"/>
                  <w:tcBorders>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szCs w:val="21"/>
                    </w:rPr>
                  </w:pPr>
                  <w:r>
                    <w:rPr>
                      <w:rFonts w:hint="default" w:ascii="新宋体" w:hAnsi="新宋体" w:eastAsia="新宋体"/>
                      <w:color w:val="000000"/>
                      <w:position w:val="0"/>
                      <w:sz w:val="21"/>
                      <w:szCs w:val="21"/>
                    </w:rPr>
                    <w:t>阳轻-双50</w:t>
                  </w:r>
                </w:p>
              </w:tc>
              <w:tc>
                <w:tcPr>
                  <w:tcW w:w="1807" w:type="dxa"/>
                  <w:vMerge w:val="continue"/>
                  <w:tcBorders>
                    <w:left w:val="single" w:color="auto" w:sz="4" w:space="0"/>
                    <w:bottom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907" w:type="dxa"/>
                  <w:tcBorders>
                    <w:top w:val="single" w:color="auto" w:sz="4" w:space="0"/>
                    <w:left w:val="nil"/>
                    <w:bottom w:val="single" w:color="auto" w:sz="4" w:space="0"/>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r>
                    <w:rPr>
                      <w:rFonts w:hint="eastAsia"/>
                      <w:szCs w:val="21"/>
                    </w:rPr>
                    <w:t>7</w:t>
                  </w:r>
                </w:p>
              </w:tc>
              <w:tc>
                <w:tcPr>
                  <w:tcW w:w="1950" w:type="dxa"/>
                  <w:tcBorders>
                    <w:top w:val="single" w:color="auto" w:sz="4" w:space="0"/>
                    <w:bottom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尼龙轮机</w:t>
                  </w:r>
                </w:p>
              </w:tc>
              <w:tc>
                <w:tcPr>
                  <w:tcW w:w="1276" w:type="dxa"/>
                  <w:tcBorders>
                    <w:top w:val="single" w:color="auto" w:sz="4" w:space="0"/>
                    <w:bottom w:val="single" w:color="auto" w:sz="4" w:space="0"/>
                  </w:tcBorders>
                  <w:noWrap w:val="0"/>
                  <w:vAlign w:val="center"/>
                </w:tcPr>
                <w:p>
                  <w:pPr>
                    <w:pStyle w:val="33"/>
                    <w:keepNext w:val="0"/>
                    <w:keepLines w:val="0"/>
                    <w:pageBreakBefore w:val="0"/>
                    <w:kinsoku/>
                    <w:overflowPunct/>
                    <w:topLinePunct w:val="0"/>
                    <w:bidi w:val="0"/>
                    <w:adjustRightInd w:val="0"/>
                    <w:snapToGrid w:val="0"/>
                    <w:ind w:firstLine="0"/>
                    <w:jc w:val="center"/>
                    <w:textAlignment w:val="auto"/>
                    <w:rPr>
                      <w:rFonts w:hint="eastAsia"/>
                      <w:sz w:val="21"/>
                      <w:szCs w:val="21"/>
                      <w:lang w:val="en-US" w:eastAsia="zh-CN"/>
                    </w:rPr>
                  </w:pPr>
                  <w:r>
                    <w:rPr>
                      <w:rFonts w:hint="eastAsia"/>
                      <w:sz w:val="21"/>
                      <w:szCs w:val="21"/>
                      <w:lang w:val="en-US" w:eastAsia="zh-CN"/>
                    </w:rPr>
                    <w:t>台</w:t>
                  </w:r>
                </w:p>
              </w:tc>
              <w:tc>
                <w:tcPr>
                  <w:tcW w:w="1016" w:type="dxa"/>
                  <w:tcBorders>
                    <w:top w:val="single" w:color="auto" w:sz="4" w:space="0"/>
                    <w:bottom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4</w:t>
                  </w:r>
                </w:p>
              </w:tc>
              <w:tc>
                <w:tcPr>
                  <w:tcW w:w="2154" w:type="dxa"/>
                  <w:tcBorders>
                    <w:top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color w:val="FF0000"/>
                      <w:szCs w:val="21"/>
                    </w:rPr>
                  </w:pPr>
                  <w:r>
                    <w:rPr>
                      <w:rFonts w:hint="default" w:ascii="新宋体" w:hAnsi="新宋体" w:eastAsia="新宋体"/>
                      <w:color w:val="000000"/>
                      <w:position w:val="0"/>
                      <w:sz w:val="21"/>
                      <w:szCs w:val="21"/>
                    </w:rPr>
                    <w:t>自制</w:t>
                  </w:r>
                </w:p>
              </w:tc>
              <w:tc>
                <w:tcPr>
                  <w:tcW w:w="1807" w:type="dxa"/>
                  <w:vMerge w:val="restart"/>
                  <w:tcBorders>
                    <w:top w:val="single" w:color="auto" w:sz="4" w:space="0"/>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eastAsia="宋体"/>
                      <w:szCs w:val="21"/>
                      <w:lang w:val="en-US" w:eastAsia="zh-CN"/>
                    </w:rPr>
                  </w:pPr>
                  <w:r>
                    <w:rPr>
                      <w:rFonts w:hint="eastAsia" w:eastAsia="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907" w:type="dxa"/>
                  <w:tcBorders>
                    <w:top w:val="single" w:color="auto" w:sz="4" w:space="0"/>
                    <w:left w:val="nil"/>
                    <w:bottom w:val="single" w:color="auto" w:sz="4" w:space="0"/>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r>
                    <w:rPr>
                      <w:rFonts w:hint="eastAsia"/>
                      <w:szCs w:val="21"/>
                    </w:rPr>
                    <w:t>8</w:t>
                  </w:r>
                </w:p>
              </w:tc>
              <w:tc>
                <w:tcPr>
                  <w:tcW w:w="1950" w:type="dxa"/>
                  <w:tcBorders>
                    <w:top w:val="single" w:color="auto" w:sz="4" w:space="0"/>
                    <w:bottom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软布轮机</w:t>
                  </w:r>
                </w:p>
              </w:tc>
              <w:tc>
                <w:tcPr>
                  <w:tcW w:w="1276" w:type="dxa"/>
                  <w:tcBorders>
                    <w:top w:val="single" w:color="auto" w:sz="4" w:space="0"/>
                    <w:bottom w:val="single" w:color="auto" w:sz="4" w:space="0"/>
                  </w:tcBorders>
                  <w:noWrap w:val="0"/>
                  <w:vAlign w:val="center"/>
                </w:tcPr>
                <w:p>
                  <w:pPr>
                    <w:pStyle w:val="33"/>
                    <w:keepNext w:val="0"/>
                    <w:keepLines w:val="0"/>
                    <w:pageBreakBefore w:val="0"/>
                    <w:kinsoku/>
                    <w:overflowPunct/>
                    <w:topLinePunct w:val="0"/>
                    <w:bidi w:val="0"/>
                    <w:adjustRightInd w:val="0"/>
                    <w:snapToGrid w:val="0"/>
                    <w:ind w:firstLine="0"/>
                    <w:jc w:val="center"/>
                    <w:textAlignment w:val="auto"/>
                    <w:rPr>
                      <w:rFonts w:hint="eastAsia"/>
                      <w:sz w:val="21"/>
                      <w:szCs w:val="21"/>
                      <w:lang w:val="en-US" w:eastAsia="zh-CN"/>
                    </w:rPr>
                  </w:pPr>
                  <w:r>
                    <w:rPr>
                      <w:rFonts w:hint="eastAsia"/>
                      <w:sz w:val="21"/>
                      <w:szCs w:val="21"/>
                      <w:lang w:val="en-US" w:eastAsia="zh-CN"/>
                    </w:rPr>
                    <w:t>台</w:t>
                  </w:r>
                </w:p>
              </w:tc>
              <w:tc>
                <w:tcPr>
                  <w:tcW w:w="1016" w:type="dxa"/>
                  <w:tcBorders>
                    <w:top w:val="single" w:color="auto" w:sz="4" w:space="0"/>
                    <w:bottom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4</w:t>
                  </w:r>
                </w:p>
              </w:tc>
              <w:tc>
                <w:tcPr>
                  <w:tcW w:w="2154" w:type="dxa"/>
                  <w:tcBorders>
                    <w:top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color w:val="FF0000"/>
                      <w:szCs w:val="21"/>
                    </w:rPr>
                  </w:pPr>
                  <w:r>
                    <w:rPr>
                      <w:rFonts w:hint="default" w:ascii="新宋体" w:hAnsi="新宋体" w:eastAsia="新宋体"/>
                      <w:color w:val="000000"/>
                      <w:position w:val="0"/>
                      <w:sz w:val="21"/>
                      <w:szCs w:val="21"/>
                    </w:rPr>
                    <w:t>自制</w:t>
                  </w:r>
                </w:p>
              </w:tc>
              <w:tc>
                <w:tcPr>
                  <w:tcW w:w="1807" w:type="dxa"/>
                  <w:vMerge w:val="continue"/>
                  <w:tcBorders>
                    <w:left w:val="single" w:color="auto" w:sz="4" w:space="0"/>
                    <w:bottom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07" w:type="dxa"/>
                  <w:tcBorders>
                    <w:top w:val="single" w:color="auto" w:sz="4" w:space="0"/>
                    <w:lef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r>
                    <w:rPr>
                      <w:rFonts w:hint="eastAsia"/>
                      <w:szCs w:val="21"/>
                    </w:rPr>
                    <w:t>9</w:t>
                  </w:r>
                </w:p>
              </w:tc>
              <w:tc>
                <w:tcPr>
                  <w:tcW w:w="1950" w:type="dxa"/>
                  <w:tcBorders>
                    <w:top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金刚砂机</w:t>
                  </w:r>
                </w:p>
              </w:tc>
              <w:tc>
                <w:tcPr>
                  <w:tcW w:w="1276" w:type="dxa"/>
                  <w:tcBorders>
                    <w:top w:val="single" w:color="auto" w:sz="4" w:space="0"/>
                  </w:tcBorders>
                  <w:noWrap w:val="0"/>
                  <w:vAlign w:val="center"/>
                </w:tcPr>
                <w:p>
                  <w:pPr>
                    <w:pStyle w:val="33"/>
                    <w:keepNext w:val="0"/>
                    <w:keepLines w:val="0"/>
                    <w:pageBreakBefore w:val="0"/>
                    <w:kinsoku/>
                    <w:overflowPunct/>
                    <w:topLinePunct w:val="0"/>
                    <w:bidi w:val="0"/>
                    <w:adjustRightInd w:val="0"/>
                    <w:snapToGrid w:val="0"/>
                    <w:ind w:firstLine="0"/>
                    <w:jc w:val="center"/>
                    <w:textAlignment w:val="auto"/>
                    <w:rPr>
                      <w:sz w:val="21"/>
                      <w:szCs w:val="21"/>
                      <w:lang w:val="en-US" w:eastAsia="zh-CN"/>
                    </w:rPr>
                  </w:pPr>
                  <w:r>
                    <w:rPr>
                      <w:sz w:val="21"/>
                      <w:szCs w:val="21"/>
                      <w:lang w:val="en-US" w:eastAsia="zh-CN"/>
                    </w:rPr>
                    <w:t>台</w:t>
                  </w:r>
                </w:p>
              </w:tc>
              <w:tc>
                <w:tcPr>
                  <w:tcW w:w="1016" w:type="dxa"/>
                  <w:tcBorders>
                    <w:top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4</w:t>
                  </w:r>
                </w:p>
              </w:tc>
              <w:tc>
                <w:tcPr>
                  <w:tcW w:w="2154" w:type="dxa"/>
                  <w:tcBorders>
                    <w:top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color w:val="FF0000"/>
                      <w:szCs w:val="21"/>
                    </w:rPr>
                  </w:pPr>
                  <w:r>
                    <w:rPr>
                      <w:rFonts w:hint="default" w:ascii="新宋体" w:hAnsi="新宋体" w:eastAsia="新宋体"/>
                      <w:color w:val="000000"/>
                      <w:position w:val="0"/>
                      <w:sz w:val="21"/>
                      <w:szCs w:val="21"/>
                    </w:rPr>
                    <w:t>自制</w:t>
                  </w:r>
                </w:p>
              </w:tc>
              <w:tc>
                <w:tcPr>
                  <w:tcW w:w="1807" w:type="dxa"/>
                  <w:tcBorders>
                    <w:top w:val="single" w:color="auto" w:sz="4" w:space="0"/>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eastAsia="宋体"/>
                      <w:szCs w:val="21"/>
                      <w:lang w:val="en-US" w:eastAsia="zh-CN"/>
                    </w:rPr>
                  </w:pPr>
                  <w:r>
                    <w:rPr>
                      <w:rFonts w:hint="eastAsia" w:eastAsia="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07" w:type="dxa"/>
                  <w:tcBorders>
                    <w:left w:val="nil"/>
                    <w:bottom w:val="single" w:color="auto" w:sz="4" w:space="0"/>
                  </w:tcBorders>
                  <w:noWrap w:val="0"/>
                  <w:vAlign w:val="center"/>
                </w:tcPr>
                <w:p>
                  <w:pPr>
                    <w:keepNext w:val="0"/>
                    <w:keepLines w:val="0"/>
                    <w:pageBreakBefore w:val="0"/>
                    <w:kinsoku/>
                    <w:overflowPunct/>
                    <w:topLinePunct w:val="0"/>
                    <w:bidi w:val="0"/>
                    <w:adjustRightInd w:val="0"/>
                    <w:snapToGrid w:val="0"/>
                    <w:jc w:val="center"/>
                    <w:textAlignment w:val="auto"/>
                    <w:rPr>
                      <w:szCs w:val="21"/>
                    </w:rPr>
                  </w:pPr>
                  <w:r>
                    <w:rPr>
                      <w:rFonts w:hint="eastAsia"/>
                      <w:szCs w:val="21"/>
                    </w:rPr>
                    <w:t>10</w:t>
                  </w:r>
                </w:p>
              </w:tc>
              <w:tc>
                <w:tcPr>
                  <w:tcW w:w="1950"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磨削机</w:t>
                  </w:r>
                </w:p>
              </w:tc>
              <w:tc>
                <w:tcPr>
                  <w:tcW w:w="1276" w:type="dxa"/>
                  <w:noWrap w:val="0"/>
                  <w:vAlign w:val="center"/>
                </w:tcPr>
                <w:p>
                  <w:pPr>
                    <w:pStyle w:val="33"/>
                    <w:keepNext w:val="0"/>
                    <w:keepLines w:val="0"/>
                    <w:pageBreakBefore w:val="0"/>
                    <w:kinsoku/>
                    <w:overflowPunct/>
                    <w:topLinePunct w:val="0"/>
                    <w:bidi w:val="0"/>
                    <w:adjustRightInd w:val="0"/>
                    <w:snapToGrid w:val="0"/>
                    <w:ind w:firstLine="0"/>
                    <w:jc w:val="center"/>
                    <w:textAlignment w:val="auto"/>
                    <w:rPr>
                      <w:sz w:val="21"/>
                      <w:szCs w:val="21"/>
                      <w:lang w:val="en-US" w:eastAsia="zh-CN"/>
                    </w:rPr>
                  </w:pPr>
                  <w:r>
                    <w:rPr>
                      <w:rFonts w:hint="eastAsia"/>
                      <w:sz w:val="21"/>
                      <w:szCs w:val="21"/>
                      <w:lang w:val="en-US" w:eastAsia="zh-CN"/>
                    </w:rPr>
                    <w:t>台</w:t>
                  </w:r>
                </w:p>
              </w:tc>
              <w:tc>
                <w:tcPr>
                  <w:tcW w:w="1016"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2</w:t>
                  </w:r>
                </w:p>
              </w:tc>
              <w:tc>
                <w:tcPr>
                  <w:tcW w:w="2154" w:type="dxa"/>
                  <w:tcBorders>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szCs w:val="21"/>
                    </w:rPr>
                  </w:pPr>
                  <w:r>
                    <w:rPr>
                      <w:rFonts w:hint="default" w:ascii="新宋体" w:hAnsi="新宋体" w:eastAsia="新宋体"/>
                      <w:color w:val="000000"/>
                      <w:position w:val="0"/>
                      <w:sz w:val="21"/>
                      <w:szCs w:val="21"/>
                    </w:rPr>
                    <w:t>阳轻DM-355T</w:t>
                  </w:r>
                </w:p>
              </w:tc>
              <w:tc>
                <w:tcPr>
                  <w:tcW w:w="1807" w:type="dxa"/>
                  <w:vMerge w:val="restart"/>
                  <w:tcBorders>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eastAsia="宋体"/>
                      <w:szCs w:val="21"/>
                      <w:lang w:val="en-US" w:eastAsia="zh-CN"/>
                    </w:rPr>
                  </w:pPr>
                  <w:r>
                    <w:rPr>
                      <w:rFonts w:hint="eastAsia" w:eastAsia="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07" w:type="dxa"/>
                  <w:tcBorders>
                    <w:top w:val="single" w:color="auto" w:sz="4" w:space="0"/>
                    <w:lef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r>
                    <w:rPr>
                      <w:rFonts w:hint="eastAsia"/>
                      <w:szCs w:val="21"/>
                    </w:rPr>
                    <w:t>11</w:t>
                  </w:r>
                </w:p>
              </w:tc>
              <w:tc>
                <w:tcPr>
                  <w:tcW w:w="1950"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水磨机</w:t>
                  </w:r>
                </w:p>
              </w:tc>
              <w:tc>
                <w:tcPr>
                  <w:tcW w:w="1276" w:type="dxa"/>
                  <w:noWrap w:val="0"/>
                  <w:vAlign w:val="center"/>
                </w:tcPr>
                <w:p>
                  <w:pPr>
                    <w:pStyle w:val="33"/>
                    <w:keepNext w:val="0"/>
                    <w:keepLines w:val="0"/>
                    <w:pageBreakBefore w:val="0"/>
                    <w:kinsoku/>
                    <w:overflowPunct/>
                    <w:topLinePunct w:val="0"/>
                    <w:bidi w:val="0"/>
                    <w:adjustRightInd w:val="0"/>
                    <w:snapToGrid w:val="0"/>
                    <w:ind w:firstLine="0"/>
                    <w:jc w:val="center"/>
                    <w:textAlignment w:val="auto"/>
                    <w:rPr>
                      <w:sz w:val="21"/>
                      <w:szCs w:val="21"/>
                      <w:lang w:val="en-US" w:eastAsia="zh-CN"/>
                    </w:rPr>
                  </w:pPr>
                  <w:r>
                    <w:rPr>
                      <w:rFonts w:hint="eastAsia"/>
                      <w:sz w:val="21"/>
                      <w:szCs w:val="21"/>
                      <w:lang w:val="en-US" w:eastAsia="zh-CN"/>
                    </w:rPr>
                    <w:t>台</w:t>
                  </w:r>
                </w:p>
              </w:tc>
              <w:tc>
                <w:tcPr>
                  <w:tcW w:w="1016"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4</w:t>
                  </w:r>
                </w:p>
              </w:tc>
              <w:tc>
                <w:tcPr>
                  <w:tcW w:w="2154" w:type="dxa"/>
                  <w:tcBorders>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szCs w:val="21"/>
                    </w:rPr>
                  </w:pPr>
                  <w:r>
                    <w:rPr>
                      <w:rFonts w:hint="default" w:ascii="新宋体" w:hAnsi="新宋体" w:eastAsia="新宋体"/>
                      <w:color w:val="000000"/>
                      <w:position w:val="0"/>
                      <w:sz w:val="21"/>
                      <w:szCs w:val="21"/>
                    </w:rPr>
                    <w:t>阳轻DR-530T</w:t>
                  </w:r>
                </w:p>
              </w:tc>
              <w:tc>
                <w:tcPr>
                  <w:tcW w:w="1807" w:type="dxa"/>
                  <w:vMerge w:val="continue"/>
                  <w:tcBorders>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07" w:type="dxa"/>
                  <w:tcBorders>
                    <w:lef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r>
                    <w:rPr>
                      <w:rFonts w:hint="eastAsia"/>
                      <w:szCs w:val="21"/>
                    </w:rPr>
                    <w:t>1</w:t>
                  </w:r>
                  <w:r>
                    <w:rPr>
                      <w:szCs w:val="21"/>
                    </w:rPr>
                    <w:t>2</w:t>
                  </w:r>
                </w:p>
              </w:tc>
              <w:tc>
                <w:tcPr>
                  <w:tcW w:w="1950"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磨刀机</w:t>
                  </w:r>
                </w:p>
              </w:tc>
              <w:tc>
                <w:tcPr>
                  <w:tcW w:w="1276" w:type="dxa"/>
                  <w:noWrap w:val="0"/>
                  <w:vAlign w:val="center"/>
                </w:tcPr>
                <w:p>
                  <w:pPr>
                    <w:pStyle w:val="33"/>
                    <w:keepNext w:val="0"/>
                    <w:keepLines w:val="0"/>
                    <w:pageBreakBefore w:val="0"/>
                    <w:kinsoku/>
                    <w:overflowPunct/>
                    <w:topLinePunct w:val="0"/>
                    <w:bidi w:val="0"/>
                    <w:adjustRightInd w:val="0"/>
                    <w:snapToGrid w:val="0"/>
                    <w:ind w:firstLine="0"/>
                    <w:jc w:val="center"/>
                    <w:textAlignment w:val="auto"/>
                    <w:rPr>
                      <w:sz w:val="21"/>
                      <w:szCs w:val="21"/>
                      <w:lang w:val="en-US" w:eastAsia="zh-CN"/>
                    </w:rPr>
                  </w:pPr>
                  <w:r>
                    <w:rPr>
                      <w:rFonts w:hint="eastAsia"/>
                      <w:sz w:val="21"/>
                      <w:szCs w:val="21"/>
                      <w:lang w:val="en-US" w:eastAsia="zh-CN"/>
                    </w:rPr>
                    <w:t>台</w:t>
                  </w:r>
                </w:p>
              </w:tc>
              <w:tc>
                <w:tcPr>
                  <w:tcW w:w="1016"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2</w:t>
                  </w:r>
                </w:p>
              </w:tc>
              <w:tc>
                <w:tcPr>
                  <w:tcW w:w="2154" w:type="dxa"/>
                  <w:tcBorders>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szCs w:val="21"/>
                    </w:rPr>
                  </w:pPr>
                  <w:r>
                    <w:rPr>
                      <w:rFonts w:hint="default" w:ascii="新宋体" w:hAnsi="新宋体" w:eastAsia="新宋体"/>
                      <w:color w:val="000000"/>
                      <w:position w:val="0"/>
                      <w:sz w:val="21"/>
                      <w:szCs w:val="21"/>
                    </w:rPr>
                    <w:t>自制</w:t>
                  </w:r>
                </w:p>
              </w:tc>
              <w:tc>
                <w:tcPr>
                  <w:tcW w:w="1807" w:type="dxa"/>
                  <w:tcBorders>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eastAsia="宋体"/>
                      <w:szCs w:val="21"/>
                      <w:lang w:val="en-US" w:eastAsia="zh-CN"/>
                    </w:rPr>
                  </w:pPr>
                  <w:r>
                    <w:rPr>
                      <w:rFonts w:hint="eastAsia" w:eastAsia="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07" w:type="dxa"/>
                  <w:tcBorders>
                    <w:lef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r>
                    <w:rPr>
                      <w:rFonts w:hint="eastAsia"/>
                      <w:szCs w:val="21"/>
                    </w:rPr>
                    <w:t>1</w:t>
                  </w:r>
                  <w:r>
                    <w:rPr>
                      <w:szCs w:val="21"/>
                    </w:rPr>
                    <w:t>3</w:t>
                  </w:r>
                </w:p>
              </w:tc>
              <w:tc>
                <w:tcPr>
                  <w:tcW w:w="1950"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平磨机</w:t>
                  </w:r>
                </w:p>
              </w:tc>
              <w:tc>
                <w:tcPr>
                  <w:tcW w:w="1276" w:type="dxa"/>
                  <w:noWrap w:val="0"/>
                  <w:vAlign w:val="top"/>
                </w:tcPr>
                <w:p>
                  <w:pPr>
                    <w:keepNext w:val="0"/>
                    <w:keepLines w:val="0"/>
                    <w:pageBreakBefore w:val="0"/>
                    <w:kinsoku/>
                    <w:overflowPunct/>
                    <w:topLinePunct w:val="0"/>
                    <w:bidi w:val="0"/>
                    <w:adjustRightInd w:val="0"/>
                    <w:snapToGrid w:val="0"/>
                    <w:jc w:val="center"/>
                    <w:textAlignment w:val="auto"/>
                    <w:rPr>
                      <w:szCs w:val="21"/>
                    </w:rPr>
                  </w:pPr>
                  <w:r>
                    <w:rPr>
                      <w:rFonts w:hint="eastAsia"/>
                      <w:szCs w:val="21"/>
                    </w:rPr>
                    <w:t>台</w:t>
                  </w:r>
                </w:p>
              </w:tc>
              <w:tc>
                <w:tcPr>
                  <w:tcW w:w="1016"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3</w:t>
                  </w:r>
                </w:p>
              </w:tc>
              <w:tc>
                <w:tcPr>
                  <w:tcW w:w="2154" w:type="dxa"/>
                  <w:tcBorders>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szCs w:val="21"/>
                    </w:rPr>
                  </w:pPr>
                  <w:r>
                    <w:rPr>
                      <w:rFonts w:hint="default" w:ascii="新宋体" w:hAnsi="新宋体" w:eastAsia="新宋体"/>
                      <w:color w:val="000000"/>
                      <w:position w:val="0"/>
                      <w:sz w:val="21"/>
                      <w:szCs w:val="21"/>
                    </w:rPr>
                    <w:t>阳轻BS230B</w:t>
                  </w:r>
                </w:p>
              </w:tc>
              <w:tc>
                <w:tcPr>
                  <w:tcW w:w="1807" w:type="dxa"/>
                  <w:tcBorders>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eastAsia="宋体"/>
                      <w:szCs w:val="21"/>
                      <w:lang w:val="en-US" w:eastAsia="zh-CN"/>
                    </w:rPr>
                  </w:pPr>
                  <w:r>
                    <w:rPr>
                      <w:rFonts w:hint="eastAsia" w:eastAsia="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07" w:type="dxa"/>
                  <w:tcBorders>
                    <w:lef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r>
                    <w:rPr>
                      <w:rFonts w:hint="eastAsia"/>
                      <w:szCs w:val="21"/>
                    </w:rPr>
                    <w:t>1</w:t>
                  </w:r>
                  <w:r>
                    <w:rPr>
                      <w:szCs w:val="21"/>
                    </w:rPr>
                    <w:t>4</w:t>
                  </w:r>
                </w:p>
              </w:tc>
              <w:tc>
                <w:tcPr>
                  <w:tcW w:w="1950"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等离子切割机</w:t>
                  </w:r>
                </w:p>
              </w:tc>
              <w:tc>
                <w:tcPr>
                  <w:tcW w:w="1276" w:type="dxa"/>
                  <w:noWrap w:val="0"/>
                  <w:vAlign w:val="top"/>
                </w:tcPr>
                <w:p>
                  <w:pPr>
                    <w:keepNext w:val="0"/>
                    <w:keepLines w:val="0"/>
                    <w:pageBreakBefore w:val="0"/>
                    <w:kinsoku/>
                    <w:overflowPunct/>
                    <w:topLinePunct w:val="0"/>
                    <w:bidi w:val="0"/>
                    <w:adjustRightInd w:val="0"/>
                    <w:snapToGrid w:val="0"/>
                    <w:jc w:val="center"/>
                    <w:textAlignment w:val="auto"/>
                    <w:rPr>
                      <w:szCs w:val="21"/>
                    </w:rPr>
                  </w:pPr>
                  <w:r>
                    <w:rPr>
                      <w:rFonts w:hint="eastAsia"/>
                      <w:szCs w:val="21"/>
                    </w:rPr>
                    <w:t>台</w:t>
                  </w:r>
                </w:p>
              </w:tc>
              <w:tc>
                <w:tcPr>
                  <w:tcW w:w="1016"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1</w:t>
                  </w:r>
                </w:p>
              </w:tc>
              <w:tc>
                <w:tcPr>
                  <w:tcW w:w="2154" w:type="dxa"/>
                  <w:tcBorders>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szCs w:val="21"/>
                    </w:rPr>
                  </w:pPr>
                  <w:r>
                    <w:rPr>
                      <w:rFonts w:hint="default" w:ascii="新宋体" w:hAnsi="新宋体" w:eastAsia="新宋体"/>
                      <w:color w:val="000000"/>
                      <w:position w:val="0"/>
                      <w:sz w:val="21"/>
                      <w:szCs w:val="21"/>
                    </w:rPr>
                    <w:t>正特LG-100</w:t>
                  </w:r>
                </w:p>
              </w:tc>
              <w:tc>
                <w:tcPr>
                  <w:tcW w:w="1807" w:type="dxa"/>
                  <w:tcBorders>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eastAsia="宋体"/>
                      <w:szCs w:val="21"/>
                      <w:lang w:val="en-US" w:eastAsia="zh-CN"/>
                    </w:rPr>
                  </w:pPr>
                  <w:r>
                    <w:rPr>
                      <w:rFonts w:hint="eastAsia" w:eastAsia="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07" w:type="dxa"/>
                  <w:tcBorders>
                    <w:lef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r>
                    <w:rPr>
                      <w:rFonts w:hint="eastAsia"/>
                      <w:szCs w:val="21"/>
                    </w:rPr>
                    <w:t>1</w:t>
                  </w:r>
                  <w:r>
                    <w:rPr>
                      <w:szCs w:val="21"/>
                    </w:rPr>
                    <w:t>5</w:t>
                  </w:r>
                </w:p>
              </w:tc>
              <w:tc>
                <w:tcPr>
                  <w:tcW w:w="1950"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切割机</w:t>
                  </w:r>
                </w:p>
              </w:tc>
              <w:tc>
                <w:tcPr>
                  <w:tcW w:w="1276" w:type="dxa"/>
                  <w:noWrap w:val="0"/>
                  <w:vAlign w:val="top"/>
                </w:tcPr>
                <w:p>
                  <w:pPr>
                    <w:keepNext w:val="0"/>
                    <w:keepLines w:val="0"/>
                    <w:pageBreakBefore w:val="0"/>
                    <w:kinsoku/>
                    <w:overflowPunct/>
                    <w:topLinePunct w:val="0"/>
                    <w:bidi w:val="0"/>
                    <w:adjustRightInd w:val="0"/>
                    <w:snapToGrid w:val="0"/>
                    <w:jc w:val="center"/>
                    <w:textAlignment w:val="auto"/>
                    <w:rPr>
                      <w:szCs w:val="21"/>
                    </w:rPr>
                  </w:pPr>
                  <w:r>
                    <w:rPr>
                      <w:rFonts w:hint="eastAsia"/>
                      <w:szCs w:val="21"/>
                    </w:rPr>
                    <w:t>台</w:t>
                  </w:r>
                </w:p>
              </w:tc>
              <w:tc>
                <w:tcPr>
                  <w:tcW w:w="1016"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1</w:t>
                  </w:r>
                </w:p>
              </w:tc>
              <w:tc>
                <w:tcPr>
                  <w:tcW w:w="2154" w:type="dxa"/>
                  <w:tcBorders>
                    <w:right w:val="single" w:color="auto" w:sz="4" w:space="0"/>
                  </w:tcBorders>
                  <w:noWrap w:val="0"/>
                  <w:vAlign w:val="center"/>
                </w:tcPr>
                <w:p>
                  <w:pPr>
                    <w:keepNext w:val="0"/>
                    <w:keepLines w:val="0"/>
                    <w:pageBreakBefore w:val="0"/>
                    <w:numPr>
                      <w:ilvl w:val="0"/>
                      <w:numId w:val="0"/>
                    </w:numPr>
                    <w:kinsoku/>
                    <w:wordWrap w:val="0"/>
                    <w:overflowPunct/>
                    <w:topLinePunct w:val="0"/>
                    <w:bidi w:val="0"/>
                    <w:adjustRightInd w:val="0"/>
                    <w:snapToGrid w:val="0"/>
                    <w:spacing w:before="0" w:line="240" w:lineRule="auto"/>
                    <w:ind w:left="0" w:leftChars="0" w:firstLine="0" w:firstLineChars="0"/>
                    <w:jc w:val="both"/>
                    <w:textAlignment w:val="auto"/>
                    <w:rPr>
                      <w:rFonts w:hint="eastAsia"/>
                      <w:szCs w:val="21"/>
                    </w:rPr>
                  </w:pPr>
                  <w:r>
                    <w:rPr>
                      <w:rFonts w:hint="default" w:ascii="新宋体" w:hAnsi="新宋体" w:eastAsia="新宋体"/>
                      <w:b w:val="0"/>
                      <w:i w:val="0"/>
                      <w:color w:val="000000"/>
                      <w:spacing w:val="0"/>
                      <w:position w:val="0"/>
                      <w:sz w:val="21"/>
                      <w:szCs w:val="21"/>
                      <w:highlight w:val="white"/>
                    </w:rPr>
                    <w:t xml:space="preserve"> 飞创FC-355A</w:t>
                  </w:r>
                </w:p>
              </w:tc>
              <w:tc>
                <w:tcPr>
                  <w:tcW w:w="1807" w:type="dxa"/>
                  <w:tcBorders>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eastAsia="宋体"/>
                      <w:szCs w:val="21"/>
                      <w:lang w:val="en-US" w:eastAsia="zh-CN"/>
                    </w:rPr>
                  </w:pPr>
                  <w:r>
                    <w:rPr>
                      <w:rFonts w:hint="eastAsia" w:eastAsia="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07" w:type="dxa"/>
                  <w:tcBorders>
                    <w:lef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r>
                    <w:rPr>
                      <w:rFonts w:hint="eastAsia"/>
                      <w:szCs w:val="21"/>
                    </w:rPr>
                    <w:t>1</w:t>
                  </w:r>
                  <w:r>
                    <w:rPr>
                      <w:szCs w:val="21"/>
                    </w:rPr>
                    <w:t>6</w:t>
                  </w:r>
                </w:p>
              </w:tc>
              <w:tc>
                <w:tcPr>
                  <w:tcW w:w="1950"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台钻机</w:t>
                  </w:r>
                </w:p>
              </w:tc>
              <w:tc>
                <w:tcPr>
                  <w:tcW w:w="1276" w:type="dxa"/>
                  <w:noWrap w:val="0"/>
                  <w:vAlign w:val="top"/>
                </w:tcPr>
                <w:p>
                  <w:pPr>
                    <w:keepNext w:val="0"/>
                    <w:keepLines w:val="0"/>
                    <w:pageBreakBefore w:val="0"/>
                    <w:kinsoku/>
                    <w:overflowPunct/>
                    <w:topLinePunct w:val="0"/>
                    <w:bidi w:val="0"/>
                    <w:adjustRightInd w:val="0"/>
                    <w:snapToGrid w:val="0"/>
                    <w:jc w:val="center"/>
                    <w:textAlignment w:val="auto"/>
                    <w:rPr>
                      <w:szCs w:val="21"/>
                    </w:rPr>
                  </w:pPr>
                  <w:r>
                    <w:rPr>
                      <w:rFonts w:hint="eastAsia"/>
                      <w:szCs w:val="21"/>
                    </w:rPr>
                    <w:t>台</w:t>
                  </w:r>
                </w:p>
              </w:tc>
              <w:tc>
                <w:tcPr>
                  <w:tcW w:w="1016"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5</w:t>
                  </w:r>
                </w:p>
              </w:tc>
              <w:tc>
                <w:tcPr>
                  <w:tcW w:w="2154" w:type="dxa"/>
                  <w:tcBorders>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szCs w:val="21"/>
                    </w:rPr>
                  </w:pPr>
                  <w:r>
                    <w:rPr>
                      <w:rFonts w:hint="default" w:ascii="新宋体" w:hAnsi="新宋体" w:eastAsia="新宋体"/>
                      <w:color w:val="000000"/>
                      <w:position w:val="0"/>
                      <w:sz w:val="21"/>
                      <w:szCs w:val="21"/>
                    </w:rPr>
                    <w:t>增产Z516-1A</w:t>
                  </w:r>
                </w:p>
              </w:tc>
              <w:tc>
                <w:tcPr>
                  <w:tcW w:w="1807" w:type="dxa"/>
                  <w:tcBorders>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eastAsia="宋体"/>
                      <w:szCs w:val="21"/>
                      <w:lang w:val="en-US" w:eastAsia="zh-CN"/>
                    </w:rPr>
                  </w:pPr>
                  <w:r>
                    <w:rPr>
                      <w:rFonts w:hint="eastAsia" w:eastAsia="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07" w:type="dxa"/>
                  <w:tcBorders>
                    <w:lef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r>
                    <w:rPr>
                      <w:rFonts w:hint="eastAsia"/>
                      <w:szCs w:val="21"/>
                    </w:rPr>
                    <w:t>1</w:t>
                  </w:r>
                  <w:r>
                    <w:rPr>
                      <w:szCs w:val="21"/>
                    </w:rPr>
                    <w:t>8</w:t>
                  </w:r>
                </w:p>
              </w:tc>
              <w:tc>
                <w:tcPr>
                  <w:tcW w:w="1950"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手持百叶轮机</w:t>
                  </w:r>
                </w:p>
              </w:tc>
              <w:tc>
                <w:tcPr>
                  <w:tcW w:w="1276" w:type="dxa"/>
                  <w:noWrap w:val="0"/>
                  <w:vAlign w:val="top"/>
                </w:tcPr>
                <w:p>
                  <w:pPr>
                    <w:keepNext w:val="0"/>
                    <w:keepLines w:val="0"/>
                    <w:pageBreakBefore w:val="0"/>
                    <w:kinsoku/>
                    <w:overflowPunct/>
                    <w:topLinePunct w:val="0"/>
                    <w:bidi w:val="0"/>
                    <w:adjustRightInd w:val="0"/>
                    <w:snapToGrid w:val="0"/>
                    <w:jc w:val="center"/>
                    <w:textAlignment w:val="auto"/>
                    <w:rPr>
                      <w:szCs w:val="21"/>
                    </w:rPr>
                  </w:pPr>
                  <w:r>
                    <w:rPr>
                      <w:rFonts w:hint="eastAsia"/>
                      <w:szCs w:val="21"/>
                    </w:rPr>
                    <w:t>台</w:t>
                  </w:r>
                </w:p>
              </w:tc>
              <w:tc>
                <w:tcPr>
                  <w:tcW w:w="1016"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2</w:t>
                  </w:r>
                </w:p>
              </w:tc>
              <w:tc>
                <w:tcPr>
                  <w:tcW w:w="2154" w:type="dxa"/>
                  <w:tcBorders>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szCs w:val="21"/>
                    </w:rPr>
                  </w:pPr>
                  <w:r>
                    <w:rPr>
                      <w:rFonts w:hint="default" w:ascii="新宋体" w:hAnsi="新宋体" w:eastAsia="新宋体"/>
                      <w:color w:val="000000"/>
                      <w:position w:val="0"/>
                      <w:sz w:val="21"/>
                      <w:szCs w:val="21"/>
                    </w:rPr>
                    <w:t>东成SIM-FF03-100A</w:t>
                  </w:r>
                </w:p>
              </w:tc>
              <w:tc>
                <w:tcPr>
                  <w:tcW w:w="1807" w:type="dxa"/>
                  <w:tcBorders>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eastAsia="宋体"/>
                      <w:szCs w:val="21"/>
                      <w:lang w:val="en-US" w:eastAsia="zh-CN"/>
                    </w:rPr>
                  </w:pPr>
                  <w:r>
                    <w:rPr>
                      <w:rFonts w:hint="eastAsia" w:eastAsia="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07" w:type="dxa"/>
                  <w:tcBorders>
                    <w:lef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r>
                    <w:rPr>
                      <w:rFonts w:hint="eastAsia"/>
                      <w:szCs w:val="21"/>
                    </w:rPr>
                    <w:t>1</w:t>
                  </w:r>
                  <w:r>
                    <w:rPr>
                      <w:szCs w:val="21"/>
                    </w:rPr>
                    <w:t>9</w:t>
                  </w:r>
                </w:p>
              </w:tc>
              <w:tc>
                <w:tcPr>
                  <w:tcW w:w="1950"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手持平磨机</w:t>
                  </w:r>
                </w:p>
              </w:tc>
              <w:tc>
                <w:tcPr>
                  <w:tcW w:w="1276" w:type="dxa"/>
                  <w:noWrap w:val="0"/>
                  <w:vAlign w:val="top"/>
                </w:tcPr>
                <w:p>
                  <w:pPr>
                    <w:keepNext w:val="0"/>
                    <w:keepLines w:val="0"/>
                    <w:pageBreakBefore w:val="0"/>
                    <w:kinsoku/>
                    <w:overflowPunct/>
                    <w:topLinePunct w:val="0"/>
                    <w:bidi w:val="0"/>
                    <w:adjustRightInd w:val="0"/>
                    <w:snapToGrid w:val="0"/>
                    <w:jc w:val="center"/>
                    <w:textAlignment w:val="auto"/>
                    <w:rPr>
                      <w:szCs w:val="21"/>
                    </w:rPr>
                  </w:pPr>
                  <w:r>
                    <w:rPr>
                      <w:rFonts w:hint="eastAsia"/>
                      <w:szCs w:val="21"/>
                    </w:rPr>
                    <w:t>台</w:t>
                  </w:r>
                </w:p>
              </w:tc>
              <w:tc>
                <w:tcPr>
                  <w:tcW w:w="1016"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2</w:t>
                  </w:r>
                </w:p>
              </w:tc>
              <w:tc>
                <w:tcPr>
                  <w:tcW w:w="2154" w:type="dxa"/>
                  <w:tcBorders>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szCs w:val="21"/>
                    </w:rPr>
                  </w:pPr>
                  <w:r>
                    <w:rPr>
                      <w:rFonts w:hint="default" w:ascii="新宋体" w:hAnsi="新宋体" w:eastAsia="新宋体"/>
                      <w:color w:val="000000"/>
                      <w:position w:val="0"/>
                      <w:sz w:val="21"/>
                      <w:szCs w:val="21"/>
                    </w:rPr>
                    <w:t>东成</w:t>
                  </w:r>
                  <w:r>
                    <w:rPr>
                      <w:rFonts w:hint="default" w:ascii="新宋体" w:hAnsi="新宋体" w:eastAsia="新宋体"/>
                      <w:b w:val="0"/>
                      <w:i w:val="0"/>
                      <w:color w:val="000000"/>
                      <w:spacing w:val="0"/>
                      <w:position w:val="0"/>
                      <w:sz w:val="21"/>
                      <w:szCs w:val="21"/>
                      <w:highlight w:val="white"/>
                    </w:rPr>
                    <w:t xml:space="preserve"> S1B-FF-114*234</w:t>
                  </w:r>
                </w:p>
              </w:tc>
              <w:tc>
                <w:tcPr>
                  <w:tcW w:w="1807" w:type="dxa"/>
                  <w:tcBorders>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07" w:type="dxa"/>
                  <w:tcBorders>
                    <w:lef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r>
                    <w:rPr>
                      <w:rFonts w:hint="eastAsia"/>
                      <w:szCs w:val="21"/>
                    </w:rPr>
                    <w:t>2</w:t>
                  </w:r>
                  <w:r>
                    <w:rPr>
                      <w:szCs w:val="21"/>
                    </w:rPr>
                    <w:t>0</w:t>
                  </w:r>
                </w:p>
              </w:tc>
              <w:tc>
                <w:tcPr>
                  <w:tcW w:w="1950"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小型冲床</w:t>
                  </w:r>
                </w:p>
              </w:tc>
              <w:tc>
                <w:tcPr>
                  <w:tcW w:w="1276" w:type="dxa"/>
                  <w:noWrap w:val="0"/>
                  <w:vAlign w:val="top"/>
                </w:tcPr>
                <w:p>
                  <w:pPr>
                    <w:keepNext w:val="0"/>
                    <w:keepLines w:val="0"/>
                    <w:pageBreakBefore w:val="0"/>
                    <w:kinsoku/>
                    <w:overflowPunct/>
                    <w:topLinePunct w:val="0"/>
                    <w:bidi w:val="0"/>
                    <w:adjustRightInd w:val="0"/>
                    <w:snapToGrid w:val="0"/>
                    <w:jc w:val="center"/>
                    <w:textAlignment w:val="auto"/>
                    <w:rPr>
                      <w:szCs w:val="21"/>
                    </w:rPr>
                  </w:pPr>
                  <w:r>
                    <w:rPr>
                      <w:rFonts w:hint="eastAsia"/>
                      <w:szCs w:val="21"/>
                    </w:rPr>
                    <w:t>台</w:t>
                  </w:r>
                </w:p>
              </w:tc>
              <w:tc>
                <w:tcPr>
                  <w:tcW w:w="1016" w:type="dxa"/>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ascii="新宋体" w:hAnsi="宋体" w:eastAsia="新宋体"/>
                      <w:szCs w:val="21"/>
                    </w:rPr>
                    <w:t>1</w:t>
                  </w:r>
                </w:p>
              </w:tc>
              <w:tc>
                <w:tcPr>
                  <w:tcW w:w="2154" w:type="dxa"/>
                  <w:tcBorders>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szCs w:val="21"/>
                    </w:rPr>
                  </w:pPr>
                  <w:r>
                    <w:rPr>
                      <w:rFonts w:hint="default" w:ascii="新宋体" w:hAnsi="新宋体" w:eastAsia="新宋体"/>
                      <w:color w:val="000000"/>
                      <w:position w:val="0"/>
                      <w:sz w:val="21"/>
                      <w:szCs w:val="21"/>
                    </w:rPr>
                    <w:t>双庆JB05</w:t>
                  </w:r>
                </w:p>
              </w:tc>
              <w:tc>
                <w:tcPr>
                  <w:tcW w:w="1807" w:type="dxa"/>
                  <w:tcBorders>
                    <w:left w:val="single" w:color="auto" w:sz="4"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07" w:type="dxa"/>
                  <w:tcBorders>
                    <w:left w:val="nil"/>
                    <w:bottom w:val="single" w:color="auto" w:sz="6" w:space="0"/>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r>
                    <w:rPr>
                      <w:rFonts w:hint="eastAsia"/>
                      <w:szCs w:val="21"/>
                    </w:rPr>
                    <w:t>2</w:t>
                  </w:r>
                  <w:r>
                    <w:rPr>
                      <w:szCs w:val="21"/>
                    </w:rPr>
                    <w:t>1</w:t>
                  </w:r>
                </w:p>
              </w:tc>
              <w:tc>
                <w:tcPr>
                  <w:tcW w:w="1950" w:type="dxa"/>
                  <w:tcBorders>
                    <w:bottom w:val="single" w:color="auto" w:sz="6" w:space="0"/>
                  </w:tcBorders>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hint="eastAsia" w:ascii="新宋体" w:hAnsi="宋体" w:eastAsia="新宋体"/>
                      <w:szCs w:val="21"/>
                    </w:rPr>
                    <w:t>摄影机</w:t>
                  </w:r>
                </w:p>
              </w:tc>
              <w:tc>
                <w:tcPr>
                  <w:tcW w:w="1276" w:type="dxa"/>
                  <w:tcBorders>
                    <w:bottom w:val="single" w:color="auto" w:sz="6" w:space="0"/>
                  </w:tcBorders>
                  <w:noWrap w:val="0"/>
                  <w:vAlign w:val="top"/>
                </w:tcPr>
                <w:p>
                  <w:pPr>
                    <w:keepNext w:val="0"/>
                    <w:keepLines w:val="0"/>
                    <w:pageBreakBefore w:val="0"/>
                    <w:kinsoku/>
                    <w:overflowPunct/>
                    <w:topLinePunct w:val="0"/>
                    <w:bidi w:val="0"/>
                    <w:adjustRightInd w:val="0"/>
                    <w:snapToGrid w:val="0"/>
                    <w:jc w:val="center"/>
                    <w:textAlignment w:val="auto"/>
                    <w:rPr>
                      <w:rFonts w:hint="eastAsia"/>
                      <w:szCs w:val="21"/>
                    </w:rPr>
                  </w:pPr>
                  <w:r>
                    <w:rPr>
                      <w:rFonts w:hint="eastAsia"/>
                      <w:szCs w:val="21"/>
                    </w:rPr>
                    <w:t>台</w:t>
                  </w:r>
                </w:p>
              </w:tc>
              <w:tc>
                <w:tcPr>
                  <w:tcW w:w="1016" w:type="dxa"/>
                  <w:tcBorders>
                    <w:bottom w:val="single" w:color="auto" w:sz="6" w:space="0"/>
                  </w:tcBorders>
                  <w:noWrap w:val="0"/>
                  <w:vAlign w:val="center"/>
                </w:tcPr>
                <w:p>
                  <w:pPr>
                    <w:keepNext w:val="0"/>
                    <w:keepLines w:val="0"/>
                    <w:pageBreakBefore w:val="0"/>
                    <w:kinsoku/>
                    <w:overflowPunct/>
                    <w:topLinePunct w:val="0"/>
                    <w:autoSpaceDE w:val="0"/>
                    <w:autoSpaceDN w:val="0"/>
                    <w:bidi w:val="0"/>
                    <w:adjustRightInd w:val="0"/>
                    <w:snapToGrid w:val="0"/>
                    <w:jc w:val="center"/>
                    <w:textAlignment w:val="auto"/>
                    <w:rPr>
                      <w:rFonts w:ascii="新宋体" w:hAnsi="宋体" w:eastAsia="新宋体"/>
                      <w:szCs w:val="21"/>
                    </w:rPr>
                  </w:pPr>
                  <w:r>
                    <w:rPr>
                      <w:rFonts w:hint="eastAsia" w:ascii="新宋体" w:hAnsi="宋体" w:eastAsia="新宋体"/>
                      <w:szCs w:val="21"/>
                    </w:rPr>
                    <w:t>3</w:t>
                  </w:r>
                </w:p>
              </w:tc>
              <w:tc>
                <w:tcPr>
                  <w:tcW w:w="2154" w:type="dxa"/>
                  <w:tcBorders>
                    <w:bottom w:val="single" w:color="auto" w:sz="6"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eastAsia"/>
                      <w:szCs w:val="21"/>
                    </w:rPr>
                  </w:pPr>
                  <w:r>
                    <w:rPr>
                      <w:rFonts w:hint="default" w:ascii="新宋体" w:hAnsi="新宋体" w:eastAsia="新宋体"/>
                      <w:color w:val="000000"/>
                      <w:position w:val="0"/>
                      <w:sz w:val="21"/>
                      <w:szCs w:val="21"/>
                    </w:rPr>
                    <w:t>佳能</w:t>
                  </w:r>
                  <w:r>
                    <w:rPr>
                      <w:rFonts w:hint="default" w:ascii="新宋体" w:hAnsi="新宋体" w:eastAsia="新宋体"/>
                      <w:b w:val="0"/>
                      <w:i w:val="0"/>
                      <w:color w:val="000000"/>
                      <w:spacing w:val="0"/>
                      <w:position w:val="0"/>
                      <w:sz w:val="21"/>
                      <w:szCs w:val="21"/>
                    </w:rPr>
                    <w:t>5D Mark IV</w:t>
                  </w:r>
                </w:p>
              </w:tc>
              <w:tc>
                <w:tcPr>
                  <w:tcW w:w="1807" w:type="dxa"/>
                  <w:tcBorders>
                    <w:left w:val="single" w:color="auto" w:sz="4" w:space="0"/>
                    <w:bottom w:val="single" w:color="auto" w:sz="6" w:space="0"/>
                    <w:right w:val="nil"/>
                  </w:tcBorders>
                  <w:noWrap w:val="0"/>
                  <w:vAlign w:val="center"/>
                </w:tcPr>
                <w:p>
                  <w:pPr>
                    <w:keepNext w:val="0"/>
                    <w:keepLines w:val="0"/>
                    <w:pageBreakBefore w:val="0"/>
                    <w:kinsoku/>
                    <w:overflowPunct/>
                    <w:topLinePunct w:val="0"/>
                    <w:bidi w:val="0"/>
                    <w:adjustRightInd w:val="0"/>
                    <w:snapToGrid w:val="0"/>
                    <w:jc w:val="center"/>
                    <w:textAlignment w:val="auto"/>
                    <w:rPr>
                      <w:rFonts w:hint="eastAsia"/>
                      <w:szCs w:val="21"/>
                    </w:rPr>
                  </w:pPr>
                </w:p>
              </w:tc>
            </w:tr>
          </w:tbl>
          <w:p>
            <w:pPr>
              <w:spacing w:line="360" w:lineRule="auto"/>
              <w:ind w:firstLine="482" w:firstLineChars="200"/>
              <w:rPr>
                <w:b/>
                <w:color w:val="000000"/>
                <w:sz w:val="24"/>
              </w:rPr>
            </w:pPr>
            <w:r>
              <w:rPr>
                <w:rFonts w:hint="eastAsia"/>
                <w:b/>
                <w:color w:val="000000"/>
                <w:sz w:val="24"/>
              </w:rPr>
              <w:t>五</w:t>
            </w:r>
            <w:r>
              <w:rPr>
                <w:b/>
                <w:color w:val="000000"/>
                <w:sz w:val="24"/>
              </w:rPr>
              <w:t>、员工定员、工作制度及食宿情况：</w:t>
            </w:r>
          </w:p>
          <w:p>
            <w:pPr>
              <w:spacing w:line="360" w:lineRule="auto"/>
              <w:ind w:firstLine="480" w:firstLineChars="200"/>
              <w:rPr>
                <w:color w:val="000000"/>
                <w:sz w:val="24"/>
              </w:rPr>
            </w:pPr>
            <w:r>
              <w:rPr>
                <w:rFonts w:hint="eastAsia"/>
                <w:color w:val="000000"/>
                <w:sz w:val="24"/>
              </w:rPr>
              <w:t>本项目职工定员为</w:t>
            </w:r>
            <w:r>
              <w:rPr>
                <w:color w:val="000000"/>
                <w:sz w:val="24"/>
              </w:rPr>
              <w:t>20</w:t>
            </w:r>
            <w:r>
              <w:rPr>
                <w:rFonts w:hint="eastAsia"/>
                <w:color w:val="000000"/>
                <w:sz w:val="24"/>
              </w:rPr>
              <w:t>人，午餐和晚餐在项目内完成，约5人在项目内住宿。项目全年运作3</w:t>
            </w:r>
            <w:r>
              <w:rPr>
                <w:color w:val="000000"/>
                <w:sz w:val="24"/>
              </w:rPr>
              <w:t>30天，每班</w:t>
            </w:r>
            <w:r>
              <w:rPr>
                <w:rFonts w:hint="eastAsia"/>
                <w:color w:val="000000"/>
                <w:sz w:val="24"/>
              </w:rPr>
              <w:t>工作时间为</w:t>
            </w:r>
            <w:r>
              <w:rPr>
                <w:color w:val="000000"/>
                <w:sz w:val="24"/>
              </w:rPr>
              <w:t>8小时</w:t>
            </w:r>
            <w:r>
              <w:rPr>
                <w:rFonts w:hint="eastAsia"/>
                <w:color w:val="000000"/>
                <w:sz w:val="24"/>
              </w:rPr>
              <w:t>，</w:t>
            </w:r>
            <w:r>
              <w:rPr>
                <w:rFonts w:hint="eastAsia"/>
                <w:color w:val="000000"/>
                <w:sz w:val="24"/>
                <w:lang w:eastAsia="zh-CN"/>
              </w:rPr>
              <w:t>夜间不运营，</w:t>
            </w:r>
            <w:r>
              <w:rPr>
                <w:rFonts w:hint="eastAsia"/>
                <w:color w:val="000000"/>
                <w:sz w:val="24"/>
              </w:rPr>
              <w:t>一天一班制。</w:t>
            </w:r>
          </w:p>
          <w:p>
            <w:pPr>
              <w:spacing w:line="360" w:lineRule="auto"/>
              <w:ind w:firstLine="482" w:firstLineChars="200"/>
              <w:rPr>
                <w:b/>
                <w:sz w:val="24"/>
              </w:rPr>
            </w:pPr>
            <w:r>
              <w:rPr>
                <w:rFonts w:hint="eastAsia"/>
                <w:b/>
                <w:sz w:val="24"/>
              </w:rPr>
              <w:t>六</w:t>
            </w:r>
            <w:r>
              <w:rPr>
                <w:b/>
                <w:sz w:val="24"/>
              </w:rPr>
              <w:t>、公用工程：</w:t>
            </w:r>
          </w:p>
          <w:p>
            <w:pPr>
              <w:spacing w:line="312" w:lineRule="auto"/>
              <w:ind w:firstLine="480" w:firstLineChars="200"/>
              <w:rPr>
                <w:sz w:val="24"/>
              </w:rPr>
            </w:pPr>
            <w:r>
              <w:rPr>
                <w:sz w:val="24"/>
              </w:rPr>
              <w:t>供</w:t>
            </w:r>
            <w:r>
              <w:rPr>
                <w:rFonts w:hint="eastAsia"/>
                <w:sz w:val="24"/>
              </w:rPr>
              <w:t>电</w:t>
            </w:r>
            <w:r>
              <w:rPr>
                <w:sz w:val="24"/>
              </w:rPr>
              <w:t>：项目用电主要由市政电网供给，年耗电量约2.1万度。</w:t>
            </w:r>
          </w:p>
          <w:p>
            <w:pPr>
              <w:spacing w:line="312" w:lineRule="auto"/>
              <w:ind w:firstLine="480" w:firstLineChars="200"/>
              <w:rPr>
                <w:sz w:val="24"/>
              </w:rPr>
            </w:pPr>
            <w:r>
              <w:rPr>
                <w:sz w:val="24"/>
              </w:rPr>
              <w:t>供水：项目用水主要由市政自来水管网供给，用水</w:t>
            </w:r>
            <w:r>
              <w:rPr>
                <w:rFonts w:hint="eastAsia"/>
                <w:sz w:val="24"/>
              </w:rPr>
              <w:t>量</w:t>
            </w:r>
            <w:r>
              <w:rPr>
                <w:sz w:val="24"/>
              </w:rPr>
              <w:t>为16</w:t>
            </w:r>
            <w:r>
              <w:rPr>
                <w:rFonts w:hint="eastAsia"/>
                <w:sz w:val="24"/>
                <w:lang w:val="en-US" w:eastAsia="zh-CN"/>
              </w:rPr>
              <w:t>20</w:t>
            </w:r>
            <w:r>
              <w:rPr>
                <w:sz w:val="24"/>
              </w:rPr>
              <w:t>吨/年</w:t>
            </w:r>
            <w:r>
              <w:rPr>
                <w:rFonts w:hint="eastAsia"/>
                <w:sz w:val="24"/>
              </w:rPr>
              <w:t>。</w:t>
            </w:r>
          </w:p>
          <w:p>
            <w:pPr>
              <w:spacing w:line="360" w:lineRule="auto"/>
              <w:ind w:firstLine="480" w:firstLineChars="200"/>
              <w:textAlignment w:val="center"/>
              <w:rPr>
                <w:sz w:val="24"/>
                <w:lang w:val="en-GB"/>
              </w:rPr>
            </w:pPr>
            <w:r>
              <w:rPr>
                <w:rFonts w:hint="eastAsia"/>
                <w:sz w:val="24"/>
                <w:lang w:val="en-GB"/>
              </w:rPr>
              <w:t>用水量预测：</w:t>
            </w:r>
          </w:p>
          <w:p>
            <w:pPr>
              <w:pStyle w:val="154"/>
              <w:spacing w:line="360" w:lineRule="auto"/>
              <w:ind w:firstLine="480"/>
              <w:rPr>
                <w:rFonts w:cs="宋体"/>
                <w:lang w:val="en-US" w:eastAsia="zh-CN"/>
              </w:rPr>
            </w:pPr>
            <w:r>
              <w:rPr>
                <w:rFonts w:hint="eastAsia" w:cs="宋体"/>
                <w:lang w:val="en-US" w:eastAsia="zh-CN"/>
              </w:rPr>
              <w:t>1、生活用水：本项目劳动定员为</w:t>
            </w:r>
            <w:r>
              <w:rPr>
                <w:rFonts w:cs="宋体"/>
                <w:lang w:val="en-US" w:eastAsia="zh-CN"/>
              </w:rPr>
              <w:t>20</w:t>
            </w:r>
            <w:r>
              <w:rPr>
                <w:rFonts w:hint="eastAsia" w:cs="宋体"/>
                <w:lang w:val="en-US" w:eastAsia="zh-CN"/>
              </w:rPr>
              <w:t>人，根据《建筑给排水设计规范》，职工生活用水量按1</w:t>
            </w:r>
            <w:r>
              <w:rPr>
                <w:rFonts w:cs="宋体"/>
                <w:lang w:val="en-US" w:eastAsia="zh-CN"/>
              </w:rPr>
              <w:t>20</w:t>
            </w:r>
            <w:r>
              <w:rPr>
                <w:rFonts w:hint="eastAsia" w:cs="宋体"/>
                <w:lang w:val="en-US" w:eastAsia="zh-CN"/>
              </w:rPr>
              <w:t>L/人·d计，则职工生活用水量为</w:t>
            </w:r>
            <w:r>
              <w:rPr>
                <w:rFonts w:cs="宋体"/>
                <w:lang w:val="en-US" w:eastAsia="zh-CN"/>
              </w:rPr>
              <w:t>2.4</w:t>
            </w:r>
            <w:r>
              <w:rPr>
                <w:rFonts w:hint="eastAsia" w:cs="宋体"/>
                <w:lang w:val="en-US" w:eastAsia="zh-CN"/>
              </w:rPr>
              <w:t>t/d，生活污水产生系数取0.9，则污水产生量为</w:t>
            </w:r>
            <w:r>
              <w:rPr>
                <w:rFonts w:cs="宋体"/>
                <w:lang w:val="en-US" w:eastAsia="zh-CN"/>
              </w:rPr>
              <w:t>2.16</w:t>
            </w:r>
            <w:r>
              <w:rPr>
                <w:rFonts w:hint="eastAsia" w:cs="宋体"/>
                <w:lang w:val="en-US" w:eastAsia="zh-CN"/>
              </w:rPr>
              <w:t>t/d。</w:t>
            </w:r>
          </w:p>
          <w:p>
            <w:pPr>
              <w:pStyle w:val="154"/>
              <w:spacing w:line="360" w:lineRule="auto"/>
              <w:ind w:firstLine="480"/>
              <w:rPr>
                <w:rFonts w:hint="eastAsia" w:cs="宋体"/>
                <w:lang w:val="en-US" w:eastAsia="zh-CN"/>
              </w:rPr>
            </w:pPr>
            <w:r>
              <w:rPr>
                <w:rFonts w:hint="eastAsia" w:cs="宋体"/>
                <w:lang w:val="en-US" w:eastAsia="zh-CN"/>
              </w:rPr>
              <w:t>2、食堂用水</w:t>
            </w:r>
          </w:p>
          <w:p>
            <w:pPr>
              <w:pStyle w:val="154"/>
              <w:spacing w:line="360" w:lineRule="auto"/>
              <w:ind w:firstLine="480"/>
              <w:rPr>
                <w:lang w:val="en-US" w:eastAsia="zh-CN"/>
              </w:rPr>
            </w:pPr>
            <w:bookmarkStart w:id="0" w:name="OLE_LINK6"/>
            <w:r>
              <w:rPr>
                <w:lang w:val="en-US" w:eastAsia="zh-CN"/>
              </w:rPr>
              <w:t>根据《建筑给水排水设计规范》（GB50015-2003）（2009年版），食堂用水按25L/人·次，设计餐厅最大接纳人数为20人，每日供餐次数为2次，则餐厅用水量为1.5m</w:t>
            </w:r>
            <w:r>
              <w:rPr>
                <w:vertAlign w:val="superscript"/>
                <w:lang w:val="en-US" w:eastAsia="zh-CN"/>
              </w:rPr>
              <w:t>3</w:t>
            </w:r>
            <w:r>
              <w:rPr>
                <w:lang w:val="en-US" w:eastAsia="zh-CN"/>
              </w:rPr>
              <w:t>/d。餐厅废水排放系数取0.9，则餐厅废水产生量为1.35m</w:t>
            </w:r>
            <w:r>
              <w:rPr>
                <w:vertAlign w:val="superscript"/>
                <w:lang w:val="en-US" w:eastAsia="zh-CN"/>
              </w:rPr>
              <w:t>3</w:t>
            </w:r>
            <w:r>
              <w:rPr>
                <w:lang w:val="en-US" w:eastAsia="zh-CN"/>
              </w:rPr>
              <w:t>/d。</w:t>
            </w:r>
            <w:bookmarkEnd w:id="0"/>
          </w:p>
          <w:p>
            <w:pPr>
              <w:spacing w:line="360" w:lineRule="auto"/>
              <w:ind w:firstLine="480" w:firstLineChars="200"/>
              <w:textAlignment w:val="center"/>
              <w:rPr>
                <w:sz w:val="24"/>
                <w:lang w:val="en-GB"/>
              </w:rPr>
            </w:pPr>
            <w:r>
              <w:rPr>
                <w:sz w:val="24"/>
                <w:lang w:val="en-GB"/>
              </w:rPr>
              <w:t>3</w:t>
            </w:r>
            <w:r>
              <w:rPr>
                <w:rFonts w:hint="eastAsia"/>
                <w:sz w:val="24"/>
                <w:lang w:val="en-GB"/>
              </w:rPr>
              <w:t>、磨削机、水磨机用水</w:t>
            </w:r>
          </w:p>
          <w:p>
            <w:pPr>
              <w:spacing w:line="360" w:lineRule="auto"/>
              <w:ind w:firstLine="480" w:firstLineChars="200"/>
              <w:textAlignment w:val="center"/>
              <w:rPr>
                <w:sz w:val="24"/>
                <w:lang w:val="en-GB"/>
              </w:rPr>
            </w:pPr>
            <w:r>
              <w:rPr>
                <w:rFonts w:hint="eastAsia"/>
                <w:sz w:val="24"/>
                <w:lang w:val="en-GB"/>
              </w:rPr>
              <w:t>项目磨削机和水磨机运行时需加水，根据业主提供资料，每天用水量为2</w:t>
            </w:r>
            <w:r>
              <w:rPr>
                <w:sz w:val="24"/>
                <w:lang w:val="en-GB"/>
              </w:rPr>
              <w:t>0</w:t>
            </w:r>
            <w:r>
              <w:rPr>
                <w:rFonts w:hint="eastAsia"/>
                <w:sz w:val="24"/>
                <w:lang w:val="en-GB"/>
              </w:rPr>
              <w:t>m³，废水进入循环水池，循环使用不外排，每天的补水量约为1m³，年用水量3</w:t>
            </w:r>
            <w:r>
              <w:rPr>
                <w:sz w:val="24"/>
                <w:lang w:val="en-GB"/>
              </w:rPr>
              <w:t>3</w:t>
            </w:r>
            <w:r>
              <w:rPr>
                <w:rFonts w:hint="eastAsia"/>
                <w:sz w:val="24"/>
                <w:lang w:val="en-GB"/>
              </w:rPr>
              <w:t>0 m³。</w:t>
            </w:r>
          </w:p>
          <w:p>
            <w:pPr>
              <w:spacing w:line="312" w:lineRule="auto"/>
              <w:jc w:val="left"/>
              <w:rPr>
                <w:rFonts w:hint="eastAsia"/>
                <w:color w:val="FF0000"/>
                <w:sz w:val="24"/>
                <w:lang w:val="en-GB"/>
              </w:rPr>
            </w:pPr>
            <w:r>
              <w:object>
                <v:shape id="_x0000_i1025" o:spt="75" type="#_x0000_t75" style="height:224.9pt;width:456.7pt;" o:ole="t" filled="f" o:preferrelative="t" stroked="f" coordsize="21600,21600">
                  <v:path/>
                  <v:fill on="f" focussize="0,0"/>
                  <v:stroke on="f"/>
                  <v:imagedata r:id="rId28" o:title=""/>
                  <o:lock v:ext="edit" aspectratio="t"/>
                  <w10:wrap type="none"/>
                  <w10:anchorlock/>
                </v:shape>
                <o:OLEObject Type="Embed" ProgID="Visio.Drawing.11" ShapeID="_x0000_i1025" DrawAspect="Content" ObjectID="_1468075725" r:id="rId27">
                  <o:LockedField>false</o:LockedField>
                </o:OLEObject>
              </w:object>
            </w:r>
          </w:p>
          <w:p>
            <w:pPr>
              <w:pStyle w:val="456"/>
              <w:rPr>
                <w:rFonts w:hint="eastAsia"/>
              </w:rPr>
            </w:pPr>
            <w:r>
              <w:rPr>
                <w:rFonts w:hint="eastAsia"/>
              </w:rPr>
              <w:t>图</w:t>
            </w:r>
            <w:r>
              <w:t>1</w:t>
            </w:r>
            <w:r>
              <w:rPr>
                <w:rFonts w:hint="eastAsia"/>
              </w:rPr>
              <w:t>-</w:t>
            </w:r>
            <w:r>
              <w:t>1</w:t>
            </w:r>
            <w:r>
              <w:rPr>
                <w:rFonts w:hint="eastAsia"/>
              </w:rPr>
              <w:t xml:space="preserve"> 项目水平衡图 单位:m</w:t>
            </w:r>
            <w:r>
              <w:rPr>
                <w:rFonts w:hint="eastAsia"/>
                <w:vertAlign w:val="superscript"/>
              </w:rPr>
              <w:t>3</w:t>
            </w:r>
            <w:r>
              <w:rPr>
                <w:rFonts w:hint="eastAsia"/>
              </w:rPr>
              <w:t>/d</w:t>
            </w:r>
          </w:p>
          <w:p>
            <w:pPr>
              <w:spacing w:line="312" w:lineRule="auto"/>
              <w:ind w:firstLine="480" w:firstLineChars="200"/>
              <w:rPr>
                <w:rFonts w:hint="eastAsia"/>
                <w:color w:val="FF0000"/>
                <w:sz w:val="24"/>
              </w:rPr>
            </w:pPr>
          </w:p>
          <w:p>
            <w:pPr>
              <w:spacing w:line="312" w:lineRule="auto"/>
              <w:ind w:firstLine="482" w:firstLineChars="200"/>
              <w:rPr>
                <w:b/>
                <w:sz w:val="24"/>
              </w:rPr>
            </w:pPr>
            <w:r>
              <w:rPr>
                <w:rFonts w:hint="eastAsia"/>
                <w:b/>
                <w:sz w:val="24"/>
              </w:rPr>
              <w:t>七、平面布置合理性分析</w:t>
            </w:r>
          </w:p>
          <w:p>
            <w:pPr>
              <w:spacing w:line="360" w:lineRule="auto"/>
              <w:ind w:firstLine="480" w:firstLineChars="200"/>
              <w:textAlignment w:val="center"/>
              <w:rPr>
                <w:rFonts w:hint="eastAsia"/>
                <w:sz w:val="24"/>
                <w:lang w:val="en-GB"/>
              </w:rPr>
            </w:pPr>
            <w:r>
              <w:rPr>
                <w:rFonts w:hint="eastAsia"/>
                <w:sz w:val="24"/>
                <w:lang w:val="en-GB"/>
              </w:rPr>
              <w:t>项目拟建设于</w:t>
            </w:r>
            <w:r>
              <w:rPr>
                <w:rFonts w:hint="eastAsia" w:hAnsi="宋体"/>
                <w:sz w:val="24"/>
              </w:rPr>
              <w:t>乐山市市中区悦来乡龙岩村二组3</w:t>
            </w:r>
            <w:r>
              <w:rPr>
                <w:rFonts w:hAnsi="宋体"/>
                <w:sz w:val="24"/>
              </w:rPr>
              <w:t>98</w:t>
            </w:r>
            <w:r>
              <w:rPr>
                <w:rFonts w:hint="eastAsia" w:hAnsi="宋体"/>
                <w:sz w:val="24"/>
              </w:rPr>
              <w:t>号，建筑面积约</w:t>
            </w:r>
            <w:r>
              <w:rPr>
                <w:rFonts w:hAnsi="宋体"/>
                <w:sz w:val="24"/>
              </w:rPr>
              <w:t>3000</w:t>
            </w:r>
            <w:r>
              <w:rPr>
                <w:rFonts w:hint="eastAsia" w:hAnsi="宋体"/>
                <w:sz w:val="24"/>
              </w:rPr>
              <w:t>平方米。</w:t>
            </w:r>
            <w:r>
              <w:rPr>
                <w:rFonts w:hint="eastAsia"/>
                <w:sz w:val="24"/>
                <w:lang w:val="en-GB"/>
              </w:rPr>
              <w:t>项目设置1个出口，位于场区西面；整个场区南侧为刀具制作体验区，由东向西依次布置有打磨工艺、热处理工艺、组装工艺、仓库、包装间；办公及食堂设置在北侧；</w:t>
            </w:r>
            <w:r>
              <w:rPr>
                <w:rFonts w:hint="eastAsia" w:eastAsia="宋体"/>
                <w:sz w:val="24"/>
                <w:lang w:val="en-GB" w:eastAsia="zh-CN"/>
              </w:rPr>
              <w:t>厂区</w:t>
            </w:r>
            <w:r>
              <w:rPr>
                <w:rFonts w:hint="eastAsia"/>
                <w:sz w:val="24"/>
                <w:lang w:val="en-GB"/>
              </w:rPr>
              <w:t>北面设置</w:t>
            </w:r>
            <w:r>
              <w:rPr>
                <w:rFonts w:hint="eastAsia" w:eastAsia="宋体"/>
                <w:sz w:val="24"/>
                <w:lang w:val="en-GB" w:eastAsia="zh-CN"/>
              </w:rPr>
              <w:t>停车区</w:t>
            </w:r>
            <w:r>
              <w:rPr>
                <w:rFonts w:hint="eastAsia"/>
                <w:sz w:val="24"/>
                <w:lang w:val="en-GB"/>
              </w:rPr>
              <w:t>。项目布设紧凑合理，节约用地，且平面布置符合环境保护、安全制作、消防与工业企业卫生规定要求。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707" w:hRule="atLeast"/>
        </w:trPr>
        <w:tc>
          <w:tcPr>
            <w:tcW w:w="9356" w:type="dxa"/>
            <w:gridSpan w:val="10"/>
            <w:tcBorders>
              <w:top w:val="single" w:color="auto" w:sz="4" w:space="0"/>
              <w:left w:val="single" w:color="auto" w:sz="4" w:space="0"/>
              <w:bottom w:val="single" w:color="auto" w:sz="4" w:space="0"/>
              <w:right w:val="single" w:color="auto" w:sz="4" w:space="0"/>
            </w:tcBorders>
            <w:noWrap w:val="0"/>
            <w:vAlign w:val="top"/>
          </w:tcPr>
          <w:p>
            <w:pPr>
              <w:spacing w:line="312" w:lineRule="auto"/>
              <w:rPr>
                <w:sz w:val="28"/>
                <w:szCs w:val="28"/>
              </w:rPr>
            </w:pPr>
            <w:r>
              <w:rPr>
                <w:b/>
                <w:sz w:val="28"/>
                <w:szCs w:val="28"/>
              </w:rPr>
              <w:t>与本项目有关的原有污染情况及主要环境问题</w:t>
            </w:r>
            <w:r>
              <w:rPr>
                <w:sz w:val="28"/>
                <w:szCs w:val="28"/>
              </w:rPr>
              <w:t>：</w:t>
            </w:r>
          </w:p>
          <w:p>
            <w:pPr>
              <w:tabs>
                <w:tab w:val="left" w:pos="735"/>
              </w:tabs>
              <w:adjustRightInd w:val="0"/>
              <w:snapToGrid w:val="0"/>
              <w:spacing w:line="360" w:lineRule="auto"/>
              <w:ind w:firstLine="480" w:firstLineChars="200"/>
              <w:textAlignment w:val="center"/>
              <w:rPr>
                <w:rFonts w:hint="eastAsia" w:hAnsi="宋体"/>
                <w:sz w:val="24"/>
              </w:rPr>
            </w:pPr>
            <w:r>
              <w:rPr>
                <w:rFonts w:hint="eastAsia" w:hAnsi="宋体"/>
                <w:sz w:val="24"/>
              </w:rPr>
              <w:t>项目拟建设于乐山市市中区悦来乡龙岩村二组3</w:t>
            </w:r>
            <w:r>
              <w:rPr>
                <w:rFonts w:hAnsi="宋体"/>
                <w:sz w:val="24"/>
              </w:rPr>
              <w:t>98</w:t>
            </w:r>
            <w:r>
              <w:rPr>
                <w:rFonts w:hint="eastAsia" w:hAnsi="宋体"/>
                <w:sz w:val="24"/>
              </w:rPr>
              <w:t>号（原中铁五局</w:t>
            </w:r>
            <w:r>
              <w:rPr>
                <w:rFonts w:hint="eastAsia" w:hAnsi="宋体"/>
                <w:sz w:val="24"/>
                <w:lang w:eastAsia="zh-CN"/>
              </w:rPr>
              <w:t>拌和站</w:t>
            </w:r>
            <w:r>
              <w:rPr>
                <w:rFonts w:hint="eastAsia" w:hAnsi="宋体"/>
                <w:sz w:val="24"/>
              </w:rPr>
              <w:t>占地）。根据现场踏勘，项目场地现状为空闲场地，</w:t>
            </w:r>
            <w:r>
              <w:rPr>
                <w:rFonts w:hint="eastAsia" w:hAnsi="宋体"/>
                <w:sz w:val="24"/>
                <w:lang w:eastAsia="zh-CN"/>
              </w:rPr>
              <w:t>场地内以全部进行水泥硬化处理，</w:t>
            </w:r>
            <w:r>
              <w:rPr>
                <w:rFonts w:hint="eastAsia" w:hAnsi="宋体"/>
                <w:sz w:val="24"/>
              </w:rPr>
              <w:t>原有</w:t>
            </w:r>
            <w:r>
              <w:rPr>
                <w:rFonts w:hint="eastAsia" w:hAnsi="宋体"/>
                <w:sz w:val="24"/>
                <w:lang w:eastAsia="zh-CN"/>
              </w:rPr>
              <w:t>拌和站</w:t>
            </w:r>
            <w:r>
              <w:rPr>
                <w:rFonts w:hint="eastAsia" w:hAnsi="宋体"/>
                <w:sz w:val="24"/>
              </w:rPr>
              <w:t>所有设施、设备均已拆除完毕，项目建设场地无历史遗留环境问题。</w:t>
            </w:r>
          </w:p>
          <w:p>
            <w:pPr>
              <w:spacing w:line="312" w:lineRule="auto"/>
              <w:rPr>
                <w:rFonts w:hint="eastAsia"/>
                <w:color w:val="000000"/>
                <w:sz w:val="24"/>
              </w:rPr>
            </w:pPr>
          </w:p>
          <w:p>
            <w:pPr>
              <w:spacing w:line="312" w:lineRule="auto"/>
              <w:rPr>
                <w:rFonts w:hint="eastAsia"/>
                <w:color w:val="000000"/>
                <w:sz w:val="24"/>
              </w:rPr>
            </w:pPr>
          </w:p>
          <w:p>
            <w:pPr>
              <w:spacing w:line="312" w:lineRule="auto"/>
              <w:rPr>
                <w:rFonts w:hint="eastAsia"/>
                <w:color w:val="000000"/>
                <w:sz w:val="24"/>
              </w:rPr>
            </w:pPr>
          </w:p>
          <w:p>
            <w:pPr>
              <w:spacing w:line="312" w:lineRule="auto"/>
              <w:rPr>
                <w:rFonts w:hint="eastAsia"/>
                <w:color w:val="000000"/>
                <w:sz w:val="24"/>
              </w:rPr>
            </w:pPr>
          </w:p>
          <w:p>
            <w:pPr>
              <w:spacing w:line="312" w:lineRule="auto"/>
              <w:rPr>
                <w:rFonts w:hint="eastAsia"/>
                <w:color w:val="000000"/>
                <w:sz w:val="24"/>
              </w:rPr>
            </w:pPr>
          </w:p>
          <w:p>
            <w:pPr>
              <w:spacing w:line="312" w:lineRule="auto"/>
              <w:rPr>
                <w:rFonts w:hint="eastAsia"/>
                <w:color w:val="000000"/>
                <w:sz w:val="24"/>
              </w:rPr>
            </w:pPr>
          </w:p>
          <w:p>
            <w:pPr>
              <w:spacing w:line="312" w:lineRule="auto"/>
              <w:rPr>
                <w:rFonts w:hint="eastAsia"/>
                <w:color w:val="000000"/>
                <w:sz w:val="24"/>
              </w:rPr>
            </w:pPr>
          </w:p>
          <w:p>
            <w:pPr>
              <w:spacing w:line="312" w:lineRule="auto"/>
              <w:rPr>
                <w:rFonts w:hint="eastAsia"/>
                <w:color w:val="000000"/>
                <w:sz w:val="24"/>
              </w:rPr>
            </w:pPr>
          </w:p>
          <w:p>
            <w:pPr>
              <w:spacing w:line="312" w:lineRule="auto"/>
              <w:rPr>
                <w:rFonts w:hint="eastAsia"/>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3742" w:hRule="atLeast"/>
        </w:trPr>
        <w:tc>
          <w:tcPr>
            <w:tcW w:w="9356" w:type="dxa"/>
            <w:gridSpan w:val="10"/>
            <w:tcBorders>
              <w:bottom w:val="single" w:color="000000" w:sz="6" w:space="0"/>
            </w:tcBorders>
            <w:noWrap w:val="0"/>
            <w:vAlign w:val="top"/>
          </w:tcPr>
          <w:p>
            <w:pPr>
              <w:spacing w:before="120" w:line="360" w:lineRule="auto"/>
              <w:rPr>
                <w:b/>
                <w:bCs/>
                <w:color w:val="000000"/>
                <w:sz w:val="28"/>
              </w:rPr>
            </w:pPr>
            <w:r>
              <w:rPr>
                <w:b/>
                <w:bCs/>
                <w:color w:val="000000"/>
                <w:sz w:val="28"/>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364490</wp:posOffset>
                      </wp:positionV>
                      <wp:extent cx="5954395"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595439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6pt;margin-top:28.7pt;height:0pt;width:468.85pt;z-index:251659264;mso-width-relative:page;mso-height-relative:page;" o:connectortype="straight" filled="f" stroked="t" coordsize="21600,21600" o:gfxdata="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5uO/ZAAAA&#10;CQEAAA8AAAAAAAAAAQAgAAAAIgAAAGRycy9kb3ducmV2LnhtbFBLAQIUABQAAAAIAIdO4kDsU96e&#10;4wEAAKADAAAOAAAAAAAAAAEAIAAAACgBAABkcnMvZTJvRG9jLnhtbFBLBQYAAAAABgAGAFkBAAB9&#10;BQAAAAA=&#10;">
                      <v:fill on="f" focussize="0,0"/>
                      <v:stroke color="#000000" joinstyle="round"/>
                      <v:imagedata o:title=""/>
                      <o:lock v:ext="edit" aspectratio="f"/>
                    </v:shape>
                  </w:pict>
                </mc:Fallback>
              </mc:AlternateContent>
            </w:r>
            <w:r>
              <w:rPr>
                <w:b/>
                <w:bCs/>
                <w:color w:val="000000"/>
                <w:sz w:val="28"/>
              </w:rPr>
              <mc:AlternateContent>
                <mc:Choice Requires="wps">
                  <w:drawing>
                    <wp:anchor distT="0" distB="0" distL="114300" distR="114300" simplePos="0" relativeHeight="251658240" behindDoc="0" locked="0" layoutInCell="1" allowOverlap="1">
                      <wp:simplePos x="0" y="0"/>
                      <wp:positionH relativeFrom="column">
                        <wp:posOffset>-135255</wp:posOffset>
                      </wp:positionH>
                      <wp:positionV relativeFrom="paragraph">
                        <wp:posOffset>-15875</wp:posOffset>
                      </wp:positionV>
                      <wp:extent cx="6064250" cy="380365"/>
                      <wp:effectExtent l="0" t="0" r="12700" b="635"/>
                      <wp:wrapNone/>
                      <wp:docPr id="2" name="文本框 2"/>
                      <wp:cNvGraphicFramePr/>
                      <a:graphic xmlns:a="http://schemas.openxmlformats.org/drawingml/2006/main">
                        <a:graphicData uri="http://schemas.microsoft.com/office/word/2010/wordprocessingShape">
                          <wps:wsp>
                            <wps:cNvSpPr txBox="1"/>
                            <wps:spPr>
                              <a:xfrm>
                                <a:off x="0" y="0"/>
                                <a:ext cx="6064250" cy="380365"/>
                              </a:xfrm>
                              <a:prstGeom prst="rect">
                                <a:avLst/>
                              </a:prstGeom>
                              <a:solidFill>
                                <a:srgbClr val="FFFFFF"/>
                              </a:solidFill>
                              <a:ln w="9525">
                                <a:noFill/>
                              </a:ln>
                            </wps:spPr>
                            <wps:txbx>
                              <w:txbxContent>
                                <w:p>
                                  <w:pPr>
                                    <w:pStyle w:val="52"/>
                                    <w:rPr>
                                      <w:rFonts w:hint="eastAsia"/>
                                      <w:b/>
                                      <w:bCs/>
                                    </w:rPr>
                                  </w:pPr>
                                  <w:r>
                                    <w:rPr>
                                      <w:rFonts w:hint="eastAsia"/>
                                      <w:b/>
                                      <w:bCs/>
                                    </w:rPr>
                                    <w:t>建设项目所在地自然环境简况                           表（二）</w:t>
                                  </w:r>
                                </w:p>
                              </w:txbxContent>
                            </wps:txbx>
                            <wps:bodyPr upright="1"/>
                          </wps:wsp>
                        </a:graphicData>
                      </a:graphic>
                    </wp:anchor>
                  </w:drawing>
                </mc:Choice>
                <mc:Fallback>
                  <w:pict>
                    <v:shape id="_x0000_s1026" o:spid="_x0000_s1026" o:spt="202" type="#_x0000_t202" style="position:absolute;left:0pt;margin-left:-10.65pt;margin-top:-1.25pt;height:29.95pt;width:477.5pt;z-index:251658240;mso-width-relative:page;mso-height-relative:page;" fillcolor="#FFFFFF" filled="t" stroked="f" coordsize="21600,21600" o:gfxdata="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TGAP2AAA&#10;AAkBAAAPAAAAAAAAAAEAIAAAACIAAABkcnMvZG93bnJldi54bWxQSwECFAAUAAAACACHTuJAQssC&#10;9awBAAAyAwAADgAAAAAAAAABACAAAAAnAQAAZHJzL2Uyb0RvYy54bWxQSwUGAAAAAAYABgBZAQAA&#10;RQUAAAAA&#10;">
                      <v:fill on="t" focussize="0,0"/>
                      <v:stroke on="f"/>
                      <v:imagedata o:title=""/>
                      <o:lock v:ext="edit" aspectratio="f"/>
                      <v:textbox>
                        <w:txbxContent>
                          <w:p>
                            <w:pPr>
                              <w:pStyle w:val="52"/>
                              <w:rPr>
                                <w:rFonts w:hint="eastAsia"/>
                                <w:b/>
                                <w:bCs/>
                              </w:rPr>
                            </w:pPr>
                            <w:r>
                              <w:rPr>
                                <w:rFonts w:hint="eastAsia"/>
                                <w:b/>
                                <w:bCs/>
                              </w:rPr>
                              <w:t>建设项目所在地自然环境简况                           表（二）</w:t>
                            </w:r>
                          </w:p>
                        </w:txbxContent>
                      </v:textbox>
                    </v:shape>
                  </w:pict>
                </mc:Fallback>
              </mc:AlternateContent>
            </w:r>
          </w:p>
          <w:p>
            <w:pPr>
              <w:spacing w:before="120" w:line="360" w:lineRule="auto"/>
              <w:rPr>
                <w:b/>
                <w:bCs/>
                <w:color w:val="000000"/>
                <w:sz w:val="28"/>
              </w:rPr>
            </w:pPr>
            <w:r>
              <w:rPr>
                <w:b/>
                <w:bCs/>
                <w:color w:val="000000"/>
                <w:sz w:val="28"/>
              </w:rPr>
              <w:t>自然环境简况(地形、地貌、气候、气象、水文、植被、生物多样性等)：</w:t>
            </w:r>
          </w:p>
          <w:p>
            <w:pPr>
              <w:spacing w:line="360" w:lineRule="auto"/>
              <w:rPr>
                <w:rFonts w:hint="eastAsia"/>
                <w:b/>
                <w:sz w:val="24"/>
              </w:rPr>
            </w:pPr>
            <w:r>
              <w:rPr>
                <w:rFonts w:hint="eastAsia"/>
                <w:b/>
                <w:sz w:val="24"/>
              </w:rPr>
              <w:t>一、地理位置</w:t>
            </w:r>
          </w:p>
          <w:p>
            <w:pPr>
              <w:spacing w:line="360" w:lineRule="auto"/>
              <w:ind w:firstLine="480" w:firstLineChars="200"/>
              <w:rPr>
                <w:rFonts w:hint="eastAsia"/>
                <w:sz w:val="24"/>
              </w:rPr>
            </w:pPr>
            <w:r>
              <w:rPr>
                <w:rFonts w:hint="eastAsia"/>
                <w:sz w:val="24"/>
              </w:rPr>
              <w:t>乐山市地处岷江、青衣江、大渡河中下游，北连眉山市，东邻自贡市，南接宜宾市，西靠凉山彝族自治州和雅安市。地理坐标介于东经102°55′—104°00′，北纬28°25′—29°55′之间，幅员面积12827平方公里，占四川省幅员面积的2.64%，居全省第10位。乐山市市中区位于四川盆地西南峨眉山麓，是一座历经三千多年的古城，是全国99个国家级历史文化名城和44个对外开放城市之一，市中区幅员面积825平方公里，辖10个乡16个镇，4个街道办事处，253个行政村，58个社区，总人口56.91万人，其中农业人口31.6万人，非农业人口25.31万人。</w:t>
            </w:r>
          </w:p>
          <w:p>
            <w:pPr>
              <w:spacing w:line="360" w:lineRule="auto"/>
              <w:ind w:firstLine="480" w:firstLineChars="200"/>
              <w:rPr>
                <w:sz w:val="24"/>
              </w:rPr>
            </w:pPr>
            <w:r>
              <w:rPr>
                <w:rFonts w:hint="eastAsia"/>
                <w:sz w:val="24"/>
              </w:rPr>
              <w:t>项目地理位置图见附图1。</w:t>
            </w:r>
          </w:p>
          <w:p>
            <w:pPr>
              <w:spacing w:line="360" w:lineRule="auto"/>
              <w:rPr>
                <w:rFonts w:hint="eastAsia"/>
                <w:b/>
                <w:color w:val="000000"/>
                <w:sz w:val="24"/>
              </w:rPr>
            </w:pPr>
            <w:r>
              <w:rPr>
                <w:rFonts w:hint="eastAsia"/>
                <w:b/>
                <w:color w:val="000000"/>
                <w:sz w:val="24"/>
              </w:rPr>
              <w:t>二、地形、地貌</w:t>
            </w:r>
          </w:p>
          <w:p>
            <w:pPr>
              <w:spacing w:line="360" w:lineRule="auto"/>
              <w:ind w:firstLine="480" w:firstLineChars="200"/>
              <w:rPr>
                <w:color w:val="000000"/>
                <w:sz w:val="24"/>
              </w:rPr>
            </w:pPr>
            <w:r>
              <w:rPr>
                <w:rFonts w:hint="eastAsia"/>
                <w:color w:val="000000"/>
                <w:sz w:val="24"/>
              </w:rPr>
              <w:t>乐山地处四川盆地向西南山地过渡地带，总体趋势西南高，东北低，高差悬殊大。最高处为峨边彝族自治县马鞍山主峰，海拔4288米，最低处是犍为县新民镇马厂坝岷江出口，海拔307米，相对高差3981米。地貌有山地、丘陵、平坝三种类型，以山地为主。山地面积8530km2，占全市幅员面积的66.5%，主要分布于市境峨眉山、峨边、金口河、马边、沐川一线的西南部，是凉山高原与四川盆地过渡地带。丘陵面积2694km2，占全市幅员面积的21%，主要分布于峨眉山、沐川一线的东北部，为缓慢上升长期剥蚀的红色丘陵区。</w:t>
            </w:r>
          </w:p>
          <w:p>
            <w:pPr>
              <w:spacing w:line="360" w:lineRule="auto"/>
              <w:rPr>
                <w:rFonts w:hint="eastAsia"/>
                <w:b/>
                <w:color w:val="000000"/>
                <w:sz w:val="24"/>
              </w:rPr>
            </w:pPr>
            <w:r>
              <w:rPr>
                <w:rFonts w:hint="eastAsia"/>
                <w:b/>
                <w:color w:val="000000"/>
                <w:sz w:val="24"/>
              </w:rPr>
              <w:t>三、气象条件</w:t>
            </w:r>
          </w:p>
          <w:p>
            <w:pPr>
              <w:spacing w:line="360" w:lineRule="auto"/>
              <w:ind w:firstLine="480" w:firstLineChars="200"/>
              <w:rPr>
                <w:rFonts w:hint="eastAsia"/>
                <w:color w:val="000000"/>
                <w:sz w:val="24"/>
              </w:rPr>
            </w:pPr>
            <w:r>
              <w:rPr>
                <w:rFonts w:hint="eastAsia"/>
                <w:color w:val="000000"/>
                <w:sz w:val="24"/>
              </w:rPr>
              <w:t>乐山在特定地理环境条件下形成了多种气候类型。因地域处在北纬29°附近，全市属中亚热带气候带，具有四季分明的特点，雨量丰沛，水热同季，无霜期长。年平均气温在16.5-18.0度之间，年平均无霜期长达300天以上，年平均霜日4.2-9.4天，年平均降雪日数仅1.0-2.7天，是水稻、小麦、油料、糖料、水果、棉花等农副产品的高产区。西南山区气候垂直差异明显，从山麓至山巅依次分布着中亚热带一暖温带一温带一寒温带的完整气候带，气候条件十分复杂，是地域内发展农业综合经营和立体农业区域，是木材、茶叶、中药材等主产区，也是宝贵的旅游资源。受季风影响和地形的抬升作用，气候湿润，雨量丰沛。年平均降水量绝大多数地区在1000毫米以上，峨眉山市达1500毫米以上，仅峨边、金口河少于1000毫米以下，降水有季节性变迁，夏秋季雨量占全年的80%左右，冬春季只占20%，降水的年际差异较大，年最少降水量多在900</w:t>
            </w:r>
            <w:r>
              <w:rPr>
                <w:rFonts w:hint="eastAsia"/>
              </w:rPr>
              <w:t>毫米以下，</w:t>
            </w:r>
            <w:r>
              <w:rPr>
                <w:rFonts w:hint="eastAsia"/>
                <w:color w:val="000000"/>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994" w:hRule="atLeast"/>
        </w:trPr>
        <w:tc>
          <w:tcPr>
            <w:tcW w:w="9356" w:type="dxa"/>
            <w:gridSpan w:val="10"/>
            <w:noWrap w:val="0"/>
            <w:vAlign w:val="top"/>
          </w:tcPr>
          <w:p>
            <w:pPr>
              <w:spacing w:line="360" w:lineRule="auto"/>
              <w:rPr>
                <w:sz w:val="24"/>
              </w:rPr>
            </w:pPr>
            <w:r>
              <w:rPr>
                <w:rFonts w:hint="eastAsia"/>
                <w:sz w:val="24"/>
              </w:rPr>
              <w:t>部分地区年最多降水量达2000毫米以上。全市气象灾害以低温、干旱、洪涝为主。低温危害以春季低温影响最大，能造成小麦冻花、水稻烂种烂秧；干旱以春早、夏旱为主，严重时，</w:t>
            </w:r>
            <w:r>
              <w:rPr>
                <w:rFonts w:hint="eastAsia"/>
                <w:sz w:val="24"/>
                <w:lang w:eastAsia="zh-CN"/>
              </w:rPr>
              <w:t>部分</w:t>
            </w:r>
            <w:r>
              <w:rPr>
                <w:rFonts w:hint="eastAsia"/>
                <w:sz w:val="24"/>
              </w:rPr>
              <w:t>地方人畜饮水困难；受地形影响，乐山是暴雨多发区，峨眉山市93年9月29日降水量达525毫米，创全省之最。</w:t>
            </w:r>
          </w:p>
          <w:p>
            <w:pPr>
              <w:spacing w:line="360" w:lineRule="auto"/>
              <w:ind w:firstLine="361" w:firstLineChars="150"/>
              <w:rPr>
                <w:rFonts w:hint="eastAsia"/>
                <w:b/>
                <w:sz w:val="24"/>
              </w:rPr>
            </w:pPr>
            <w:r>
              <w:rPr>
                <w:rFonts w:hint="eastAsia"/>
                <w:b/>
                <w:sz w:val="24"/>
              </w:rPr>
              <w:t>四、土壤</w:t>
            </w:r>
          </w:p>
          <w:p>
            <w:pPr>
              <w:spacing w:line="360" w:lineRule="auto"/>
              <w:ind w:firstLine="360" w:firstLineChars="150"/>
              <w:rPr>
                <w:rFonts w:hint="eastAsia"/>
                <w:sz w:val="24"/>
              </w:rPr>
            </w:pPr>
            <w:r>
              <w:rPr>
                <w:rFonts w:hint="eastAsia"/>
                <w:sz w:val="24"/>
              </w:rPr>
              <w:t>乐山市境内中部和东北部，由河谷阶地、平原、浅丘地貌所组成，海拨350～700m，具有中亚热带的气候特征，自然植被为常绿阔叶林，地带性土壤应为黄壤。由于人类活动，早已具有农业土壤的特征。除大部分面积分布水稻土外，受母质岩性影响而广泛分布着潮土、紫色土和黄泥土。</w:t>
            </w:r>
          </w:p>
          <w:p>
            <w:pPr>
              <w:spacing w:line="360" w:lineRule="auto"/>
              <w:ind w:firstLine="361" w:firstLineChars="150"/>
              <w:rPr>
                <w:rFonts w:hint="eastAsia"/>
                <w:b/>
                <w:sz w:val="24"/>
              </w:rPr>
            </w:pPr>
            <w:r>
              <w:rPr>
                <w:rFonts w:hint="eastAsia"/>
                <w:b/>
                <w:sz w:val="24"/>
              </w:rPr>
              <w:t>五、自然环境与资源状况</w:t>
            </w:r>
          </w:p>
          <w:p>
            <w:pPr>
              <w:spacing w:line="360" w:lineRule="auto"/>
              <w:ind w:firstLine="360" w:firstLineChars="150"/>
              <w:rPr>
                <w:rFonts w:hint="eastAsia"/>
              </w:rPr>
            </w:pPr>
            <w:r>
              <w:rPr>
                <w:rFonts w:hint="eastAsia"/>
                <w:sz w:val="24"/>
              </w:rPr>
              <w:t>乐山自然资源丰富，素有“天下山水之观在蜀，蜀之胜曰嘉州”美誉，有国家5A级景区2处、4A级景区4处，国家级风景名胜区、自然保护区、森林公园、湿地公园各2处，地质公园、矿山公园各1处。已探明矿产资源25种，岩盐、磷矿等资源丰富，是全国卤(井)盐的主产地之一，马边磷矿储量居全国八大磷矿第4位。境内江河纵横，拥有岷江、大渡河、青衣江和众多中小河流，水能资源理论蕴藏量约800万千瓦，经济可开发量约650万千瓦，现有电力装机332万千瓦。</w:t>
            </w:r>
          </w:p>
        </w:tc>
      </w:tr>
    </w:tbl>
    <w:p>
      <w:pPr>
        <w:ind w:firstLine="454"/>
        <w:rPr>
          <w:color w:val="000000"/>
          <w:sz w:val="24"/>
        </w:rPr>
        <w:sectPr>
          <w:footerReference r:id="rId9" w:type="default"/>
          <w:footerReference r:id="rId10" w:type="even"/>
          <w:pgSz w:w="11907" w:h="16840"/>
          <w:pgMar w:top="1531" w:right="1134" w:bottom="1134" w:left="1418" w:header="0" w:footer="898" w:gutter="0"/>
          <w:pgBorders>
            <w:top w:val="none" w:sz="0" w:space="0"/>
            <w:left w:val="none" w:sz="0" w:space="0"/>
            <w:bottom w:val="none" w:sz="0" w:space="0"/>
            <w:right w:val="none" w:sz="0" w:space="0"/>
          </w:pgBorders>
          <w:cols w:space="720" w:num="1"/>
          <w:docGrid w:linePitch="326" w:charSpace="-4916"/>
        </w:sectPr>
      </w:pPr>
    </w:p>
    <w:p>
      <w:pPr>
        <w:pStyle w:val="52"/>
        <w:rPr>
          <w:rFonts w:hint="eastAsia"/>
        </w:rPr>
      </w:pPr>
      <w:r>
        <w:rPr>
          <w:rFonts w:hint="eastAsia"/>
          <w:lang w:eastAsia="zh-CN"/>
        </w:rPr>
        <w:t>环境质量状况</w:t>
      </w:r>
      <w:r>
        <w:rPr>
          <w:rFonts w:hint="eastAsia"/>
        </w:rPr>
        <w:t xml:space="preserve"> </w:t>
      </w:r>
      <w:r>
        <w:t xml:space="preserve">                                         </w:t>
      </w:r>
      <w:r>
        <w:rPr>
          <w:rFonts w:hint="eastAsia"/>
        </w:rPr>
        <w:t>表（</w:t>
      </w:r>
      <w:r>
        <w:rPr>
          <w:rFonts w:hint="eastAsia"/>
          <w:lang w:eastAsia="zh-CN"/>
        </w:rPr>
        <w:t>三</w:t>
      </w:r>
      <w:r>
        <w:rPr>
          <w:rFonts w:hint="eastAsia"/>
        </w:rPr>
        <w:t>）</w:t>
      </w:r>
    </w:p>
    <w:p>
      <w:pPr>
        <w:pStyle w:val="190"/>
        <w:ind w:left="0"/>
        <w:rPr>
          <w:b w:val="0"/>
          <w:color w:val="0C0C0C"/>
        </w:rPr>
      </w:pPr>
      <w:bookmarkStart w:id="1" w:name="_Hlk13748430"/>
      <w:r>
        <w:rPr>
          <w:color w:val="0C0C0C"/>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9525</wp:posOffset>
                </wp:positionV>
                <wp:extent cx="6105525" cy="8696960"/>
                <wp:effectExtent l="4445" t="4445" r="5080" b="23495"/>
                <wp:wrapNone/>
                <wp:docPr id="10" name="矩形 10"/>
                <wp:cNvGraphicFramePr/>
                <a:graphic xmlns:a="http://schemas.openxmlformats.org/drawingml/2006/main">
                  <a:graphicData uri="http://schemas.microsoft.com/office/word/2010/wordprocessingShape">
                    <wps:wsp>
                      <wps:cNvSpPr/>
                      <wps:spPr>
                        <a:xfrm>
                          <a:off x="0" y="0"/>
                          <a:ext cx="6105525" cy="86969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pt;margin-top:0.75pt;height:684.8pt;width:480.75pt;z-index:251661312;mso-width-relative:page;mso-height-relative:page;" filled="f" stroked="t" coordsize="21600,21600" o:gfxdata="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6ItRXXAAAACgEAAA8AAAAA&#10;AAAAAQAgAAAAIgAAAGRycy9kb3ducmV2LnhtbFBLAQIUABQAAAAIAIdO4kAYegfR3AEAAKoDAAAO&#10;AAAAAAAAAAEAIAAAACYBAABkcnMvZTJvRG9jLnhtbFBLBQYAAAAABgAGAFkBAAB0BQAAAAA=&#10;">
                <v:fill on="f" focussize="0,0"/>
                <v:stroke color="#000000" joinstyle="miter"/>
                <v:imagedata o:title=""/>
                <o:lock v:ext="edit" aspectratio="f"/>
              </v:rect>
            </w:pict>
          </mc:Fallback>
        </mc:AlternateContent>
      </w:r>
      <w:r>
        <w:rPr>
          <w:color w:val="0C0C0C"/>
          <w:sz w:val="28"/>
        </w:rPr>
        <w:t>建设项目所在地区域环境质量现状及主要环境问题（环境空气、地面水、地下水、声环境、生态环境等）</w:t>
      </w:r>
    </w:p>
    <w:p>
      <w:pPr>
        <w:autoSpaceDE w:val="0"/>
        <w:autoSpaceDN w:val="0"/>
        <w:adjustRightInd w:val="0"/>
        <w:spacing w:line="360" w:lineRule="auto"/>
        <w:ind w:firstLine="480" w:firstLineChars="200"/>
        <w:rPr>
          <w:color w:val="0C0C0C"/>
          <w:sz w:val="24"/>
        </w:rPr>
      </w:pPr>
      <w:r>
        <w:rPr>
          <w:color w:val="0C0C0C"/>
          <w:sz w:val="24"/>
        </w:rPr>
        <w:t>本项目位于本项目位于乐山市</w:t>
      </w:r>
      <w:bookmarkEnd w:id="1"/>
      <w:r>
        <w:rPr>
          <w:rFonts w:hint="eastAsia"/>
          <w:color w:val="0C0C0C"/>
          <w:sz w:val="24"/>
        </w:rPr>
        <w:t>市中区悦来乡。</w:t>
      </w:r>
      <w:r>
        <w:rPr>
          <w:color w:val="0C0C0C"/>
          <w:sz w:val="24"/>
        </w:rPr>
        <w:t>为了掌握该项目所在地的</w:t>
      </w:r>
      <w:r>
        <w:rPr>
          <w:rFonts w:hint="eastAsia"/>
          <w:color w:val="0C0C0C"/>
          <w:sz w:val="24"/>
        </w:rPr>
        <w:t>声</w:t>
      </w:r>
      <w:r>
        <w:rPr>
          <w:color w:val="0C0C0C"/>
          <w:sz w:val="24"/>
        </w:rPr>
        <w:t>环境质量现状，本次环评由乐山中和环境监测技术有限公司对项目所在区域的声环境质量现状进行了监测</w:t>
      </w:r>
      <w:r>
        <w:rPr>
          <w:rFonts w:hint="eastAsia"/>
          <w:color w:val="0C0C0C"/>
          <w:sz w:val="24"/>
        </w:rPr>
        <w:t>，环境空气质量和地表水环境质量现状借用乐山市环境质量公报数据</w:t>
      </w:r>
      <w:r>
        <w:rPr>
          <w:color w:val="0C0C0C"/>
          <w:sz w:val="24"/>
        </w:rPr>
        <w:t>。对项目所在区域的环境质量现状可以做出以下评价：</w:t>
      </w:r>
    </w:p>
    <w:p>
      <w:pPr>
        <w:pStyle w:val="190"/>
        <w:ind w:left="0"/>
        <w:rPr>
          <w:color w:val="0C0C0C"/>
          <w:sz w:val="28"/>
        </w:rPr>
      </w:pPr>
      <w:r>
        <w:rPr>
          <w:rFonts w:hint="eastAsia"/>
          <w:color w:val="0C0C0C"/>
          <w:sz w:val="28"/>
        </w:rPr>
        <w:t>一</w:t>
      </w:r>
      <w:r>
        <w:rPr>
          <w:color w:val="0C0C0C"/>
          <w:sz w:val="28"/>
        </w:rPr>
        <w:t xml:space="preserve">、大气环境质量 </w:t>
      </w:r>
    </w:p>
    <w:p>
      <w:pPr>
        <w:spacing w:line="360" w:lineRule="auto"/>
        <w:ind w:firstLine="480" w:firstLineChars="200"/>
        <w:rPr>
          <w:color w:val="FF0000"/>
          <w:sz w:val="24"/>
        </w:rPr>
      </w:pPr>
      <w:r>
        <w:rPr>
          <w:rFonts w:hint="eastAsia"/>
          <w:sz w:val="24"/>
        </w:rPr>
        <w:t>根据《乐山市2</w:t>
      </w:r>
      <w:r>
        <w:rPr>
          <w:sz w:val="24"/>
        </w:rPr>
        <w:t>017</w:t>
      </w:r>
      <w:r>
        <w:rPr>
          <w:rFonts w:hint="eastAsia"/>
          <w:sz w:val="24"/>
        </w:rPr>
        <w:t>年环境质量公报》中城市环境空气质量，项目所在地区域达标性见下表。</w:t>
      </w:r>
    </w:p>
    <w:p>
      <w:pPr>
        <w:autoSpaceDE w:val="0"/>
        <w:autoSpaceDN w:val="0"/>
        <w:adjustRightInd w:val="0"/>
        <w:ind w:firstLine="482"/>
        <w:jc w:val="center"/>
        <w:rPr>
          <w:rFonts w:hint="eastAsia"/>
          <w:b/>
          <w:bCs/>
          <w:color w:val="FF0000"/>
        </w:rPr>
      </w:pPr>
      <w:r>
        <w:rPr>
          <w:b/>
          <w:bCs/>
        </w:rPr>
        <w:t>表3-</w:t>
      </w:r>
      <w:r>
        <w:rPr>
          <w:rFonts w:hint="eastAsia"/>
          <w:b/>
          <w:bCs/>
        </w:rPr>
        <w:t>1</w:t>
      </w:r>
      <w:r>
        <w:rPr>
          <w:b/>
          <w:bCs/>
        </w:rPr>
        <w:t xml:space="preserve">  </w:t>
      </w:r>
      <w:r>
        <w:rPr>
          <w:b/>
        </w:rPr>
        <w:t xml:space="preserve"> </w:t>
      </w:r>
      <w:r>
        <w:rPr>
          <w:rFonts w:hint="eastAsia"/>
          <w:b/>
        </w:rPr>
        <w:t>区域空气质量现状</w:t>
      </w:r>
    </w:p>
    <w:tbl>
      <w:tblPr>
        <w:tblStyle w:val="69"/>
        <w:tblW w:w="9466"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108" w:type="dxa"/>
          <w:bottom w:w="0" w:type="dxa"/>
          <w:right w:w="108" w:type="dxa"/>
        </w:tblCellMar>
      </w:tblPr>
      <w:tblGrid>
        <w:gridCol w:w="1125"/>
        <w:gridCol w:w="2070"/>
        <w:gridCol w:w="2069"/>
        <w:gridCol w:w="1752"/>
        <w:gridCol w:w="1274"/>
        <w:gridCol w:w="1176"/>
      </w:tblGrid>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108" w:type="dxa"/>
            <w:bottom w:w="0" w:type="dxa"/>
            <w:right w:w="108" w:type="dxa"/>
          </w:tblCellMar>
        </w:tblPrEx>
        <w:trPr>
          <w:jc w:val="center"/>
        </w:trPr>
        <w:tc>
          <w:tcPr>
            <w:tcW w:w="1125" w:type="dxa"/>
            <w:noWrap w:val="0"/>
            <w:vAlign w:val="center"/>
          </w:tcPr>
          <w:p>
            <w:pPr>
              <w:jc w:val="center"/>
              <w:rPr>
                <w:szCs w:val="21"/>
              </w:rPr>
            </w:pPr>
            <w:r>
              <w:rPr>
                <w:rFonts w:hint="eastAsia"/>
                <w:szCs w:val="21"/>
              </w:rPr>
              <w:t>污染物</w:t>
            </w:r>
          </w:p>
        </w:tc>
        <w:tc>
          <w:tcPr>
            <w:tcW w:w="2070" w:type="dxa"/>
            <w:noWrap w:val="0"/>
            <w:vAlign w:val="center"/>
          </w:tcPr>
          <w:p>
            <w:pPr>
              <w:jc w:val="center"/>
              <w:rPr>
                <w:szCs w:val="21"/>
              </w:rPr>
            </w:pPr>
            <w:r>
              <w:rPr>
                <w:rFonts w:hint="eastAsia"/>
                <w:szCs w:val="21"/>
              </w:rPr>
              <w:t>年评价指标</w:t>
            </w:r>
          </w:p>
        </w:tc>
        <w:tc>
          <w:tcPr>
            <w:tcW w:w="2069" w:type="dxa"/>
            <w:noWrap w:val="0"/>
            <w:vAlign w:val="center"/>
          </w:tcPr>
          <w:p>
            <w:pPr>
              <w:jc w:val="center"/>
              <w:rPr>
                <w:szCs w:val="21"/>
              </w:rPr>
            </w:pPr>
            <w:r>
              <w:rPr>
                <w:rFonts w:hint="eastAsia"/>
                <w:szCs w:val="21"/>
              </w:rPr>
              <w:t>现状浓度μg</w:t>
            </w:r>
            <w:r>
              <w:rPr>
                <w:szCs w:val="21"/>
              </w:rPr>
              <w:t>/</w:t>
            </w:r>
            <w:r>
              <w:rPr>
                <w:rFonts w:hint="eastAsia"/>
                <w:szCs w:val="21"/>
              </w:rPr>
              <w:t>m³</w:t>
            </w:r>
          </w:p>
        </w:tc>
        <w:tc>
          <w:tcPr>
            <w:tcW w:w="1752" w:type="dxa"/>
            <w:noWrap w:val="0"/>
            <w:vAlign w:val="center"/>
          </w:tcPr>
          <w:p>
            <w:pPr>
              <w:jc w:val="center"/>
              <w:rPr>
                <w:szCs w:val="21"/>
              </w:rPr>
            </w:pPr>
            <w:r>
              <w:rPr>
                <w:rFonts w:hint="eastAsia"/>
                <w:szCs w:val="21"/>
              </w:rPr>
              <w:t>标准值μg</w:t>
            </w:r>
            <w:r>
              <w:rPr>
                <w:szCs w:val="21"/>
              </w:rPr>
              <w:t>/</w:t>
            </w:r>
            <w:r>
              <w:rPr>
                <w:rFonts w:hint="eastAsia"/>
                <w:szCs w:val="21"/>
              </w:rPr>
              <w:t>m³</w:t>
            </w:r>
          </w:p>
        </w:tc>
        <w:tc>
          <w:tcPr>
            <w:tcW w:w="1274" w:type="dxa"/>
            <w:noWrap w:val="0"/>
            <w:vAlign w:val="center"/>
          </w:tcPr>
          <w:p>
            <w:pPr>
              <w:jc w:val="center"/>
              <w:rPr>
                <w:szCs w:val="21"/>
              </w:rPr>
            </w:pPr>
            <w:r>
              <w:rPr>
                <w:rFonts w:hint="eastAsia"/>
                <w:szCs w:val="21"/>
              </w:rPr>
              <w:t>占标率%</w:t>
            </w:r>
          </w:p>
        </w:tc>
        <w:tc>
          <w:tcPr>
            <w:tcW w:w="1176" w:type="dxa"/>
            <w:noWrap w:val="0"/>
            <w:vAlign w:val="center"/>
          </w:tcPr>
          <w:p>
            <w:pPr>
              <w:jc w:val="center"/>
              <w:rPr>
                <w:szCs w:val="21"/>
              </w:rPr>
            </w:pPr>
            <w:r>
              <w:rPr>
                <w:rFonts w:hint="eastAsia"/>
                <w:szCs w:val="21"/>
              </w:rPr>
              <w:t>达标情况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108" w:type="dxa"/>
            <w:bottom w:w="0" w:type="dxa"/>
            <w:right w:w="108" w:type="dxa"/>
          </w:tblCellMar>
        </w:tblPrEx>
        <w:trPr>
          <w:jc w:val="center"/>
        </w:trPr>
        <w:tc>
          <w:tcPr>
            <w:tcW w:w="1125" w:type="dxa"/>
            <w:noWrap w:val="0"/>
            <w:vAlign w:val="center"/>
          </w:tcPr>
          <w:p>
            <w:pPr>
              <w:jc w:val="center"/>
              <w:rPr>
                <w:szCs w:val="21"/>
              </w:rPr>
            </w:pPr>
            <w:r>
              <w:rPr>
                <w:szCs w:val="21"/>
              </w:rPr>
              <w:t>SO</w:t>
            </w:r>
            <w:r>
              <w:rPr>
                <w:szCs w:val="21"/>
                <w:vertAlign w:val="subscript"/>
              </w:rPr>
              <w:t>2</w:t>
            </w:r>
          </w:p>
        </w:tc>
        <w:tc>
          <w:tcPr>
            <w:tcW w:w="2070" w:type="dxa"/>
            <w:noWrap w:val="0"/>
            <w:vAlign w:val="center"/>
          </w:tcPr>
          <w:p>
            <w:pPr>
              <w:jc w:val="center"/>
              <w:rPr>
                <w:rFonts w:hint="eastAsia"/>
                <w:szCs w:val="21"/>
              </w:rPr>
            </w:pPr>
            <w:r>
              <w:rPr>
                <w:rFonts w:hint="eastAsia"/>
                <w:szCs w:val="21"/>
              </w:rPr>
              <w:t>年平均质量浓度</w:t>
            </w:r>
          </w:p>
        </w:tc>
        <w:tc>
          <w:tcPr>
            <w:tcW w:w="2069" w:type="dxa"/>
            <w:noWrap w:val="0"/>
            <w:vAlign w:val="center"/>
          </w:tcPr>
          <w:p>
            <w:pPr>
              <w:jc w:val="center"/>
              <w:rPr>
                <w:szCs w:val="21"/>
              </w:rPr>
            </w:pPr>
            <w:r>
              <w:rPr>
                <w:rFonts w:hint="eastAsia"/>
                <w:szCs w:val="21"/>
              </w:rPr>
              <w:t>1</w:t>
            </w:r>
            <w:r>
              <w:rPr>
                <w:szCs w:val="21"/>
              </w:rPr>
              <w:t>6.2</w:t>
            </w:r>
          </w:p>
        </w:tc>
        <w:tc>
          <w:tcPr>
            <w:tcW w:w="1752" w:type="dxa"/>
            <w:noWrap w:val="0"/>
            <w:vAlign w:val="center"/>
          </w:tcPr>
          <w:p>
            <w:pPr>
              <w:jc w:val="center"/>
              <w:rPr>
                <w:rFonts w:hint="eastAsia"/>
                <w:szCs w:val="21"/>
              </w:rPr>
            </w:pPr>
            <w:r>
              <w:rPr>
                <w:rFonts w:hint="eastAsia"/>
                <w:szCs w:val="21"/>
              </w:rPr>
              <w:t>6</w:t>
            </w:r>
            <w:r>
              <w:rPr>
                <w:szCs w:val="21"/>
              </w:rPr>
              <w:t>0</w:t>
            </w:r>
          </w:p>
        </w:tc>
        <w:tc>
          <w:tcPr>
            <w:tcW w:w="1274" w:type="dxa"/>
            <w:noWrap w:val="0"/>
            <w:vAlign w:val="center"/>
          </w:tcPr>
          <w:p>
            <w:pPr>
              <w:jc w:val="center"/>
              <w:rPr>
                <w:rFonts w:hint="eastAsia"/>
                <w:szCs w:val="21"/>
              </w:rPr>
            </w:pPr>
            <w:r>
              <w:rPr>
                <w:rFonts w:hint="eastAsia"/>
                <w:szCs w:val="21"/>
              </w:rPr>
              <w:t>0</w:t>
            </w:r>
            <w:r>
              <w:rPr>
                <w:szCs w:val="21"/>
              </w:rPr>
              <w:t>.27</w:t>
            </w:r>
          </w:p>
        </w:tc>
        <w:tc>
          <w:tcPr>
            <w:tcW w:w="1176" w:type="dxa"/>
            <w:noWrap w:val="0"/>
            <w:vAlign w:val="center"/>
          </w:tcPr>
          <w:p>
            <w:pPr>
              <w:jc w:val="center"/>
              <w:rPr>
                <w:rFonts w:hint="eastAsia"/>
                <w:szCs w:val="21"/>
              </w:rPr>
            </w:pPr>
            <w:r>
              <w:rPr>
                <w:rFonts w:hint="eastAsia"/>
                <w:szCs w:val="21"/>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108" w:type="dxa"/>
            <w:bottom w:w="0" w:type="dxa"/>
            <w:right w:w="108" w:type="dxa"/>
          </w:tblCellMar>
        </w:tblPrEx>
        <w:trPr>
          <w:jc w:val="center"/>
        </w:trPr>
        <w:tc>
          <w:tcPr>
            <w:tcW w:w="1125" w:type="dxa"/>
            <w:noWrap w:val="0"/>
            <w:vAlign w:val="center"/>
          </w:tcPr>
          <w:p>
            <w:pPr>
              <w:jc w:val="center"/>
              <w:rPr>
                <w:szCs w:val="21"/>
              </w:rPr>
            </w:pPr>
            <w:r>
              <w:rPr>
                <w:szCs w:val="21"/>
              </w:rPr>
              <w:t>NO</w:t>
            </w:r>
            <w:r>
              <w:rPr>
                <w:szCs w:val="21"/>
                <w:vertAlign w:val="subscript"/>
              </w:rPr>
              <w:t>2</w:t>
            </w:r>
          </w:p>
        </w:tc>
        <w:tc>
          <w:tcPr>
            <w:tcW w:w="2070" w:type="dxa"/>
            <w:noWrap w:val="0"/>
            <w:vAlign w:val="center"/>
          </w:tcPr>
          <w:p>
            <w:pPr>
              <w:jc w:val="center"/>
              <w:rPr>
                <w:rFonts w:hint="eastAsia"/>
                <w:szCs w:val="21"/>
              </w:rPr>
            </w:pPr>
            <w:r>
              <w:rPr>
                <w:rFonts w:hint="eastAsia"/>
                <w:szCs w:val="21"/>
              </w:rPr>
              <w:t>年平均质量浓度</w:t>
            </w:r>
          </w:p>
        </w:tc>
        <w:tc>
          <w:tcPr>
            <w:tcW w:w="2069" w:type="dxa"/>
            <w:noWrap w:val="0"/>
            <w:vAlign w:val="center"/>
          </w:tcPr>
          <w:p>
            <w:pPr>
              <w:jc w:val="center"/>
              <w:rPr>
                <w:szCs w:val="21"/>
              </w:rPr>
            </w:pPr>
            <w:r>
              <w:rPr>
                <w:rFonts w:hint="eastAsia"/>
                <w:szCs w:val="21"/>
              </w:rPr>
              <w:t>2</w:t>
            </w:r>
            <w:r>
              <w:rPr>
                <w:szCs w:val="21"/>
              </w:rPr>
              <w:t>4.6</w:t>
            </w:r>
          </w:p>
        </w:tc>
        <w:tc>
          <w:tcPr>
            <w:tcW w:w="1752" w:type="dxa"/>
            <w:noWrap w:val="0"/>
            <w:vAlign w:val="center"/>
          </w:tcPr>
          <w:p>
            <w:pPr>
              <w:jc w:val="center"/>
              <w:rPr>
                <w:rFonts w:hint="eastAsia"/>
                <w:szCs w:val="21"/>
              </w:rPr>
            </w:pPr>
            <w:r>
              <w:rPr>
                <w:szCs w:val="21"/>
              </w:rPr>
              <w:t>40</w:t>
            </w:r>
          </w:p>
        </w:tc>
        <w:tc>
          <w:tcPr>
            <w:tcW w:w="1274" w:type="dxa"/>
            <w:noWrap w:val="0"/>
            <w:vAlign w:val="center"/>
          </w:tcPr>
          <w:p>
            <w:pPr>
              <w:jc w:val="center"/>
              <w:rPr>
                <w:szCs w:val="21"/>
              </w:rPr>
            </w:pPr>
            <w:r>
              <w:rPr>
                <w:rFonts w:hint="eastAsia"/>
                <w:szCs w:val="21"/>
              </w:rPr>
              <w:t>0</w:t>
            </w:r>
            <w:r>
              <w:rPr>
                <w:szCs w:val="21"/>
              </w:rPr>
              <w:t>.615</w:t>
            </w:r>
          </w:p>
        </w:tc>
        <w:tc>
          <w:tcPr>
            <w:tcW w:w="1176" w:type="dxa"/>
            <w:noWrap w:val="0"/>
            <w:vAlign w:val="top"/>
          </w:tcPr>
          <w:p>
            <w:pPr>
              <w:jc w:val="center"/>
            </w:pPr>
            <w:r>
              <w:rPr>
                <w:rFonts w:hint="eastAsia"/>
                <w:szCs w:val="21"/>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108" w:type="dxa"/>
            <w:bottom w:w="0" w:type="dxa"/>
            <w:right w:w="108" w:type="dxa"/>
          </w:tblCellMar>
        </w:tblPrEx>
        <w:trPr>
          <w:jc w:val="center"/>
        </w:trPr>
        <w:tc>
          <w:tcPr>
            <w:tcW w:w="1125" w:type="dxa"/>
            <w:noWrap w:val="0"/>
            <w:vAlign w:val="center"/>
          </w:tcPr>
          <w:p>
            <w:pPr>
              <w:jc w:val="center"/>
              <w:rPr>
                <w:szCs w:val="21"/>
              </w:rPr>
            </w:pPr>
            <w:r>
              <w:rPr>
                <w:szCs w:val="21"/>
              </w:rPr>
              <w:t>CO</w:t>
            </w:r>
          </w:p>
        </w:tc>
        <w:tc>
          <w:tcPr>
            <w:tcW w:w="2070" w:type="dxa"/>
            <w:noWrap w:val="0"/>
            <w:vAlign w:val="center"/>
          </w:tcPr>
          <w:p>
            <w:pPr>
              <w:jc w:val="center"/>
              <w:rPr>
                <w:rFonts w:hint="eastAsia"/>
                <w:szCs w:val="21"/>
              </w:rPr>
            </w:pPr>
            <w:r>
              <w:rPr>
                <w:rFonts w:hint="eastAsia"/>
                <w:szCs w:val="21"/>
              </w:rPr>
              <w:t>第9</w:t>
            </w:r>
            <w:r>
              <w:rPr>
                <w:szCs w:val="21"/>
              </w:rPr>
              <w:t>5</w:t>
            </w:r>
            <w:r>
              <w:rPr>
                <w:rFonts w:hint="eastAsia"/>
                <w:szCs w:val="21"/>
              </w:rPr>
              <w:t>百分位数2</w:t>
            </w:r>
            <w:r>
              <w:rPr>
                <w:szCs w:val="21"/>
              </w:rPr>
              <w:t>4h</w:t>
            </w:r>
            <w:r>
              <w:rPr>
                <w:rFonts w:hint="eastAsia"/>
                <w:szCs w:val="21"/>
              </w:rPr>
              <w:t>平均质量浓度</w:t>
            </w:r>
          </w:p>
        </w:tc>
        <w:tc>
          <w:tcPr>
            <w:tcW w:w="2069" w:type="dxa"/>
            <w:noWrap w:val="0"/>
            <w:vAlign w:val="center"/>
          </w:tcPr>
          <w:p>
            <w:pPr>
              <w:jc w:val="center"/>
              <w:rPr>
                <w:szCs w:val="21"/>
              </w:rPr>
            </w:pPr>
            <w:r>
              <w:rPr>
                <w:rFonts w:hint="eastAsia"/>
                <w:szCs w:val="21"/>
              </w:rPr>
              <w:t>1</w:t>
            </w:r>
            <w:r>
              <w:rPr>
                <w:szCs w:val="21"/>
              </w:rPr>
              <w:t>400</w:t>
            </w:r>
          </w:p>
        </w:tc>
        <w:tc>
          <w:tcPr>
            <w:tcW w:w="1752" w:type="dxa"/>
            <w:noWrap w:val="0"/>
            <w:vAlign w:val="center"/>
          </w:tcPr>
          <w:p>
            <w:pPr>
              <w:jc w:val="center"/>
              <w:rPr>
                <w:szCs w:val="21"/>
              </w:rPr>
            </w:pPr>
            <w:r>
              <w:rPr>
                <w:rFonts w:hint="eastAsia"/>
                <w:szCs w:val="21"/>
              </w:rPr>
              <w:t>4</w:t>
            </w:r>
            <w:r>
              <w:rPr>
                <w:szCs w:val="21"/>
              </w:rPr>
              <w:t>000</w:t>
            </w:r>
          </w:p>
        </w:tc>
        <w:tc>
          <w:tcPr>
            <w:tcW w:w="1274" w:type="dxa"/>
            <w:noWrap w:val="0"/>
            <w:vAlign w:val="center"/>
          </w:tcPr>
          <w:p>
            <w:pPr>
              <w:jc w:val="center"/>
              <w:rPr>
                <w:szCs w:val="21"/>
              </w:rPr>
            </w:pPr>
            <w:r>
              <w:rPr>
                <w:rFonts w:hint="eastAsia"/>
                <w:szCs w:val="21"/>
              </w:rPr>
              <w:t>0</w:t>
            </w:r>
            <w:r>
              <w:rPr>
                <w:szCs w:val="21"/>
              </w:rPr>
              <w:t>.35</w:t>
            </w:r>
          </w:p>
        </w:tc>
        <w:tc>
          <w:tcPr>
            <w:tcW w:w="1176" w:type="dxa"/>
            <w:noWrap w:val="0"/>
            <w:vAlign w:val="top"/>
          </w:tcPr>
          <w:p>
            <w:pPr>
              <w:jc w:val="center"/>
            </w:pPr>
            <w:r>
              <w:rPr>
                <w:rFonts w:hint="eastAsia"/>
                <w:szCs w:val="21"/>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108" w:type="dxa"/>
            <w:bottom w:w="0" w:type="dxa"/>
            <w:right w:w="108" w:type="dxa"/>
          </w:tblCellMar>
        </w:tblPrEx>
        <w:trPr>
          <w:jc w:val="center"/>
        </w:trPr>
        <w:tc>
          <w:tcPr>
            <w:tcW w:w="1125" w:type="dxa"/>
            <w:noWrap w:val="0"/>
            <w:vAlign w:val="center"/>
          </w:tcPr>
          <w:p>
            <w:pPr>
              <w:jc w:val="center"/>
              <w:rPr>
                <w:szCs w:val="21"/>
              </w:rPr>
            </w:pPr>
            <w:r>
              <w:rPr>
                <w:szCs w:val="21"/>
              </w:rPr>
              <w:t>O</w:t>
            </w:r>
            <w:r>
              <w:rPr>
                <w:szCs w:val="21"/>
                <w:vertAlign w:val="subscript"/>
              </w:rPr>
              <w:t>3</w:t>
            </w:r>
          </w:p>
        </w:tc>
        <w:tc>
          <w:tcPr>
            <w:tcW w:w="2070" w:type="dxa"/>
            <w:noWrap w:val="0"/>
            <w:vAlign w:val="center"/>
          </w:tcPr>
          <w:p>
            <w:pPr>
              <w:jc w:val="center"/>
              <w:rPr>
                <w:rFonts w:hint="eastAsia"/>
                <w:szCs w:val="21"/>
              </w:rPr>
            </w:pPr>
            <w:r>
              <w:rPr>
                <w:rFonts w:hint="eastAsia"/>
                <w:szCs w:val="21"/>
              </w:rPr>
              <w:t>年平均质量浓度</w:t>
            </w:r>
          </w:p>
        </w:tc>
        <w:tc>
          <w:tcPr>
            <w:tcW w:w="2069" w:type="dxa"/>
            <w:noWrap w:val="0"/>
            <w:vAlign w:val="center"/>
          </w:tcPr>
          <w:p>
            <w:pPr>
              <w:jc w:val="center"/>
              <w:rPr>
                <w:szCs w:val="21"/>
              </w:rPr>
            </w:pPr>
            <w:r>
              <w:rPr>
                <w:rFonts w:hint="eastAsia"/>
                <w:szCs w:val="21"/>
              </w:rPr>
              <w:t>1</w:t>
            </w:r>
            <w:r>
              <w:rPr>
                <w:szCs w:val="21"/>
              </w:rPr>
              <w:t>29.4</w:t>
            </w:r>
          </w:p>
        </w:tc>
        <w:tc>
          <w:tcPr>
            <w:tcW w:w="1752" w:type="dxa"/>
            <w:noWrap w:val="0"/>
            <w:vAlign w:val="center"/>
          </w:tcPr>
          <w:p>
            <w:pPr>
              <w:jc w:val="center"/>
              <w:rPr>
                <w:szCs w:val="21"/>
              </w:rPr>
            </w:pPr>
            <w:r>
              <w:rPr>
                <w:rFonts w:hint="eastAsia"/>
                <w:szCs w:val="21"/>
              </w:rPr>
              <w:t>1</w:t>
            </w:r>
            <w:r>
              <w:rPr>
                <w:szCs w:val="21"/>
              </w:rPr>
              <w:t>60</w:t>
            </w:r>
          </w:p>
        </w:tc>
        <w:tc>
          <w:tcPr>
            <w:tcW w:w="1274" w:type="dxa"/>
            <w:noWrap w:val="0"/>
            <w:vAlign w:val="center"/>
          </w:tcPr>
          <w:p>
            <w:pPr>
              <w:jc w:val="center"/>
              <w:rPr>
                <w:szCs w:val="21"/>
              </w:rPr>
            </w:pPr>
            <w:r>
              <w:rPr>
                <w:rFonts w:hint="eastAsia"/>
                <w:szCs w:val="21"/>
              </w:rPr>
              <w:t>0</w:t>
            </w:r>
            <w:r>
              <w:rPr>
                <w:szCs w:val="21"/>
              </w:rPr>
              <w:t>.809</w:t>
            </w:r>
          </w:p>
        </w:tc>
        <w:tc>
          <w:tcPr>
            <w:tcW w:w="1176" w:type="dxa"/>
            <w:noWrap w:val="0"/>
            <w:vAlign w:val="top"/>
          </w:tcPr>
          <w:p>
            <w:pPr>
              <w:jc w:val="center"/>
            </w:pPr>
            <w:r>
              <w:rPr>
                <w:rFonts w:hint="eastAsia"/>
                <w:szCs w:val="21"/>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108" w:type="dxa"/>
            <w:bottom w:w="0" w:type="dxa"/>
            <w:right w:w="108" w:type="dxa"/>
          </w:tblCellMar>
        </w:tblPrEx>
        <w:trPr>
          <w:jc w:val="center"/>
        </w:trPr>
        <w:tc>
          <w:tcPr>
            <w:tcW w:w="1125" w:type="dxa"/>
            <w:noWrap w:val="0"/>
            <w:vAlign w:val="center"/>
          </w:tcPr>
          <w:p>
            <w:pPr>
              <w:jc w:val="center"/>
              <w:rPr>
                <w:szCs w:val="21"/>
              </w:rPr>
            </w:pPr>
            <w:r>
              <w:rPr>
                <w:szCs w:val="21"/>
              </w:rPr>
              <w:t>PM</w:t>
            </w:r>
            <w:r>
              <w:rPr>
                <w:szCs w:val="21"/>
                <w:vertAlign w:val="subscript"/>
              </w:rPr>
              <w:t>10</w:t>
            </w:r>
          </w:p>
        </w:tc>
        <w:tc>
          <w:tcPr>
            <w:tcW w:w="2070" w:type="dxa"/>
            <w:noWrap w:val="0"/>
            <w:vAlign w:val="center"/>
          </w:tcPr>
          <w:p>
            <w:pPr>
              <w:jc w:val="center"/>
              <w:rPr>
                <w:rFonts w:hint="eastAsia"/>
                <w:szCs w:val="21"/>
              </w:rPr>
            </w:pPr>
            <w:r>
              <w:rPr>
                <w:rFonts w:hint="eastAsia"/>
                <w:szCs w:val="21"/>
              </w:rPr>
              <w:t>年平均质量浓度</w:t>
            </w:r>
          </w:p>
        </w:tc>
        <w:tc>
          <w:tcPr>
            <w:tcW w:w="2069" w:type="dxa"/>
            <w:noWrap w:val="0"/>
            <w:vAlign w:val="center"/>
          </w:tcPr>
          <w:p>
            <w:pPr>
              <w:jc w:val="center"/>
              <w:rPr>
                <w:szCs w:val="21"/>
              </w:rPr>
            </w:pPr>
            <w:r>
              <w:rPr>
                <w:rFonts w:hint="eastAsia"/>
                <w:szCs w:val="21"/>
              </w:rPr>
              <w:t>8</w:t>
            </w:r>
            <w:r>
              <w:rPr>
                <w:szCs w:val="21"/>
              </w:rPr>
              <w:t>3.7</w:t>
            </w:r>
          </w:p>
        </w:tc>
        <w:tc>
          <w:tcPr>
            <w:tcW w:w="1752" w:type="dxa"/>
            <w:noWrap w:val="0"/>
            <w:vAlign w:val="center"/>
          </w:tcPr>
          <w:p>
            <w:pPr>
              <w:jc w:val="center"/>
              <w:rPr>
                <w:szCs w:val="21"/>
              </w:rPr>
            </w:pPr>
            <w:r>
              <w:rPr>
                <w:rFonts w:hint="eastAsia"/>
                <w:szCs w:val="21"/>
              </w:rPr>
              <w:t>7</w:t>
            </w:r>
            <w:r>
              <w:rPr>
                <w:szCs w:val="21"/>
              </w:rPr>
              <w:t>0</w:t>
            </w:r>
          </w:p>
        </w:tc>
        <w:tc>
          <w:tcPr>
            <w:tcW w:w="1274" w:type="dxa"/>
            <w:noWrap w:val="0"/>
            <w:vAlign w:val="center"/>
          </w:tcPr>
          <w:p>
            <w:pPr>
              <w:jc w:val="center"/>
              <w:rPr>
                <w:szCs w:val="21"/>
              </w:rPr>
            </w:pPr>
            <w:r>
              <w:rPr>
                <w:rFonts w:hint="eastAsia"/>
                <w:szCs w:val="21"/>
              </w:rPr>
              <w:t>1</w:t>
            </w:r>
            <w:r>
              <w:rPr>
                <w:szCs w:val="21"/>
              </w:rPr>
              <w:t>.196</w:t>
            </w:r>
          </w:p>
        </w:tc>
        <w:tc>
          <w:tcPr>
            <w:tcW w:w="1176" w:type="dxa"/>
            <w:noWrap w:val="0"/>
            <w:vAlign w:val="center"/>
          </w:tcPr>
          <w:p>
            <w:pPr>
              <w:jc w:val="center"/>
              <w:rPr>
                <w:szCs w:val="21"/>
              </w:rPr>
            </w:pPr>
            <w:r>
              <w:rPr>
                <w:rFonts w:hint="eastAsia"/>
                <w:szCs w:val="21"/>
              </w:rPr>
              <w:t>不达标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108" w:type="dxa"/>
            <w:bottom w:w="0" w:type="dxa"/>
            <w:right w:w="108" w:type="dxa"/>
          </w:tblCellMar>
        </w:tblPrEx>
        <w:trPr>
          <w:jc w:val="center"/>
        </w:trPr>
        <w:tc>
          <w:tcPr>
            <w:tcW w:w="1125" w:type="dxa"/>
            <w:noWrap w:val="0"/>
            <w:vAlign w:val="center"/>
          </w:tcPr>
          <w:p>
            <w:pPr>
              <w:jc w:val="center"/>
              <w:rPr>
                <w:szCs w:val="21"/>
              </w:rPr>
            </w:pPr>
            <w:r>
              <w:rPr>
                <w:szCs w:val="21"/>
              </w:rPr>
              <w:t>PM</w:t>
            </w:r>
            <w:r>
              <w:rPr>
                <w:szCs w:val="21"/>
                <w:vertAlign w:val="subscript"/>
              </w:rPr>
              <w:t>2.5</w:t>
            </w:r>
          </w:p>
        </w:tc>
        <w:tc>
          <w:tcPr>
            <w:tcW w:w="2070" w:type="dxa"/>
            <w:noWrap w:val="0"/>
            <w:vAlign w:val="center"/>
          </w:tcPr>
          <w:p>
            <w:pPr>
              <w:jc w:val="center"/>
              <w:rPr>
                <w:rFonts w:hint="eastAsia"/>
                <w:szCs w:val="21"/>
              </w:rPr>
            </w:pPr>
            <w:r>
              <w:rPr>
                <w:rFonts w:hint="eastAsia"/>
                <w:szCs w:val="21"/>
              </w:rPr>
              <w:t>年平均质量浓度</w:t>
            </w:r>
          </w:p>
        </w:tc>
        <w:tc>
          <w:tcPr>
            <w:tcW w:w="2069" w:type="dxa"/>
            <w:noWrap w:val="0"/>
            <w:vAlign w:val="center"/>
          </w:tcPr>
          <w:p>
            <w:pPr>
              <w:jc w:val="center"/>
              <w:rPr>
                <w:szCs w:val="21"/>
              </w:rPr>
            </w:pPr>
            <w:r>
              <w:rPr>
                <w:rFonts w:hint="eastAsia"/>
                <w:szCs w:val="21"/>
              </w:rPr>
              <w:t>5</w:t>
            </w:r>
            <w:r>
              <w:rPr>
                <w:szCs w:val="21"/>
              </w:rPr>
              <w:t>5.3</w:t>
            </w:r>
          </w:p>
        </w:tc>
        <w:tc>
          <w:tcPr>
            <w:tcW w:w="1752" w:type="dxa"/>
            <w:noWrap w:val="0"/>
            <w:vAlign w:val="center"/>
          </w:tcPr>
          <w:p>
            <w:pPr>
              <w:jc w:val="center"/>
              <w:rPr>
                <w:szCs w:val="21"/>
              </w:rPr>
            </w:pPr>
            <w:r>
              <w:rPr>
                <w:rFonts w:hint="eastAsia"/>
                <w:szCs w:val="21"/>
              </w:rPr>
              <w:t>3</w:t>
            </w:r>
            <w:r>
              <w:rPr>
                <w:szCs w:val="21"/>
              </w:rPr>
              <w:t>5</w:t>
            </w:r>
          </w:p>
        </w:tc>
        <w:tc>
          <w:tcPr>
            <w:tcW w:w="1274" w:type="dxa"/>
            <w:noWrap w:val="0"/>
            <w:vAlign w:val="center"/>
          </w:tcPr>
          <w:p>
            <w:pPr>
              <w:jc w:val="center"/>
              <w:rPr>
                <w:szCs w:val="21"/>
              </w:rPr>
            </w:pPr>
            <w:r>
              <w:rPr>
                <w:rFonts w:hint="eastAsia"/>
                <w:szCs w:val="21"/>
              </w:rPr>
              <w:t>1</w:t>
            </w:r>
            <w:r>
              <w:rPr>
                <w:szCs w:val="21"/>
              </w:rPr>
              <w:t>.58</w:t>
            </w:r>
          </w:p>
        </w:tc>
        <w:tc>
          <w:tcPr>
            <w:tcW w:w="1176" w:type="dxa"/>
            <w:noWrap w:val="0"/>
            <w:vAlign w:val="center"/>
          </w:tcPr>
          <w:p>
            <w:pPr>
              <w:jc w:val="center"/>
              <w:rPr>
                <w:szCs w:val="21"/>
              </w:rPr>
            </w:pPr>
            <w:r>
              <w:rPr>
                <w:rFonts w:hint="eastAsia"/>
                <w:szCs w:val="21"/>
              </w:rPr>
              <w:t>不达标</w:t>
            </w:r>
          </w:p>
        </w:tc>
      </w:tr>
    </w:tbl>
    <w:p>
      <w:pPr>
        <w:adjustRightInd w:val="0"/>
        <w:snapToGrid w:val="0"/>
        <w:spacing w:line="360" w:lineRule="auto"/>
        <w:ind w:firstLine="480" w:firstLineChars="200"/>
        <w:rPr>
          <w:sz w:val="24"/>
        </w:rPr>
      </w:pPr>
      <w:bookmarkStart w:id="2" w:name="_Hlk6327794"/>
      <w:r>
        <w:rPr>
          <w:rFonts w:hint="eastAsia"/>
          <w:sz w:val="24"/>
        </w:rPr>
        <w:t>根据上表可知，乐山市S</w:t>
      </w:r>
      <w:r>
        <w:rPr>
          <w:sz w:val="24"/>
        </w:rPr>
        <w:t>O</w:t>
      </w:r>
      <w:r>
        <w:rPr>
          <w:sz w:val="24"/>
          <w:vertAlign w:val="subscript"/>
        </w:rPr>
        <w:t>2</w:t>
      </w:r>
      <w:r>
        <w:rPr>
          <w:rFonts w:hint="eastAsia"/>
          <w:sz w:val="24"/>
        </w:rPr>
        <w:t>、N</w:t>
      </w:r>
      <w:r>
        <w:rPr>
          <w:sz w:val="24"/>
        </w:rPr>
        <w:t>O</w:t>
      </w:r>
      <w:r>
        <w:rPr>
          <w:sz w:val="24"/>
          <w:vertAlign w:val="subscript"/>
        </w:rPr>
        <w:t>2</w:t>
      </w:r>
      <w:r>
        <w:rPr>
          <w:rFonts w:hint="eastAsia"/>
          <w:sz w:val="24"/>
        </w:rPr>
        <w:t>、O</w:t>
      </w:r>
      <w:r>
        <w:rPr>
          <w:sz w:val="24"/>
          <w:vertAlign w:val="subscript"/>
        </w:rPr>
        <w:t>3</w:t>
      </w:r>
      <w:r>
        <w:rPr>
          <w:rFonts w:hint="eastAsia"/>
          <w:sz w:val="24"/>
        </w:rPr>
        <w:t>、C</w:t>
      </w:r>
      <w:r>
        <w:rPr>
          <w:sz w:val="24"/>
        </w:rPr>
        <w:t>O</w:t>
      </w:r>
      <w:r>
        <w:rPr>
          <w:rFonts w:hint="eastAsia"/>
          <w:sz w:val="24"/>
        </w:rPr>
        <w:t>年平均浓度满足《环境空气质量标准》（GB3095-2012）中二级标准，P</w:t>
      </w:r>
      <w:r>
        <w:rPr>
          <w:sz w:val="24"/>
        </w:rPr>
        <w:t>M</w:t>
      </w:r>
      <w:r>
        <w:rPr>
          <w:sz w:val="24"/>
          <w:vertAlign w:val="subscript"/>
        </w:rPr>
        <w:t>10</w:t>
      </w:r>
      <w:r>
        <w:rPr>
          <w:rFonts w:hint="eastAsia"/>
          <w:sz w:val="24"/>
        </w:rPr>
        <w:t>、P</w:t>
      </w:r>
      <w:r>
        <w:rPr>
          <w:sz w:val="24"/>
        </w:rPr>
        <w:t>M</w:t>
      </w:r>
      <w:r>
        <w:rPr>
          <w:sz w:val="24"/>
          <w:vertAlign w:val="subscript"/>
        </w:rPr>
        <w:t>2.5</w:t>
      </w:r>
      <w:r>
        <w:rPr>
          <w:rFonts w:hint="eastAsia"/>
          <w:sz w:val="24"/>
        </w:rPr>
        <w:t>年平均浓度不满足</w:t>
      </w:r>
      <w:r>
        <w:rPr>
          <w:sz w:val="24"/>
        </w:rPr>
        <w:t>《环境空气质量标准》（GB3095-2012）中二级标准</w:t>
      </w:r>
      <w:r>
        <w:rPr>
          <w:rFonts w:hint="eastAsia"/>
          <w:sz w:val="24"/>
        </w:rPr>
        <w:t>要求，因此本项目所在区域为不达标区。乐山市制定了乐山市大气环境质量限期达标规划（2016年-2025年），明确大气污染防治措施，力争在 2025年底前实现空气质量全面达标。</w:t>
      </w:r>
    </w:p>
    <w:p>
      <w:pPr>
        <w:adjustRightInd w:val="0"/>
        <w:snapToGrid w:val="0"/>
        <w:spacing w:line="360" w:lineRule="auto"/>
        <w:ind w:firstLine="480" w:firstLineChars="200"/>
        <w:rPr>
          <w:rFonts w:hint="eastAsia"/>
          <w:sz w:val="24"/>
        </w:rPr>
      </w:pPr>
      <w:r>
        <w:rPr>
          <w:rFonts w:hint="eastAsia"/>
          <w:sz w:val="24"/>
        </w:rPr>
        <w:t>（1）近期（2017-2020）——以减排促改善</w:t>
      </w:r>
    </w:p>
    <w:p>
      <w:pPr>
        <w:adjustRightInd w:val="0"/>
        <w:snapToGrid w:val="0"/>
        <w:spacing w:line="360" w:lineRule="auto"/>
        <w:ind w:firstLine="480" w:firstLineChars="200"/>
        <w:rPr>
          <w:sz w:val="24"/>
        </w:rPr>
      </w:pPr>
      <w:r>
        <w:rPr>
          <w:rFonts w:hint="eastAsia"/>
          <w:sz w:val="24"/>
        </w:rPr>
        <w:t>“十三五”期间，通过控煤、控车、控尘以及调工业布局、调产业结构、调能源结构和成都平原经济区、各县（市、区）、市级部门联动“三控三调三联动”，集中攻坚削减大气污染物排放总量。严格执行大气污染物排放限值标准，强力实施产业和能源结构调整、工业污染整治、燃煤和餐饮油烟整治、城市和道路扬尘整治、机动车污染整治、露天焚烧污染整治等六大专项行动，努力解决灰霾问题。</w:t>
      </w:r>
    </w:p>
    <w:p>
      <w:pPr>
        <w:adjustRightInd w:val="0"/>
        <w:snapToGrid w:val="0"/>
        <w:spacing w:line="360" w:lineRule="auto"/>
        <w:ind w:firstLine="480" w:firstLineChars="200"/>
        <w:rPr>
          <w:rFonts w:hint="eastAsia"/>
          <w:sz w:val="24"/>
        </w:rPr>
      </w:pPr>
      <w:r>
        <w:rPr>
          <w:rFonts w:hint="eastAsia"/>
          <w:sz w:val="24"/>
        </w:rPr>
        <w:t>（</w:t>
      </w:r>
      <w:r>
        <w:rPr>
          <w:sz w:val="24"/>
        </w:rPr>
        <w:t>2</w:t>
      </w:r>
      <w:r>
        <w:rPr>
          <w:rFonts w:hint="eastAsia"/>
          <w:sz w:val="24"/>
        </w:rPr>
        <w:t>）中长期（2021-2025）——调结构促转变、强化源头控制，实现战略转型。</w:t>
      </w:r>
    </w:p>
    <w:p>
      <w:pPr>
        <w:adjustRightInd w:val="0"/>
        <w:snapToGrid w:val="0"/>
        <w:spacing w:line="360" w:lineRule="auto"/>
        <w:ind w:firstLine="480" w:firstLineChars="200"/>
        <w:rPr>
          <w:rFonts w:hint="eastAsia"/>
          <w:sz w:val="24"/>
        </w:rPr>
      </w:pPr>
      <w:r>
        <w:rPr>
          <w:rFonts w:hint="eastAsia"/>
          <w:sz w:val="24"/>
        </w:rPr>
        <w:t>逐步调整产业结构，以大气环境达标倒逼产业转型，逐步实现大气污染控制从末端治理到源头控制过渡，加快工业发展绿色化进程。这一时期大气污染排放量控制的重点将是强化源头的全控制过程。以空间格局及产业布局优化为切入点，通过严格环境准入、企业</w:t>
      </w:r>
      <w:r>
        <w:rPr>
          <w:b/>
          <w:color w:val="0C0C0C"/>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-10160</wp:posOffset>
                </wp:positionV>
                <wp:extent cx="6105525" cy="8924925"/>
                <wp:effectExtent l="5080" t="5080" r="4445" b="4445"/>
                <wp:wrapNone/>
                <wp:docPr id="5" name="矩形 5"/>
                <wp:cNvGraphicFramePr/>
                <a:graphic xmlns:a="http://schemas.openxmlformats.org/drawingml/2006/main">
                  <a:graphicData uri="http://schemas.microsoft.com/office/word/2010/wordprocessingShape">
                    <wps:wsp>
                      <wps:cNvSpPr/>
                      <wps:spPr>
                        <a:xfrm>
                          <a:off x="0" y="0"/>
                          <a:ext cx="6105525" cy="892492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0.5pt;margin-top:-0.8pt;height:702.75pt;width:480.75pt;z-index:251662336;mso-width-relative:page;mso-height-relative:page;" filled="f" stroked="t" coordsize="21600,21600" o:gfxdata="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myg/fZAAAACwEAAA8AAAAA&#10;AAAAAQAgAAAAIgAAAGRycy9kb3ducmV2LnhtbFBLAQIUABQAAAAIAIdO4kCaMiZ82gEAAKgDAAAO&#10;AAAAAAAAAAEAIAAAACgBAABkcnMvZTJvRG9jLnhtbFBLBQYAAAAABgAGAFkBAAB0BQAAAAA=&#10;">
                <v:fill on="f" focussize="0,0"/>
                <v:stroke color="#000000" joinstyle="miter"/>
                <v:imagedata o:title=""/>
                <o:lock v:ext="edit" aspectratio="f"/>
              </v:rect>
            </w:pict>
          </mc:Fallback>
        </mc:AlternateContent>
      </w:r>
      <w:r>
        <w:rPr>
          <w:rFonts w:hint="eastAsia"/>
          <w:sz w:val="24"/>
        </w:rPr>
        <w:t>搬迁、产能淘汰等差异化的空间管理要求，引导经济发展格局有序发展；通过提高环境准入门槛、淘汰落后产能等方式倒逼能源结构和产业结构的优化升级。综合通过资源能源消费总量控制、调整产业结构、空间布局优化等手段从源头控制污染物排放。</w:t>
      </w:r>
    </w:p>
    <w:p>
      <w:pPr>
        <w:adjustRightInd w:val="0"/>
        <w:snapToGrid w:val="0"/>
        <w:spacing w:line="360" w:lineRule="auto"/>
        <w:ind w:firstLine="480" w:firstLineChars="200"/>
        <w:rPr>
          <w:rFonts w:hint="eastAsia"/>
          <w:sz w:val="24"/>
        </w:rPr>
      </w:pPr>
      <w:r>
        <w:rPr>
          <w:rFonts w:hint="eastAsia"/>
          <w:sz w:val="24"/>
        </w:rPr>
        <w:t>本项目运营期废气采取净化设施处理后达标排放，符合乐山市大气环境质量限期达标规划要求，项目建设对大气环境影响较小。</w:t>
      </w:r>
    </w:p>
    <w:bookmarkEnd w:id="2"/>
    <w:p>
      <w:pPr>
        <w:spacing w:line="360" w:lineRule="auto"/>
        <w:rPr>
          <w:b/>
          <w:bCs/>
          <w:sz w:val="24"/>
        </w:rPr>
      </w:pPr>
      <w:r>
        <w:rPr>
          <w:rFonts w:hint="eastAsia"/>
          <w:b/>
          <w:bCs/>
          <w:sz w:val="24"/>
        </w:rPr>
        <w:t>二、</w:t>
      </w:r>
      <w:r>
        <w:rPr>
          <w:b/>
          <w:bCs/>
          <w:sz w:val="24"/>
        </w:rPr>
        <w:t>地表水环境质量现状</w:t>
      </w:r>
    </w:p>
    <w:p>
      <w:pPr>
        <w:spacing w:line="360" w:lineRule="auto"/>
        <w:ind w:firstLine="560"/>
        <w:rPr>
          <w:sz w:val="24"/>
        </w:rPr>
      </w:pPr>
      <w:r>
        <w:rPr>
          <w:sz w:val="24"/>
        </w:rPr>
        <w:t>本次地表水环境质量引用</w:t>
      </w:r>
      <w:r>
        <w:rPr>
          <w:rFonts w:hint="eastAsia"/>
          <w:sz w:val="24"/>
        </w:rPr>
        <w:t>国家地表水水质自动监测，四川乐山岷江大桥水质自动监测站数据（P</w:t>
      </w:r>
      <w:r>
        <w:rPr>
          <w:sz w:val="24"/>
        </w:rPr>
        <w:t>H8.1</w:t>
      </w:r>
      <w:r>
        <w:rPr>
          <w:rFonts w:hint="eastAsia"/>
          <w:sz w:val="24"/>
        </w:rPr>
        <w:t>、溶解氧6</w:t>
      </w:r>
      <w:r>
        <w:rPr>
          <w:sz w:val="24"/>
        </w:rPr>
        <w:t>.0</w:t>
      </w:r>
      <w:r>
        <w:rPr>
          <w:rFonts w:hint="eastAsia"/>
          <w:sz w:val="24"/>
        </w:rPr>
        <w:t>、氨氮0</w:t>
      </w:r>
      <w:r>
        <w:rPr>
          <w:sz w:val="24"/>
        </w:rPr>
        <w:t>.02</w:t>
      </w:r>
      <w:r>
        <w:rPr>
          <w:rFonts w:hint="eastAsia"/>
          <w:sz w:val="24"/>
        </w:rPr>
        <w:t>）</w:t>
      </w:r>
      <w:r>
        <w:rPr>
          <w:sz w:val="24"/>
        </w:rPr>
        <w:t>监测数据表明，评价河段满足《地表水环境质量标准》（GB3838-2002）中Ⅲ类标准限值要求，区域地表水水质状况良好。</w:t>
      </w:r>
    </w:p>
    <w:p>
      <w:pPr>
        <w:spacing w:line="360" w:lineRule="auto"/>
        <w:rPr>
          <w:b/>
          <w:bCs/>
          <w:sz w:val="24"/>
        </w:rPr>
      </w:pPr>
      <w:r>
        <w:rPr>
          <w:b/>
          <w:bCs/>
          <w:sz w:val="24"/>
        </w:rPr>
        <w:t>三、声环境质量现状</w:t>
      </w:r>
    </w:p>
    <w:p>
      <w:pPr>
        <w:pStyle w:val="106"/>
        <w:ind w:firstLine="480"/>
        <w:rPr>
          <w:rFonts w:hint="eastAsia"/>
        </w:rPr>
      </w:pPr>
      <w:r>
        <w:rPr>
          <w:rFonts w:hint="eastAsia"/>
        </w:rPr>
        <w:t>监测项目：各测声点昼间及夜间的等效连续A声级。</w:t>
      </w:r>
    </w:p>
    <w:p>
      <w:pPr>
        <w:pStyle w:val="106"/>
        <w:ind w:firstLine="480"/>
        <w:rPr>
          <w:rFonts w:hint="eastAsia"/>
        </w:rPr>
      </w:pPr>
      <w:r>
        <w:rPr>
          <w:rFonts w:hint="eastAsia"/>
        </w:rPr>
        <w:t>监测点位：项目四周。</w:t>
      </w:r>
    </w:p>
    <w:p>
      <w:pPr>
        <w:pStyle w:val="106"/>
        <w:ind w:firstLine="480"/>
        <w:rPr>
          <w:rFonts w:hint="eastAsia"/>
        </w:rPr>
      </w:pPr>
      <w:r>
        <w:rPr>
          <w:rFonts w:hint="eastAsia"/>
        </w:rPr>
        <w:t>监测频次：连续监测2天，昼间、夜间各测一次，昼间：6：00~22：00，夜间：22:00~6:00。</w:t>
      </w:r>
    </w:p>
    <w:p>
      <w:pPr>
        <w:spacing w:before="120" w:beforeLines="50"/>
        <w:jc w:val="center"/>
        <w:rPr>
          <w:rFonts w:hint="eastAsia" w:ascii="黑体" w:hAnsi="黑体" w:eastAsia="黑体"/>
          <w:color w:val="000000"/>
          <w:sz w:val="24"/>
        </w:rPr>
      </w:pPr>
      <w:r>
        <w:rPr>
          <w:rFonts w:hint="eastAsia"/>
          <w:b/>
          <w:szCs w:val="21"/>
        </w:rPr>
        <w:t>表</w:t>
      </w:r>
      <w:r>
        <w:rPr>
          <w:b/>
          <w:szCs w:val="21"/>
        </w:rPr>
        <w:t>3</w:t>
      </w:r>
      <w:r>
        <w:rPr>
          <w:rFonts w:hint="eastAsia"/>
          <w:b/>
          <w:szCs w:val="21"/>
        </w:rPr>
        <w:t>-2  声环境质量监测结</w:t>
      </w:r>
      <w:r>
        <w:rPr>
          <w:rFonts w:hint="eastAsia" w:ascii="黑体" w:hAnsi="黑体" w:eastAsia="黑体"/>
          <w:color w:val="000000"/>
          <w:sz w:val="24"/>
        </w:rPr>
        <w:t>果</w:t>
      </w:r>
    </w:p>
    <w:tbl>
      <w:tblPr>
        <w:tblStyle w:val="69"/>
        <w:tblW w:w="9115"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84"/>
        <w:gridCol w:w="1275"/>
        <w:gridCol w:w="2730"/>
        <w:gridCol w:w="1081"/>
        <w:gridCol w:w="1081"/>
        <w:gridCol w:w="1081"/>
        <w:gridCol w:w="108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blHeader/>
        </w:trPr>
        <w:tc>
          <w:tcPr>
            <w:tcW w:w="784" w:type="dxa"/>
            <w:vMerge w:val="restart"/>
            <w:noWrap w:val="0"/>
            <w:vAlign w:val="center"/>
          </w:tcPr>
          <w:p>
            <w:pPr>
              <w:widowControl/>
              <w:adjustRightInd w:val="0"/>
              <w:jc w:val="center"/>
              <w:rPr>
                <w:rFonts w:hint="eastAsia"/>
                <w:color w:val="000000"/>
                <w:kern w:val="0"/>
                <w:szCs w:val="21"/>
              </w:rPr>
            </w:pPr>
            <w:r>
              <w:rPr>
                <w:rFonts w:hint="eastAsia"/>
                <w:color w:val="000000"/>
                <w:kern w:val="0"/>
                <w:szCs w:val="21"/>
              </w:rPr>
              <w:t>点位编号</w:t>
            </w:r>
          </w:p>
        </w:tc>
        <w:tc>
          <w:tcPr>
            <w:tcW w:w="4005" w:type="dxa"/>
            <w:gridSpan w:val="2"/>
            <w:noWrap w:val="0"/>
            <w:vAlign w:val="center"/>
          </w:tcPr>
          <w:p>
            <w:pPr>
              <w:widowControl/>
              <w:adjustRightInd w:val="0"/>
              <w:jc w:val="center"/>
              <w:rPr>
                <w:rFonts w:hint="eastAsia" w:ascii="宋体" w:hAnsi="宋体" w:cs="宋体"/>
                <w:color w:val="000000"/>
                <w:kern w:val="0"/>
                <w:szCs w:val="21"/>
              </w:rPr>
            </w:pPr>
            <w:r>
              <w:rPr>
                <w:rFonts w:hint="eastAsia" w:ascii="宋体" w:hAnsi="宋体" w:cs="宋体"/>
                <w:color w:val="000000"/>
                <w:kern w:val="0"/>
                <w:szCs w:val="21"/>
              </w:rPr>
              <w:t>监测点位</w:t>
            </w:r>
          </w:p>
        </w:tc>
        <w:tc>
          <w:tcPr>
            <w:tcW w:w="4326" w:type="dxa"/>
            <w:gridSpan w:val="4"/>
            <w:noWrap w:val="0"/>
            <w:vAlign w:val="center"/>
          </w:tcPr>
          <w:p>
            <w:pPr>
              <w:widowControl/>
              <w:adjustRightInd w:val="0"/>
              <w:jc w:val="center"/>
              <w:rPr>
                <w:rFonts w:eastAsia="Times New Roman"/>
                <w:color w:val="000000"/>
                <w:kern w:val="0"/>
                <w:szCs w:val="21"/>
              </w:rPr>
            </w:pPr>
            <w:r>
              <w:rPr>
                <w:rFonts w:hint="eastAsia"/>
                <w:color w:val="000000"/>
                <w:kern w:val="0"/>
                <w:szCs w:val="21"/>
              </w:rPr>
              <w:t>监测</w:t>
            </w:r>
            <w:r>
              <w:rPr>
                <w:color w:val="000000"/>
                <w:kern w:val="0"/>
                <w:szCs w:val="21"/>
              </w:rPr>
              <w:t>结果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blHeader/>
        </w:trPr>
        <w:tc>
          <w:tcPr>
            <w:tcW w:w="784" w:type="dxa"/>
            <w:vMerge w:val="continue"/>
            <w:noWrap w:val="0"/>
            <w:vAlign w:val="center"/>
          </w:tcPr>
          <w:p>
            <w:pPr>
              <w:widowControl/>
              <w:adjustRightInd w:val="0"/>
              <w:jc w:val="center"/>
              <w:rPr>
                <w:color w:val="000000"/>
              </w:rPr>
            </w:pPr>
          </w:p>
        </w:tc>
        <w:tc>
          <w:tcPr>
            <w:tcW w:w="1275" w:type="dxa"/>
            <w:vMerge w:val="restart"/>
            <w:noWrap w:val="0"/>
            <w:vAlign w:val="center"/>
          </w:tcPr>
          <w:p>
            <w:pPr>
              <w:widowControl/>
              <w:jc w:val="center"/>
              <w:rPr>
                <w:rFonts w:hint="eastAsia"/>
                <w:color w:val="000000"/>
                <w:kern w:val="0"/>
                <w:szCs w:val="21"/>
              </w:rPr>
            </w:pPr>
            <w:r>
              <w:rPr>
                <w:rFonts w:hint="eastAsia"/>
                <w:color w:val="000000"/>
                <w:kern w:val="0"/>
                <w:szCs w:val="21"/>
              </w:rPr>
              <w:t>点位名称</w:t>
            </w:r>
          </w:p>
        </w:tc>
        <w:tc>
          <w:tcPr>
            <w:tcW w:w="2730" w:type="dxa"/>
            <w:vMerge w:val="restart"/>
            <w:noWrap w:val="0"/>
            <w:vAlign w:val="center"/>
          </w:tcPr>
          <w:p>
            <w:pPr>
              <w:pStyle w:val="350"/>
              <w:jc w:val="center"/>
              <w:rPr>
                <w:bCs/>
                <w:color w:val="auto"/>
                <w:sz w:val="21"/>
                <w:szCs w:val="21"/>
              </w:rPr>
            </w:pPr>
            <w:r>
              <w:rPr>
                <w:bCs/>
                <w:color w:val="auto"/>
                <w:sz w:val="21"/>
                <w:szCs w:val="21"/>
              </w:rPr>
              <w:t>东经，北纬</w:t>
            </w:r>
          </w:p>
          <w:p>
            <w:pPr>
              <w:widowControl/>
              <w:jc w:val="center"/>
              <w:rPr>
                <w:color w:val="000000"/>
                <w:kern w:val="0"/>
                <w:szCs w:val="21"/>
              </w:rPr>
            </w:pPr>
            <w:r>
              <w:rPr>
                <w:rFonts w:hint="eastAsia"/>
                <w:color w:val="000000"/>
                <w:szCs w:val="21"/>
              </w:rPr>
              <w:t>（</w:t>
            </w:r>
            <w:r>
              <w:rPr>
                <w:szCs w:val="21"/>
              </w:rPr>
              <w:t>°</w:t>
            </w:r>
            <w:r>
              <w:rPr>
                <w:rFonts w:hint="eastAsia"/>
                <w:szCs w:val="21"/>
              </w:rPr>
              <w:t>/</w:t>
            </w:r>
            <w:r>
              <w:rPr>
                <w:szCs w:val="21"/>
              </w:rPr>
              <w:t>′</w:t>
            </w:r>
            <w:r>
              <w:rPr>
                <w:rFonts w:hint="eastAsia"/>
                <w:szCs w:val="21"/>
              </w:rPr>
              <w:t>/</w:t>
            </w:r>
            <w:r>
              <w:rPr>
                <w:szCs w:val="21"/>
              </w:rPr>
              <w:t>″</w:t>
            </w:r>
            <w:r>
              <w:rPr>
                <w:rFonts w:hint="eastAsia"/>
                <w:color w:val="000000"/>
                <w:szCs w:val="21"/>
              </w:rPr>
              <w:t>）</w:t>
            </w:r>
          </w:p>
        </w:tc>
        <w:tc>
          <w:tcPr>
            <w:tcW w:w="2162" w:type="dxa"/>
            <w:gridSpan w:val="2"/>
            <w:noWrap w:val="0"/>
            <w:vAlign w:val="center"/>
          </w:tcPr>
          <w:p>
            <w:pPr>
              <w:widowControl/>
              <w:adjustRightInd w:val="0"/>
              <w:jc w:val="center"/>
              <w:rPr>
                <w:color w:val="000000"/>
                <w:kern w:val="0"/>
                <w:szCs w:val="21"/>
              </w:rPr>
            </w:pPr>
            <w:r>
              <w:rPr>
                <w:rFonts w:hint="eastAsia"/>
                <w:color w:val="000000"/>
                <w:kern w:val="0"/>
                <w:szCs w:val="21"/>
              </w:rPr>
              <w:t>2018.7.3</w:t>
            </w:r>
          </w:p>
        </w:tc>
        <w:tc>
          <w:tcPr>
            <w:tcW w:w="2164" w:type="dxa"/>
            <w:gridSpan w:val="2"/>
            <w:noWrap w:val="0"/>
            <w:vAlign w:val="center"/>
          </w:tcPr>
          <w:p>
            <w:pPr>
              <w:widowControl/>
              <w:adjustRightInd w:val="0"/>
              <w:jc w:val="center"/>
              <w:rPr>
                <w:color w:val="000000"/>
                <w:kern w:val="0"/>
                <w:szCs w:val="21"/>
              </w:rPr>
            </w:pPr>
            <w:r>
              <w:rPr>
                <w:rFonts w:hint="eastAsia"/>
                <w:color w:val="000000"/>
                <w:kern w:val="0"/>
                <w:szCs w:val="21"/>
              </w:rPr>
              <w:t>2018.7.4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blHeader/>
        </w:trPr>
        <w:tc>
          <w:tcPr>
            <w:tcW w:w="784" w:type="dxa"/>
            <w:vMerge w:val="continue"/>
            <w:noWrap w:val="0"/>
            <w:vAlign w:val="center"/>
          </w:tcPr>
          <w:p>
            <w:pPr>
              <w:widowControl/>
              <w:jc w:val="left"/>
              <w:rPr>
                <w:color w:val="000000"/>
                <w:kern w:val="0"/>
                <w:szCs w:val="21"/>
              </w:rPr>
            </w:pPr>
          </w:p>
        </w:tc>
        <w:tc>
          <w:tcPr>
            <w:tcW w:w="1275" w:type="dxa"/>
            <w:vMerge w:val="continue"/>
            <w:noWrap w:val="0"/>
            <w:vAlign w:val="center"/>
          </w:tcPr>
          <w:p>
            <w:pPr>
              <w:widowControl/>
              <w:jc w:val="center"/>
              <w:rPr>
                <w:rFonts w:hint="eastAsia"/>
                <w:color w:val="000000"/>
                <w:kern w:val="0"/>
                <w:szCs w:val="21"/>
              </w:rPr>
            </w:pPr>
          </w:p>
        </w:tc>
        <w:tc>
          <w:tcPr>
            <w:tcW w:w="2730" w:type="dxa"/>
            <w:vMerge w:val="continue"/>
            <w:noWrap w:val="0"/>
            <w:vAlign w:val="center"/>
          </w:tcPr>
          <w:p>
            <w:pPr>
              <w:widowControl/>
              <w:jc w:val="center"/>
              <w:rPr>
                <w:color w:val="000000"/>
                <w:kern w:val="0"/>
                <w:szCs w:val="21"/>
              </w:rPr>
            </w:pPr>
          </w:p>
        </w:tc>
        <w:tc>
          <w:tcPr>
            <w:tcW w:w="1081" w:type="dxa"/>
            <w:noWrap w:val="0"/>
            <w:vAlign w:val="center"/>
          </w:tcPr>
          <w:p>
            <w:pPr>
              <w:widowControl/>
              <w:adjustRightInd w:val="0"/>
              <w:jc w:val="center"/>
              <w:rPr>
                <w:rFonts w:hint="eastAsia"/>
                <w:color w:val="000000"/>
                <w:kern w:val="0"/>
                <w:szCs w:val="21"/>
              </w:rPr>
            </w:pPr>
            <w:r>
              <w:rPr>
                <w:rFonts w:hint="eastAsia"/>
                <w:color w:val="000000"/>
                <w:kern w:val="0"/>
                <w:szCs w:val="21"/>
              </w:rPr>
              <w:t>昼间</w:t>
            </w:r>
          </w:p>
        </w:tc>
        <w:tc>
          <w:tcPr>
            <w:tcW w:w="1081" w:type="dxa"/>
            <w:noWrap w:val="0"/>
            <w:vAlign w:val="center"/>
          </w:tcPr>
          <w:p>
            <w:pPr>
              <w:widowControl/>
              <w:adjustRightInd w:val="0"/>
              <w:jc w:val="center"/>
              <w:rPr>
                <w:rFonts w:hint="eastAsia"/>
                <w:color w:val="000000"/>
                <w:kern w:val="0"/>
                <w:szCs w:val="21"/>
              </w:rPr>
            </w:pPr>
            <w:r>
              <w:rPr>
                <w:rFonts w:hint="eastAsia"/>
                <w:color w:val="000000"/>
                <w:kern w:val="0"/>
                <w:szCs w:val="21"/>
              </w:rPr>
              <w:t>夜间</w:t>
            </w:r>
          </w:p>
        </w:tc>
        <w:tc>
          <w:tcPr>
            <w:tcW w:w="1081" w:type="dxa"/>
            <w:noWrap w:val="0"/>
            <w:vAlign w:val="center"/>
          </w:tcPr>
          <w:p>
            <w:pPr>
              <w:widowControl/>
              <w:adjustRightInd w:val="0"/>
              <w:jc w:val="center"/>
              <w:rPr>
                <w:rFonts w:hint="eastAsia"/>
                <w:color w:val="000000"/>
                <w:kern w:val="0"/>
                <w:szCs w:val="21"/>
              </w:rPr>
            </w:pPr>
            <w:r>
              <w:rPr>
                <w:rFonts w:hint="eastAsia"/>
                <w:color w:val="000000"/>
                <w:kern w:val="0"/>
                <w:szCs w:val="21"/>
              </w:rPr>
              <w:t>昼间</w:t>
            </w:r>
          </w:p>
        </w:tc>
        <w:tc>
          <w:tcPr>
            <w:tcW w:w="1083" w:type="dxa"/>
            <w:noWrap w:val="0"/>
            <w:vAlign w:val="center"/>
          </w:tcPr>
          <w:p>
            <w:pPr>
              <w:widowControl/>
              <w:adjustRightInd w:val="0"/>
              <w:jc w:val="center"/>
              <w:rPr>
                <w:rFonts w:hint="eastAsia"/>
                <w:color w:val="000000"/>
                <w:kern w:val="0"/>
                <w:szCs w:val="21"/>
              </w:rPr>
            </w:pPr>
            <w:r>
              <w:rPr>
                <w:rFonts w:hint="eastAsia"/>
                <w:color w:val="000000"/>
                <w:kern w:val="0"/>
                <w:szCs w:val="21"/>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784" w:type="dxa"/>
            <w:noWrap w:val="0"/>
            <w:vAlign w:val="center"/>
          </w:tcPr>
          <w:p>
            <w:pPr>
              <w:pStyle w:val="435"/>
              <w:rPr>
                <w:rFonts w:hint="eastAsia"/>
                <w:color w:val="000000"/>
                <w:szCs w:val="21"/>
              </w:rPr>
            </w:pPr>
            <w:r>
              <w:rPr>
                <w:rFonts w:hint="eastAsia"/>
                <w:kern w:val="2"/>
                <w:szCs w:val="21"/>
              </w:rPr>
              <w:t>1#</w:t>
            </w:r>
          </w:p>
        </w:tc>
        <w:tc>
          <w:tcPr>
            <w:tcW w:w="1275" w:type="dxa"/>
            <w:noWrap w:val="0"/>
            <w:vAlign w:val="center"/>
          </w:tcPr>
          <w:p>
            <w:pPr>
              <w:pStyle w:val="435"/>
              <w:rPr>
                <w:rFonts w:hint="eastAsia"/>
                <w:kern w:val="2"/>
                <w:szCs w:val="21"/>
              </w:rPr>
            </w:pPr>
            <w:r>
              <w:rPr>
                <w:rFonts w:hint="eastAsia"/>
                <w:color w:val="000000"/>
                <w:szCs w:val="21"/>
              </w:rPr>
              <w:t>项目东面</w:t>
            </w:r>
          </w:p>
        </w:tc>
        <w:tc>
          <w:tcPr>
            <w:tcW w:w="2730" w:type="dxa"/>
            <w:noWrap w:val="0"/>
            <w:vAlign w:val="center"/>
          </w:tcPr>
          <w:p>
            <w:pPr>
              <w:widowControl/>
              <w:jc w:val="center"/>
              <w:textAlignment w:val="center"/>
              <w:rPr>
                <w:rFonts w:hint="eastAsia"/>
                <w:szCs w:val="21"/>
              </w:rPr>
            </w:pPr>
            <w:r>
              <w:rPr>
                <w:rFonts w:hint="eastAsia"/>
                <w:szCs w:val="21"/>
              </w:rPr>
              <w:t>103</w:t>
            </w:r>
            <w:r>
              <w:rPr>
                <w:szCs w:val="21"/>
              </w:rPr>
              <w:t>°</w:t>
            </w:r>
            <w:r>
              <w:rPr>
                <w:rFonts w:hint="eastAsia"/>
                <w:szCs w:val="21"/>
              </w:rPr>
              <w:t>43</w:t>
            </w:r>
            <w:r>
              <w:rPr>
                <w:szCs w:val="21"/>
              </w:rPr>
              <w:t>′</w:t>
            </w:r>
            <w:r>
              <w:rPr>
                <w:rFonts w:hint="eastAsia"/>
                <w:szCs w:val="21"/>
              </w:rPr>
              <w:t>52.78</w:t>
            </w:r>
            <w:r>
              <w:rPr>
                <w:szCs w:val="21"/>
              </w:rPr>
              <w:t>″</w:t>
            </w:r>
            <w:r>
              <w:rPr>
                <w:rFonts w:hint="eastAsia"/>
                <w:szCs w:val="21"/>
              </w:rPr>
              <w:t>；29</w:t>
            </w:r>
            <w:r>
              <w:rPr>
                <w:szCs w:val="21"/>
              </w:rPr>
              <w:t>°</w:t>
            </w:r>
            <w:r>
              <w:rPr>
                <w:rFonts w:hint="eastAsia"/>
                <w:szCs w:val="21"/>
              </w:rPr>
              <w:t>40</w:t>
            </w:r>
            <w:r>
              <w:rPr>
                <w:szCs w:val="21"/>
              </w:rPr>
              <w:t>′</w:t>
            </w:r>
            <w:r>
              <w:rPr>
                <w:rFonts w:hint="eastAsia"/>
                <w:szCs w:val="21"/>
              </w:rPr>
              <w:t>38.39</w:t>
            </w:r>
            <w:r>
              <w:rPr>
                <w:szCs w:val="21"/>
              </w:rPr>
              <w:t>″</w:t>
            </w:r>
          </w:p>
        </w:tc>
        <w:tc>
          <w:tcPr>
            <w:tcW w:w="1081" w:type="dxa"/>
            <w:noWrap w:val="0"/>
            <w:vAlign w:val="center"/>
          </w:tcPr>
          <w:p>
            <w:pPr>
              <w:pStyle w:val="50"/>
              <w:adjustRightInd w:val="0"/>
              <w:spacing w:before="0" w:beforeAutospacing="0" w:after="0" w:afterAutospacing="0"/>
              <w:jc w:val="center"/>
              <w:rPr>
                <w:rFonts w:hint="eastAsia" w:ascii="Times New Roman" w:hAnsi="Times New Roman"/>
                <w:sz w:val="21"/>
                <w:szCs w:val="21"/>
              </w:rPr>
            </w:pPr>
            <w:r>
              <w:rPr>
                <w:rFonts w:hint="eastAsia" w:ascii="Times New Roman" w:hAnsi="Times New Roman"/>
                <w:sz w:val="21"/>
                <w:szCs w:val="21"/>
              </w:rPr>
              <w:t>45.2</w:t>
            </w:r>
          </w:p>
        </w:tc>
        <w:tc>
          <w:tcPr>
            <w:tcW w:w="1081" w:type="dxa"/>
            <w:noWrap w:val="0"/>
            <w:vAlign w:val="center"/>
          </w:tcPr>
          <w:p>
            <w:pPr>
              <w:pStyle w:val="50"/>
              <w:adjustRightInd w:val="0"/>
              <w:spacing w:before="0" w:beforeAutospacing="0" w:after="0" w:afterAutospacing="0"/>
              <w:jc w:val="center"/>
              <w:rPr>
                <w:rFonts w:hint="eastAsia" w:ascii="Times New Roman" w:hAnsi="Times New Roman"/>
                <w:sz w:val="21"/>
                <w:szCs w:val="21"/>
              </w:rPr>
            </w:pPr>
            <w:r>
              <w:rPr>
                <w:rFonts w:hint="eastAsia" w:ascii="Times New Roman" w:hAnsi="Times New Roman"/>
                <w:sz w:val="21"/>
                <w:szCs w:val="21"/>
              </w:rPr>
              <w:t>42.3</w:t>
            </w:r>
          </w:p>
        </w:tc>
        <w:tc>
          <w:tcPr>
            <w:tcW w:w="1081" w:type="dxa"/>
            <w:noWrap w:val="0"/>
            <w:vAlign w:val="center"/>
          </w:tcPr>
          <w:p>
            <w:pPr>
              <w:pStyle w:val="50"/>
              <w:adjustRightInd w:val="0"/>
              <w:spacing w:before="0" w:beforeAutospacing="0" w:after="0" w:afterAutospacing="0"/>
              <w:jc w:val="center"/>
              <w:rPr>
                <w:rFonts w:hint="eastAsia" w:ascii="Times New Roman" w:hAnsi="Times New Roman"/>
                <w:sz w:val="21"/>
                <w:szCs w:val="21"/>
              </w:rPr>
            </w:pPr>
            <w:r>
              <w:rPr>
                <w:rFonts w:hint="eastAsia" w:ascii="Times New Roman" w:hAnsi="Times New Roman"/>
                <w:sz w:val="21"/>
                <w:szCs w:val="21"/>
              </w:rPr>
              <w:t>43.9</w:t>
            </w:r>
          </w:p>
        </w:tc>
        <w:tc>
          <w:tcPr>
            <w:tcW w:w="1083" w:type="dxa"/>
            <w:noWrap w:val="0"/>
            <w:vAlign w:val="center"/>
          </w:tcPr>
          <w:p>
            <w:pPr>
              <w:pStyle w:val="50"/>
              <w:adjustRightInd w:val="0"/>
              <w:spacing w:before="0" w:beforeAutospacing="0" w:after="0" w:afterAutospacing="0"/>
              <w:jc w:val="center"/>
              <w:rPr>
                <w:rFonts w:hint="eastAsia" w:ascii="Times New Roman" w:hAnsi="Times New Roman"/>
                <w:sz w:val="21"/>
                <w:szCs w:val="21"/>
              </w:rPr>
            </w:pPr>
            <w:r>
              <w:rPr>
                <w:rFonts w:hint="eastAsia" w:ascii="Times New Roman" w:hAnsi="Times New Roman"/>
                <w:sz w:val="21"/>
                <w:szCs w:val="21"/>
              </w:rPr>
              <w:t>42.8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784" w:type="dxa"/>
            <w:noWrap w:val="0"/>
            <w:vAlign w:val="center"/>
          </w:tcPr>
          <w:p>
            <w:pPr>
              <w:pStyle w:val="435"/>
              <w:rPr>
                <w:rFonts w:hint="eastAsia"/>
                <w:color w:val="000000"/>
                <w:szCs w:val="21"/>
              </w:rPr>
            </w:pPr>
            <w:r>
              <w:rPr>
                <w:rFonts w:hint="eastAsia"/>
                <w:kern w:val="2"/>
                <w:szCs w:val="21"/>
              </w:rPr>
              <w:t>2#</w:t>
            </w:r>
          </w:p>
        </w:tc>
        <w:tc>
          <w:tcPr>
            <w:tcW w:w="1275" w:type="dxa"/>
            <w:noWrap w:val="0"/>
            <w:vAlign w:val="center"/>
          </w:tcPr>
          <w:p>
            <w:pPr>
              <w:pStyle w:val="435"/>
              <w:rPr>
                <w:rFonts w:hint="eastAsia"/>
                <w:kern w:val="2"/>
                <w:szCs w:val="21"/>
              </w:rPr>
            </w:pPr>
            <w:r>
              <w:rPr>
                <w:rFonts w:hint="eastAsia"/>
                <w:color w:val="000000"/>
                <w:szCs w:val="21"/>
              </w:rPr>
              <w:t>项目南面</w:t>
            </w:r>
          </w:p>
        </w:tc>
        <w:tc>
          <w:tcPr>
            <w:tcW w:w="2730" w:type="dxa"/>
            <w:noWrap w:val="0"/>
            <w:vAlign w:val="center"/>
          </w:tcPr>
          <w:p>
            <w:pPr>
              <w:widowControl/>
              <w:jc w:val="center"/>
              <w:textAlignment w:val="center"/>
              <w:rPr>
                <w:rFonts w:hint="eastAsia"/>
                <w:szCs w:val="21"/>
              </w:rPr>
            </w:pPr>
            <w:r>
              <w:rPr>
                <w:rFonts w:hint="eastAsia"/>
                <w:szCs w:val="21"/>
              </w:rPr>
              <w:t>103</w:t>
            </w:r>
            <w:r>
              <w:rPr>
                <w:szCs w:val="21"/>
              </w:rPr>
              <w:t>°</w:t>
            </w:r>
            <w:r>
              <w:rPr>
                <w:rFonts w:hint="eastAsia"/>
                <w:szCs w:val="21"/>
              </w:rPr>
              <w:t>43</w:t>
            </w:r>
            <w:r>
              <w:rPr>
                <w:szCs w:val="21"/>
              </w:rPr>
              <w:t>′</w:t>
            </w:r>
            <w:r>
              <w:rPr>
                <w:rFonts w:hint="eastAsia"/>
                <w:szCs w:val="21"/>
              </w:rPr>
              <w:t>51.91</w:t>
            </w:r>
            <w:r>
              <w:rPr>
                <w:szCs w:val="21"/>
              </w:rPr>
              <w:t>″</w:t>
            </w:r>
            <w:r>
              <w:rPr>
                <w:rFonts w:hint="eastAsia"/>
                <w:szCs w:val="21"/>
              </w:rPr>
              <w:t>；29</w:t>
            </w:r>
            <w:r>
              <w:rPr>
                <w:szCs w:val="21"/>
              </w:rPr>
              <w:t>°</w:t>
            </w:r>
            <w:r>
              <w:rPr>
                <w:rFonts w:hint="eastAsia"/>
                <w:szCs w:val="21"/>
              </w:rPr>
              <w:t>40</w:t>
            </w:r>
            <w:r>
              <w:rPr>
                <w:szCs w:val="21"/>
              </w:rPr>
              <w:t>′</w:t>
            </w:r>
            <w:r>
              <w:rPr>
                <w:rFonts w:hint="eastAsia"/>
                <w:szCs w:val="21"/>
              </w:rPr>
              <w:t>36.43</w:t>
            </w:r>
            <w:r>
              <w:rPr>
                <w:szCs w:val="21"/>
              </w:rPr>
              <w:t>″</w:t>
            </w:r>
          </w:p>
        </w:tc>
        <w:tc>
          <w:tcPr>
            <w:tcW w:w="1081" w:type="dxa"/>
            <w:noWrap w:val="0"/>
            <w:vAlign w:val="center"/>
          </w:tcPr>
          <w:p>
            <w:pPr>
              <w:pStyle w:val="50"/>
              <w:adjustRightInd w:val="0"/>
              <w:spacing w:before="0" w:beforeAutospacing="0" w:after="0" w:afterAutospacing="0"/>
              <w:jc w:val="center"/>
              <w:rPr>
                <w:rFonts w:hint="eastAsia" w:ascii="Times New Roman" w:hAnsi="Times New Roman"/>
                <w:sz w:val="21"/>
                <w:szCs w:val="21"/>
              </w:rPr>
            </w:pPr>
            <w:r>
              <w:rPr>
                <w:rFonts w:hint="eastAsia" w:ascii="Times New Roman" w:hAnsi="Times New Roman"/>
                <w:sz w:val="21"/>
                <w:szCs w:val="21"/>
              </w:rPr>
              <w:t>43.6</w:t>
            </w:r>
          </w:p>
        </w:tc>
        <w:tc>
          <w:tcPr>
            <w:tcW w:w="1081" w:type="dxa"/>
            <w:noWrap w:val="0"/>
            <w:vAlign w:val="center"/>
          </w:tcPr>
          <w:p>
            <w:pPr>
              <w:pStyle w:val="50"/>
              <w:adjustRightInd w:val="0"/>
              <w:spacing w:before="0" w:beforeAutospacing="0" w:after="0" w:afterAutospacing="0"/>
              <w:jc w:val="center"/>
              <w:rPr>
                <w:rFonts w:hint="eastAsia" w:ascii="Times New Roman" w:hAnsi="Times New Roman"/>
                <w:sz w:val="21"/>
                <w:szCs w:val="21"/>
              </w:rPr>
            </w:pPr>
            <w:r>
              <w:rPr>
                <w:rFonts w:hint="eastAsia" w:ascii="Times New Roman" w:hAnsi="Times New Roman"/>
                <w:sz w:val="21"/>
                <w:szCs w:val="21"/>
              </w:rPr>
              <w:t>42.8</w:t>
            </w:r>
          </w:p>
        </w:tc>
        <w:tc>
          <w:tcPr>
            <w:tcW w:w="1081" w:type="dxa"/>
            <w:noWrap w:val="0"/>
            <w:vAlign w:val="center"/>
          </w:tcPr>
          <w:p>
            <w:pPr>
              <w:pStyle w:val="50"/>
              <w:adjustRightInd w:val="0"/>
              <w:spacing w:before="0" w:beforeAutospacing="0" w:after="0" w:afterAutospacing="0"/>
              <w:jc w:val="center"/>
              <w:rPr>
                <w:rFonts w:hint="eastAsia" w:ascii="Times New Roman" w:hAnsi="Times New Roman"/>
                <w:sz w:val="21"/>
                <w:szCs w:val="21"/>
              </w:rPr>
            </w:pPr>
            <w:r>
              <w:rPr>
                <w:rFonts w:hint="eastAsia" w:ascii="Times New Roman" w:hAnsi="Times New Roman"/>
                <w:sz w:val="21"/>
                <w:szCs w:val="21"/>
              </w:rPr>
              <w:t>42.8</w:t>
            </w:r>
          </w:p>
        </w:tc>
        <w:tc>
          <w:tcPr>
            <w:tcW w:w="1083" w:type="dxa"/>
            <w:noWrap w:val="0"/>
            <w:vAlign w:val="center"/>
          </w:tcPr>
          <w:p>
            <w:pPr>
              <w:pStyle w:val="50"/>
              <w:adjustRightInd w:val="0"/>
              <w:spacing w:before="0" w:beforeAutospacing="0" w:after="0" w:afterAutospacing="0"/>
              <w:jc w:val="center"/>
              <w:rPr>
                <w:rFonts w:hint="eastAsia" w:ascii="Times New Roman" w:hAnsi="Times New Roman"/>
                <w:sz w:val="21"/>
                <w:szCs w:val="21"/>
              </w:rPr>
            </w:pPr>
            <w:r>
              <w:rPr>
                <w:rFonts w:hint="eastAsia" w:ascii="Times New Roman" w:hAnsi="Times New Roman"/>
                <w:sz w:val="21"/>
                <w:szCs w:val="21"/>
              </w:rPr>
              <w:t>42.2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784" w:type="dxa"/>
            <w:noWrap w:val="0"/>
            <w:vAlign w:val="center"/>
          </w:tcPr>
          <w:p>
            <w:pPr>
              <w:pStyle w:val="435"/>
              <w:rPr>
                <w:rFonts w:hint="eastAsia"/>
                <w:color w:val="000000"/>
                <w:szCs w:val="21"/>
              </w:rPr>
            </w:pPr>
            <w:r>
              <w:rPr>
                <w:rFonts w:hint="eastAsia"/>
                <w:kern w:val="2"/>
                <w:szCs w:val="21"/>
              </w:rPr>
              <w:t>3#</w:t>
            </w:r>
          </w:p>
        </w:tc>
        <w:tc>
          <w:tcPr>
            <w:tcW w:w="1275" w:type="dxa"/>
            <w:noWrap w:val="0"/>
            <w:vAlign w:val="center"/>
          </w:tcPr>
          <w:p>
            <w:pPr>
              <w:pStyle w:val="435"/>
              <w:rPr>
                <w:rFonts w:hint="eastAsia"/>
                <w:kern w:val="2"/>
                <w:szCs w:val="21"/>
              </w:rPr>
            </w:pPr>
            <w:r>
              <w:rPr>
                <w:rFonts w:hint="eastAsia"/>
                <w:color w:val="000000"/>
                <w:szCs w:val="21"/>
              </w:rPr>
              <w:t>项目西面</w:t>
            </w:r>
          </w:p>
        </w:tc>
        <w:tc>
          <w:tcPr>
            <w:tcW w:w="2730" w:type="dxa"/>
            <w:noWrap w:val="0"/>
            <w:vAlign w:val="center"/>
          </w:tcPr>
          <w:p>
            <w:pPr>
              <w:widowControl/>
              <w:jc w:val="center"/>
              <w:textAlignment w:val="center"/>
              <w:rPr>
                <w:rFonts w:hint="eastAsia"/>
                <w:szCs w:val="21"/>
              </w:rPr>
            </w:pPr>
            <w:r>
              <w:rPr>
                <w:rFonts w:hint="eastAsia"/>
                <w:szCs w:val="21"/>
              </w:rPr>
              <w:t>103</w:t>
            </w:r>
            <w:r>
              <w:rPr>
                <w:szCs w:val="21"/>
              </w:rPr>
              <w:t>°</w:t>
            </w:r>
            <w:r>
              <w:rPr>
                <w:rFonts w:hint="eastAsia"/>
                <w:szCs w:val="21"/>
              </w:rPr>
              <w:t>43</w:t>
            </w:r>
            <w:r>
              <w:rPr>
                <w:szCs w:val="21"/>
              </w:rPr>
              <w:t>′</w:t>
            </w:r>
            <w:r>
              <w:rPr>
                <w:rFonts w:hint="eastAsia"/>
                <w:szCs w:val="21"/>
              </w:rPr>
              <w:t>48.96</w:t>
            </w:r>
            <w:r>
              <w:rPr>
                <w:szCs w:val="21"/>
              </w:rPr>
              <w:t>″</w:t>
            </w:r>
            <w:r>
              <w:rPr>
                <w:rFonts w:hint="eastAsia"/>
                <w:szCs w:val="21"/>
              </w:rPr>
              <w:t>；29</w:t>
            </w:r>
            <w:r>
              <w:rPr>
                <w:szCs w:val="21"/>
              </w:rPr>
              <w:t>°</w:t>
            </w:r>
            <w:r>
              <w:rPr>
                <w:rFonts w:hint="eastAsia"/>
                <w:szCs w:val="21"/>
              </w:rPr>
              <w:t>40</w:t>
            </w:r>
            <w:r>
              <w:rPr>
                <w:szCs w:val="21"/>
              </w:rPr>
              <w:t>′</w:t>
            </w:r>
            <w:r>
              <w:rPr>
                <w:rFonts w:hint="eastAsia"/>
                <w:szCs w:val="21"/>
              </w:rPr>
              <w:t>37.06</w:t>
            </w:r>
            <w:r>
              <w:rPr>
                <w:szCs w:val="21"/>
              </w:rPr>
              <w:t>″</w:t>
            </w:r>
          </w:p>
        </w:tc>
        <w:tc>
          <w:tcPr>
            <w:tcW w:w="1081" w:type="dxa"/>
            <w:noWrap w:val="0"/>
            <w:vAlign w:val="center"/>
          </w:tcPr>
          <w:p>
            <w:pPr>
              <w:pStyle w:val="50"/>
              <w:adjustRightInd w:val="0"/>
              <w:spacing w:before="0" w:beforeAutospacing="0" w:after="0" w:afterAutospacing="0"/>
              <w:jc w:val="center"/>
              <w:rPr>
                <w:rFonts w:hint="eastAsia" w:ascii="Times New Roman" w:hAnsi="Times New Roman"/>
                <w:sz w:val="21"/>
                <w:szCs w:val="21"/>
              </w:rPr>
            </w:pPr>
            <w:r>
              <w:rPr>
                <w:rFonts w:hint="eastAsia" w:ascii="Times New Roman" w:hAnsi="Times New Roman"/>
                <w:sz w:val="21"/>
                <w:szCs w:val="21"/>
              </w:rPr>
              <w:t>58.1</w:t>
            </w:r>
          </w:p>
        </w:tc>
        <w:tc>
          <w:tcPr>
            <w:tcW w:w="1081" w:type="dxa"/>
            <w:noWrap w:val="0"/>
            <w:vAlign w:val="center"/>
          </w:tcPr>
          <w:p>
            <w:pPr>
              <w:pStyle w:val="50"/>
              <w:adjustRightInd w:val="0"/>
              <w:spacing w:before="0" w:beforeAutospacing="0" w:after="0" w:afterAutospacing="0"/>
              <w:jc w:val="center"/>
              <w:rPr>
                <w:rFonts w:hint="eastAsia" w:ascii="Times New Roman" w:hAnsi="Times New Roman"/>
                <w:sz w:val="21"/>
                <w:szCs w:val="21"/>
              </w:rPr>
            </w:pPr>
            <w:r>
              <w:rPr>
                <w:rFonts w:hint="eastAsia" w:ascii="Times New Roman" w:hAnsi="Times New Roman"/>
                <w:sz w:val="21"/>
                <w:szCs w:val="21"/>
              </w:rPr>
              <w:t>45.7</w:t>
            </w:r>
          </w:p>
        </w:tc>
        <w:tc>
          <w:tcPr>
            <w:tcW w:w="1081" w:type="dxa"/>
            <w:noWrap w:val="0"/>
            <w:vAlign w:val="center"/>
          </w:tcPr>
          <w:p>
            <w:pPr>
              <w:pStyle w:val="50"/>
              <w:adjustRightInd w:val="0"/>
              <w:spacing w:before="0" w:beforeAutospacing="0" w:after="0" w:afterAutospacing="0"/>
              <w:jc w:val="center"/>
              <w:rPr>
                <w:rFonts w:hint="eastAsia" w:ascii="Times New Roman" w:hAnsi="Times New Roman"/>
                <w:sz w:val="21"/>
                <w:szCs w:val="21"/>
              </w:rPr>
            </w:pPr>
            <w:r>
              <w:rPr>
                <w:rFonts w:hint="eastAsia" w:ascii="Times New Roman" w:hAnsi="Times New Roman"/>
                <w:sz w:val="21"/>
                <w:szCs w:val="21"/>
              </w:rPr>
              <w:t>57.6</w:t>
            </w:r>
          </w:p>
        </w:tc>
        <w:tc>
          <w:tcPr>
            <w:tcW w:w="1083" w:type="dxa"/>
            <w:noWrap w:val="0"/>
            <w:vAlign w:val="center"/>
          </w:tcPr>
          <w:p>
            <w:pPr>
              <w:pStyle w:val="50"/>
              <w:adjustRightInd w:val="0"/>
              <w:spacing w:before="0" w:beforeAutospacing="0" w:after="0" w:afterAutospacing="0"/>
              <w:jc w:val="center"/>
              <w:rPr>
                <w:rFonts w:hint="eastAsia" w:ascii="Times New Roman" w:hAnsi="Times New Roman"/>
                <w:sz w:val="21"/>
                <w:szCs w:val="21"/>
              </w:rPr>
            </w:pPr>
            <w:r>
              <w:rPr>
                <w:rFonts w:hint="eastAsia" w:ascii="Times New Roman" w:hAnsi="Times New Roman"/>
                <w:sz w:val="21"/>
                <w:szCs w:val="21"/>
              </w:rPr>
              <w:t>47.5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784" w:type="dxa"/>
            <w:noWrap w:val="0"/>
            <w:vAlign w:val="center"/>
          </w:tcPr>
          <w:p>
            <w:pPr>
              <w:pStyle w:val="435"/>
              <w:rPr>
                <w:rFonts w:hint="eastAsia"/>
                <w:color w:val="000000"/>
                <w:szCs w:val="21"/>
              </w:rPr>
            </w:pPr>
            <w:r>
              <w:rPr>
                <w:rFonts w:hint="eastAsia"/>
                <w:kern w:val="2"/>
                <w:szCs w:val="21"/>
              </w:rPr>
              <w:t>4#</w:t>
            </w:r>
          </w:p>
        </w:tc>
        <w:tc>
          <w:tcPr>
            <w:tcW w:w="1275" w:type="dxa"/>
            <w:noWrap w:val="0"/>
            <w:vAlign w:val="center"/>
          </w:tcPr>
          <w:p>
            <w:pPr>
              <w:pStyle w:val="435"/>
              <w:rPr>
                <w:rFonts w:hint="eastAsia"/>
                <w:kern w:val="2"/>
                <w:szCs w:val="21"/>
              </w:rPr>
            </w:pPr>
            <w:r>
              <w:rPr>
                <w:rFonts w:hint="eastAsia"/>
                <w:color w:val="000000"/>
                <w:szCs w:val="21"/>
              </w:rPr>
              <w:t>项目北面</w:t>
            </w:r>
          </w:p>
        </w:tc>
        <w:tc>
          <w:tcPr>
            <w:tcW w:w="2730" w:type="dxa"/>
            <w:noWrap w:val="0"/>
            <w:vAlign w:val="center"/>
          </w:tcPr>
          <w:p>
            <w:pPr>
              <w:widowControl/>
              <w:jc w:val="center"/>
              <w:textAlignment w:val="center"/>
              <w:rPr>
                <w:rFonts w:hint="eastAsia"/>
                <w:szCs w:val="21"/>
              </w:rPr>
            </w:pPr>
            <w:r>
              <w:rPr>
                <w:rFonts w:hint="eastAsia"/>
                <w:szCs w:val="21"/>
              </w:rPr>
              <w:t>103</w:t>
            </w:r>
            <w:r>
              <w:rPr>
                <w:szCs w:val="21"/>
              </w:rPr>
              <w:t>°</w:t>
            </w:r>
            <w:r>
              <w:rPr>
                <w:rFonts w:hint="eastAsia"/>
                <w:szCs w:val="21"/>
              </w:rPr>
              <w:t>43</w:t>
            </w:r>
            <w:r>
              <w:rPr>
                <w:szCs w:val="21"/>
              </w:rPr>
              <w:t>′</w:t>
            </w:r>
            <w:r>
              <w:rPr>
                <w:rFonts w:hint="eastAsia"/>
                <w:szCs w:val="21"/>
              </w:rPr>
              <w:t>49.66</w:t>
            </w:r>
            <w:r>
              <w:rPr>
                <w:szCs w:val="21"/>
              </w:rPr>
              <w:t>″</w:t>
            </w:r>
            <w:r>
              <w:rPr>
                <w:rFonts w:hint="eastAsia"/>
                <w:szCs w:val="21"/>
              </w:rPr>
              <w:t>；29</w:t>
            </w:r>
            <w:r>
              <w:rPr>
                <w:szCs w:val="21"/>
              </w:rPr>
              <w:t>°</w:t>
            </w:r>
            <w:r>
              <w:rPr>
                <w:rFonts w:hint="eastAsia"/>
                <w:szCs w:val="21"/>
              </w:rPr>
              <w:t>40</w:t>
            </w:r>
            <w:r>
              <w:rPr>
                <w:szCs w:val="21"/>
              </w:rPr>
              <w:t>′</w:t>
            </w:r>
            <w:r>
              <w:rPr>
                <w:rFonts w:hint="eastAsia"/>
                <w:szCs w:val="21"/>
              </w:rPr>
              <w:t>39.7</w:t>
            </w:r>
            <w:r>
              <w:rPr>
                <w:szCs w:val="21"/>
              </w:rPr>
              <w:t>″</w:t>
            </w:r>
          </w:p>
        </w:tc>
        <w:tc>
          <w:tcPr>
            <w:tcW w:w="1081" w:type="dxa"/>
            <w:noWrap w:val="0"/>
            <w:vAlign w:val="center"/>
          </w:tcPr>
          <w:p>
            <w:pPr>
              <w:pStyle w:val="50"/>
              <w:adjustRightInd w:val="0"/>
              <w:spacing w:before="0" w:beforeAutospacing="0" w:after="0" w:afterAutospacing="0"/>
              <w:jc w:val="center"/>
              <w:rPr>
                <w:rFonts w:hint="eastAsia" w:ascii="Times New Roman" w:hAnsi="Times New Roman"/>
                <w:sz w:val="21"/>
                <w:szCs w:val="21"/>
              </w:rPr>
            </w:pPr>
            <w:r>
              <w:rPr>
                <w:rFonts w:hint="eastAsia" w:ascii="Times New Roman" w:hAnsi="Times New Roman"/>
                <w:sz w:val="21"/>
                <w:szCs w:val="21"/>
              </w:rPr>
              <w:t>51.6</w:t>
            </w:r>
          </w:p>
        </w:tc>
        <w:tc>
          <w:tcPr>
            <w:tcW w:w="1081" w:type="dxa"/>
            <w:noWrap w:val="0"/>
            <w:vAlign w:val="center"/>
          </w:tcPr>
          <w:p>
            <w:pPr>
              <w:pStyle w:val="50"/>
              <w:adjustRightInd w:val="0"/>
              <w:spacing w:before="0" w:beforeAutospacing="0" w:after="0" w:afterAutospacing="0"/>
              <w:jc w:val="center"/>
              <w:rPr>
                <w:rFonts w:hint="eastAsia" w:ascii="Times New Roman" w:hAnsi="Times New Roman"/>
                <w:sz w:val="21"/>
                <w:szCs w:val="21"/>
              </w:rPr>
            </w:pPr>
            <w:r>
              <w:rPr>
                <w:rFonts w:hint="eastAsia" w:ascii="Times New Roman" w:hAnsi="Times New Roman"/>
                <w:sz w:val="21"/>
                <w:szCs w:val="21"/>
              </w:rPr>
              <w:t>45.5</w:t>
            </w:r>
          </w:p>
        </w:tc>
        <w:tc>
          <w:tcPr>
            <w:tcW w:w="1081" w:type="dxa"/>
            <w:noWrap w:val="0"/>
            <w:vAlign w:val="center"/>
          </w:tcPr>
          <w:p>
            <w:pPr>
              <w:pStyle w:val="50"/>
              <w:adjustRightInd w:val="0"/>
              <w:spacing w:before="0" w:beforeAutospacing="0" w:after="0" w:afterAutospacing="0"/>
              <w:jc w:val="center"/>
              <w:rPr>
                <w:rFonts w:hint="eastAsia" w:ascii="Times New Roman" w:hAnsi="Times New Roman"/>
                <w:sz w:val="21"/>
                <w:szCs w:val="21"/>
              </w:rPr>
            </w:pPr>
            <w:r>
              <w:rPr>
                <w:rFonts w:hint="eastAsia" w:ascii="Times New Roman" w:hAnsi="Times New Roman"/>
                <w:sz w:val="21"/>
                <w:szCs w:val="21"/>
              </w:rPr>
              <w:t>54.6</w:t>
            </w:r>
          </w:p>
        </w:tc>
        <w:tc>
          <w:tcPr>
            <w:tcW w:w="1083" w:type="dxa"/>
            <w:noWrap w:val="0"/>
            <w:vAlign w:val="center"/>
          </w:tcPr>
          <w:p>
            <w:pPr>
              <w:pStyle w:val="50"/>
              <w:adjustRightInd w:val="0"/>
              <w:spacing w:before="0" w:beforeAutospacing="0" w:after="0" w:afterAutospacing="0"/>
              <w:jc w:val="center"/>
              <w:rPr>
                <w:rFonts w:hint="eastAsia" w:ascii="Times New Roman" w:hAnsi="Times New Roman"/>
                <w:sz w:val="21"/>
                <w:szCs w:val="21"/>
              </w:rPr>
            </w:pPr>
            <w:r>
              <w:rPr>
                <w:rFonts w:hint="eastAsia" w:ascii="Times New Roman" w:hAnsi="Times New Roman"/>
                <w:sz w:val="21"/>
                <w:szCs w:val="21"/>
              </w:rPr>
              <w:t>42.4</w:t>
            </w:r>
          </w:p>
        </w:tc>
      </w:tr>
    </w:tbl>
    <w:p>
      <w:pPr>
        <w:spacing w:line="360" w:lineRule="auto"/>
        <w:rPr>
          <w:b/>
          <w:bCs/>
          <w:sz w:val="24"/>
        </w:rPr>
      </w:pPr>
    </w:p>
    <w:p>
      <w:pPr>
        <w:spacing w:line="300" w:lineRule="auto"/>
        <w:ind w:firstLine="480" w:firstLineChars="200"/>
        <w:rPr>
          <w:sz w:val="24"/>
        </w:rPr>
      </w:pPr>
      <w:r>
        <w:rPr>
          <w:sz w:val="24"/>
        </w:rPr>
        <w:t>从表3-2可知，本项目各个监测点位的环境噪声值均满足《声环境质量标准》（GB3096-2008）中</w:t>
      </w:r>
      <w:r>
        <w:rPr>
          <w:rFonts w:hint="eastAsia"/>
          <w:sz w:val="24"/>
        </w:rPr>
        <w:t>2类</w:t>
      </w:r>
      <w:r>
        <w:rPr>
          <w:sz w:val="24"/>
        </w:rPr>
        <w:t>标准限值，符合项目所在区域的声环境功能。</w:t>
      </w:r>
    </w:p>
    <w:p>
      <w:pPr>
        <w:spacing w:line="360" w:lineRule="auto"/>
        <w:rPr>
          <w:b/>
          <w:bCs/>
          <w:sz w:val="24"/>
        </w:rPr>
      </w:pPr>
      <w:r>
        <w:rPr>
          <w:b/>
          <w:bCs/>
          <w:sz w:val="24"/>
        </w:rPr>
        <w:t>主要环境保护目标(列出名单及保护级别):</w:t>
      </w:r>
    </w:p>
    <w:p>
      <w:pPr>
        <w:spacing w:line="300" w:lineRule="auto"/>
        <w:ind w:firstLine="480" w:firstLineChars="200"/>
        <w:rPr>
          <w:sz w:val="24"/>
        </w:rPr>
      </w:pPr>
      <w:r>
        <w:rPr>
          <w:sz w:val="24"/>
        </w:rPr>
        <w:t>主要保护目标为项目周围范围内水、气、声环境质量在项目营运后符合国家和地方环境质量要求。</w:t>
      </w:r>
    </w:p>
    <w:p>
      <w:pPr>
        <w:spacing w:line="300" w:lineRule="auto"/>
        <w:ind w:firstLine="480" w:firstLineChars="200"/>
        <w:rPr>
          <w:sz w:val="24"/>
        </w:rPr>
      </w:pPr>
      <w:r>
        <w:rPr>
          <w:sz w:val="24"/>
        </w:rPr>
        <w:t>（1）环境空气质量符合（GB3095—2012）中的二级标准。控制项目废气的达标排放。</w:t>
      </w:r>
    </w:p>
    <w:p>
      <w:pPr>
        <w:spacing w:line="300" w:lineRule="auto"/>
        <w:ind w:firstLine="480" w:firstLineChars="200"/>
        <w:rPr>
          <w:sz w:val="24"/>
        </w:rPr>
      </w:pPr>
      <w:r>
        <w:rPr>
          <w:sz w:val="24"/>
        </w:rPr>
        <w:t>（2）控制项目污水排放对附近水环境的影响。</w:t>
      </w:r>
    </w:p>
    <w:p>
      <w:pPr>
        <w:spacing w:line="300" w:lineRule="auto"/>
        <w:ind w:firstLine="480" w:firstLineChars="200"/>
        <w:rPr>
          <w:sz w:val="24"/>
        </w:rPr>
      </w:pPr>
      <w:r>
        <w:rPr>
          <w:sz w:val="24"/>
        </w:rPr>
        <w:t>（3）声环境质量符合（GB3096-2008）中的2类标准。控制各种噪声声源，要求项目厂界噪声达到《工业企业厂界环境噪声排放标准》（GB12348-2008）2类标准。</w:t>
      </w:r>
    </w:p>
    <w:p>
      <w:pPr>
        <w:ind w:firstLine="422"/>
        <w:jc w:val="center"/>
        <w:rPr>
          <w:b/>
          <w:szCs w:val="21"/>
        </w:rPr>
      </w:pPr>
    </w:p>
    <w:p>
      <w:pPr>
        <w:ind w:firstLine="422"/>
        <w:jc w:val="center"/>
        <w:rPr>
          <w:b/>
          <w:szCs w:val="21"/>
        </w:rPr>
      </w:pPr>
      <w:r>
        <w:rPr>
          <w:b/>
          <w:color w:val="0C0C0C"/>
        </w:rPr>
        <mc:AlternateContent>
          <mc:Choice Requires="wps">
            <w:drawing>
              <wp:anchor distT="0" distB="0" distL="114300" distR="114300" simplePos="0" relativeHeight="251663360" behindDoc="0" locked="0" layoutInCell="1" allowOverlap="1">
                <wp:simplePos x="0" y="0"/>
                <wp:positionH relativeFrom="column">
                  <wp:posOffset>-104775</wp:posOffset>
                </wp:positionH>
                <wp:positionV relativeFrom="paragraph">
                  <wp:posOffset>-19685</wp:posOffset>
                </wp:positionV>
                <wp:extent cx="6105525" cy="8924925"/>
                <wp:effectExtent l="5080" t="5080" r="4445" b="4445"/>
                <wp:wrapNone/>
                <wp:docPr id="11" name="矩形 11"/>
                <wp:cNvGraphicFramePr/>
                <a:graphic xmlns:a="http://schemas.openxmlformats.org/drawingml/2006/main">
                  <a:graphicData uri="http://schemas.microsoft.com/office/word/2010/wordprocessingShape">
                    <wps:wsp>
                      <wps:cNvSpPr/>
                      <wps:spPr>
                        <a:xfrm>
                          <a:off x="0" y="0"/>
                          <a:ext cx="6105525" cy="892492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25pt;margin-top:-1.55pt;height:702.75pt;width:480.75pt;z-index:251663360;mso-width-relative:page;mso-height-relative:page;" filled="f" stroked="t" coordsize="21600,21600" o:gfxdata="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PXXQ/YAAAACwEAAA8AAAAA&#10;AAAAAQAgAAAAIgAAAGRycy9kb3ducmV2LnhtbFBLAQIUABQAAAAIAIdO4kCRr7pz2wEAAKoDAAAO&#10;AAAAAAAAAAEAIAAAACcBAABkcnMvZTJvRG9jLnhtbFBLBQYAAAAABgAGAFkBAAB0BQAAAAA=&#10;">
                <v:fill on="f" focussize="0,0"/>
                <v:stroke color="#000000" joinstyle="miter"/>
                <v:imagedata o:title=""/>
                <o:lock v:ext="edit" aspectratio="f"/>
              </v:rect>
            </w:pict>
          </mc:Fallback>
        </mc:AlternateContent>
      </w:r>
      <w:r>
        <w:rPr>
          <w:b/>
          <w:szCs w:val="21"/>
        </w:rPr>
        <w:t>表</w:t>
      </w:r>
      <w:r>
        <w:rPr>
          <w:rFonts w:hint="eastAsia"/>
          <w:b/>
          <w:szCs w:val="21"/>
        </w:rPr>
        <w:t>3-</w:t>
      </w:r>
      <w:r>
        <w:rPr>
          <w:b/>
          <w:szCs w:val="21"/>
        </w:rPr>
        <w:t>3      项目主要环境保护目标</w:t>
      </w:r>
    </w:p>
    <w:tbl>
      <w:tblPr>
        <w:tblStyle w:val="69"/>
        <w:tblW w:w="9443"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37"/>
        <w:gridCol w:w="530"/>
        <w:gridCol w:w="848"/>
        <w:gridCol w:w="809"/>
        <w:gridCol w:w="860"/>
        <w:gridCol w:w="1050"/>
        <w:gridCol w:w="1418"/>
        <w:gridCol w:w="329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66" w:hRule="atLeast"/>
        </w:trPr>
        <w:tc>
          <w:tcPr>
            <w:tcW w:w="637" w:type="dxa"/>
            <w:noWrap w:val="0"/>
            <w:vAlign w:val="center"/>
          </w:tcPr>
          <w:p>
            <w:pPr>
              <w:autoSpaceDE w:val="0"/>
              <w:autoSpaceDN w:val="0"/>
              <w:jc w:val="center"/>
              <w:rPr>
                <w:kern w:val="0"/>
                <w:szCs w:val="21"/>
              </w:rPr>
            </w:pPr>
            <w:r>
              <w:rPr>
                <w:rFonts w:hAnsi="宋体"/>
                <w:kern w:val="0"/>
                <w:szCs w:val="21"/>
              </w:rPr>
              <w:t>项目</w:t>
            </w:r>
          </w:p>
        </w:tc>
        <w:tc>
          <w:tcPr>
            <w:tcW w:w="530" w:type="dxa"/>
            <w:noWrap w:val="0"/>
            <w:vAlign w:val="center"/>
          </w:tcPr>
          <w:p>
            <w:pPr>
              <w:autoSpaceDE w:val="0"/>
              <w:autoSpaceDN w:val="0"/>
              <w:jc w:val="center"/>
              <w:rPr>
                <w:kern w:val="0"/>
                <w:szCs w:val="21"/>
              </w:rPr>
            </w:pPr>
            <w:r>
              <w:rPr>
                <w:rFonts w:hAnsi="宋体"/>
                <w:kern w:val="0"/>
                <w:szCs w:val="21"/>
              </w:rPr>
              <w:t>序号</w:t>
            </w:r>
          </w:p>
        </w:tc>
        <w:tc>
          <w:tcPr>
            <w:tcW w:w="848" w:type="dxa"/>
            <w:noWrap w:val="0"/>
            <w:vAlign w:val="center"/>
          </w:tcPr>
          <w:p>
            <w:pPr>
              <w:autoSpaceDE w:val="0"/>
              <w:autoSpaceDN w:val="0"/>
              <w:jc w:val="center"/>
              <w:rPr>
                <w:kern w:val="0"/>
                <w:szCs w:val="21"/>
              </w:rPr>
            </w:pPr>
            <w:r>
              <w:rPr>
                <w:rFonts w:hAnsi="宋体"/>
                <w:kern w:val="0"/>
                <w:szCs w:val="21"/>
              </w:rPr>
              <w:t>目标名称</w:t>
            </w:r>
          </w:p>
        </w:tc>
        <w:tc>
          <w:tcPr>
            <w:tcW w:w="809" w:type="dxa"/>
            <w:noWrap w:val="0"/>
            <w:vAlign w:val="center"/>
          </w:tcPr>
          <w:p>
            <w:pPr>
              <w:autoSpaceDE w:val="0"/>
              <w:autoSpaceDN w:val="0"/>
              <w:jc w:val="center"/>
              <w:rPr>
                <w:kern w:val="0"/>
                <w:szCs w:val="21"/>
              </w:rPr>
            </w:pPr>
            <w:r>
              <w:rPr>
                <w:rFonts w:hAnsi="宋体"/>
                <w:kern w:val="0"/>
                <w:szCs w:val="21"/>
              </w:rPr>
              <w:t>相对</w:t>
            </w:r>
            <w:r>
              <w:rPr>
                <w:rFonts w:hint="eastAsia" w:hAnsi="宋体"/>
                <w:kern w:val="0"/>
                <w:szCs w:val="21"/>
              </w:rPr>
              <w:t>场区</w:t>
            </w:r>
            <w:r>
              <w:rPr>
                <w:rFonts w:hAnsi="宋体"/>
                <w:kern w:val="0"/>
                <w:szCs w:val="21"/>
              </w:rPr>
              <w:t>方位</w:t>
            </w:r>
          </w:p>
        </w:tc>
        <w:tc>
          <w:tcPr>
            <w:tcW w:w="860" w:type="dxa"/>
            <w:noWrap w:val="0"/>
            <w:vAlign w:val="center"/>
          </w:tcPr>
          <w:p>
            <w:pPr>
              <w:autoSpaceDE w:val="0"/>
              <w:autoSpaceDN w:val="0"/>
              <w:jc w:val="center"/>
              <w:rPr>
                <w:kern w:val="0"/>
                <w:szCs w:val="21"/>
              </w:rPr>
            </w:pPr>
            <w:r>
              <w:rPr>
                <w:rFonts w:hint="eastAsia" w:hAnsi="宋体"/>
                <w:kern w:val="0"/>
                <w:szCs w:val="21"/>
              </w:rPr>
              <w:t>距边</w:t>
            </w:r>
            <w:r>
              <w:rPr>
                <w:rFonts w:hAnsi="宋体"/>
                <w:kern w:val="0"/>
                <w:szCs w:val="21"/>
              </w:rPr>
              <w:t>界距离</w:t>
            </w:r>
            <w:r>
              <w:rPr>
                <w:kern w:val="0"/>
                <w:szCs w:val="21"/>
              </w:rPr>
              <w:t>(m)</w:t>
            </w:r>
          </w:p>
        </w:tc>
        <w:tc>
          <w:tcPr>
            <w:tcW w:w="1050" w:type="dxa"/>
            <w:noWrap w:val="0"/>
            <w:vAlign w:val="center"/>
          </w:tcPr>
          <w:p>
            <w:pPr>
              <w:autoSpaceDE w:val="0"/>
              <w:autoSpaceDN w:val="0"/>
              <w:jc w:val="center"/>
              <w:rPr>
                <w:kern w:val="0"/>
                <w:szCs w:val="21"/>
              </w:rPr>
            </w:pPr>
            <w:r>
              <w:rPr>
                <w:rFonts w:hint="eastAsia" w:hAnsi="宋体"/>
                <w:kern w:val="0"/>
                <w:szCs w:val="21"/>
              </w:rPr>
              <w:t>距污染源</w:t>
            </w:r>
            <w:r>
              <w:rPr>
                <w:rFonts w:hAnsi="宋体"/>
                <w:kern w:val="0"/>
                <w:szCs w:val="21"/>
              </w:rPr>
              <w:t>距离</w:t>
            </w:r>
            <w:r>
              <w:rPr>
                <w:kern w:val="0"/>
                <w:szCs w:val="21"/>
              </w:rPr>
              <w:t>(m)</w:t>
            </w:r>
          </w:p>
        </w:tc>
        <w:tc>
          <w:tcPr>
            <w:tcW w:w="1418" w:type="dxa"/>
            <w:noWrap w:val="0"/>
            <w:vAlign w:val="center"/>
          </w:tcPr>
          <w:p>
            <w:pPr>
              <w:autoSpaceDE w:val="0"/>
              <w:autoSpaceDN w:val="0"/>
              <w:jc w:val="center"/>
              <w:rPr>
                <w:rFonts w:hint="eastAsia" w:hAnsi="宋体" w:eastAsia="宋体"/>
                <w:kern w:val="0"/>
                <w:szCs w:val="21"/>
                <w:lang w:eastAsia="zh-CN"/>
              </w:rPr>
            </w:pPr>
            <w:r>
              <w:rPr>
                <w:rFonts w:hint="eastAsia" w:hAnsi="宋体"/>
                <w:kern w:val="0"/>
                <w:szCs w:val="21"/>
                <w:lang w:eastAsia="zh-CN"/>
              </w:rPr>
              <w:t>高差阻隔</w:t>
            </w:r>
          </w:p>
        </w:tc>
        <w:tc>
          <w:tcPr>
            <w:tcW w:w="3291" w:type="dxa"/>
            <w:noWrap w:val="0"/>
            <w:vAlign w:val="center"/>
          </w:tcPr>
          <w:p>
            <w:pPr>
              <w:autoSpaceDE w:val="0"/>
              <w:autoSpaceDN w:val="0"/>
              <w:jc w:val="center"/>
              <w:rPr>
                <w:kern w:val="0"/>
                <w:szCs w:val="21"/>
              </w:rPr>
            </w:pPr>
            <w:r>
              <w:rPr>
                <w:rFonts w:hAnsi="宋体"/>
                <w:kern w:val="0"/>
                <w:szCs w:val="21"/>
              </w:rPr>
              <w:t>保护级别</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02" w:hRule="atLeast"/>
        </w:trPr>
        <w:tc>
          <w:tcPr>
            <w:tcW w:w="637" w:type="dxa"/>
            <w:vMerge w:val="restart"/>
            <w:noWrap w:val="0"/>
            <w:vAlign w:val="center"/>
          </w:tcPr>
          <w:p>
            <w:pPr>
              <w:autoSpaceDE w:val="0"/>
              <w:autoSpaceDN w:val="0"/>
              <w:jc w:val="center"/>
              <w:rPr>
                <w:rFonts w:hint="eastAsia" w:hAnsi="宋体"/>
                <w:kern w:val="0"/>
                <w:szCs w:val="21"/>
              </w:rPr>
            </w:pPr>
            <w:r>
              <w:rPr>
                <w:rFonts w:hAnsi="宋体"/>
                <w:kern w:val="0"/>
                <w:szCs w:val="21"/>
              </w:rPr>
              <w:t>大气</w:t>
            </w:r>
          </w:p>
          <w:p>
            <w:pPr>
              <w:autoSpaceDE w:val="0"/>
              <w:autoSpaceDN w:val="0"/>
              <w:jc w:val="center"/>
              <w:rPr>
                <w:kern w:val="0"/>
                <w:szCs w:val="21"/>
              </w:rPr>
            </w:pPr>
            <w:r>
              <w:rPr>
                <w:rFonts w:hAnsi="宋体"/>
                <w:kern w:val="0"/>
                <w:szCs w:val="21"/>
              </w:rPr>
              <w:t>环境</w:t>
            </w:r>
          </w:p>
        </w:tc>
        <w:tc>
          <w:tcPr>
            <w:tcW w:w="530" w:type="dxa"/>
            <w:noWrap w:val="0"/>
            <w:vAlign w:val="center"/>
          </w:tcPr>
          <w:p>
            <w:pPr>
              <w:autoSpaceDE w:val="0"/>
              <w:autoSpaceDN w:val="0"/>
              <w:jc w:val="center"/>
              <w:rPr>
                <w:kern w:val="0"/>
                <w:szCs w:val="21"/>
              </w:rPr>
            </w:pPr>
            <w:r>
              <w:rPr>
                <w:kern w:val="0"/>
                <w:szCs w:val="21"/>
              </w:rPr>
              <w:t>1</w:t>
            </w:r>
          </w:p>
        </w:tc>
        <w:tc>
          <w:tcPr>
            <w:tcW w:w="848" w:type="dxa"/>
            <w:noWrap w:val="0"/>
            <w:vAlign w:val="center"/>
          </w:tcPr>
          <w:p>
            <w:pPr>
              <w:autoSpaceDE w:val="0"/>
              <w:autoSpaceDN w:val="0"/>
              <w:jc w:val="center"/>
              <w:rPr>
                <w:rFonts w:hint="eastAsia"/>
                <w:kern w:val="0"/>
                <w:szCs w:val="21"/>
              </w:rPr>
            </w:pPr>
            <w:r>
              <w:rPr>
                <w:rFonts w:hint="eastAsia"/>
                <w:kern w:val="0"/>
                <w:szCs w:val="21"/>
              </w:rPr>
              <w:t>住户</w:t>
            </w:r>
          </w:p>
        </w:tc>
        <w:tc>
          <w:tcPr>
            <w:tcW w:w="809" w:type="dxa"/>
            <w:noWrap w:val="0"/>
            <w:vAlign w:val="center"/>
          </w:tcPr>
          <w:p>
            <w:pPr>
              <w:autoSpaceDE w:val="0"/>
              <w:autoSpaceDN w:val="0"/>
              <w:jc w:val="center"/>
              <w:rPr>
                <w:kern w:val="0"/>
                <w:szCs w:val="21"/>
              </w:rPr>
            </w:pPr>
            <w:r>
              <w:rPr>
                <w:rFonts w:hint="eastAsia" w:hAnsi="宋体"/>
                <w:kern w:val="0"/>
                <w:szCs w:val="21"/>
              </w:rPr>
              <w:t>南</w:t>
            </w:r>
            <w:r>
              <w:rPr>
                <w:rFonts w:hAnsi="宋体"/>
                <w:kern w:val="0"/>
                <w:szCs w:val="21"/>
              </w:rPr>
              <w:t>面</w:t>
            </w:r>
          </w:p>
        </w:tc>
        <w:tc>
          <w:tcPr>
            <w:tcW w:w="860" w:type="dxa"/>
            <w:noWrap w:val="0"/>
            <w:vAlign w:val="center"/>
          </w:tcPr>
          <w:p>
            <w:pPr>
              <w:autoSpaceDE w:val="0"/>
              <w:autoSpaceDN w:val="0"/>
              <w:jc w:val="center"/>
              <w:rPr>
                <w:rFonts w:hint="eastAsia"/>
                <w:kern w:val="0"/>
                <w:szCs w:val="21"/>
              </w:rPr>
            </w:pPr>
            <w:r>
              <w:rPr>
                <w:rFonts w:hint="eastAsia"/>
                <w:kern w:val="0"/>
                <w:szCs w:val="21"/>
              </w:rPr>
              <w:t>9</w:t>
            </w:r>
            <w:r>
              <w:rPr>
                <w:kern w:val="0"/>
                <w:szCs w:val="21"/>
              </w:rPr>
              <w:t>0</w:t>
            </w:r>
          </w:p>
        </w:tc>
        <w:tc>
          <w:tcPr>
            <w:tcW w:w="1050" w:type="dxa"/>
            <w:noWrap w:val="0"/>
            <w:vAlign w:val="center"/>
          </w:tcPr>
          <w:p>
            <w:pPr>
              <w:autoSpaceDE w:val="0"/>
              <w:autoSpaceDN w:val="0"/>
              <w:jc w:val="center"/>
              <w:rPr>
                <w:rFonts w:hint="eastAsia"/>
                <w:kern w:val="0"/>
                <w:szCs w:val="21"/>
              </w:rPr>
            </w:pPr>
            <w:r>
              <w:rPr>
                <w:rFonts w:hint="eastAsia"/>
                <w:kern w:val="0"/>
                <w:szCs w:val="21"/>
              </w:rPr>
              <w:t>1</w:t>
            </w:r>
            <w:r>
              <w:rPr>
                <w:kern w:val="0"/>
                <w:szCs w:val="21"/>
              </w:rPr>
              <w:t>40</w:t>
            </w:r>
          </w:p>
        </w:tc>
        <w:tc>
          <w:tcPr>
            <w:tcW w:w="1418" w:type="dxa"/>
            <w:noWrap w:val="0"/>
            <w:vAlign w:val="center"/>
          </w:tcPr>
          <w:p>
            <w:pPr>
              <w:autoSpaceDE w:val="0"/>
              <w:autoSpaceDN w:val="0"/>
              <w:jc w:val="center"/>
              <w:rPr>
                <w:rFonts w:hint="default"/>
                <w:kern w:val="0"/>
                <w:szCs w:val="21"/>
                <w:lang w:val="en-US" w:eastAsia="zh-CN"/>
              </w:rPr>
            </w:pPr>
            <w:r>
              <w:rPr>
                <w:rFonts w:hint="eastAsia"/>
                <w:kern w:val="0"/>
                <w:szCs w:val="21"/>
                <w:lang w:val="en-US" w:eastAsia="zh-CN"/>
              </w:rPr>
              <w:t>-12</w:t>
            </w:r>
          </w:p>
          <w:p>
            <w:pPr>
              <w:autoSpaceDE w:val="0"/>
              <w:autoSpaceDN w:val="0"/>
              <w:jc w:val="center"/>
              <w:rPr>
                <w:rFonts w:hint="default"/>
                <w:kern w:val="0"/>
                <w:szCs w:val="21"/>
                <w:lang w:val="en-US" w:eastAsia="zh-CN"/>
              </w:rPr>
            </w:pPr>
            <w:r>
              <w:rPr>
                <w:rFonts w:hint="eastAsia"/>
                <w:kern w:val="0"/>
                <w:szCs w:val="21"/>
                <w:lang w:val="en-US" w:eastAsia="zh-CN"/>
              </w:rPr>
              <w:t>有山体阻隔</w:t>
            </w:r>
          </w:p>
        </w:tc>
        <w:tc>
          <w:tcPr>
            <w:tcW w:w="3291" w:type="dxa"/>
            <w:vMerge w:val="restart"/>
            <w:noWrap w:val="0"/>
            <w:vAlign w:val="center"/>
          </w:tcPr>
          <w:p>
            <w:pPr>
              <w:autoSpaceDE w:val="0"/>
              <w:autoSpaceDN w:val="0"/>
              <w:jc w:val="center"/>
              <w:rPr>
                <w:kern w:val="0"/>
                <w:szCs w:val="21"/>
              </w:rPr>
            </w:pPr>
            <w:r>
              <w:rPr>
                <w:rFonts w:hAnsi="宋体"/>
                <w:kern w:val="0"/>
                <w:szCs w:val="21"/>
              </w:rPr>
              <w:t>符合</w:t>
            </w:r>
            <w:r>
              <w:rPr>
                <w:kern w:val="0"/>
                <w:szCs w:val="21"/>
              </w:rPr>
              <w:t>GB3095-</w:t>
            </w:r>
            <w:r>
              <w:rPr>
                <w:rFonts w:hint="eastAsia"/>
                <w:kern w:val="0"/>
                <w:szCs w:val="21"/>
              </w:rPr>
              <w:t>2008</w:t>
            </w:r>
            <w:r>
              <w:rPr>
                <w:rFonts w:hAnsi="宋体"/>
                <w:kern w:val="0"/>
                <w:szCs w:val="21"/>
              </w:rPr>
              <w:t>二级标准要求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266" w:hRule="atLeast"/>
        </w:trPr>
        <w:tc>
          <w:tcPr>
            <w:tcW w:w="637" w:type="dxa"/>
            <w:vMerge w:val="continue"/>
            <w:noWrap w:val="0"/>
            <w:vAlign w:val="center"/>
          </w:tcPr>
          <w:p>
            <w:pPr>
              <w:autoSpaceDE w:val="0"/>
              <w:autoSpaceDN w:val="0"/>
              <w:jc w:val="center"/>
              <w:rPr>
                <w:kern w:val="0"/>
                <w:szCs w:val="21"/>
              </w:rPr>
            </w:pPr>
          </w:p>
        </w:tc>
        <w:tc>
          <w:tcPr>
            <w:tcW w:w="530" w:type="dxa"/>
            <w:noWrap w:val="0"/>
            <w:vAlign w:val="center"/>
          </w:tcPr>
          <w:p>
            <w:pPr>
              <w:autoSpaceDE w:val="0"/>
              <w:autoSpaceDN w:val="0"/>
              <w:jc w:val="center"/>
              <w:rPr>
                <w:kern w:val="0"/>
                <w:szCs w:val="21"/>
              </w:rPr>
            </w:pPr>
            <w:r>
              <w:rPr>
                <w:kern w:val="0"/>
                <w:szCs w:val="21"/>
              </w:rPr>
              <w:t>2</w:t>
            </w:r>
          </w:p>
        </w:tc>
        <w:tc>
          <w:tcPr>
            <w:tcW w:w="848" w:type="dxa"/>
            <w:noWrap w:val="0"/>
            <w:vAlign w:val="center"/>
          </w:tcPr>
          <w:p>
            <w:pPr>
              <w:autoSpaceDE w:val="0"/>
              <w:autoSpaceDN w:val="0"/>
              <w:jc w:val="center"/>
              <w:rPr>
                <w:rFonts w:hint="eastAsia" w:hAnsi="宋体"/>
                <w:kern w:val="0"/>
                <w:szCs w:val="21"/>
              </w:rPr>
            </w:pPr>
            <w:r>
              <w:rPr>
                <w:rFonts w:hint="eastAsia" w:hAnsi="宋体"/>
                <w:kern w:val="0"/>
                <w:szCs w:val="21"/>
              </w:rPr>
              <w:t>住户</w:t>
            </w:r>
          </w:p>
        </w:tc>
        <w:tc>
          <w:tcPr>
            <w:tcW w:w="809" w:type="dxa"/>
            <w:noWrap w:val="0"/>
            <w:vAlign w:val="center"/>
          </w:tcPr>
          <w:p>
            <w:pPr>
              <w:autoSpaceDE w:val="0"/>
              <w:autoSpaceDN w:val="0"/>
              <w:jc w:val="center"/>
              <w:rPr>
                <w:rFonts w:hint="eastAsia"/>
                <w:kern w:val="0"/>
                <w:szCs w:val="21"/>
              </w:rPr>
            </w:pPr>
            <w:r>
              <w:rPr>
                <w:rFonts w:hint="eastAsia" w:hAnsi="宋体"/>
                <w:kern w:val="0"/>
                <w:szCs w:val="21"/>
              </w:rPr>
              <w:t>南面</w:t>
            </w:r>
          </w:p>
        </w:tc>
        <w:tc>
          <w:tcPr>
            <w:tcW w:w="860" w:type="dxa"/>
            <w:noWrap w:val="0"/>
            <w:vAlign w:val="center"/>
          </w:tcPr>
          <w:p>
            <w:pPr>
              <w:autoSpaceDE w:val="0"/>
              <w:autoSpaceDN w:val="0"/>
              <w:jc w:val="center"/>
              <w:rPr>
                <w:rFonts w:hint="eastAsia"/>
                <w:kern w:val="0"/>
                <w:szCs w:val="21"/>
              </w:rPr>
            </w:pPr>
            <w:r>
              <w:rPr>
                <w:kern w:val="0"/>
                <w:szCs w:val="21"/>
              </w:rPr>
              <w:t>40</w:t>
            </w:r>
          </w:p>
        </w:tc>
        <w:tc>
          <w:tcPr>
            <w:tcW w:w="1050" w:type="dxa"/>
            <w:noWrap w:val="0"/>
            <w:vAlign w:val="center"/>
          </w:tcPr>
          <w:p>
            <w:pPr>
              <w:autoSpaceDE w:val="0"/>
              <w:autoSpaceDN w:val="0"/>
              <w:jc w:val="center"/>
              <w:rPr>
                <w:rFonts w:hint="eastAsia"/>
                <w:kern w:val="0"/>
                <w:szCs w:val="21"/>
              </w:rPr>
            </w:pPr>
            <w:r>
              <w:rPr>
                <w:rFonts w:hint="eastAsia"/>
                <w:kern w:val="0"/>
                <w:szCs w:val="21"/>
              </w:rPr>
              <w:t>7</w:t>
            </w:r>
            <w:r>
              <w:rPr>
                <w:kern w:val="0"/>
                <w:szCs w:val="21"/>
              </w:rPr>
              <w:t>5</w:t>
            </w:r>
          </w:p>
        </w:tc>
        <w:tc>
          <w:tcPr>
            <w:tcW w:w="1418" w:type="dxa"/>
            <w:noWrap w:val="0"/>
            <w:vAlign w:val="center"/>
          </w:tcPr>
          <w:p>
            <w:pPr>
              <w:autoSpaceDE w:val="0"/>
              <w:autoSpaceDN w:val="0"/>
              <w:jc w:val="center"/>
              <w:rPr>
                <w:rFonts w:hint="eastAsia"/>
                <w:kern w:val="0"/>
                <w:szCs w:val="21"/>
                <w:lang w:val="en-US" w:eastAsia="zh-CN"/>
              </w:rPr>
            </w:pPr>
            <w:r>
              <w:rPr>
                <w:rFonts w:hint="eastAsia"/>
                <w:kern w:val="0"/>
                <w:szCs w:val="21"/>
                <w:lang w:val="en-US" w:eastAsia="zh-CN"/>
              </w:rPr>
              <w:t>-10</w:t>
            </w:r>
          </w:p>
          <w:p>
            <w:pPr>
              <w:autoSpaceDE w:val="0"/>
              <w:autoSpaceDN w:val="0"/>
              <w:jc w:val="center"/>
              <w:rPr>
                <w:rFonts w:hint="eastAsia"/>
                <w:kern w:val="0"/>
                <w:szCs w:val="21"/>
              </w:rPr>
            </w:pPr>
            <w:r>
              <w:rPr>
                <w:rFonts w:hint="eastAsia"/>
                <w:kern w:val="0"/>
                <w:szCs w:val="21"/>
                <w:lang w:val="en-US" w:eastAsia="zh-CN"/>
              </w:rPr>
              <w:t>有山体阻隔</w:t>
            </w:r>
          </w:p>
        </w:tc>
        <w:tc>
          <w:tcPr>
            <w:tcW w:w="3291" w:type="dxa"/>
            <w:vMerge w:val="continue"/>
            <w:noWrap w:val="0"/>
            <w:vAlign w:val="center"/>
          </w:tcPr>
          <w:p>
            <w:pPr>
              <w:autoSpaceDE w:val="0"/>
              <w:autoSpaceDN w:val="0"/>
              <w:jc w:val="center"/>
              <w:rPr>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41" w:hRule="atLeast"/>
        </w:trPr>
        <w:tc>
          <w:tcPr>
            <w:tcW w:w="637" w:type="dxa"/>
            <w:vMerge w:val="restart"/>
            <w:noWrap w:val="0"/>
            <w:vAlign w:val="center"/>
          </w:tcPr>
          <w:p>
            <w:pPr>
              <w:autoSpaceDE w:val="0"/>
              <w:autoSpaceDN w:val="0"/>
              <w:jc w:val="center"/>
              <w:rPr>
                <w:kern w:val="0"/>
                <w:szCs w:val="21"/>
              </w:rPr>
            </w:pPr>
            <w:r>
              <w:rPr>
                <w:rFonts w:hAnsi="宋体"/>
                <w:kern w:val="0"/>
                <w:szCs w:val="21"/>
              </w:rPr>
              <w:t>声</w:t>
            </w:r>
          </w:p>
          <w:p>
            <w:pPr>
              <w:autoSpaceDE w:val="0"/>
              <w:autoSpaceDN w:val="0"/>
              <w:jc w:val="center"/>
              <w:rPr>
                <w:kern w:val="0"/>
                <w:szCs w:val="21"/>
              </w:rPr>
            </w:pPr>
            <w:r>
              <w:rPr>
                <w:rFonts w:hAnsi="宋体"/>
                <w:kern w:val="0"/>
                <w:szCs w:val="21"/>
              </w:rPr>
              <w:t>环境</w:t>
            </w:r>
          </w:p>
        </w:tc>
        <w:tc>
          <w:tcPr>
            <w:tcW w:w="530" w:type="dxa"/>
            <w:noWrap w:val="0"/>
            <w:vAlign w:val="center"/>
          </w:tcPr>
          <w:p>
            <w:pPr>
              <w:autoSpaceDE w:val="0"/>
              <w:autoSpaceDN w:val="0"/>
              <w:jc w:val="center"/>
              <w:rPr>
                <w:kern w:val="0"/>
                <w:szCs w:val="21"/>
              </w:rPr>
            </w:pPr>
            <w:r>
              <w:rPr>
                <w:kern w:val="0"/>
                <w:szCs w:val="21"/>
              </w:rPr>
              <w:t>1</w:t>
            </w:r>
          </w:p>
        </w:tc>
        <w:tc>
          <w:tcPr>
            <w:tcW w:w="848" w:type="dxa"/>
            <w:noWrap w:val="0"/>
            <w:vAlign w:val="center"/>
          </w:tcPr>
          <w:p>
            <w:pPr>
              <w:autoSpaceDE w:val="0"/>
              <w:autoSpaceDN w:val="0"/>
              <w:jc w:val="center"/>
              <w:rPr>
                <w:rFonts w:hint="eastAsia"/>
                <w:kern w:val="0"/>
                <w:szCs w:val="21"/>
              </w:rPr>
            </w:pPr>
            <w:r>
              <w:rPr>
                <w:rFonts w:hint="eastAsia"/>
                <w:kern w:val="0"/>
                <w:szCs w:val="21"/>
              </w:rPr>
              <w:t>住户</w:t>
            </w:r>
          </w:p>
        </w:tc>
        <w:tc>
          <w:tcPr>
            <w:tcW w:w="809" w:type="dxa"/>
            <w:noWrap w:val="0"/>
            <w:vAlign w:val="center"/>
          </w:tcPr>
          <w:p>
            <w:pPr>
              <w:autoSpaceDE w:val="0"/>
              <w:autoSpaceDN w:val="0"/>
              <w:jc w:val="center"/>
              <w:rPr>
                <w:kern w:val="0"/>
                <w:szCs w:val="21"/>
              </w:rPr>
            </w:pPr>
            <w:r>
              <w:rPr>
                <w:rFonts w:hint="eastAsia" w:hAnsi="宋体"/>
                <w:kern w:val="0"/>
                <w:szCs w:val="21"/>
              </w:rPr>
              <w:t>南</w:t>
            </w:r>
            <w:r>
              <w:rPr>
                <w:rFonts w:hAnsi="宋体"/>
                <w:kern w:val="0"/>
                <w:szCs w:val="21"/>
              </w:rPr>
              <w:t>面</w:t>
            </w:r>
          </w:p>
        </w:tc>
        <w:tc>
          <w:tcPr>
            <w:tcW w:w="860" w:type="dxa"/>
            <w:noWrap w:val="0"/>
            <w:vAlign w:val="center"/>
          </w:tcPr>
          <w:p>
            <w:pPr>
              <w:autoSpaceDE w:val="0"/>
              <w:autoSpaceDN w:val="0"/>
              <w:jc w:val="center"/>
              <w:rPr>
                <w:rFonts w:hint="eastAsia"/>
                <w:kern w:val="0"/>
                <w:szCs w:val="21"/>
              </w:rPr>
            </w:pPr>
            <w:r>
              <w:rPr>
                <w:rFonts w:hint="eastAsia"/>
                <w:kern w:val="0"/>
                <w:szCs w:val="21"/>
              </w:rPr>
              <w:t>9</w:t>
            </w:r>
            <w:r>
              <w:rPr>
                <w:kern w:val="0"/>
                <w:szCs w:val="21"/>
              </w:rPr>
              <w:t>0</w:t>
            </w:r>
          </w:p>
        </w:tc>
        <w:tc>
          <w:tcPr>
            <w:tcW w:w="1050" w:type="dxa"/>
            <w:noWrap w:val="0"/>
            <w:vAlign w:val="center"/>
          </w:tcPr>
          <w:p>
            <w:pPr>
              <w:autoSpaceDE w:val="0"/>
              <w:autoSpaceDN w:val="0"/>
              <w:jc w:val="center"/>
              <w:rPr>
                <w:rFonts w:hint="eastAsia"/>
                <w:kern w:val="0"/>
                <w:szCs w:val="21"/>
              </w:rPr>
            </w:pPr>
            <w:r>
              <w:rPr>
                <w:rFonts w:hint="eastAsia"/>
                <w:kern w:val="0"/>
                <w:szCs w:val="21"/>
              </w:rPr>
              <w:t>1</w:t>
            </w:r>
            <w:r>
              <w:rPr>
                <w:kern w:val="0"/>
                <w:szCs w:val="21"/>
              </w:rPr>
              <w:t>40</w:t>
            </w:r>
          </w:p>
        </w:tc>
        <w:tc>
          <w:tcPr>
            <w:tcW w:w="1418" w:type="dxa"/>
            <w:noWrap w:val="0"/>
            <w:vAlign w:val="center"/>
          </w:tcPr>
          <w:p>
            <w:pPr>
              <w:autoSpaceDE w:val="0"/>
              <w:autoSpaceDN w:val="0"/>
              <w:jc w:val="center"/>
              <w:rPr>
                <w:rFonts w:hint="default"/>
                <w:kern w:val="0"/>
                <w:szCs w:val="21"/>
                <w:lang w:val="en-US" w:eastAsia="zh-CN"/>
              </w:rPr>
            </w:pPr>
            <w:r>
              <w:rPr>
                <w:rFonts w:hint="eastAsia"/>
                <w:kern w:val="0"/>
                <w:szCs w:val="21"/>
                <w:lang w:val="en-US" w:eastAsia="zh-CN"/>
              </w:rPr>
              <w:t>-12</w:t>
            </w:r>
          </w:p>
          <w:p>
            <w:pPr>
              <w:autoSpaceDE w:val="0"/>
              <w:autoSpaceDN w:val="0"/>
              <w:jc w:val="center"/>
              <w:rPr>
                <w:rFonts w:hint="eastAsia"/>
                <w:kern w:val="0"/>
                <w:szCs w:val="21"/>
              </w:rPr>
            </w:pPr>
            <w:r>
              <w:rPr>
                <w:rFonts w:hint="eastAsia"/>
                <w:kern w:val="0"/>
                <w:szCs w:val="21"/>
                <w:lang w:val="en-US" w:eastAsia="zh-CN"/>
              </w:rPr>
              <w:t>有山体阻隔</w:t>
            </w:r>
          </w:p>
        </w:tc>
        <w:tc>
          <w:tcPr>
            <w:tcW w:w="3291" w:type="dxa"/>
            <w:vMerge w:val="restart"/>
            <w:noWrap w:val="0"/>
            <w:vAlign w:val="center"/>
          </w:tcPr>
          <w:p>
            <w:pPr>
              <w:autoSpaceDE w:val="0"/>
              <w:autoSpaceDN w:val="0"/>
              <w:jc w:val="center"/>
              <w:rPr>
                <w:kern w:val="0"/>
                <w:szCs w:val="21"/>
              </w:rPr>
            </w:pPr>
            <w:r>
              <w:rPr>
                <w:rFonts w:hAnsi="宋体"/>
                <w:kern w:val="0"/>
                <w:szCs w:val="21"/>
              </w:rPr>
              <w:t>符合</w:t>
            </w:r>
            <w:r>
              <w:rPr>
                <w:kern w:val="0"/>
                <w:szCs w:val="21"/>
              </w:rPr>
              <w:t>GB3096-2008</w:t>
            </w:r>
            <w:r>
              <w:rPr>
                <w:rFonts w:hAnsi="宋体"/>
                <w:kern w:val="0"/>
                <w:szCs w:val="21"/>
              </w:rPr>
              <w:t>中的</w:t>
            </w:r>
            <w:r>
              <w:rPr>
                <w:kern w:val="0"/>
                <w:szCs w:val="21"/>
              </w:rPr>
              <w:t>2</w:t>
            </w:r>
            <w:r>
              <w:rPr>
                <w:rFonts w:hAnsi="宋体"/>
                <w:kern w:val="0"/>
                <w:szCs w:val="21"/>
              </w:rPr>
              <w:t>类标准，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17" w:hRule="atLeast"/>
        </w:trPr>
        <w:tc>
          <w:tcPr>
            <w:tcW w:w="637" w:type="dxa"/>
            <w:vMerge w:val="continue"/>
            <w:noWrap w:val="0"/>
            <w:vAlign w:val="center"/>
          </w:tcPr>
          <w:p>
            <w:pPr>
              <w:autoSpaceDE w:val="0"/>
              <w:autoSpaceDN w:val="0"/>
              <w:jc w:val="center"/>
              <w:rPr>
                <w:kern w:val="0"/>
                <w:szCs w:val="21"/>
              </w:rPr>
            </w:pPr>
          </w:p>
        </w:tc>
        <w:tc>
          <w:tcPr>
            <w:tcW w:w="530" w:type="dxa"/>
            <w:noWrap w:val="0"/>
            <w:vAlign w:val="center"/>
          </w:tcPr>
          <w:p>
            <w:pPr>
              <w:autoSpaceDE w:val="0"/>
              <w:autoSpaceDN w:val="0"/>
              <w:jc w:val="center"/>
              <w:rPr>
                <w:kern w:val="0"/>
                <w:szCs w:val="21"/>
              </w:rPr>
            </w:pPr>
            <w:r>
              <w:rPr>
                <w:kern w:val="0"/>
                <w:szCs w:val="21"/>
              </w:rPr>
              <w:t>2</w:t>
            </w:r>
          </w:p>
        </w:tc>
        <w:tc>
          <w:tcPr>
            <w:tcW w:w="848" w:type="dxa"/>
            <w:noWrap w:val="0"/>
            <w:vAlign w:val="center"/>
          </w:tcPr>
          <w:p>
            <w:pPr>
              <w:autoSpaceDE w:val="0"/>
              <w:autoSpaceDN w:val="0"/>
              <w:jc w:val="center"/>
              <w:rPr>
                <w:rFonts w:hint="eastAsia" w:hAnsi="宋体"/>
                <w:kern w:val="0"/>
                <w:szCs w:val="21"/>
              </w:rPr>
            </w:pPr>
            <w:r>
              <w:rPr>
                <w:rFonts w:hint="eastAsia" w:hAnsi="宋体"/>
                <w:kern w:val="0"/>
                <w:szCs w:val="21"/>
              </w:rPr>
              <w:t>住户</w:t>
            </w:r>
          </w:p>
        </w:tc>
        <w:tc>
          <w:tcPr>
            <w:tcW w:w="809" w:type="dxa"/>
            <w:noWrap w:val="0"/>
            <w:vAlign w:val="center"/>
          </w:tcPr>
          <w:p>
            <w:pPr>
              <w:autoSpaceDE w:val="0"/>
              <w:autoSpaceDN w:val="0"/>
              <w:jc w:val="center"/>
              <w:rPr>
                <w:rFonts w:hint="eastAsia"/>
                <w:kern w:val="0"/>
                <w:szCs w:val="21"/>
              </w:rPr>
            </w:pPr>
            <w:r>
              <w:rPr>
                <w:rFonts w:hint="eastAsia" w:hAnsi="宋体"/>
                <w:kern w:val="0"/>
                <w:szCs w:val="21"/>
              </w:rPr>
              <w:t>南面</w:t>
            </w:r>
          </w:p>
        </w:tc>
        <w:tc>
          <w:tcPr>
            <w:tcW w:w="860" w:type="dxa"/>
            <w:noWrap w:val="0"/>
            <w:vAlign w:val="center"/>
          </w:tcPr>
          <w:p>
            <w:pPr>
              <w:autoSpaceDE w:val="0"/>
              <w:autoSpaceDN w:val="0"/>
              <w:jc w:val="center"/>
              <w:rPr>
                <w:rFonts w:hint="eastAsia"/>
                <w:kern w:val="0"/>
                <w:szCs w:val="21"/>
              </w:rPr>
            </w:pPr>
            <w:r>
              <w:rPr>
                <w:kern w:val="0"/>
                <w:szCs w:val="21"/>
              </w:rPr>
              <w:t>40</w:t>
            </w:r>
          </w:p>
        </w:tc>
        <w:tc>
          <w:tcPr>
            <w:tcW w:w="1050" w:type="dxa"/>
            <w:noWrap w:val="0"/>
            <w:vAlign w:val="center"/>
          </w:tcPr>
          <w:p>
            <w:pPr>
              <w:autoSpaceDE w:val="0"/>
              <w:autoSpaceDN w:val="0"/>
              <w:jc w:val="center"/>
              <w:rPr>
                <w:rFonts w:hint="eastAsia"/>
                <w:kern w:val="0"/>
                <w:szCs w:val="21"/>
              </w:rPr>
            </w:pPr>
            <w:r>
              <w:rPr>
                <w:rFonts w:hint="eastAsia"/>
                <w:kern w:val="0"/>
                <w:szCs w:val="21"/>
              </w:rPr>
              <w:t>7</w:t>
            </w:r>
            <w:r>
              <w:rPr>
                <w:kern w:val="0"/>
                <w:szCs w:val="21"/>
              </w:rPr>
              <w:t>5</w:t>
            </w:r>
          </w:p>
        </w:tc>
        <w:tc>
          <w:tcPr>
            <w:tcW w:w="1418" w:type="dxa"/>
            <w:noWrap w:val="0"/>
            <w:vAlign w:val="center"/>
          </w:tcPr>
          <w:p>
            <w:pPr>
              <w:autoSpaceDE w:val="0"/>
              <w:autoSpaceDN w:val="0"/>
              <w:jc w:val="center"/>
              <w:rPr>
                <w:rFonts w:hint="eastAsia"/>
                <w:kern w:val="0"/>
                <w:szCs w:val="21"/>
                <w:lang w:val="en-US" w:eastAsia="zh-CN"/>
              </w:rPr>
            </w:pPr>
            <w:r>
              <w:rPr>
                <w:rFonts w:hint="eastAsia"/>
                <w:kern w:val="0"/>
                <w:szCs w:val="21"/>
                <w:lang w:val="en-US" w:eastAsia="zh-CN"/>
              </w:rPr>
              <w:t>-10</w:t>
            </w:r>
          </w:p>
          <w:p>
            <w:pPr>
              <w:autoSpaceDE w:val="0"/>
              <w:autoSpaceDN w:val="0"/>
              <w:jc w:val="center"/>
              <w:rPr>
                <w:rFonts w:hint="eastAsia"/>
                <w:kern w:val="0"/>
                <w:szCs w:val="21"/>
              </w:rPr>
            </w:pPr>
            <w:r>
              <w:rPr>
                <w:rFonts w:hint="eastAsia"/>
                <w:kern w:val="0"/>
                <w:szCs w:val="21"/>
                <w:lang w:val="en-US" w:eastAsia="zh-CN"/>
              </w:rPr>
              <w:t>有山体阻隔</w:t>
            </w:r>
          </w:p>
        </w:tc>
        <w:tc>
          <w:tcPr>
            <w:tcW w:w="3291" w:type="dxa"/>
            <w:vMerge w:val="continue"/>
            <w:noWrap w:val="0"/>
            <w:vAlign w:val="center"/>
          </w:tcPr>
          <w:p>
            <w:pPr>
              <w:autoSpaceDE w:val="0"/>
              <w:autoSpaceDN w:val="0"/>
              <w:jc w:val="center"/>
              <w:rPr>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70" w:hRule="atLeast"/>
        </w:trPr>
        <w:tc>
          <w:tcPr>
            <w:tcW w:w="637" w:type="dxa"/>
            <w:noWrap w:val="0"/>
            <w:vAlign w:val="center"/>
          </w:tcPr>
          <w:p>
            <w:pPr>
              <w:autoSpaceDE w:val="0"/>
              <w:autoSpaceDN w:val="0"/>
              <w:jc w:val="center"/>
              <w:rPr>
                <w:kern w:val="0"/>
                <w:szCs w:val="21"/>
              </w:rPr>
            </w:pPr>
            <w:r>
              <w:rPr>
                <w:rFonts w:hAnsi="宋体"/>
                <w:kern w:val="0"/>
                <w:szCs w:val="21"/>
              </w:rPr>
              <w:t>水</w:t>
            </w:r>
          </w:p>
          <w:p>
            <w:pPr>
              <w:autoSpaceDE w:val="0"/>
              <w:autoSpaceDN w:val="0"/>
              <w:jc w:val="center"/>
              <w:rPr>
                <w:kern w:val="0"/>
                <w:szCs w:val="21"/>
              </w:rPr>
            </w:pPr>
            <w:r>
              <w:rPr>
                <w:rFonts w:hAnsi="宋体"/>
                <w:kern w:val="0"/>
                <w:szCs w:val="21"/>
              </w:rPr>
              <w:t>环境</w:t>
            </w:r>
          </w:p>
        </w:tc>
        <w:tc>
          <w:tcPr>
            <w:tcW w:w="530" w:type="dxa"/>
            <w:noWrap w:val="0"/>
            <w:vAlign w:val="center"/>
          </w:tcPr>
          <w:p>
            <w:pPr>
              <w:autoSpaceDE w:val="0"/>
              <w:autoSpaceDN w:val="0"/>
              <w:jc w:val="center"/>
              <w:rPr>
                <w:kern w:val="0"/>
                <w:szCs w:val="21"/>
              </w:rPr>
            </w:pPr>
            <w:r>
              <w:rPr>
                <w:kern w:val="0"/>
                <w:szCs w:val="21"/>
              </w:rPr>
              <w:t>1</w:t>
            </w:r>
          </w:p>
        </w:tc>
        <w:tc>
          <w:tcPr>
            <w:tcW w:w="848" w:type="dxa"/>
            <w:noWrap w:val="0"/>
            <w:vAlign w:val="center"/>
          </w:tcPr>
          <w:p>
            <w:pPr>
              <w:autoSpaceDE w:val="0"/>
              <w:autoSpaceDN w:val="0"/>
              <w:jc w:val="center"/>
              <w:rPr>
                <w:kern w:val="0"/>
                <w:szCs w:val="21"/>
              </w:rPr>
            </w:pPr>
            <w:r>
              <w:rPr>
                <w:rFonts w:hAnsi="宋体"/>
                <w:kern w:val="0"/>
                <w:szCs w:val="21"/>
              </w:rPr>
              <w:t>岷江</w:t>
            </w:r>
          </w:p>
        </w:tc>
        <w:tc>
          <w:tcPr>
            <w:tcW w:w="809" w:type="dxa"/>
            <w:noWrap w:val="0"/>
            <w:vAlign w:val="center"/>
          </w:tcPr>
          <w:p>
            <w:pPr>
              <w:autoSpaceDE w:val="0"/>
              <w:autoSpaceDN w:val="0"/>
              <w:jc w:val="center"/>
              <w:rPr>
                <w:kern w:val="0"/>
                <w:szCs w:val="21"/>
              </w:rPr>
            </w:pPr>
            <w:r>
              <w:rPr>
                <w:rFonts w:hint="eastAsia"/>
                <w:kern w:val="0"/>
                <w:szCs w:val="21"/>
              </w:rPr>
              <w:t>东南面</w:t>
            </w:r>
          </w:p>
        </w:tc>
        <w:tc>
          <w:tcPr>
            <w:tcW w:w="860" w:type="dxa"/>
            <w:noWrap w:val="0"/>
            <w:vAlign w:val="center"/>
          </w:tcPr>
          <w:p>
            <w:pPr>
              <w:autoSpaceDE w:val="0"/>
              <w:autoSpaceDN w:val="0"/>
              <w:jc w:val="center"/>
              <w:rPr>
                <w:kern w:val="0"/>
                <w:szCs w:val="21"/>
              </w:rPr>
            </w:pPr>
            <w:r>
              <w:rPr>
                <w:kern w:val="0"/>
                <w:szCs w:val="21"/>
              </w:rPr>
              <w:t>2.8km</w:t>
            </w:r>
          </w:p>
        </w:tc>
        <w:tc>
          <w:tcPr>
            <w:tcW w:w="1050" w:type="dxa"/>
            <w:noWrap w:val="0"/>
            <w:vAlign w:val="center"/>
          </w:tcPr>
          <w:p>
            <w:pPr>
              <w:autoSpaceDE w:val="0"/>
              <w:autoSpaceDN w:val="0"/>
              <w:jc w:val="center"/>
              <w:rPr>
                <w:kern w:val="0"/>
                <w:szCs w:val="21"/>
              </w:rPr>
            </w:pPr>
            <w:r>
              <w:rPr>
                <w:rFonts w:hint="eastAsia"/>
                <w:kern w:val="0"/>
                <w:szCs w:val="21"/>
              </w:rPr>
              <w:t>/</w:t>
            </w:r>
          </w:p>
        </w:tc>
        <w:tc>
          <w:tcPr>
            <w:tcW w:w="1418" w:type="dxa"/>
            <w:noWrap w:val="0"/>
            <w:vAlign w:val="center"/>
          </w:tcPr>
          <w:p>
            <w:pPr>
              <w:autoSpaceDE w:val="0"/>
              <w:autoSpaceDN w:val="0"/>
              <w:jc w:val="center"/>
              <w:rPr>
                <w:rFonts w:hint="eastAsia" w:eastAsia="宋体"/>
                <w:kern w:val="0"/>
                <w:szCs w:val="21"/>
                <w:lang w:val="en-US" w:eastAsia="zh-CN"/>
              </w:rPr>
            </w:pPr>
            <w:r>
              <w:rPr>
                <w:rFonts w:hint="eastAsia"/>
                <w:kern w:val="0"/>
                <w:szCs w:val="21"/>
                <w:lang w:val="en-US" w:eastAsia="zh-CN"/>
              </w:rPr>
              <w:t>/</w:t>
            </w:r>
          </w:p>
        </w:tc>
        <w:tc>
          <w:tcPr>
            <w:tcW w:w="3291" w:type="dxa"/>
            <w:noWrap w:val="0"/>
            <w:vAlign w:val="center"/>
          </w:tcPr>
          <w:p>
            <w:pPr>
              <w:autoSpaceDE w:val="0"/>
              <w:autoSpaceDN w:val="0"/>
              <w:jc w:val="center"/>
              <w:rPr>
                <w:kern w:val="0"/>
                <w:szCs w:val="21"/>
              </w:rPr>
            </w:pPr>
            <w:r>
              <w:rPr>
                <w:rFonts w:hAnsi="宋体"/>
                <w:kern w:val="0"/>
                <w:szCs w:val="21"/>
              </w:rPr>
              <w:t>符合</w:t>
            </w:r>
            <w:r>
              <w:rPr>
                <w:kern w:val="0"/>
                <w:szCs w:val="21"/>
              </w:rPr>
              <w:t>GB3838-2002</w:t>
            </w:r>
            <w:r>
              <w:rPr>
                <w:rFonts w:hAnsi="宋体"/>
                <w:kern w:val="0"/>
                <w:szCs w:val="21"/>
              </w:rPr>
              <w:t>中Ⅲ类标准</w:t>
            </w:r>
          </w:p>
        </w:tc>
      </w:tr>
    </w:tbl>
    <w:p>
      <w:pPr>
        <w:spacing w:line="300" w:lineRule="auto"/>
        <w:ind w:firstLine="602" w:firstLineChars="200"/>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spacing w:line="300" w:lineRule="auto"/>
        <w:rPr>
          <w:rFonts w:ascii="宋体" w:hAnsi="宋体" w:cs="宋体"/>
          <w:b/>
          <w:color w:val="000000"/>
          <w:sz w:val="30"/>
        </w:rPr>
      </w:pPr>
    </w:p>
    <w:p>
      <w:pPr>
        <w:pStyle w:val="52"/>
        <w:rPr>
          <w:rFonts w:hint="eastAsia"/>
        </w:rPr>
      </w:pPr>
      <w:r>
        <w:rPr>
          <w:rFonts w:hint="eastAsia"/>
        </w:rPr>
        <w:t xml:space="preserve">评价适用标准 </w:t>
      </w:r>
      <w:r>
        <w:t xml:space="preserve">                                         </w:t>
      </w:r>
      <w:r>
        <w:rPr>
          <w:rFonts w:hint="eastAsia"/>
        </w:rPr>
        <w:t>表（四）</w:t>
      </w:r>
    </w:p>
    <w:tbl>
      <w:tblPr>
        <w:tblStyle w:val="69"/>
        <w:tblW w:w="9356"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29"/>
        <w:gridCol w:w="87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8" w:hRule="atLeast"/>
        </w:trPr>
        <w:tc>
          <w:tcPr>
            <w:tcW w:w="629" w:type="dxa"/>
            <w:noWrap w:val="0"/>
            <w:vAlign w:val="center"/>
          </w:tcPr>
          <w:p>
            <w:pPr>
              <w:pStyle w:val="619"/>
              <w:topLinePunct w:val="0"/>
              <w:autoSpaceDE/>
              <w:autoSpaceDN/>
              <w:adjustRightInd/>
              <w:spacing w:before="120" w:line="300" w:lineRule="auto"/>
              <w:textAlignment w:val="auto"/>
              <w:rPr>
                <w:rFonts w:ascii="Times New Roman" w:hAnsi="Times New Roman"/>
                <w:color w:val="000000"/>
                <w:kern w:val="2"/>
              </w:rPr>
            </w:pPr>
            <w:r>
              <w:rPr>
                <w:rFonts w:ascii="Times New Roman" w:hAnsi="Times New Roman"/>
                <w:kern w:val="2"/>
              </w:rPr>
              <w:t>环境质量标准</w:t>
            </w:r>
          </w:p>
        </w:tc>
        <w:tc>
          <w:tcPr>
            <w:tcW w:w="8727" w:type="dxa"/>
            <w:noWrap w:val="0"/>
            <w:vAlign w:val="center"/>
          </w:tcPr>
          <w:p>
            <w:pPr>
              <w:spacing w:line="360" w:lineRule="auto"/>
              <w:ind w:firstLine="482" w:firstLineChars="200"/>
              <w:rPr>
                <w:rFonts w:ascii="T" w:hAnsi="T"/>
                <w:sz w:val="24"/>
                <w:szCs w:val="20"/>
              </w:rPr>
            </w:pPr>
            <w:r>
              <w:rPr>
                <w:rFonts w:ascii="T" w:hAnsi="T"/>
                <w:b/>
                <w:sz w:val="24"/>
                <w:szCs w:val="20"/>
              </w:rPr>
              <w:t>1、环境空气：</w:t>
            </w:r>
            <w:r>
              <w:rPr>
                <w:rFonts w:ascii="T" w:hAnsi="T"/>
                <w:sz w:val="24"/>
                <w:szCs w:val="20"/>
              </w:rPr>
              <w:t>执行《环境空气质量标准》(</w:t>
            </w:r>
            <w:r>
              <w:t>GB3095-</w:t>
            </w:r>
            <w:r>
              <w:rPr>
                <w:rFonts w:hint="eastAsia"/>
              </w:rPr>
              <w:t>2012</w:t>
            </w:r>
            <w:r>
              <w:rPr>
                <w:rFonts w:ascii="T" w:hAnsi="T"/>
                <w:sz w:val="24"/>
                <w:szCs w:val="20"/>
              </w:rPr>
              <w:t>)二级标准要求。见表4-1。</w:t>
            </w:r>
          </w:p>
          <w:p>
            <w:pPr>
              <w:spacing w:line="240" w:lineRule="atLeast"/>
              <w:ind w:firstLine="561"/>
              <w:jc w:val="center"/>
              <w:rPr>
                <w:rFonts w:ascii="T" w:hAnsi="T"/>
                <w:b/>
                <w:szCs w:val="21"/>
              </w:rPr>
            </w:pPr>
            <w:r>
              <w:rPr>
                <w:rFonts w:ascii="T" w:hAnsi="T"/>
                <w:b/>
                <w:szCs w:val="21"/>
              </w:rPr>
              <w:t>表4-1  环境空气质量标准</w:t>
            </w:r>
          </w:p>
          <w:tbl>
            <w:tblPr>
              <w:tblStyle w:val="69"/>
              <w:tblW w:w="81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88"/>
              <w:gridCol w:w="2178"/>
              <w:gridCol w:w="1573"/>
              <w:gridCol w:w="18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488" w:type="dxa"/>
                  <w:tcBorders>
                    <w:top w:val="single" w:color="auto" w:sz="12" w:space="0"/>
                    <w:left w:val="nil"/>
                    <w:tl2br w:val="single" w:color="auto" w:sz="4" w:space="0"/>
                  </w:tcBorders>
                  <w:noWrap w:val="0"/>
                  <w:vAlign w:val="center"/>
                </w:tcPr>
                <w:p>
                  <w:pPr>
                    <w:ind w:firstLine="735" w:firstLineChars="350"/>
                    <w:textAlignment w:val="center"/>
                    <w:rPr>
                      <w:szCs w:val="21"/>
                    </w:rPr>
                  </w:pPr>
                  <w:r>
                    <w:rPr>
                      <w:szCs w:val="21"/>
                    </w:rPr>
                    <w:t>污染物</w:t>
                  </w:r>
                </w:p>
                <w:p>
                  <w:pPr>
                    <w:textAlignment w:val="center"/>
                    <w:rPr>
                      <w:szCs w:val="21"/>
                    </w:rPr>
                  </w:pPr>
                  <w:r>
                    <w:rPr>
                      <w:szCs w:val="21"/>
                    </w:rPr>
                    <w:t>标准值</w:t>
                  </w:r>
                </w:p>
              </w:tc>
              <w:tc>
                <w:tcPr>
                  <w:tcW w:w="2178" w:type="dxa"/>
                  <w:tcBorders>
                    <w:top w:val="single" w:color="auto" w:sz="12" w:space="0"/>
                  </w:tcBorders>
                  <w:noWrap w:val="0"/>
                  <w:vAlign w:val="center"/>
                </w:tcPr>
                <w:p>
                  <w:pPr>
                    <w:jc w:val="center"/>
                    <w:textAlignment w:val="center"/>
                    <w:rPr>
                      <w:szCs w:val="21"/>
                    </w:rPr>
                  </w:pPr>
                  <w:r>
                    <w:rPr>
                      <w:szCs w:val="21"/>
                    </w:rPr>
                    <w:t>PM</w:t>
                  </w:r>
                  <w:r>
                    <w:rPr>
                      <w:szCs w:val="21"/>
                      <w:vertAlign w:val="subscript"/>
                    </w:rPr>
                    <w:t>10</w:t>
                  </w:r>
                </w:p>
              </w:tc>
              <w:tc>
                <w:tcPr>
                  <w:tcW w:w="1573" w:type="dxa"/>
                  <w:tcBorders>
                    <w:top w:val="single" w:color="auto" w:sz="12" w:space="0"/>
                  </w:tcBorders>
                  <w:noWrap w:val="0"/>
                  <w:vAlign w:val="center"/>
                </w:tcPr>
                <w:p>
                  <w:pPr>
                    <w:jc w:val="center"/>
                    <w:textAlignment w:val="center"/>
                    <w:rPr>
                      <w:szCs w:val="21"/>
                    </w:rPr>
                  </w:pPr>
                  <w:r>
                    <w:rPr>
                      <w:szCs w:val="21"/>
                    </w:rPr>
                    <w:t>SO</w:t>
                  </w:r>
                  <w:r>
                    <w:rPr>
                      <w:szCs w:val="21"/>
                      <w:vertAlign w:val="subscript"/>
                    </w:rPr>
                    <w:t>2</w:t>
                  </w:r>
                </w:p>
              </w:tc>
              <w:tc>
                <w:tcPr>
                  <w:tcW w:w="1870" w:type="dxa"/>
                  <w:tcBorders>
                    <w:top w:val="single" w:color="auto" w:sz="12" w:space="0"/>
                    <w:right w:val="nil"/>
                  </w:tcBorders>
                  <w:noWrap w:val="0"/>
                  <w:vAlign w:val="center"/>
                </w:tcPr>
                <w:p>
                  <w:pPr>
                    <w:jc w:val="center"/>
                    <w:textAlignment w:val="center"/>
                    <w:rPr>
                      <w:szCs w:val="21"/>
                    </w:rPr>
                  </w:pPr>
                  <w:r>
                    <w:rPr>
                      <w:szCs w:val="21"/>
                    </w:rPr>
                    <w:t>NO</w:t>
                  </w:r>
                  <w:r>
                    <w:rPr>
                      <w:szCs w:val="21"/>
                      <w:vertAlign w:val="subscript"/>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488" w:type="dxa"/>
                  <w:tcBorders>
                    <w:left w:val="nil"/>
                  </w:tcBorders>
                  <w:noWrap w:val="0"/>
                  <w:vAlign w:val="center"/>
                </w:tcPr>
                <w:p>
                  <w:pPr>
                    <w:jc w:val="center"/>
                    <w:textAlignment w:val="center"/>
                    <w:rPr>
                      <w:szCs w:val="21"/>
                    </w:rPr>
                  </w:pPr>
                  <w:r>
                    <w:rPr>
                      <w:szCs w:val="21"/>
                    </w:rPr>
                    <w:t>日平均</w:t>
                  </w:r>
                </w:p>
              </w:tc>
              <w:tc>
                <w:tcPr>
                  <w:tcW w:w="2178" w:type="dxa"/>
                  <w:noWrap w:val="0"/>
                  <w:vAlign w:val="center"/>
                </w:tcPr>
                <w:p>
                  <w:pPr>
                    <w:jc w:val="center"/>
                    <w:textAlignment w:val="center"/>
                    <w:rPr>
                      <w:szCs w:val="21"/>
                    </w:rPr>
                  </w:pPr>
                  <w:r>
                    <w:rPr>
                      <w:szCs w:val="21"/>
                    </w:rPr>
                    <w:t>0.15</w:t>
                  </w:r>
                </w:p>
              </w:tc>
              <w:tc>
                <w:tcPr>
                  <w:tcW w:w="1573" w:type="dxa"/>
                  <w:noWrap w:val="0"/>
                  <w:vAlign w:val="center"/>
                </w:tcPr>
                <w:p>
                  <w:pPr>
                    <w:jc w:val="center"/>
                    <w:textAlignment w:val="center"/>
                    <w:rPr>
                      <w:szCs w:val="21"/>
                    </w:rPr>
                  </w:pPr>
                  <w:r>
                    <w:rPr>
                      <w:szCs w:val="21"/>
                    </w:rPr>
                    <w:t>0.15</w:t>
                  </w:r>
                </w:p>
              </w:tc>
              <w:tc>
                <w:tcPr>
                  <w:tcW w:w="1870" w:type="dxa"/>
                  <w:tcBorders>
                    <w:right w:val="nil"/>
                  </w:tcBorders>
                  <w:noWrap w:val="0"/>
                  <w:vAlign w:val="center"/>
                </w:tcPr>
                <w:p>
                  <w:pPr>
                    <w:jc w:val="center"/>
                    <w:textAlignment w:val="center"/>
                    <w:rPr>
                      <w:szCs w:val="21"/>
                    </w:rPr>
                  </w:pPr>
                  <w:r>
                    <w:rPr>
                      <w:szCs w:val="21"/>
                    </w:rPr>
                    <w:t>0.</w:t>
                  </w:r>
                  <w:r>
                    <w:rPr>
                      <w:rFonts w:hint="eastAsia"/>
                      <w:szCs w:val="21"/>
                    </w:rPr>
                    <w:t>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488" w:type="dxa"/>
                  <w:tcBorders>
                    <w:left w:val="nil"/>
                    <w:bottom w:val="single" w:color="auto" w:sz="12" w:space="0"/>
                  </w:tcBorders>
                  <w:noWrap w:val="0"/>
                  <w:vAlign w:val="center"/>
                </w:tcPr>
                <w:p>
                  <w:pPr>
                    <w:jc w:val="center"/>
                    <w:textAlignment w:val="center"/>
                    <w:rPr>
                      <w:szCs w:val="21"/>
                    </w:rPr>
                  </w:pPr>
                  <w:r>
                    <w:rPr>
                      <w:szCs w:val="21"/>
                    </w:rPr>
                    <w:t>1小时平均</w:t>
                  </w:r>
                </w:p>
              </w:tc>
              <w:tc>
                <w:tcPr>
                  <w:tcW w:w="2178" w:type="dxa"/>
                  <w:tcBorders>
                    <w:bottom w:val="single" w:color="auto" w:sz="12" w:space="0"/>
                  </w:tcBorders>
                  <w:noWrap w:val="0"/>
                  <w:vAlign w:val="center"/>
                </w:tcPr>
                <w:p>
                  <w:pPr>
                    <w:jc w:val="center"/>
                    <w:textAlignment w:val="center"/>
                    <w:rPr>
                      <w:szCs w:val="21"/>
                    </w:rPr>
                  </w:pPr>
                  <w:r>
                    <w:rPr>
                      <w:szCs w:val="21"/>
                    </w:rPr>
                    <w:t>/</w:t>
                  </w:r>
                </w:p>
              </w:tc>
              <w:tc>
                <w:tcPr>
                  <w:tcW w:w="1573" w:type="dxa"/>
                  <w:tcBorders>
                    <w:bottom w:val="single" w:color="auto" w:sz="12" w:space="0"/>
                  </w:tcBorders>
                  <w:noWrap w:val="0"/>
                  <w:vAlign w:val="center"/>
                </w:tcPr>
                <w:p>
                  <w:pPr>
                    <w:jc w:val="center"/>
                    <w:textAlignment w:val="center"/>
                    <w:rPr>
                      <w:szCs w:val="21"/>
                    </w:rPr>
                  </w:pPr>
                  <w:r>
                    <w:rPr>
                      <w:rFonts w:hint="eastAsia"/>
                      <w:szCs w:val="21"/>
                    </w:rPr>
                    <w:t>0</w:t>
                  </w:r>
                  <w:r>
                    <w:rPr>
                      <w:szCs w:val="21"/>
                    </w:rPr>
                    <w:t>.50</w:t>
                  </w:r>
                </w:p>
              </w:tc>
              <w:tc>
                <w:tcPr>
                  <w:tcW w:w="1870" w:type="dxa"/>
                  <w:tcBorders>
                    <w:bottom w:val="single" w:color="auto" w:sz="12" w:space="0"/>
                    <w:right w:val="nil"/>
                  </w:tcBorders>
                  <w:noWrap w:val="0"/>
                  <w:vAlign w:val="center"/>
                </w:tcPr>
                <w:p>
                  <w:pPr>
                    <w:jc w:val="center"/>
                    <w:textAlignment w:val="center"/>
                    <w:rPr>
                      <w:szCs w:val="21"/>
                    </w:rPr>
                  </w:pPr>
                  <w:r>
                    <w:rPr>
                      <w:szCs w:val="21"/>
                    </w:rPr>
                    <w:t>0.20</w:t>
                  </w:r>
                </w:p>
              </w:tc>
            </w:tr>
          </w:tbl>
          <w:p>
            <w:pPr>
              <w:spacing w:line="360" w:lineRule="auto"/>
              <w:ind w:firstLine="482" w:firstLineChars="200"/>
              <w:rPr>
                <w:rFonts w:ascii="T" w:hAnsi="T"/>
                <w:sz w:val="24"/>
                <w:szCs w:val="20"/>
              </w:rPr>
            </w:pPr>
            <w:r>
              <w:rPr>
                <w:rFonts w:ascii="T" w:hAnsi="T"/>
                <w:b/>
                <w:sz w:val="24"/>
                <w:szCs w:val="20"/>
              </w:rPr>
              <w:t>2、声环境：</w:t>
            </w:r>
            <w:r>
              <w:rPr>
                <w:rFonts w:ascii="T" w:hAnsi="T"/>
                <w:spacing w:val="-8"/>
                <w:sz w:val="24"/>
                <w:szCs w:val="20"/>
              </w:rPr>
              <w:t>执行《声环境质量标准》(GB3096-2008)2类标准</w:t>
            </w:r>
            <w:r>
              <w:rPr>
                <w:rFonts w:ascii="T" w:hAnsi="T"/>
                <w:sz w:val="24"/>
                <w:szCs w:val="20"/>
              </w:rPr>
              <w:t>。见表4-2。</w:t>
            </w:r>
          </w:p>
          <w:p>
            <w:pPr>
              <w:spacing w:line="240" w:lineRule="atLeast"/>
              <w:ind w:firstLine="561"/>
              <w:jc w:val="center"/>
              <w:rPr>
                <w:rFonts w:ascii="T" w:hAnsi="T"/>
                <w:b/>
                <w:szCs w:val="21"/>
              </w:rPr>
            </w:pPr>
            <w:r>
              <w:rPr>
                <w:rFonts w:ascii="T" w:hAnsi="T"/>
                <w:b/>
                <w:szCs w:val="21"/>
              </w:rPr>
              <w:t>表4-2   声环境标准  单位：dB(A)</w:t>
            </w:r>
          </w:p>
          <w:tbl>
            <w:tblPr>
              <w:tblStyle w:val="69"/>
              <w:tblW w:w="8278"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98"/>
              <w:gridCol w:w="1699"/>
              <w:gridCol w:w="2313"/>
              <w:gridCol w:w="276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8" w:type="dxa"/>
                  <w:noWrap w:val="0"/>
                  <w:vAlign w:val="center"/>
                </w:tcPr>
                <w:p>
                  <w:pPr>
                    <w:spacing w:line="240" w:lineRule="atLeast"/>
                    <w:ind w:hanging="200"/>
                    <w:jc w:val="center"/>
                    <w:rPr>
                      <w:rFonts w:ascii="T" w:hAnsi="T"/>
                      <w:szCs w:val="20"/>
                    </w:rPr>
                  </w:pPr>
                  <w:r>
                    <w:rPr>
                      <w:rFonts w:ascii="T" w:hAnsi="T"/>
                      <w:szCs w:val="20"/>
                    </w:rPr>
                    <w:t>环境要素</w:t>
                  </w:r>
                </w:p>
              </w:tc>
              <w:tc>
                <w:tcPr>
                  <w:tcW w:w="1699" w:type="dxa"/>
                  <w:noWrap w:val="0"/>
                  <w:vAlign w:val="center"/>
                </w:tcPr>
                <w:p>
                  <w:pPr>
                    <w:spacing w:line="240" w:lineRule="atLeast"/>
                    <w:ind w:left="420" w:hanging="420" w:hangingChars="200"/>
                    <w:jc w:val="center"/>
                    <w:rPr>
                      <w:rFonts w:ascii="T" w:hAnsi="T"/>
                      <w:szCs w:val="20"/>
                    </w:rPr>
                  </w:pPr>
                  <w:r>
                    <w:rPr>
                      <w:rFonts w:ascii="T" w:hAnsi="T"/>
                      <w:szCs w:val="20"/>
                    </w:rPr>
                    <w:t>项目</w:t>
                  </w:r>
                </w:p>
              </w:tc>
              <w:tc>
                <w:tcPr>
                  <w:tcW w:w="2313" w:type="dxa"/>
                  <w:noWrap w:val="0"/>
                  <w:vAlign w:val="center"/>
                </w:tcPr>
                <w:p>
                  <w:pPr>
                    <w:spacing w:line="240" w:lineRule="atLeast"/>
                    <w:ind w:left="420" w:hanging="420" w:hangingChars="200"/>
                    <w:jc w:val="center"/>
                    <w:rPr>
                      <w:rFonts w:ascii="T" w:hAnsi="T"/>
                      <w:szCs w:val="20"/>
                    </w:rPr>
                  </w:pPr>
                  <w:r>
                    <w:rPr>
                      <w:rFonts w:ascii="T" w:hAnsi="T"/>
                      <w:szCs w:val="20"/>
                    </w:rPr>
                    <w:t>标准</w:t>
                  </w:r>
                </w:p>
              </w:tc>
              <w:tc>
                <w:tcPr>
                  <w:tcW w:w="2768" w:type="dxa"/>
                  <w:noWrap w:val="0"/>
                  <w:vAlign w:val="center"/>
                </w:tcPr>
                <w:p>
                  <w:pPr>
                    <w:spacing w:line="240" w:lineRule="atLeast"/>
                    <w:jc w:val="center"/>
                    <w:rPr>
                      <w:rFonts w:ascii="T" w:hAnsi="T"/>
                      <w:szCs w:val="20"/>
                    </w:rPr>
                  </w:pPr>
                  <w:r>
                    <w:rPr>
                      <w:rFonts w:ascii="T" w:hAnsi="T"/>
                      <w:szCs w:val="20"/>
                    </w:rPr>
                    <w:t>功能区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498" w:type="dxa"/>
                  <w:vMerge w:val="restart"/>
                  <w:noWrap w:val="0"/>
                  <w:vAlign w:val="center"/>
                </w:tcPr>
                <w:p>
                  <w:pPr>
                    <w:spacing w:line="240" w:lineRule="atLeast"/>
                    <w:jc w:val="center"/>
                    <w:rPr>
                      <w:rFonts w:hint="eastAsia" w:ascii="T" w:hAnsi="T"/>
                      <w:szCs w:val="20"/>
                    </w:rPr>
                  </w:pPr>
                  <w:r>
                    <w:rPr>
                      <w:rFonts w:ascii="T" w:hAnsi="T"/>
                      <w:szCs w:val="20"/>
                    </w:rPr>
                    <w:t>声</w:t>
                  </w:r>
                  <w:r>
                    <w:rPr>
                      <w:rFonts w:hint="eastAsia" w:ascii="T" w:hAnsi="T"/>
                      <w:szCs w:val="20"/>
                    </w:rPr>
                    <w:t>环境</w:t>
                  </w:r>
                </w:p>
              </w:tc>
              <w:tc>
                <w:tcPr>
                  <w:tcW w:w="1699" w:type="dxa"/>
                  <w:noWrap w:val="0"/>
                  <w:vAlign w:val="center"/>
                </w:tcPr>
                <w:p>
                  <w:pPr>
                    <w:spacing w:line="240" w:lineRule="atLeast"/>
                    <w:jc w:val="center"/>
                    <w:rPr>
                      <w:rFonts w:ascii="T" w:hAnsi="T"/>
                      <w:szCs w:val="20"/>
                    </w:rPr>
                  </w:pPr>
                  <w:r>
                    <w:rPr>
                      <w:rFonts w:ascii="T" w:hAnsi="T"/>
                      <w:szCs w:val="20"/>
                    </w:rPr>
                    <w:t>昼间</w:t>
                  </w:r>
                </w:p>
              </w:tc>
              <w:tc>
                <w:tcPr>
                  <w:tcW w:w="2313" w:type="dxa"/>
                  <w:noWrap w:val="0"/>
                  <w:vAlign w:val="center"/>
                </w:tcPr>
                <w:p>
                  <w:pPr>
                    <w:spacing w:line="240" w:lineRule="atLeast"/>
                    <w:jc w:val="center"/>
                    <w:rPr>
                      <w:rFonts w:ascii="T" w:hAnsi="T"/>
                      <w:szCs w:val="20"/>
                    </w:rPr>
                  </w:pPr>
                  <w:r>
                    <w:rPr>
                      <w:rFonts w:ascii="T" w:hAnsi="T"/>
                      <w:szCs w:val="20"/>
                    </w:rPr>
                    <w:t>60</w:t>
                  </w:r>
                </w:p>
              </w:tc>
              <w:tc>
                <w:tcPr>
                  <w:tcW w:w="2768" w:type="dxa"/>
                  <w:vMerge w:val="restart"/>
                  <w:noWrap w:val="0"/>
                  <w:vAlign w:val="center"/>
                </w:tcPr>
                <w:p>
                  <w:pPr>
                    <w:spacing w:line="240" w:lineRule="atLeast"/>
                    <w:jc w:val="center"/>
                    <w:rPr>
                      <w:rFonts w:ascii="T" w:hAnsi="T"/>
                      <w:szCs w:val="20"/>
                    </w:rPr>
                  </w:pPr>
                  <w:r>
                    <w:rPr>
                      <w:rFonts w:ascii="T" w:hAnsi="T"/>
                      <w:szCs w:val="20"/>
                    </w:rPr>
                    <w:t>2类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498" w:type="dxa"/>
                  <w:vMerge w:val="continue"/>
                  <w:noWrap w:val="0"/>
                  <w:vAlign w:val="center"/>
                </w:tcPr>
                <w:p/>
              </w:tc>
              <w:tc>
                <w:tcPr>
                  <w:tcW w:w="1699" w:type="dxa"/>
                  <w:noWrap w:val="0"/>
                  <w:vAlign w:val="center"/>
                </w:tcPr>
                <w:p>
                  <w:pPr>
                    <w:spacing w:line="240" w:lineRule="atLeast"/>
                    <w:jc w:val="center"/>
                    <w:rPr>
                      <w:rFonts w:ascii="T" w:hAnsi="T"/>
                      <w:szCs w:val="20"/>
                    </w:rPr>
                  </w:pPr>
                  <w:r>
                    <w:rPr>
                      <w:rFonts w:ascii="T" w:hAnsi="T"/>
                      <w:szCs w:val="20"/>
                    </w:rPr>
                    <w:t>夜间</w:t>
                  </w:r>
                </w:p>
              </w:tc>
              <w:tc>
                <w:tcPr>
                  <w:tcW w:w="2313" w:type="dxa"/>
                  <w:noWrap w:val="0"/>
                  <w:vAlign w:val="center"/>
                </w:tcPr>
                <w:p>
                  <w:pPr>
                    <w:spacing w:line="240" w:lineRule="atLeast"/>
                    <w:jc w:val="center"/>
                    <w:rPr>
                      <w:rFonts w:ascii="T" w:hAnsi="T"/>
                      <w:szCs w:val="20"/>
                    </w:rPr>
                  </w:pPr>
                  <w:r>
                    <w:rPr>
                      <w:rFonts w:ascii="T" w:hAnsi="T"/>
                      <w:szCs w:val="20"/>
                    </w:rPr>
                    <w:t>50</w:t>
                  </w:r>
                </w:p>
              </w:tc>
              <w:tc>
                <w:tcPr>
                  <w:tcW w:w="2768" w:type="dxa"/>
                  <w:vMerge w:val="continue"/>
                  <w:noWrap w:val="0"/>
                  <w:vAlign w:val="center"/>
                </w:tcPr>
                <w:p/>
              </w:tc>
            </w:tr>
          </w:tbl>
          <w:p>
            <w:pPr>
              <w:adjustRightInd w:val="0"/>
              <w:spacing w:line="360" w:lineRule="auto"/>
              <w:ind w:right="113" w:firstLine="482" w:firstLineChars="200"/>
              <w:rPr>
                <w:rFonts w:ascii="T" w:hAnsi="T"/>
                <w:kern w:val="0"/>
                <w:sz w:val="24"/>
              </w:rPr>
            </w:pPr>
            <w:r>
              <w:rPr>
                <w:rFonts w:ascii="T" w:hAnsi="T"/>
                <w:b/>
                <w:kern w:val="0"/>
                <w:sz w:val="24"/>
              </w:rPr>
              <w:t>3、地表水：</w:t>
            </w:r>
            <w:r>
              <w:rPr>
                <w:rFonts w:ascii="T" w:hAnsi="T"/>
                <w:kern w:val="0"/>
                <w:sz w:val="24"/>
              </w:rPr>
              <w:t>执行《地表水环境质量标准》(GB3838-2002)</w:t>
            </w:r>
            <w:r>
              <w:rPr>
                <w:rFonts w:hint="eastAsia" w:ascii="T" w:hAnsi="T" w:cs="宋体"/>
                <w:kern w:val="0"/>
                <w:sz w:val="24"/>
              </w:rPr>
              <w:t>Ⅲ</w:t>
            </w:r>
            <w:r>
              <w:rPr>
                <w:rFonts w:ascii="T" w:hAnsi="T"/>
                <w:kern w:val="0"/>
                <w:sz w:val="24"/>
              </w:rPr>
              <w:t>类水域标准。</w:t>
            </w:r>
          </w:p>
          <w:p>
            <w:pPr>
              <w:spacing w:line="240" w:lineRule="atLeast"/>
              <w:ind w:firstLine="561"/>
              <w:jc w:val="center"/>
              <w:rPr>
                <w:rFonts w:ascii="T" w:hAnsi="T"/>
                <w:b/>
                <w:szCs w:val="21"/>
              </w:rPr>
            </w:pPr>
            <w:r>
              <w:rPr>
                <w:rFonts w:ascii="T" w:hAnsi="T"/>
                <w:b/>
                <w:szCs w:val="21"/>
              </w:rPr>
              <w:t>表4-3  地表水环境质量标准 单位mg/L， pH除外</w:t>
            </w:r>
          </w:p>
          <w:tbl>
            <w:tblPr>
              <w:tblStyle w:val="69"/>
              <w:tblW w:w="8278"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1143"/>
              <w:gridCol w:w="1314"/>
              <w:gridCol w:w="1316"/>
              <w:gridCol w:w="1317"/>
              <w:gridCol w:w="131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72" w:type="dxa"/>
                  <w:noWrap w:val="0"/>
                  <w:vAlign w:val="center"/>
                </w:tcPr>
                <w:p>
                  <w:pPr>
                    <w:spacing w:line="240" w:lineRule="atLeast"/>
                    <w:jc w:val="center"/>
                    <w:rPr>
                      <w:rFonts w:ascii="T" w:hAnsi="T"/>
                      <w:bCs/>
                      <w:kern w:val="0"/>
                      <w:szCs w:val="21"/>
                    </w:rPr>
                  </w:pPr>
                  <w:r>
                    <w:rPr>
                      <w:rFonts w:ascii="T" w:hAnsi="T"/>
                      <w:bCs/>
                      <w:kern w:val="0"/>
                      <w:szCs w:val="21"/>
                    </w:rPr>
                    <w:t>项目</w:t>
                  </w:r>
                </w:p>
              </w:tc>
              <w:tc>
                <w:tcPr>
                  <w:tcW w:w="1143" w:type="dxa"/>
                  <w:noWrap w:val="0"/>
                  <w:tcMar>
                    <w:left w:w="28" w:type="dxa"/>
                    <w:right w:w="28" w:type="dxa"/>
                  </w:tcMar>
                  <w:vAlign w:val="center"/>
                </w:tcPr>
                <w:p>
                  <w:pPr>
                    <w:spacing w:line="240" w:lineRule="atLeast"/>
                    <w:jc w:val="center"/>
                    <w:rPr>
                      <w:rFonts w:ascii="T" w:hAnsi="T"/>
                      <w:bCs/>
                      <w:kern w:val="0"/>
                      <w:szCs w:val="21"/>
                    </w:rPr>
                  </w:pPr>
                  <w:r>
                    <w:rPr>
                      <w:rFonts w:ascii="T" w:hAnsi="T"/>
                      <w:bCs/>
                      <w:kern w:val="0"/>
                      <w:szCs w:val="21"/>
                    </w:rPr>
                    <w:t>PH</w:t>
                  </w:r>
                </w:p>
              </w:tc>
              <w:tc>
                <w:tcPr>
                  <w:tcW w:w="1314" w:type="dxa"/>
                  <w:noWrap w:val="0"/>
                  <w:tcMar>
                    <w:left w:w="28" w:type="dxa"/>
                    <w:right w:w="28" w:type="dxa"/>
                  </w:tcMar>
                  <w:vAlign w:val="center"/>
                </w:tcPr>
                <w:p>
                  <w:pPr>
                    <w:spacing w:line="240" w:lineRule="atLeast"/>
                    <w:jc w:val="center"/>
                    <w:rPr>
                      <w:rFonts w:ascii="T" w:hAnsi="T"/>
                      <w:bCs/>
                      <w:kern w:val="0"/>
                      <w:szCs w:val="21"/>
                    </w:rPr>
                  </w:pPr>
                  <w:r>
                    <w:rPr>
                      <w:rFonts w:ascii="T" w:hAnsi="T"/>
                      <w:bCs/>
                      <w:kern w:val="0"/>
                      <w:szCs w:val="21"/>
                    </w:rPr>
                    <w:t>COD</w:t>
                  </w:r>
                  <w:r>
                    <w:rPr>
                      <w:rFonts w:ascii="T" w:hAnsi="T"/>
                      <w:bCs/>
                      <w:kern w:val="0"/>
                      <w:szCs w:val="21"/>
                      <w:vertAlign w:val="subscript"/>
                    </w:rPr>
                    <w:t>Cr</w:t>
                  </w:r>
                </w:p>
              </w:tc>
              <w:tc>
                <w:tcPr>
                  <w:tcW w:w="1316" w:type="dxa"/>
                  <w:noWrap w:val="0"/>
                  <w:tcMar>
                    <w:left w:w="28" w:type="dxa"/>
                    <w:right w:w="28" w:type="dxa"/>
                  </w:tcMar>
                  <w:vAlign w:val="center"/>
                </w:tcPr>
                <w:p>
                  <w:pPr>
                    <w:spacing w:line="240" w:lineRule="atLeast"/>
                    <w:jc w:val="center"/>
                    <w:rPr>
                      <w:rFonts w:ascii="T" w:hAnsi="T"/>
                      <w:bCs/>
                      <w:kern w:val="0"/>
                      <w:szCs w:val="21"/>
                    </w:rPr>
                  </w:pPr>
                  <w:r>
                    <w:rPr>
                      <w:rFonts w:ascii="T" w:hAnsi="T"/>
                      <w:bCs/>
                      <w:kern w:val="0"/>
                      <w:szCs w:val="21"/>
                    </w:rPr>
                    <w:t>BOD</w:t>
                  </w:r>
                  <w:r>
                    <w:rPr>
                      <w:rFonts w:ascii="T" w:hAnsi="T"/>
                      <w:bCs/>
                      <w:kern w:val="0"/>
                      <w:szCs w:val="21"/>
                      <w:vertAlign w:val="subscript"/>
                    </w:rPr>
                    <w:t>5</w:t>
                  </w:r>
                </w:p>
              </w:tc>
              <w:tc>
                <w:tcPr>
                  <w:tcW w:w="1317" w:type="dxa"/>
                  <w:noWrap w:val="0"/>
                  <w:vAlign w:val="center"/>
                </w:tcPr>
                <w:p>
                  <w:pPr>
                    <w:spacing w:line="240" w:lineRule="atLeast"/>
                    <w:jc w:val="center"/>
                    <w:rPr>
                      <w:rFonts w:ascii="T" w:hAnsi="T"/>
                      <w:bCs/>
                      <w:kern w:val="0"/>
                      <w:szCs w:val="21"/>
                    </w:rPr>
                  </w:pPr>
                  <w:r>
                    <w:rPr>
                      <w:rFonts w:ascii="T" w:hAnsi="T"/>
                      <w:bCs/>
                      <w:kern w:val="0"/>
                      <w:szCs w:val="21"/>
                    </w:rPr>
                    <w:t>NH</w:t>
                  </w:r>
                  <w:r>
                    <w:rPr>
                      <w:rFonts w:ascii="T" w:hAnsi="T"/>
                      <w:bCs/>
                      <w:kern w:val="0"/>
                      <w:szCs w:val="21"/>
                      <w:vertAlign w:val="subscript"/>
                    </w:rPr>
                    <w:t>3</w:t>
                  </w:r>
                  <w:r>
                    <w:rPr>
                      <w:rFonts w:ascii="T" w:hAnsi="T"/>
                      <w:bCs/>
                      <w:kern w:val="0"/>
                      <w:szCs w:val="21"/>
                    </w:rPr>
                    <w:t>-N</w:t>
                  </w:r>
                </w:p>
              </w:tc>
              <w:tc>
                <w:tcPr>
                  <w:tcW w:w="1316" w:type="dxa"/>
                  <w:noWrap w:val="0"/>
                  <w:tcMar>
                    <w:left w:w="28" w:type="dxa"/>
                    <w:right w:w="28" w:type="dxa"/>
                  </w:tcMar>
                  <w:vAlign w:val="center"/>
                </w:tcPr>
                <w:p>
                  <w:pPr>
                    <w:spacing w:line="240" w:lineRule="atLeast"/>
                    <w:jc w:val="center"/>
                    <w:rPr>
                      <w:rFonts w:ascii="T" w:hAnsi="T"/>
                      <w:bCs/>
                      <w:kern w:val="0"/>
                      <w:szCs w:val="21"/>
                    </w:rPr>
                  </w:pPr>
                  <w:r>
                    <w:rPr>
                      <w:rFonts w:ascii="T" w:hAnsi="T"/>
                      <w:bCs/>
                      <w:kern w:val="0"/>
                      <w:szCs w:val="21"/>
                    </w:rPr>
                    <w:t>石油类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72" w:type="dxa"/>
                  <w:noWrap w:val="0"/>
                  <w:vAlign w:val="center"/>
                </w:tcPr>
                <w:p>
                  <w:pPr>
                    <w:spacing w:line="240" w:lineRule="atLeast"/>
                    <w:jc w:val="center"/>
                    <w:rPr>
                      <w:rFonts w:ascii="T" w:hAnsi="T"/>
                      <w:bCs/>
                      <w:kern w:val="0"/>
                      <w:szCs w:val="21"/>
                    </w:rPr>
                  </w:pPr>
                  <w:r>
                    <w:rPr>
                      <w:rFonts w:ascii="T" w:hAnsi="T"/>
                      <w:bCs/>
                      <w:kern w:val="0"/>
                      <w:szCs w:val="21"/>
                    </w:rPr>
                    <w:t>标准值mg/L</w:t>
                  </w:r>
                </w:p>
              </w:tc>
              <w:tc>
                <w:tcPr>
                  <w:tcW w:w="1143" w:type="dxa"/>
                  <w:noWrap w:val="0"/>
                  <w:tcMar>
                    <w:left w:w="28" w:type="dxa"/>
                    <w:right w:w="28" w:type="dxa"/>
                  </w:tcMar>
                  <w:vAlign w:val="center"/>
                </w:tcPr>
                <w:p>
                  <w:pPr>
                    <w:spacing w:line="240" w:lineRule="atLeast"/>
                    <w:jc w:val="center"/>
                    <w:rPr>
                      <w:rFonts w:ascii="T" w:hAnsi="T"/>
                      <w:bCs/>
                      <w:kern w:val="0"/>
                      <w:szCs w:val="21"/>
                    </w:rPr>
                  </w:pPr>
                  <w:r>
                    <w:rPr>
                      <w:rFonts w:ascii="T" w:hAnsi="T"/>
                      <w:bCs/>
                      <w:kern w:val="0"/>
                      <w:szCs w:val="21"/>
                    </w:rPr>
                    <w:t>6~9</w:t>
                  </w:r>
                </w:p>
              </w:tc>
              <w:tc>
                <w:tcPr>
                  <w:tcW w:w="1314" w:type="dxa"/>
                  <w:noWrap w:val="0"/>
                  <w:tcMar>
                    <w:left w:w="28" w:type="dxa"/>
                    <w:right w:w="28" w:type="dxa"/>
                  </w:tcMar>
                  <w:vAlign w:val="center"/>
                </w:tcPr>
                <w:p>
                  <w:pPr>
                    <w:spacing w:line="240" w:lineRule="atLeast"/>
                    <w:jc w:val="center"/>
                    <w:rPr>
                      <w:rFonts w:ascii="T" w:hAnsi="T"/>
                      <w:bCs/>
                      <w:kern w:val="0"/>
                      <w:szCs w:val="21"/>
                    </w:rPr>
                  </w:pPr>
                  <w:r>
                    <w:rPr>
                      <w:rFonts w:ascii="T" w:hAnsi="T"/>
                      <w:bCs/>
                      <w:kern w:val="0"/>
                      <w:szCs w:val="21"/>
                    </w:rPr>
                    <w:t>≤20</w:t>
                  </w:r>
                </w:p>
              </w:tc>
              <w:tc>
                <w:tcPr>
                  <w:tcW w:w="1316" w:type="dxa"/>
                  <w:noWrap w:val="0"/>
                  <w:tcMar>
                    <w:left w:w="28" w:type="dxa"/>
                    <w:right w:w="28" w:type="dxa"/>
                  </w:tcMar>
                  <w:vAlign w:val="center"/>
                </w:tcPr>
                <w:p>
                  <w:pPr>
                    <w:spacing w:line="240" w:lineRule="atLeast"/>
                    <w:jc w:val="center"/>
                    <w:rPr>
                      <w:rFonts w:ascii="T" w:hAnsi="T"/>
                      <w:bCs/>
                      <w:kern w:val="0"/>
                      <w:szCs w:val="21"/>
                    </w:rPr>
                  </w:pPr>
                  <w:r>
                    <w:rPr>
                      <w:rFonts w:ascii="T" w:hAnsi="T"/>
                      <w:bCs/>
                      <w:kern w:val="0"/>
                      <w:szCs w:val="21"/>
                    </w:rPr>
                    <w:t>≤4</w:t>
                  </w:r>
                </w:p>
              </w:tc>
              <w:tc>
                <w:tcPr>
                  <w:tcW w:w="1317" w:type="dxa"/>
                  <w:noWrap w:val="0"/>
                  <w:vAlign w:val="center"/>
                </w:tcPr>
                <w:p>
                  <w:pPr>
                    <w:spacing w:line="240" w:lineRule="atLeast"/>
                    <w:jc w:val="center"/>
                    <w:rPr>
                      <w:rFonts w:ascii="T" w:hAnsi="T"/>
                      <w:bCs/>
                      <w:kern w:val="0"/>
                      <w:szCs w:val="21"/>
                    </w:rPr>
                  </w:pPr>
                  <w:r>
                    <w:rPr>
                      <w:rFonts w:ascii="T" w:hAnsi="T"/>
                      <w:bCs/>
                      <w:kern w:val="0"/>
                      <w:szCs w:val="21"/>
                    </w:rPr>
                    <w:t>≤1</w:t>
                  </w:r>
                </w:p>
              </w:tc>
              <w:tc>
                <w:tcPr>
                  <w:tcW w:w="1316" w:type="dxa"/>
                  <w:noWrap w:val="0"/>
                  <w:tcMar>
                    <w:left w:w="28" w:type="dxa"/>
                    <w:right w:w="28" w:type="dxa"/>
                  </w:tcMar>
                  <w:vAlign w:val="center"/>
                </w:tcPr>
                <w:p>
                  <w:pPr>
                    <w:spacing w:line="240" w:lineRule="atLeast"/>
                    <w:jc w:val="center"/>
                    <w:rPr>
                      <w:rFonts w:ascii="T" w:hAnsi="T"/>
                      <w:bCs/>
                      <w:kern w:val="0"/>
                      <w:szCs w:val="21"/>
                    </w:rPr>
                  </w:pPr>
                  <w:r>
                    <w:rPr>
                      <w:rFonts w:ascii="T" w:hAnsi="T"/>
                      <w:bCs/>
                      <w:kern w:val="0"/>
                      <w:szCs w:val="21"/>
                    </w:rPr>
                    <w:t>≤0.</w:t>
                  </w:r>
                  <w:r>
                    <w:rPr>
                      <w:rFonts w:hint="eastAsia" w:ascii="T" w:hAnsi="T"/>
                      <w:bCs/>
                      <w:kern w:val="0"/>
                      <w:szCs w:val="21"/>
                    </w:rPr>
                    <w:t>0</w:t>
                  </w:r>
                  <w:r>
                    <w:rPr>
                      <w:rFonts w:ascii="T" w:hAnsi="T"/>
                      <w:bCs/>
                      <w:kern w:val="0"/>
                      <w:szCs w:val="21"/>
                    </w:rPr>
                    <w:t>5</w:t>
                  </w:r>
                </w:p>
              </w:tc>
            </w:tr>
          </w:tbl>
          <w:p>
            <w:pPr>
              <w:adjustRightInd w:val="0"/>
              <w:spacing w:line="360" w:lineRule="auto"/>
              <w:ind w:right="113" w:firstLine="482" w:firstLineChars="200"/>
              <w:rPr>
                <w:rFonts w:ascii="T" w:hAnsi="T"/>
                <w:kern w:val="0"/>
                <w:sz w:val="24"/>
              </w:rPr>
            </w:pPr>
            <w:r>
              <w:rPr>
                <w:rFonts w:hint="eastAsia" w:ascii="T" w:hAnsi="T"/>
                <w:b/>
                <w:kern w:val="0"/>
                <w:sz w:val="24"/>
              </w:rPr>
              <w:t>4、地下水：</w:t>
            </w:r>
            <w:r>
              <w:rPr>
                <w:rFonts w:hint="eastAsia" w:ascii="T" w:hAnsi="T"/>
                <w:kern w:val="0"/>
                <w:sz w:val="24"/>
              </w:rPr>
              <w:t>执行《地下水质量标准》（GB</w:t>
            </w:r>
            <w:r>
              <w:rPr>
                <w:rFonts w:ascii="T" w:hAnsi="T"/>
                <w:kern w:val="0"/>
                <w:sz w:val="24"/>
              </w:rPr>
              <w:t>/T14848-2017）</w:t>
            </w:r>
            <w:r>
              <w:rPr>
                <w:rFonts w:hint="eastAsia" w:ascii="T" w:hAnsi="T"/>
                <w:kern w:val="0"/>
                <w:sz w:val="24"/>
              </w:rPr>
              <w:t>Ⅲ</w:t>
            </w:r>
            <w:r>
              <w:rPr>
                <w:rFonts w:ascii="T" w:hAnsi="T"/>
                <w:kern w:val="0"/>
                <w:sz w:val="24"/>
              </w:rPr>
              <w:t>类</w:t>
            </w:r>
            <w:r>
              <w:rPr>
                <w:rFonts w:hint="eastAsia" w:ascii="T" w:hAnsi="T"/>
                <w:kern w:val="0"/>
                <w:sz w:val="24"/>
              </w:rPr>
              <w:t>标准。</w:t>
            </w:r>
          </w:p>
          <w:p>
            <w:pPr>
              <w:spacing w:line="240" w:lineRule="atLeast"/>
              <w:ind w:firstLine="561"/>
              <w:jc w:val="center"/>
              <w:rPr>
                <w:rFonts w:ascii="T" w:hAnsi="T"/>
                <w:b/>
                <w:szCs w:val="21"/>
              </w:rPr>
            </w:pPr>
            <w:r>
              <w:rPr>
                <w:rFonts w:ascii="T" w:hAnsi="T"/>
                <w:b/>
                <w:szCs w:val="21"/>
              </w:rPr>
              <w:t>表4-4  地</w:t>
            </w:r>
            <w:r>
              <w:rPr>
                <w:rFonts w:hint="eastAsia" w:ascii="T" w:hAnsi="T"/>
                <w:b/>
                <w:szCs w:val="21"/>
              </w:rPr>
              <w:t>下</w:t>
            </w:r>
            <w:r>
              <w:rPr>
                <w:rFonts w:ascii="T" w:hAnsi="T"/>
                <w:b/>
                <w:szCs w:val="21"/>
              </w:rPr>
              <w:t>水环境质量标准 单位mg/L， pH除外</w:t>
            </w:r>
          </w:p>
          <w:tbl>
            <w:tblPr>
              <w:tblStyle w:val="69"/>
              <w:tblW w:w="8278"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1143"/>
              <w:gridCol w:w="1314"/>
              <w:gridCol w:w="1316"/>
              <w:gridCol w:w="1317"/>
              <w:gridCol w:w="131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72" w:type="dxa"/>
                  <w:noWrap w:val="0"/>
                  <w:vAlign w:val="center"/>
                </w:tcPr>
                <w:p>
                  <w:pPr>
                    <w:spacing w:line="240" w:lineRule="atLeast"/>
                    <w:jc w:val="center"/>
                    <w:rPr>
                      <w:rFonts w:ascii="T" w:hAnsi="T"/>
                      <w:bCs/>
                      <w:kern w:val="0"/>
                      <w:szCs w:val="21"/>
                    </w:rPr>
                  </w:pPr>
                  <w:r>
                    <w:rPr>
                      <w:rFonts w:ascii="T" w:hAnsi="T"/>
                      <w:bCs/>
                      <w:kern w:val="0"/>
                      <w:szCs w:val="21"/>
                    </w:rPr>
                    <w:t>项目</w:t>
                  </w:r>
                </w:p>
              </w:tc>
              <w:tc>
                <w:tcPr>
                  <w:tcW w:w="1143" w:type="dxa"/>
                  <w:noWrap w:val="0"/>
                  <w:tcMar>
                    <w:left w:w="28" w:type="dxa"/>
                    <w:right w:w="28" w:type="dxa"/>
                  </w:tcMar>
                  <w:vAlign w:val="center"/>
                </w:tcPr>
                <w:p>
                  <w:pPr>
                    <w:spacing w:line="240" w:lineRule="atLeast"/>
                    <w:jc w:val="center"/>
                    <w:rPr>
                      <w:rFonts w:ascii="T" w:hAnsi="T"/>
                      <w:bCs/>
                      <w:kern w:val="0"/>
                      <w:szCs w:val="21"/>
                    </w:rPr>
                  </w:pPr>
                  <w:r>
                    <w:rPr>
                      <w:rFonts w:ascii="T" w:hAnsi="T"/>
                      <w:bCs/>
                      <w:kern w:val="0"/>
                      <w:szCs w:val="21"/>
                    </w:rPr>
                    <w:t>PH</w:t>
                  </w:r>
                </w:p>
              </w:tc>
              <w:tc>
                <w:tcPr>
                  <w:tcW w:w="1314" w:type="dxa"/>
                  <w:noWrap w:val="0"/>
                  <w:tcMar>
                    <w:left w:w="28" w:type="dxa"/>
                    <w:right w:w="28" w:type="dxa"/>
                  </w:tcMar>
                  <w:vAlign w:val="center"/>
                </w:tcPr>
                <w:p>
                  <w:pPr>
                    <w:spacing w:line="240" w:lineRule="atLeast"/>
                    <w:jc w:val="center"/>
                    <w:rPr>
                      <w:rFonts w:ascii="T" w:hAnsi="T"/>
                      <w:bCs/>
                      <w:kern w:val="0"/>
                      <w:szCs w:val="21"/>
                    </w:rPr>
                  </w:pPr>
                  <w:r>
                    <w:rPr>
                      <w:rFonts w:hint="eastAsia" w:ascii="T" w:hAnsi="T"/>
                      <w:bCs/>
                      <w:kern w:val="0"/>
                      <w:szCs w:val="21"/>
                    </w:rPr>
                    <w:t>总硬度</w:t>
                  </w:r>
                </w:p>
              </w:tc>
              <w:tc>
                <w:tcPr>
                  <w:tcW w:w="1316" w:type="dxa"/>
                  <w:noWrap w:val="0"/>
                  <w:tcMar>
                    <w:left w:w="28" w:type="dxa"/>
                    <w:right w:w="28" w:type="dxa"/>
                  </w:tcMar>
                  <w:vAlign w:val="center"/>
                </w:tcPr>
                <w:p>
                  <w:pPr>
                    <w:spacing w:line="240" w:lineRule="atLeast"/>
                    <w:jc w:val="center"/>
                    <w:rPr>
                      <w:rFonts w:ascii="T" w:hAnsi="T"/>
                      <w:bCs/>
                      <w:kern w:val="0"/>
                      <w:szCs w:val="21"/>
                    </w:rPr>
                  </w:pPr>
                  <w:r>
                    <w:rPr>
                      <w:rFonts w:hint="eastAsia" w:ascii="T" w:hAnsi="T"/>
                      <w:bCs/>
                      <w:kern w:val="0"/>
                      <w:szCs w:val="21"/>
                    </w:rPr>
                    <w:t>溶解性总固体</w:t>
                  </w:r>
                </w:p>
              </w:tc>
              <w:tc>
                <w:tcPr>
                  <w:tcW w:w="1317" w:type="dxa"/>
                  <w:noWrap w:val="0"/>
                  <w:vAlign w:val="center"/>
                </w:tcPr>
                <w:p>
                  <w:pPr>
                    <w:spacing w:line="240" w:lineRule="atLeast"/>
                    <w:jc w:val="center"/>
                    <w:rPr>
                      <w:rFonts w:ascii="T" w:hAnsi="T"/>
                      <w:bCs/>
                      <w:kern w:val="0"/>
                      <w:szCs w:val="21"/>
                    </w:rPr>
                  </w:pPr>
                  <w:r>
                    <w:rPr>
                      <w:rFonts w:hint="eastAsia" w:ascii="T" w:hAnsi="T"/>
                      <w:bCs/>
                      <w:kern w:val="0"/>
                      <w:szCs w:val="21"/>
                    </w:rPr>
                    <w:t>硫酸盐</w:t>
                  </w:r>
                </w:p>
              </w:tc>
              <w:tc>
                <w:tcPr>
                  <w:tcW w:w="1316" w:type="dxa"/>
                  <w:noWrap w:val="0"/>
                  <w:tcMar>
                    <w:left w:w="28" w:type="dxa"/>
                    <w:right w:w="28" w:type="dxa"/>
                  </w:tcMar>
                  <w:vAlign w:val="center"/>
                </w:tcPr>
                <w:p>
                  <w:pPr>
                    <w:spacing w:line="240" w:lineRule="atLeast"/>
                    <w:jc w:val="center"/>
                    <w:rPr>
                      <w:rFonts w:ascii="T" w:hAnsi="T"/>
                      <w:bCs/>
                      <w:kern w:val="0"/>
                      <w:szCs w:val="21"/>
                    </w:rPr>
                  </w:pPr>
                  <w:r>
                    <w:rPr>
                      <w:rFonts w:hint="eastAsia" w:ascii="T" w:hAnsi="T"/>
                      <w:bCs/>
                      <w:kern w:val="0"/>
                      <w:szCs w:val="21"/>
                    </w:rPr>
                    <w:t>氯化物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72" w:type="dxa"/>
                  <w:noWrap w:val="0"/>
                  <w:vAlign w:val="center"/>
                </w:tcPr>
                <w:p>
                  <w:pPr>
                    <w:spacing w:line="240" w:lineRule="atLeast"/>
                    <w:jc w:val="center"/>
                    <w:rPr>
                      <w:rFonts w:ascii="T" w:hAnsi="T"/>
                      <w:bCs/>
                      <w:kern w:val="0"/>
                      <w:szCs w:val="21"/>
                    </w:rPr>
                  </w:pPr>
                  <w:r>
                    <w:rPr>
                      <w:rFonts w:ascii="T" w:hAnsi="T"/>
                      <w:bCs/>
                      <w:kern w:val="0"/>
                      <w:szCs w:val="21"/>
                    </w:rPr>
                    <w:t>标准值mg/L</w:t>
                  </w:r>
                </w:p>
              </w:tc>
              <w:tc>
                <w:tcPr>
                  <w:tcW w:w="1143" w:type="dxa"/>
                  <w:noWrap w:val="0"/>
                  <w:tcMar>
                    <w:left w:w="28" w:type="dxa"/>
                    <w:right w:w="28" w:type="dxa"/>
                  </w:tcMar>
                  <w:vAlign w:val="center"/>
                </w:tcPr>
                <w:p>
                  <w:pPr>
                    <w:spacing w:line="240" w:lineRule="atLeast"/>
                    <w:jc w:val="center"/>
                    <w:rPr>
                      <w:rFonts w:ascii="T" w:hAnsi="T"/>
                      <w:bCs/>
                      <w:kern w:val="0"/>
                      <w:szCs w:val="21"/>
                    </w:rPr>
                  </w:pPr>
                  <w:r>
                    <w:rPr>
                      <w:rFonts w:ascii="T" w:hAnsi="T"/>
                      <w:bCs/>
                      <w:kern w:val="0"/>
                      <w:szCs w:val="21"/>
                    </w:rPr>
                    <w:t>6.5~8.5</w:t>
                  </w:r>
                </w:p>
              </w:tc>
              <w:tc>
                <w:tcPr>
                  <w:tcW w:w="1314" w:type="dxa"/>
                  <w:noWrap w:val="0"/>
                  <w:tcMar>
                    <w:left w:w="28" w:type="dxa"/>
                    <w:right w:w="28" w:type="dxa"/>
                  </w:tcMar>
                  <w:vAlign w:val="center"/>
                </w:tcPr>
                <w:p>
                  <w:pPr>
                    <w:spacing w:line="240" w:lineRule="atLeast"/>
                    <w:jc w:val="center"/>
                    <w:rPr>
                      <w:rFonts w:ascii="T" w:hAnsi="T"/>
                      <w:bCs/>
                      <w:kern w:val="0"/>
                      <w:szCs w:val="21"/>
                    </w:rPr>
                  </w:pPr>
                  <w:r>
                    <w:rPr>
                      <w:rFonts w:ascii="T" w:hAnsi="T"/>
                      <w:bCs/>
                      <w:kern w:val="0"/>
                      <w:szCs w:val="21"/>
                    </w:rPr>
                    <w:t>≤450</w:t>
                  </w:r>
                </w:p>
              </w:tc>
              <w:tc>
                <w:tcPr>
                  <w:tcW w:w="1316" w:type="dxa"/>
                  <w:noWrap w:val="0"/>
                  <w:tcMar>
                    <w:left w:w="28" w:type="dxa"/>
                    <w:right w:w="28" w:type="dxa"/>
                  </w:tcMar>
                  <w:vAlign w:val="center"/>
                </w:tcPr>
                <w:p>
                  <w:pPr>
                    <w:spacing w:line="240" w:lineRule="atLeast"/>
                    <w:jc w:val="center"/>
                    <w:rPr>
                      <w:rFonts w:ascii="T" w:hAnsi="T"/>
                      <w:bCs/>
                      <w:kern w:val="0"/>
                      <w:szCs w:val="21"/>
                    </w:rPr>
                  </w:pPr>
                  <w:r>
                    <w:rPr>
                      <w:rFonts w:ascii="T" w:hAnsi="T"/>
                      <w:bCs/>
                      <w:kern w:val="0"/>
                      <w:szCs w:val="21"/>
                    </w:rPr>
                    <w:t>≤1000</w:t>
                  </w:r>
                </w:p>
              </w:tc>
              <w:tc>
                <w:tcPr>
                  <w:tcW w:w="1317" w:type="dxa"/>
                  <w:noWrap w:val="0"/>
                  <w:vAlign w:val="center"/>
                </w:tcPr>
                <w:p>
                  <w:pPr>
                    <w:spacing w:line="240" w:lineRule="atLeast"/>
                    <w:jc w:val="center"/>
                    <w:rPr>
                      <w:rFonts w:ascii="T" w:hAnsi="T"/>
                      <w:bCs/>
                      <w:kern w:val="0"/>
                      <w:szCs w:val="21"/>
                    </w:rPr>
                  </w:pPr>
                  <w:r>
                    <w:rPr>
                      <w:rFonts w:ascii="T" w:hAnsi="T"/>
                      <w:bCs/>
                      <w:kern w:val="0"/>
                      <w:szCs w:val="21"/>
                    </w:rPr>
                    <w:t>≤250</w:t>
                  </w:r>
                </w:p>
              </w:tc>
              <w:tc>
                <w:tcPr>
                  <w:tcW w:w="1316" w:type="dxa"/>
                  <w:noWrap w:val="0"/>
                  <w:tcMar>
                    <w:left w:w="28" w:type="dxa"/>
                    <w:right w:w="28" w:type="dxa"/>
                  </w:tcMar>
                  <w:vAlign w:val="center"/>
                </w:tcPr>
                <w:p>
                  <w:pPr>
                    <w:spacing w:line="240" w:lineRule="atLeast"/>
                    <w:jc w:val="center"/>
                    <w:rPr>
                      <w:rFonts w:ascii="T" w:hAnsi="T"/>
                      <w:bCs/>
                      <w:kern w:val="0"/>
                      <w:szCs w:val="21"/>
                    </w:rPr>
                  </w:pPr>
                  <w:r>
                    <w:rPr>
                      <w:rFonts w:ascii="T" w:hAnsi="T"/>
                      <w:bCs/>
                      <w:kern w:val="0"/>
                      <w:szCs w:val="21"/>
                    </w:rPr>
                    <w:t>≤250</w:t>
                  </w:r>
                </w:p>
              </w:tc>
            </w:tr>
          </w:tbl>
          <w:p>
            <w:pPr>
              <w:pStyle w:val="33"/>
              <w:ind w:firstLine="0"/>
              <w:jc w:val="both"/>
              <w:rPr>
                <w:color w:val="000000"/>
                <w:sz w:val="21"/>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20" w:hRule="atLeast"/>
        </w:trPr>
        <w:tc>
          <w:tcPr>
            <w:tcW w:w="629" w:type="dxa"/>
            <w:noWrap w:val="0"/>
            <w:vAlign w:val="center"/>
          </w:tcPr>
          <w:p>
            <w:pPr>
              <w:pStyle w:val="619"/>
              <w:topLinePunct w:val="0"/>
              <w:autoSpaceDE/>
              <w:autoSpaceDN/>
              <w:adjustRightInd/>
              <w:spacing w:before="120" w:line="300" w:lineRule="auto"/>
              <w:textAlignment w:val="auto"/>
              <w:rPr>
                <w:rFonts w:ascii="Times New Roman" w:hAnsi="Times New Roman"/>
                <w:color w:val="000000"/>
                <w:kern w:val="2"/>
                <w:szCs w:val="24"/>
              </w:rPr>
            </w:pPr>
            <w:r>
              <w:rPr>
                <w:rFonts w:ascii="Times New Roman" w:hAnsi="Times New Roman"/>
                <w:color w:val="000000"/>
                <w:kern w:val="2"/>
                <w:szCs w:val="24"/>
              </w:rPr>
              <w:t>污染物排放标准</w:t>
            </w:r>
          </w:p>
        </w:tc>
        <w:tc>
          <w:tcPr>
            <w:tcW w:w="8727" w:type="dxa"/>
            <w:noWrap w:val="0"/>
            <w:vAlign w:val="center"/>
          </w:tcPr>
          <w:p>
            <w:pPr>
              <w:numPr>
                <w:ilvl w:val="0"/>
                <w:numId w:val="3"/>
              </w:numPr>
              <w:spacing w:before="120" w:beforeLines="50" w:line="360" w:lineRule="auto"/>
              <w:ind w:firstLine="482" w:firstLineChars="200"/>
              <w:rPr>
                <w:rFonts w:hint="eastAsia" w:ascii="T" w:hAnsi="T"/>
                <w:b/>
                <w:sz w:val="24"/>
                <w:lang w:eastAsia="zh-CN"/>
              </w:rPr>
            </w:pPr>
            <w:r>
              <w:rPr>
                <w:rFonts w:ascii="T" w:hAnsi="T"/>
                <w:b/>
                <w:sz w:val="24"/>
              </w:rPr>
              <w:t>废水：</w:t>
            </w:r>
            <w:r>
              <w:rPr>
                <w:rFonts w:hint="eastAsia" w:ascii="T" w:hAnsi="T"/>
                <w:b/>
                <w:sz w:val="24"/>
                <w:lang w:eastAsia="zh-CN"/>
              </w:rPr>
              <w:t>项目生产废水循环使用，不外排。生活废水与处理后用作农肥。</w:t>
            </w:r>
          </w:p>
          <w:p>
            <w:pPr>
              <w:numPr>
                <w:ilvl w:val="0"/>
                <w:numId w:val="0"/>
              </w:numPr>
              <w:spacing w:before="120" w:beforeLines="50" w:line="360" w:lineRule="auto"/>
              <w:ind w:firstLine="466" w:firstLineChars="200"/>
              <w:rPr>
                <w:rFonts w:ascii="T" w:hAnsi="T"/>
                <w:sz w:val="24"/>
                <w:szCs w:val="20"/>
                <w:u w:val="single"/>
                <w:bdr w:val="single" w:color="000000" w:sz="4" w:space="0"/>
              </w:rPr>
            </w:pPr>
            <w:r>
              <w:rPr>
                <w:rFonts w:ascii="T" w:hAnsi="T"/>
                <w:b/>
                <w:spacing w:val="-4"/>
                <w:sz w:val="24"/>
                <w:szCs w:val="20"/>
              </w:rPr>
              <w:t>2、废气：</w:t>
            </w:r>
            <w:r>
              <w:rPr>
                <w:rFonts w:ascii="T" w:hAnsi="T"/>
                <w:spacing w:val="-4"/>
                <w:sz w:val="24"/>
                <w:szCs w:val="20"/>
              </w:rPr>
              <w:t>执行《</w:t>
            </w:r>
            <w:r>
              <w:rPr>
                <w:rFonts w:ascii="T" w:hAnsi="T"/>
                <w:sz w:val="24"/>
                <w:szCs w:val="20"/>
              </w:rPr>
              <w:t>大气污染物综合排放标准》(GB16297－1996)表2中二级标准。</w:t>
            </w:r>
            <w:r>
              <w:rPr>
                <w:rFonts w:ascii="T" w:hAnsi="T"/>
                <w:spacing w:val="-4"/>
                <w:sz w:val="24"/>
                <w:szCs w:val="20"/>
              </w:rPr>
              <w:t>见表4-6。</w:t>
            </w:r>
          </w:p>
          <w:p>
            <w:pPr>
              <w:spacing w:line="240" w:lineRule="atLeast"/>
              <w:ind w:firstLine="561"/>
              <w:jc w:val="center"/>
              <w:rPr>
                <w:rFonts w:ascii="T" w:hAnsi="T"/>
                <w:b/>
                <w:szCs w:val="21"/>
              </w:rPr>
            </w:pPr>
            <w:r>
              <w:rPr>
                <w:rFonts w:ascii="T" w:hAnsi="T"/>
                <w:b/>
                <w:szCs w:val="21"/>
              </w:rPr>
              <w:t>表4-</w:t>
            </w:r>
            <w:r>
              <w:rPr>
                <w:rFonts w:hint="eastAsia" w:ascii="T" w:hAnsi="T"/>
                <w:b/>
                <w:szCs w:val="21"/>
                <w:lang w:val="en-US" w:eastAsia="zh-CN"/>
              </w:rPr>
              <w:t>5</w:t>
            </w:r>
            <w:r>
              <w:rPr>
                <w:rFonts w:ascii="T" w:hAnsi="T"/>
                <w:b/>
                <w:szCs w:val="21"/>
              </w:rPr>
              <w:t xml:space="preserve">  大气污染物综合排放标准</w:t>
            </w:r>
          </w:p>
          <w:tbl>
            <w:tblPr>
              <w:tblStyle w:val="69"/>
              <w:tblW w:w="8331"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124"/>
              <w:gridCol w:w="2547"/>
              <w:gridCol w:w="366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263" w:hRule="atLeast"/>
                <w:jc w:val="center"/>
              </w:trPr>
              <w:tc>
                <w:tcPr>
                  <w:tcW w:w="2124" w:type="dxa"/>
                  <w:vMerge w:val="restart"/>
                  <w:noWrap w:val="0"/>
                  <w:vAlign w:val="center"/>
                </w:tcPr>
                <w:p>
                  <w:pPr>
                    <w:adjustRightInd w:val="0"/>
                    <w:snapToGrid w:val="0"/>
                    <w:spacing w:line="240" w:lineRule="atLeast"/>
                    <w:jc w:val="center"/>
                    <w:rPr>
                      <w:rFonts w:ascii="T" w:hAnsi="T"/>
                      <w:kern w:val="0"/>
                      <w:szCs w:val="21"/>
                    </w:rPr>
                  </w:pPr>
                  <w:r>
                    <w:rPr>
                      <w:rFonts w:ascii="T" w:hAnsi="T"/>
                      <w:kern w:val="0"/>
                      <w:szCs w:val="21"/>
                    </w:rPr>
                    <w:t>污染物</w:t>
                  </w:r>
                </w:p>
              </w:tc>
              <w:tc>
                <w:tcPr>
                  <w:tcW w:w="2547" w:type="dxa"/>
                  <w:vMerge w:val="restart"/>
                  <w:noWrap w:val="0"/>
                  <w:vAlign w:val="center"/>
                </w:tcPr>
                <w:p>
                  <w:pPr>
                    <w:adjustRightInd w:val="0"/>
                    <w:snapToGrid w:val="0"/>
                    <w:spacing w:line="240" w:lineRule="atLeast"/>
                    <w:jc w:val="center"/>
                    <w:rPr>
                      <w:rFonts w:ascii="T" w:hAnsi="T"/>
                      <w:kern w:val="0"/>
                      <w:szCs w:val="21"/>
                    </w:rPr>
                  </w:pPr>
                  <w:r>
                    <w:rPr>
                      <w:rFonts w:ascii="T" w:hAnsi="T"/>
                      <w:kern w:val="0"/>
                      <w:szCs w:val="21"/>
                    </w:rPr>
                    <w:t>最高允许排放浓度(mg/m</w:t>
                  </w:r>
                  <w:r>
                    <w:rPr>
                      <w:rFonts w:ascii="T" w:hAnsi="T"/>
                      <w:kern w:val="0"/>
                      <w:szCs w:val="21"/>
                      <w:vertAlign w:val="superscript"/>
                    </w:rPr>
                    <w:t>3</w:t>
                  </w:r>
                  <w:r>
                    <w:rPr>
                      <w:rFonts w:ascii="T" w:hAnsi="T"/>
                      <w:kern w:val="0"/>
                      <w:szCs w:val="21"/>
                    </w:rPr>
                    <w:t>)</w:t>
                  </w:r>
                </w:p>
              </w:tc>
              <w:tc>
                <w:tcPr>
                  <w:tcW w:w="3660" w:type="dxa"/>
                  <w:vMerge w:val="restart"/>
                  <w:noWrap w:val="0"/>
                  <w:vAlign w:val="center"/>
                </w:tcPr>
                <w:p>
                  <w:pPr>
                    <w:adjustRightInd w:val="0"/>
                    <w:snapToGrid w:val="0"/>
                    <w:spacing w:line="240" w:lineRule="atLeast"/>
                    <w:jc w:val="center"/>
                    <w:rPr>
                      <w:rFonts w:ascii="T" w:hAnsi="T"/>
                      <w:kern w:val="0"/>
                      <w:szCs w:val="21"/>
                    </w:rPr>
                  </w:pPr>
                  <w:r>
                    <w:rPr>
                      <w:rFonts w:ascii="T" w:hAnsi="T"/>
                      <w:kern w:val="0"/>
                      <w:szCs w:val="21"/>
                    </w:rPr>
                    <w:t>无组织排放监控浓度限值(mg/m</w:t>
                  </w:r>
                  <w:r>
                    <w:rPr>
                      <w:rFonts w:ascii="T" w:hAnsi="T"/>
                      <w:kern w:val="0"/>
                      <w:szCs w:val="21"/>
                      <w:vertAlign w:val="superscript"/>
                    </w:rPr>
                    <w:t>3</w:t>
                  </w:r>
                  <w:r>
                    <w:rPr>
                      <w:rFonts w:ascii="T" w:hAnsi="T"/>
                      <w:kern w:val="0"/>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12" w:hRule="atLeast"/>
                <w:jc w:val="center"/>
              </w:trPr>
              <w:tc>
                <w:tcPr>
                  <w:tcW w:w="2124" w:type="dxa"/>
                  <w:vMerge w:val="continue"/>
                  <w:shd w:val="clear" w:color="auto" w:fill="CCFFCC"/>
                  <w:noWrap w:val="0"/>
                  <w:vAlign w:val="center"/>
                </w:tcPr>
                <w:p/>
              </w:tc>
              <w:tc>
                <w:tcPr>
                  <w:tcW w:w="2547" w:type="dxa"/>
                  <w:vMerge w:val="continue"/>
                  <w:shd w:val="clear" w:color="auto" w:fill="CCFFCC"/>
                  <w:noWrap w:val="0"/>
                  <w:vAlign w:val="center"/>
                </w:tcPr>
                <w:p/>
              </w:tc>
              <w:tc>
                <w:tcPr>
                  <w:tcW w:w="3660" w:type="dxa"/>
                  <w:vMerge w:val="continue"/>
                  <w:shd w:val="clear" w:color="auto" w:fill="CCFFCC"/>
                  <w:noWrap w:val="0"/>
                  <w:vAlign w:val="center"/>
                </w:tc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8" w:hRule="atLeast"/>
                <w:jc w:val="center"/>
              </w:trPr>
              <w:tc>
                <w:tcPr>
                  <w:tcW w:w="2124" w:type="dxa"/>
                  <w:noWrap w:val="0"/>
                  <w:vAlign w:val="center"/>
                </w:tcPr>
                <w:p>
                  <w:pPr>
                    <w:adjustRightInd w:val="0"/>
                    <w:snapToGrid w:val="0"/>
                    <w:spacing w:line="240" w:lineRule="atLeast"/>
                    <w:jc w:val="center"/>
                    <w:rPr>
                      <w:rFonts w:ascii="T" w:hAnsi="T"/>
                      <w:kern w:val="0"/>
                      <w:szCs w:val="21"/>
                    </w:rPr>
                  </w:pPr>
                  <w:r>
                    <w:rPr>
                      <w:rFonts w:ascii="T" w:hAnsi="T"/>
                      <w:kern w:val="0"/>
                      <w:szCs w:val="21"/>
                    </w:rPr>
                    <w:t>颗粒物</w:t>
                  </w:r>
                </w:p>
              </w:tc>
              <w:tc>
                <w:tcPr>
                  <w:tcW w:w="2547" w:type="dxa"/>
                  <w:noWrap w:val="0"/>
                  <w:vAlign w:val="center"/>
                </w:tcPr>
                <w:p>
                  <w:pPr>
                    <w:adjustRightInd w:val="0"/>
                    <w:snapToGrid w:val="0"/>
                    <w:spacing w:line="240" w:lineRule="atLeast"/>
                    <w:jc w:val="center"/>
                    <w:rPr>
                      <w:rFonts w:ascii="T" w:hAnsi="T"/>
                      <w:kern w:val="0"/>
                      <w:szCs w:val="21"/>
                    </w:rPr>
                  </w:pPr>
                  <w:r>
                    <w:rPr>
                      <w:rFonts w:ascii="T" w:hAnsi="T"/>
                      <w:kern w:val="0"/>
                      <w:szCs w:val="21"/>
                    </w:rPr>
                    <w:t>120</w:t>
                  </w:r>
                </w:p>
              </w:tc>
              <w:tc>
                <w:tcPr>
                  <w:tcW w:w="3660" w:type="dxa"/>
                  <w:noWrap w:val="0"/>
                  <w:vAlign w:val="center"/>
                </w:tcPr>
                <w:p>
                  <w:pPr>
                    <w:adjustRightInd w:val="0"/>
                    <w:snapToGrid w:val="0"/>
                    <w:spacing w:line="240" w:lineRule="atLeast"/>
                    <w:jc w:val="center"/>
                    <w:rPr>
                      <w:rFonts w:ascii="T" w:hAnsi="T"/>
                      <w:kern w:val="0"/>
                      <w:szCs w:val="21"/>
                    </w:rPr>
                  </w:pPr>
                  <w:r>
                    <w:rPr>
                      <w:rFonts w:ascii="T" w:hAnsi="T"/>
                      <w:kern w:val="0"/>
                      <w:szCs w:val="21"/>
                    </w:rPr>
                    <w:t>1.0</w:t>
                  </w:r>
                </w:p>
              </w:tc>
            </w:tr>
          </w:tbl>
          <w:p>
            <w:pPr>
              <w:spacing w:line="360" w:lineRule="auto"/>
              <w:ind w:firstLine="482" w:firstLineChars="200"/>
              <w:jc w:val="left"/>
              <w:rPr>
                <w:rFonts w:hint="eastAsia" w:ascii="T" w:hAnsi="T"/>
                <w:b/>
                <w:sz w:val="24"/>
              </w:rPr>
            </w:pPr>
            <w:r>
              <w:rPr>
                <w:rFonts w:ascii="T" w:hAnsi="T"/>
                <w:b/>
                <w:sz w:val="24"/>
              </w:rPr>
              <w:t>3</w:t>
            </w:r>
            <w:r>
              <w:rPr>
                <w:rFonts w:ascii="T" w:hAnsi="T"/>
                <w:b/>
                <w:spacing w:val="-4"/>
                <w:sz w:val="24"/>
                <w:szCs w:val="20"/>
              </w:rPr>
              <w:t>、</w:t>
            </w:r>
            <w:r>
              <w:rPr>
                <w:rFonts w:hint="eastAsia" w:ascii="T" w:hAnsi="T"/>
                <w:b/>
                <w:sz w:val="24"/>
              </w:rPr>
              <w:t>噪声</w:t>
            </w:r>
            <w:r>
              <w:rPr>
                <w:rFonts w:ascii="T" w:hAnsi="T"/>
                <w:b/>
                <w:sz w:val="24"/>
              </w:rPr>
              <w:t>：</w:t>
            </w:r>
          </w:p>
          <w:p>
            <w:pPr>
              <w:spacing w:line="360" w:lineRule="auto"/>
              <w:ind w:firstLine="480" w:firstLineChars="200"/>
              <w:jc w:val="left"/>
              <w:rPr>
                <w:rFonts w:ascii="T" w:hAnsi="T"/>
                <w:sz w:val="24"/>
              </w:rPr>
            </w:pPr>
            <w:r>
              <w:rPr>
                <w:rFonts w:hint="eastAsia" w:ascii="T" w:hAnsi="T"/>
                <w:sz w:val="24"/>
              </w:rPr>
              <w:t>施工期：执行《建筑施工场界环境噪声排放标准》(GB12523-2011)中排放标准。见下表。</w:t>
            </w:r>
          </w:p>
          <w:p>
            <w:pPr>
              <w:ind w:firstLine="422" w:firstLineChars="200"/>
              <w:jc w:val="center"/>
              <w:rPr>
                <w:rFonts w:ascii="T" w:hAnsi="T"/>
                <w:szCs w:val="21"/>
              </w:rPr>
            </w:pPr>
            <w:r>
              <w:rPr>
                <w:rFonts w:hint="eastAsia" w:ascii="T" w:hAnsi="T"/>
                <w:b/>
                <w:szCs w:val="21"/>
              </w:rPr>
              <w:t>表4-</w:t>
            </w:r>
            <w:r>
              <w:rPr>
                <w:rFonts w:hint="eastAsia" w:ascii="T" w:hAnsi="T"/>
                <w:b/>
                <w:szCs w:val="21"/>
                <w:lang w:val="en-US" w:eastAsia="zh-CN"/>
              </w:rPr>
              <w:t>6</w:t>
            </w:r>
            <w:r>
              <w:rPr>
                <w:rFonts w:hint="eastAsia" w:ascii="T" w:hAnsi="T"/>
                <w:b/>
                <w:szCs w:val="21"/>
              </w:rPr>
              <w:t xml:space="preserve">  建筑施工场界环境噪声排放标准   单位</w:t>
            </w:r>
            <w:r>
              <w:rPr>
                <w:rFonts w:ascii="T" w:hAnsi="T"/>
                <w:b/>
                <w:szCs w:val="21"/>
              </w:rPr>
              <w:t>:dB</w:t>
            </w:r>
            <w:r>
              <w:rPr>
                <w:rFonts w:hint="eastAsia" w:ascii="T" w:hAnsi="T"/>
                <w:b/>
                <w:szCs w:val="21"/>
              </w:rPr>
              <w:t>(A)</w:t>
            </w:r>
          </w:p>
          <w:tbl>
            <w:tblPr>
              <w:tblStyle w:val="69"/>
              <w:tblW w:w="810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66"/>
              <w:gridCol w:w="37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366" w:type="dxa"/>
                  <w:noWrap w:val="0"/>
                  <w:vAlign w:val="center"/>
                </w:tcPr>
                <w:p>
                  <w:pPr>
                    <w:jc w:val="center"/>
                    <w:rPr>
                      <w:rFonts w:ascii="T" w:hAnsi="T"/>
                      <w:bCs/>
                    </w:rPr>
                  </w:pPr>
                  <w:r>
                    <w:rPr>
                      <w:rFonts w:hint="eastAsia" w:ascii="T" w:hAnsi="T"/>
                      <w:bCs/>
                    </w:rPr>
                    <w:t>昼  间</w:t>
                  </w:r>
                </w:p>
              </w:tc>
              <w:tc>
                <w:tcPr>
                  <w:tcW w:w="3743" w:type="dxa"/>
                  <w:noWrap w:val="0"/>
                  <w:vAlign w:val="center"/>
                </w:tcPr>
                <w:p>
                  <w:pPr>
                    <w:jc w:val="center"/>
                    <w:rPr>
                      <w:rFonts w:ascii="T" w:hAnsi="T"/>
                      <w:bCs/>
                    </w:rPr>
                  </w:pPr>
                  <w:r>
                    <w:rPr>
                      <w:rFonts w:hint="eastAsia" w:ascii="T" w:hAnsi="T"/>
                      <w:bCs/>
                    </w:rPr>
                    <w:t>夜  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366" w:type="dxa"/>
                  <w:noWrap w:val="0"/>
                  <w:vAlign w:val="center"/>
                </w:tcPr>
                <w:p>
                  <w:pPr>
                    <w:jc w:val="center"/>
                    <w:rPr>
                      <w:rFonts w:ascii="T" w:hAnsi="T"/>
                      <w:bCs/>
                    </w:rPr>
                  </w:pPr>
                  <w:r>
                    <w:rPr>
                      <w:rFonts w:hint="eastAsia" w:ascii="T" w:hAnsi="T"/>
                      <w:bCs/>
                    </w:rPr>
                    <w:t>70</w:t>
                  </w:r>
                  <w:r>
                    <w:rPr>
                      <w:rFonts w:ascii="T" w:hAnsi="T"/>
                      <w:bCs/>
                    </w:rPr>
                    <w:t>dB(A)</w:t>
                  </w:r>
                </w:p>
              </w:tc>
              <w:tc>
                <w:tcPr>
                  <w:tcW w:w="3743" w:type="dxa"/>
                  <w:noWrap w:val="0"/>
                  <w:vAlign w:val="center"/>
                </w:tcPr>
                <w:p>
                  <w:pPr>
                    <w:jc w:val="center"/>
                    <w:rPr>
                      <w:rFonts w:ascii="T" w:hAnsi="T"/>
                      <w:bCs/>
                    </w:rPr>
                  </w:pPr>
                  <w:r>
                    <w:rPr>
                      <w:rFonts w:ascii="T" w:hAnsi="T"/>
                      <w:bCs/>
                    </w:rPr>
                    <w:t>5</w:t>
                  </w:r>
                  <w:r>
                    <w:rPr>
                      <w:rFonts w:hint="eastAsia" w:ascii="T" w:hAnsi="T"/>
                      <w:bCs/>
                    </w:rPr>
                    <w:t>5</w:t>
                  </w:r>
                  <w:r>
                    <w:rPr>
                      <w:rFonts w:ascii="T" w:hAnsi="T"/>
                      <w:bCs/>
                    </w:rPr>
                    <w:t>dB(A)</w:t>
                  </w:r>
                </w:p>
              </w:tc>
            </w:tr>
          </w:tbl>
          <w:p>
            <w:pPr>
              <w:spacing w:line="360" w:lineRule="auto"/>
              <w:ind w:firstLine="480" w:firstLineChars="200"/>
              <w:jc w:val="left"/>
              <w:rPr>
                <w:rFonts w:ascii="T" w:hAnsi="T"/>
                <w:sz w:val="24"/>
              </w:rPr>
            </w:pPr>
            <w:r>
              <w:rPr>
                <w:rFonts w:hint="eastAsia" w:ascii="T" w:hAnsi="T"/>
                <w:sz w:val="24"/>
              </w:rPr>
              <w:t>营运期：环境噪声达到GB3096-2008《声环境质量标准》2类标准，具体数值见下表。</w:t>
            </w:r>
            <w:r>
              <w:rPr>
                <w:rFonts w:ascii="T" w:hAnsi="T"/>
                <w:sz w:val="24"/>
              </w:rPr>
              <w:t xml:space="preserve"> </w:t>
            </w:r>
          </w:p>
          <w:p>
            <w:pPr>
              <w:ind w:firstLine="422" w:firstLineChars="200"/>
              <w:jc w:val="center"/>
              <w:rPr>
                <w:rFonts w:ascii="T" w:hAnsi="T"/>
                <w:szCs w:val="21"/>
              </w:rPr>
            </w:pPr>
            <w:r>
              <w:rPr>
                <w:rFonts w:hint="eastAsia" w:ascii="T" w:hAnsi="T"/>
                <w:b/>
                <w:szCs w:val="21"/>
              </w:rPr>
              <w:t>表4-</w:t>
            </w:r>
            <w:r>
              <w:rPr>
                <w:rFonts w:hint="eastAsia" w:ascii="T" w:hAnsi="T"/>
                <w:b/>
                <w:szCs w:val="21"/>
                <w:lang w:val="en-US" w:eastAsia="zh-CN"/>
              </w:rPr>
              <w:t>7</w:t>
            </w:r>
            <w:r>
              <w:rPr>
                <w:rFonts w:hint="eastAsia" w:ascii="T" w:hAnsi="T"/>
                <w:b/>
                <w:szCs w:val="21"/>
              </w:rPr>
              <w:t xml:space="preserve">  声环境质量标准 单位</w:t>
            </w:r>
            <w:r>
              <w:rPr>
                <w:rFonts w:ascii="T" w:hAnsi="T"/>
                <w:b/>
                <w:szCs w:val="21"/>
              </w:rPr>
              <w:t>:dB</w:t>
            </w:r>
            <w:r>
              <w:rPr>
                <w:rFonts w:hint="eastAsia" w:ascii="T" w:hAnsi="T"/>
                <w:b/>
                <w:szCs w:val="21"/>
              </w:rPr>
              <w:t>(A)</w:t>
            </w:r>
          </w:p>
          <w:tbl>
            <w:tblPr>
              <w:tblStyle w:val="69"/>
              <w:tblW w:w="810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69"/>
              <w:gridCol w:w="2929"/>
              <w:gridCol w:w="25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669" w:type="dxa"/>
                  <w:noWrap w:val="0"/>
                  <w:vAlign w:val="center"/>
                </w:tcPr>
                <w:p>
                  <w:pPr>
                    <w:jc w:val="center"/>
                    <w:rPr>
                      <w:rFonts w:ascii="T" w:hAnsi="T"/>
                      <w:bCs/>
                    </w:rPr>
                  </w:pPr>
                  <w:r>
                    <w:rPr>
                      <w:rFonts w:hint="eastAsia" w:ascii="T" w:hAnsi="T"/>
                      <w:bCs/>
                    </w:rPr>
                    <w:t>别   类</w:t>
                  </w:r>
                </w:p>
              </w:tc>
              <w:tc>
                <w:tcPr>
                  <w:tcW w:w="2929" w:type="dxa"/>
                  <w:noWrap w:val="0"/>
                  <w:vAlign w:val="center"/>
                </w:tcPr>
                <w:p>
                  <w:pPr>
                    <w:jc w:val="center"/>
                    <w:rPr>
                      <w:rFonts w:ascii="T" w:hAnsi="T"/>
                      <w:bCs/>
                    </w:rPr>
                  </w:pPr>
                  <w:r>
                    <w:rPr>
                      <w:rFonts w:hint="eastAsia" w:ascii="T" w:hAnsi="T"/>
                      <w:bCs/>
                    </w:rPr>
                    <w:t>昼  间</w:t>
                  </w:r>
                </w:p>
              </w:tc>
              <w:tc>
                <w:tcPr>
                  <w:tcW w:w="2511" w:type="dxa"/>
                  <w:noWrap w:val="0"/>
                  <w:vAlign w:val="center"/>
                </w:tcPr>
                <w:p>
                  <w:pPr>
                    <w:jc w:val="center"/>
                    <w:rPr>
                      <w:rFonts w:ascii="T" w:hAnsi="T"/>
                      <w:bCs/>
                    </w:rPr>
                  </w:pPr>
                  <w:r>
                    <w:rPr>
                      <w:rFonts w:hint="eastAsia" w:ascii="T" w:hAnsi="T"/>
                      <w:bCs/>
                    </w:rPr>
                    <w:t>夜  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669" w:type="dxa"/>
                  <w:noWrap w:val="0"/>
                  <w:vAlign w:val="center"/>
                </w:tcPr>
                <w:p>
                  <w:pPr>
                    <w:jc w:val="center"/>
                    <w:rPr>
                      <w:rFonts w:hint="eastAsia" w:ascii="T" w:hAnsi="T" w:eastAsia="宋体"/>
                      <w:bCs/>
                      <w:lang w:val="en-US" w:eastAsia="zh-CN"/>
                    </w:rPr>
                  </w:pPr>
                  <w:r>
                    <w:rPr>
                      <w:rFonts w:hint="eastAsia" w:ascii="T" w:hAnsi="T"/>
                      <w:bCs/>
                    </w:rPr>
                    <w:t>2</w:t>
                  </w:r>
                  <w:r>
                    <w:rPr>
                      <w:rFonts w:hint="eastAsia" w:ascii="T" w:hAnsi="T"/>
                      <w:bCs/>
                      <w:lang w:eastAsia="zh-CN"/>
                    </w:rPr>
                    <w:t>类</w:t>
                  </w:r>
                </w:p>
              </w:tc>
              <w:tc>
                <w:tcPr>
                  <w:tcW w:w="2929" w:type="dxa"/>
                  <w:noWrap w:val="0"/>
                  <w:vAlign w:val="center"/>
                </w:tcPr>
                <w:p>
                  <w:pPr>
                    <w:jc w:val="center"/>
                    <w:rPr>
                      <w:rFonts w:ascii="T" w:hAnsi="T"/>
                      <w:bCs/>
                    </w:rPr>
                  </w:pPr>
                  <w:r>
                    <w:rPr>
                      <w:rFonts w:hint="eastAsia" w:ascii="T" w:hAnsi="T"/>
                      <w:bCs/>
                    </w:rPr>
                    <w:t>60</w:t>
                  </w:r>
                </w:p>
              </w:tc>
              <w:tc>
                <w:tcPr>
                  <w:tcW w:w="2511" w:type="dxa"/>
                  <w:noWrap w:val="0"/>
                  <w:vAlign w:val="center"/>
                </w:tcPr>
                <w:p>
                  <w:pPr>
                    <w:jc w:val="center"/>
                    <w:rPr>
                      <w:rFonts w:ascii="T" w:hAnsi="T"/>
                      <w:bCs/>
                    </w:rPr>
                  </w:pPr>
                  <w:r>
                    <w:rPr>
                      <w:rFonts w:hint="eastAsia" w:ascii="T" w:hAnsi="T"/>
                      <w:bCs/>
                    </w:rPr>
                    <w:t>50</w:t>
                  </w:r>
                </w:p>
              </w:tc>
            </w:tr>
          </w:tbl>
          <w:p>
            <w:pPr>
              <w:ind w:firstLine="482" w:firstLineChars="200"/>
              <w:rPr>
                <w:rFonts w:ascii="宋体" w:hAnsi="宋体"/>
                <w:b/>
              </w:rPr>
            </w:pPr>
            <w:r>
              <w:rPr>
                <w:rFonts w:ascii="T" w:hAnsi="T"/>
                <w:b/>
                <w:sz w:val="24"/>
              </w:rPr>
              <w:t>4、固体废物</w:t>
            </w:r>
            <w:r>
              <w:rPr>
                <w:rFonts w:ascii="T" w:hAnsi="T"/>
              </w:rPr>
              <w:t>：</w:t>
            </w:r>
            <w:r>
              <w:rPr>
                <w:rFonts w:hint="eastAsia" w:ascii="T" w:hAnsi="T"/>
                <w:kern w:val="0"/>
                <w:sz w:val="24"/>
                <w:szCs w:val="20"/>
              </w:rPr>
              <w:t>参照执行《一般工业固体废物贮存、处置场污染控制标准》（GB18599-2001）及其修改清单要求；危险废物处置执行《危险废物贮存污染物控制标准》（GB18597-2001）及其修改清单。</w:t>
            </w:r>
          </w:p>
          <w:p>
            <w:pPr>
              <w:rPr>
                <w:rFonts w:ascii="宋体" w:hAnsi="宋体"/>
                <w:b/>
              </w:rPr>
            </w:pPr>
          </w:p>
          <w:p>
            <w:pPr>
              <w:rPr>
                <w:rFonts w:ascii="宋体" w:hAnsi="宋体"/>
                <w:b/>
              </w:rPr>
            </w:pPr>
          </w:p>
          <w:p>
            <w:pPr>
              <w:rPr>
                <w:rFonts w:hint="eastAsia" w:ascii="宋体" w:hAnsi="宋体"/>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494" w:hRule="atLeast"/>
        </w:trPr>
        <w:tc>
          <w:tcPr>
            <w:tcW w:w="629" w:type="dxa"/>
            <w:tcBorders>
              <w:bottom w:val="single" w:color="000000" w:sz="6" w:space="0"/>
            </w:tcBorders>
            <w:noWrap w:val="0"/>
            <w:vAlign w:val="center"/>
          </w:tcPr>
          <w:p>
            <w:pPr>
              <w:spacing w:before="120" w:line="300" w:lineRule="auto"/>
              <w:jc w:val="center"/>
              <w:rPr>
                <w:sz w:val="28"/>
              </w:rPr>
            </w:pPr>
            <w:r>
              <w:rPr>
                <w:sz w:val="28"/>
              </w:rPr>
              <w:t>总量控制标准</w:t>
            </w:r>
          </w:p>
        </w:tc>
        <w:tc>
          <w:tcPr>
            <w:tcW w:w="8727" w:type="dxa"/>
            <w:tcBorders>
              <w:bottom w:val="single" w:color="000000" w:sz="6" w:space="0"/>
            </w:tcBorders>
            <w:noWrap w:val="0"/>
            <w:vAlign w:val="center"/>
          </w:tcPr>
          <w:p>
            <w:pPr>
              <w:adjustRightInd w:val="0"/>
              <w:spacing w:line="360" w:lineRule="auto"/>
              <w:ind w:firstLine="480" w:firstLineChars="200"/>
              <w:rPr>
                <w:color w:val="000000"/>
                <w:sz w:val="24"/>
              </w:rPr>
            </w:pPr>
          </w:p>
          <w:p>
            <w:pPr>
              <w:adjustRightInd w:val="0"/>
              <w:spacing w:line="360" w:lineRule="auto"/>
              <w:ind w:firstLine="480" w:firstLineChars="200"/>
              <w:rPr>
                <w:rFonts w:hint="eastAsia" w:eastAsia="宋体"/>
                <w:color w:val="000000"/>
                <w:sz w:val="24"/>
                <w:lang w:eastAsia="zh-CN"/>
              </w:rPr>
            </w:pPr>
            <w:r>
              <w:rPr>
                <w:rFonts w:hint="eastAsia"/>
                <w:color w:val="000000"/>
                <w:sz w:val="24"/>
              </w:rPr>
              <w:t>项目无</w:t>
            </w:r>
            <w:r>
              <w:rPr>
                <w:rFonts w:hint="eastAsia"/>
                <w:color w:val="000000"/>
                <w:sz w:val="24"/>
                <w:lang w:eastAsia="zh-CN"/>
              </w:rPr>
              <w:t>生产</w:t>
            </w:r>
            <w:r>
              <w:rPr>
                <w:rFonts w:hint="eastAsia"/>
                <w:color w:val="000000"/>
                <w:sz w:val="24"/>
              </w:rPr>
              <w:t>废水排放，生活废水预处理后用作农肥，废水污染物不设总量控制指标；</w:t>
            </w:r>
            <w:r>
              <w:rPr>
                <w:rFonts w:hint="eastAsia"/>
                <w:color w:val="000000"/>
                <w:sz w:val="24"/>
                <w:lang w:eastAsia="zh-CN"/>
              </w:rPr>
              <w:t>运营期无大气污染物总量控制指标产生。</w:t>
            </w:r>
          </w:p>
          <w:p>
            <w:pPr>
              <w:adjustRightInd w:val="0"/>
              <w:spacing w:line="360" w:lineRule="auto"/>
              <w:ind w:firstLine="480" w:firstLineChars="200"/>
              <w:rPr>
                <w:color w:val="000000"/>
                <w:sz w:val="24"/>
              </w:rPr>
            </w:pPr>
            <w:r>
              <w:rPr>
                <w:color w:val="000000"/>
                <w:sz w:val="24"/>
              </w:rPr>
              <w:t xml:space="preserve"> </w:t>
            </w: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color w:val="000000"/>
                <w:sz w:val="24"/>
              </w:rPr>
            </w:pPr>
          </w:p>
          <w:p>
            <w:pPr>
              <w:adjustRightInd w:val="0"/>
              <w:spacing w:line="360" w:lineRule="auto"/>
              <w:ind w:firstLine="480" w:firstLineChars="200"/>
              <w:rPr>
                <w:rFonts w:hint="eastAsia"/>
                <w:color w:val="000000"/>
                <w:sz w:val="24"/>
              </w:rPr>
            </w:pPr>
          </w:p>
        </w:tc>
      </w:tr>
    </w:tbl>
    <w:p>
      <w:pPr>
        <w:spacing w:line="300" w:lineRule="auto"/>
        <w:ind w:firstLine="454"/>
        <w:rPr>
          <w:color w:val="000000"/>
          <w:sz w:val="28"/>
        </w:rPr>
        <w:sectPr>
          <w:footerReference r:id="rId11" w:type="default"/>
          <w:pgSz w:w="11907" w:h="16840"/>
          <w:pgMar w:top="1531" w:right="1134" w:bottom="1134" w:left="1418" w:header="0" w:footer="898" w:gutter="0"/>
          <w:pgBorders>
            <w:top w:val="none" w:sz="0" w:space="0"/>
            <w:left w:val="none" w:sz="0" w:space="0"/>
            <w:bottom w:val="none" w:sz="0" w:space="0"/>
            <w:right w:val="none" w:sz="0" w:space="0"/>
          </w:pgBorders>
          <w:cols w:space="720" w:num="1"/>
          <w:docGrid w:linePitch="326" w:charSpace="-4916"/>
        </w:sectPr>
      </w:pPr>
    </w:p>
    <w:p>
      <w:pPr>
        <w:pStyle w:val="52"/>
        <w:jc w:val="both"/>
        <w:rPr>
          <w:rFonts w:hint="eastAsia"/>
          <w:b/>
          <w:bCs/>
        </w:rPr>
      </w:pPr>
      <w:r>
        <w:rPr>
          <w:rFonts w:hint="eastAsia"/>
          <w:b/>
          <w:bCs/>
        </w:rPr>
        <w:t xml:space="preserve">建设项目工程分析          </w:t>
      </w:r>
      <w:r>
        <w:rPr>
          <w:rFonts w:hint="eastAsia"/>
          <w:b/>
          <w:bCs/>
          <w:lang w:val="en-US" w:eastAsia="zh-CN"/>
        </w:rPr>
        <w:t xml:space="preserve">                  </w:t>
      </w:r>
      <w:r>
        <w:rPr>
          <w:rFonts w:hint="eastAsia"/>
          <w:b/>
          <w:bCs/>
        </w:rPr>
        <w:t xml:space="preserve">     表（五）</w:t>
      </w:r>
    </w:p>
    <w:tbl>
      <w:tblPr>
        <w:tblStyle w:val="69"/>
        <w:tblW w:w="9356"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3" w:hRule="atLeast"/>
        </w:trPr>
        <w:tc>
          <w:tcPr>
            <w:tcW w:w="9356" w:type="dxa"/>
            <w:tcBorders>
              <w:bottom w:val="single" w:color="auto" w:sz="4" w:space="0"/>
            </w:tcBorders>
            <w:noWrap w:val="0"/>
            <w:vAlign w:val="top"/>
          </w:tcPr>
          <w:p>
            <w:pPr>
              <w:pStyle w:val="52"/>
              <w:jc w:val="both"/>
              <w:rPr>
                <w:rFonts w:hint="eastAsia"/>
                <w:b w:val="0"/>
              </w:rPr>
            </w:pPr>
            <w:r>
              <w:rPr>
                <w:rFonts w:hint="eastAsia"/>
                <w:b/>
                <w:bCs/>
              </w:rPr>
              <w:t xml:space="preserve">                      </w:t>
            </w:r>
            <w:r>
              <w:rPr>
                <w:b w:val="0"/>
              </w:rPr>
              <w:t>一、</w:t>
            </w:r>
            <w:r>
              <w:rPr>
                <w:b w:val="0"/>
                <w:sz w:val="28"/>
              </w:rPr>
              <w:t>施工期产污分析</w:t>
            </w:r>
            <w:r>
              <w:rPr>
                <w:b w:val="0"/>
              </w:rPr>
              <w:t>：</w:t>
            </w:r>
          </w:p>
          <w:p>
            <w:pPr>
              <w:spacing w:line="360" w:lineRule="auto"/>
              <w:ind w:firstLine="482"/>
              <w:textAlignment w:val="center"/>
              <w:rPr>
                <w:rFonts w:hint="eastAsia"/>
                <w:b/>
                <w:sz w:val="24"/>
              </w:rPr>
            </w:pPr>
            <w:r>
              <w:rPr>
                <w:b/>
                <w:sz w:val="24"/>
              </w:rPr>
              <w:t>1、施工期建设工艺流程</w:t>
            </w:r>
          </w:p>
          <w:p>
            <w:pPr>
              <w:spacing w:line="360" w:lineRule="auto"/>
              <w:ind w:firstLine="480" w:firstLineChars="200"/>
              <w:textAlignment w:val="center"/>
              <w:rPr>
                <w:rFonts w:hint="eastAsia"/>
                <w:sz w:val="24"/>
              </w:rPr>
            </w:pPr>
            <w:r>
              <w:rPr>
                <w:sz w:val="24"/>
              </w:rPr>
              <w:t>本项工程属一般的土建工程。其施工至竣工交付使用的基本工艺流程如图5-1所示。</w:t>
            </w:r>
          </w:p>
          <w:p>
            <w:pPr>
              <w:ind w:firstLine="173" w:firstLineChars="82"/>
              <w:textAlignment w:val="center"/>
              <w:rPr>
                <w:rFonts w:hint="eastAsia"/>
                <w:b/>
              </w:rPr>
            </w:pPr>
            <w:r>
              <w:rPr>
                <w:rFonts w:hint="eastAsia"/>
                <w:b/>
              </w:rPr>
              <mc:AlternateContent>
                <mc:Choice Requires="wps">
                  <w:drawing>
                    <wp:anchor distT="0" distB="0" distL="114300" distR="114300" simplePos="0" relativeHeight="251660288" behindDoc="0" locked="0" layoutInCell="1" allowOverlap="1">
                      <wp:simplePos x="0" y="0"/>
                      <wp:positionH relativeFrom="column">
                        <wp:posOffset>370840</wp:posOffset>
                      </wp:positionH>
                      <wp:positionV relativeFrom="paragraph">
                        <wp:posOffset>1903095</wp:posOffset>
                      </wp:positionV>
                      <wp:extent cx="905510" cy="561340"/>
                      <wp:effectExtent l="4445" t="4445" r="23495" b="5715"/>
                      <wp:wrapNone/>
                      <wp:docPr id="1" name="文本框 1"/>
                      <wp:cNvGraphicFramePr/>
                      <a:graphic xmlns:a="http://schemas.openxmlformats.org/drawingml/2006/main">
                        <a:graphicData uri="http://schemas.microsoft.com/office/word/2010/wordprocessingShape">
                          <wps:wsp>
                            <wps:cNvSpPr txBox="1"/>
                            <wps:spPr>
                              <a:xfrm>
                                <a:off x="0" y="0"/>
                                <a:ext cx="905510" cy="561340"/>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firstLine="210" w:firstLineChars="100"/>
                                    <w:rPr>
                                      <w:rFonts w:hint="eastAsia" w:eastAsia="宋体"/>
                                      <w:lang w:eastAsia="zh-CN"/>
                                    </w:rPr>
                                  </w:pPr>
                                  <w:r>
                                    <w:rPr>
                                      <w:rFonts w:hint="eastAsia"/>
                                      <w:lang w:eastAsia="zh-CN"/>
                                    </w:rPr>
                                    <w:t>厂房建设</w:t>
                                  </w:r>
                                </w:p>
                              </w:txbxContent>
                            </wps:txbx>
                            <wps:bodyPr upright="1"/>
                          </wps:wsp>
                        </a:graphicData>
                      </a:graphic>
                    </wp:anchor>
                  </w:drawing>
                </mc:Choice>
                <mc:Fallback>
                  <w:pict>
                    <v:shape id="_x0000_s1026" o:spid="_x0000_s1026" o:spt="202" type="#_x0000_t202" style="position:absolute;left:0pt;margin-left:29.2pt;margin-top:149.85pt;height:44.2pt;width:71.3pt;z-index:251660288;mso-width-relative:page;mso-height-relative:page;" fillcolor="#FFFFFF" filled="t" stroked="t" coordsize="21600,21600" o:gfxdata="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FRxv2gAAAAoBAAAPAAAAAAAAAAEAIAAAACIAAABkcnMvZG93bnJldi54bWxQSwECFAAU&#10;AAAACACHTuJAllj2Fu8BAADnAwAADgAAAAAAAAABACAAAAApAQAAZHJzL2Uyb0RvYy54bWxQSwUG&#10;AAAAAAYABgBZAQAAigUAAAAA&#10;">
                      <v:fill on="t" focussize="0,0"/>
                      <v:stroke color="#000000" joinstyle="miter"/>
                      <v:imagedata o:title=""/>
                      <o:lock v:ext="edit" aspectratio="f"/>
                      <v:textbox>
                        <w:txbxContent>
                          <w:p/>
                          <w:p>
                            <w:pPr>
                              <w:ind w:firstLine="210" w:firstLineChars="100"/>
                              <w:rPr>
                                <w:rFonts w:hint="eastAsia" w:eastAsia="宋体"/>
                                <w:lang w:eastAsia="zh-CN"/>
                              </w:rPr>
                            </w:pPr>
                            <w:r>
                              <w:rPr>
                                <w:rFonts w:hint="eastAsia"/>
                                <w:lang w:eastAsia="zh-CN"/>
                              </w:rPr>
                              <w:t>厂房建设</w:t>
                            </w:r>
                          </w:p>
                        </w:txbxContent>
                      </v:textbox>
                    </v:shape>
                  </w:pict>
                </mc:Fallback>
              </mc:AlternateContent>
            </w:r>
            <w:r>
              <w:rPr>
                <w:rFonts w:hint="eastAsia"/>
                <w:b/>
              </w:rPr>
              <w:drawing>
                <wp:inline distT="0" distB="0" distL="114300" distR="114300">
                  <wp:extent cx="5272405" cy="3070860"/>
                  <wp:effectExtent l="0" t="0" r="4445" b="15240"/>
                  <wp:docPr id="3" name="图片 2" descr="QQ截图2016053110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QQ截图20160531103749"/>
                          <pic:cNvPicPr>
                            <a:picLocks noChangeAspect="1"/>
                          </pic:cNvPicPr>
                        </pic:nvPicPr>
                        <pic:blipFill>
                          <a:blip r:embed="rId29"/>
                          <a:stretch>
                            <a:fillRect/>
                          </a:stretch>
                        </pic:blipFill>
                        <pic:spPr>
                          <a:xfrm>
                            <a:off x="0" y="0"/>
                            <a:ext cx="5272405" cy="3070860"/>
                          </a:xfrm>
                          <a:prstGeom prst="rect">
                            <a:avLst/>
                          </a:prstGeom>
                          <a:noFill/>
                          <a:ln w="9525">
                            <a:noFill/>
                          </a:ln>
                        </pic:spPr>
                      </pic:pic>
                    </a:graphicData>
                  </a:graphic>
                </wp:inline>
              </w:drawing>
            </w:r>
          </w:p>
          <w:p>
            <w:pPr>
              <w:ind w:firstLine="482"/>
              <w:jc w:val="center"/>
              <w:textAlignment w:val="center"/>
              <w:rPr>
                <w:szCs w:val="21"/>
              </w:rPr>
            </w:pPr>
            <w:r>
              <w:rPr>
                <w:b/>
                <w:szCs w:val="21"/>
              </w:rPr>
              <w:t>图5-1</w:t>
            </w:r>
            <w:r>
              <w:rPr>
                <w:rFonts w:hint="eastAsia"/>
                <w:b/>
                <w:szCs w:val="21"/>
              </w:rPr>
              <w:t xml:space="preserve">  </w:t>
            </w:r>
            <w:r>
              <w:rPr>
                <w:b/>
                <w:szCs w:val="21"/>
              </w:rPr>
              <w:t xml:space="preserve">  施工期流程及产污位置图</w:t>
            </w:r>
          </w:p>
          <w:p>
            <w:pPr>
              <w:spacing w:line="360" w:lineRule="auto"/>
              <w:ind w:firstLine="482" w:firstLineChars="200"/>
              <w:textAlignment w:val="center"/>
              <w:rPr>
                <w:b/>
                <w:sz w:val="24"/>
              </w:rPr>
            </w:pPr>
            <w:r>
              <w:rPr>
                <w:b/>
                <w:sz w:val="24"/>
              </w:rPr>
              <w:t>2、施工期</w:t>
            </w:r>
            <w:r>
              <w:rPr>
                <w:rFonts w:hint="eastAsia"/>
                <w:b/>
                <w:sz w:val="24"/>
              </w:rPr>
              <w:t>相关内容</w:t>
            </w:r>
          </w:p>
          <w:p>
            <w:pPr>
              <w:spacing w:line="360" w:lineRule="auto"/>
              <w:ind w:firstLine="480" w:firstLineChars="200"/>
              <w:rPr>
                <w:sz w:val="24"/>
              </w:rPr>
            </w:pPr>
            <w:r>
              <w:rPr>
                <w:sz w:val="24"/>
              </w:rPr>
              <w:t>（1）施工内容：</w:t>
            </w:r>
            <w:r>
              <w:rPr>
                <w:rFonts w:hAnsi="宋体"/>
                <w:sz w:val="24"/>
              </w:rPr>
              <w:t>项目</w:t>
            </w:r>
            <w:r>
              <w:rPr>
                <w:rFonts w:hint="eastAsia" w:hAnsi="宋体"/>
                <w:sz w:val="24"/>
                <w:lang w:eastAsia="zh-CN"/>
              </w:rPr>
              <w:t>建设</w:t>
            </w:r>
            <w:r>
              <w:rPr>
                <w:rFonts w:hint="eastAsia" w:hAnsi="宋体"/>
                <w:sz w:val="24"/>
              </w:rPr>
              <w:t>厂房约</w:t>
            </w:r>
            <w:r>
              <w:rPr>
                <w:rFonts w:hAnsi="宋体"/>
                <w:sz w:val="24"/>
              </w:rPr>
              <w:t>3000平方米，</w:t>
            </w:r>
            <w:r>
              <w:rPr>
                <w:rFonts w:hint="eastAsia" w:hAnsi="宋体"/>
                <w:sz w:val="24"/>
              </w:rPr>
              <w:t>由于本项目建设用地为原中铁五局</w:t>
            </w:r>
            <w:r>
              <w:rPr>
                <w:rFonts w:hint="eastAsia" w:hAnsi="宋体"/>
                <w:sz w:val="24"/>
                <w:lang w:eastAsia="zh-CN"/>
              </w:rPr>
              <w:t>拌和站</w:t>
            </w:r>
            <w:r>
              <w:rPr>
                <w:rFonts w:hint="eastAsia" w:hAnsi="宋体"/>
                <w:sz w:val="24"/>
              </w:rPr>
              <w:t>占地，场地已全部平整且进行的硬化，</w:t>
            </w:r>
            <w:r>
              <w:rPr>
                <w:rFonts w:hAnsi="宋体"/>
                <w:sz w:val="24"/>
              </w:rPr>
              <w:t>因此施工比较简单，施工期</w:t>
            </w:r>
            <w:r>
              <w:rPr>
                <w:rFonts w:hint="eastAsia" w:hAnsi="宋体"/>
                <w:sz w:val="24"/>
              </w:rPr>
              <w:t>大约</w:t>
            </w:r>
            <w:r>
              <w:rPr>
                <w:rFonts w:hAnsi="宋体"/>
                <w:sz w:val="24"/>
              </w:rPr>
              <w:t>3</w:t>
            </w:r>
            <w:r>
              <w:rPr>
                <w:rFonts w:hint="eastAsia" w:hAnsi="宋体"/>
                <w:sz w:val="24"/>
              </w:rPr>
              <w:t>个月，施工期间不在场地设混凝土搅拌站</w:t>
            </w:r>
            <w:r>
              <w:rPr>
                <w:rFonts w:hAnsi="宋体"/>
                <w:sz w:val="24"/>
              </w:rPr>
              <w:t>。</w:t>
            </w:r>
          </w:p>
          <w:p>
            <w:pPr>
              <w:spacing w:line="360" w:lineRule="auto"/>
              <w:ind w:firstLine="480" w:firstLineChars="200"/>
              <w:rPr>
                <w:rFonts w:hint="eastAsia"/>
                <w:sz w:val="24"/>
              </w:rPr>
            </w:pPr>
            <w:r>
              <w:rPr>
                <w:sz w:val="24"/>
              </w:rPr>
              <w:t>（2）</w:t>
            </w:r>
            <w:r>
              <w:rPr>
                <w:rFonts w:hint="eastAsia"/>
                <w:sz w:val="24"/>
              </w:rPr>
              <w:t>本项目施工期将使用各种施工机械设备，主要包括：基础施工阶段包括各切割机、空压机等，结构施工阶段包括振捣棒和运输车辆，装饰阶段包括电锯、电钻、电锤等。</w:t>
            </w:r>
          </w:p>
          <w:p>
            <w:pPr>
              <w:spacing w:line="360" w:lineRule="auto"/>
              <w:ind w:firstLine="480" w:firstLineChars="200"/>
              <w:rPr>
                <w:rFonts w:hint="eastAsia"/>
                <w:sz w:val="24"/>
              </w:rPr>
            </w:pPr>
            <w:r>
              <w:rPr>
                <w:sz w:val="24"/>
              </w:rPr>
              <w:t>（3）施工营地布置：项目现场不设施工营地，施工工人食宿自行解决，预计高峰期施工人数为15人。</w:t>
            </w:r>
          </w:p>
          <w:p>
            <w:pPr>
              <w:spacing w:line="360" w:lineRule="auto"/>
              <w:ind w:firstLine="482" w:firstLineChars="200"/>
              <w:rPr>
                <w:rFonts w:hint="eastAsia"/>
                <w:b/>
                <w:sz w:val="24"/>
              </w:rPr>
            </w:pPr>
            <w:r>
              <w:rPr>
                <w:rFonts w:hint="eastAsia"/>
                <w:b/>
                <w:sz w:val="24"/>
              </w:rPr>
              <w:t>3、施工期主要污染源及污染物</w:t>
            </w:r>
          </w:p>
          <w:p>
            <w:pPr>
              <w:adjustRightInd w:val="0"/>
              <w:snapToGrid w:val="0"/>
              <w:spacing w:line="360" w:lineRule="auto"/>
              <w:ind w:firstLine="480" w:firstLineChars="200"/>
              <w:rPr>
                <w:b/>
                <w:sz w:val="24"/>
              </w:rPr>
            </w:pPr>
            <w:r>
              <w:rPr>
                <w:rFonts w:hint="eastAsia"/>
                <w:sz w:val="24"/>
              </w:rPr>
              <w:t>项目主要进行建筑装修，施工期的污染物主要为施工过程的</w:t>
            </w:r>
            <w:r>
              <w:rPr>
                <w:sz w:val="24"/>
              </w:rPr>
              <w:t>主要是扬尘和</w:t>
            </w:r>
            <w:r>
              <w:rPr>
                <w:rFonts w:hint="eastAsia"/>
                <w:sz w:val="24"/>
              </w:rPr>
              <w:t>机械废气、施工噪声、施工废水</w:t>
            </w:r>
            <w:r>
              <w:rPr>
                <w:sz w:val="24"/>
              </w:rPr>
              <w:t>，</w:t>
            </w:r>
            <w:r>
              <w:rPr>
                <w:rFonts w:hint="eastAsia"/>
                <w:sz w:val="24"/>
              </w:rPr>
              <w:t>施工期机械设备</w:t>
            </w:r>
            <w:r>
              <w:rPr>
                <w:sz w:val="24"/>
              </w:rPr>
              <w:t>产生</w:t>
            </w:r>
            <w:r>
              <w:rPr>
                <w:rFonts w:hint="eastAsia"/>
                <w:sz w:val="24"/>
              </w:rPr>
              <w:t>的各种</w:t>
            </w:r>
            <w:r>
              <w:rPr>
                <w:sz w:val="24"/>
              </w:rPr>
              <w:t>噪声，对构筑物的室内外进行装修时(如表面粉刷、油漆、喷涂、裱糊、镶贴装饰等)油漆、喷涂、建筑及装饰材料等产生废气、废弃物料及生活污水。</w:t>
            </w:r>
          </w:p>
          <w:p>
            <w:pPr>
              <w:adjustRightInd w:val="0"/>
              <w:snapToGrid w:val="0"/>
              <w:spacing w:line="360" w:lineRule="auto"/>
              <w:rPr>
                <w:b/>
                <w:sz w:val="24"/>
              </w:rPr>
            </w:pPr>
          </w:p>
          <w:p>
            <w:pPr>
              <w:snapToGrid w:val="0"/>
              <w:spacing w:line="360" w:lineRule="auto"/>
              <w:ind w:firstLine="562"/>
              <w:textAlignment w:val="center"/>
              <w:outlineLvl w:val="1"/>
              <w:rPr>
                <w:b/>
                <w:sz w:val="28"/>
                <w:szCs w:val="28"/>
              </w:rPr>
            </w:pPr>
            <w:r>
              <w:rPr>
                <w:b/>
                <w:sz w:val="28"/>
                <w:szCs w:val="28"/>
              </w:rPr>
              <w:t>二、营运期产污分析</w:t>
            </w:r>
          </w:p>
          <w:p>
            <w:pPr>
              <w:snapToGrid w:val="0"/>
              <w:spacing w:line="360" w:lineRule="auto"/>
              <w:ind w:firstLine="482" w:firstLineChars="200"/>
              <w:textAlignment w:val="center"/>
              <w:outlineLvl w:val="1"/>
              <w:rPr>
                <w:rFonts w:hint="eastAsia"/>
                <w:b/>
                <w:sz w:val="24"/>
              </w:rPr>
            </w:pPr>
            <w:r>
              <w:rPr>
                <w:rFonts w:hint="eastAsia"/>
                <w:b/>
                <w:sz w:val="24"/>
              </w:rPr>
              <w:t>1、营运期工艺流程</w:t>
            </w:r>
          </w:p>
          <w:p>
            <w:pPr>
              <w:adjustRightInd w:val="0"/>
              <w:snapToGrid w:val="0"/>
              <w:spacing w:line="360" w:lineRule="auto"/>
              <w:ind w:firstLine="482" w:firstLineChars="200"/>
              <w:rPr>
                <w:rFonts w:hint="eastAsia"/>
                <w:b/>
                <w:sz w:val="24"/>
              </w:rPr>
            </w:pPr>
            <w:r>
              <w:rPr>
                <w:b/>
                <w:sz w:val="24"/>
              </w:rPr>
              <w:t>本项目</w:t>
            </w:r>
            <w:r>
              <w:rPr>
                <w:rFonts w:hint="eastAsia"/>
                <w:b/>
                <w:sz w:val="24"/>
              </w:rPr>
              <w:t>刀具制作展示</w:t>
            </w:r>
            <w:r>
              <w:rPr>
                <w:b/>
                <w:sz w:val="24"/>
              </w:rPr>
              <w:t>工艺流程</w:t>
            </w:r>
            <w:r>
              <w:rPr>
                <w:rFonts w:hint="eastAsia"/>
                <w:b/>
                <w:sz w:val="24"/>
              </w:rPr>
              <w:t>如下：</w:t>
            </w:r>
          </w:p>
          <w:p>
            <w:pPr>
              <w:spacing w:after="120" w:afterLines="50"/>
              <w:jc w:val="center"/>
              <w:rPr>
                <w:rFonts w:hint="eastAsia"/>
                <w:b/>
                <w:bCs/>
                <w:sz w:val="24"/>
              </w:rPr>
            </w:pPr>
            <w:r>
              <w:object>
                <v:shape id="_x0000_i1027" o:spt="75" type="#_x0000_t75" style="height:369.9pt;width:358.05pt;" o:ole="t" filled="f" stroked="f" coordsize="21600,21600">
                  <v:path/>
                  <v:fill on="f" focussize="0,0"/>
                  <v:stroke on="f"/>
                  <v:imagedata r:id="rId31" o:title=""/>
                  <o:lock v:ext="edit" aspectratio="t"/>
                  <w10:wrap type="none"/>
                  <w10:anchorlock/>
                </v:shape>
                <o:OLEObject Type="Embed" ProgID="Visio.Drawing.11" ShapeID="_x0000_i1027" DrawAspect="Content" ObjectID="_1468075726" r:id="rId30">
                  <o:LockedField>false</o:LockedField>
                </o:OLEObject>
              </w:object>
            </w:r>
          </w:p>
          <w:p>
            <w:pPr>
              <w:spacing w:after="120" w:afterLines="50" w:line="500" w:lineRule="exact"/>
              <w:jc w:val="center"/>
              <w:rPr>
                <w:b/>
                <w:bCs/>
                <w:sz w:val="24"/>
              </w:rPr>
            </w:pPr>
            <w:r>
              <w:rPr>
                <w:rFonts w:hint="eastAsia"/>
                <w:b/>
                <w:bCs/>
                <w:sz w:val="24"/>
              </w:rPr>
              <w:t>图5</w:t>
            </w:r>
            <w:r>
              <w:rPr>
                <w:b/>
                <w:bCs/>
                <w:sz w:val="24"/>
              </w:rPr>
              <w:t>-2</w:t>
            </w:r>
            <w:r>
              <w:rPr>
                <w:rFonts w:hint="eastAsia"/>
                <w:b/>
                <w:bCs/>
                <w:sz w:val="24"/>
              </w:rPr>
              <w:t xml:space="preserve"> </w:t>
            </w:r>
            <w:r>
              <w:rPr>
                <w:b/>
                <w:bCs/>
                <w:sz w:val="24"/>
              </w:rPr>
              <w:t xml:space="preserve">  工艺及产污环节示意图</w:t>
            </w:r>
          </w:p>
          <w:p>
            <w:pPr>
              <w:spacing w:line="324" w:lineRule="auto"/>
              <w:ind w:firstLine="482" w:firstLineChars="200"/>
              <w:rPr>
                <w:rFonts w:hint="eastAsia"/>
                <w:kern w:val="0"/>
                <w:sz w:val="24"/>
              </w:rPr>
            </w:pPr>
            <w:r>
              <w:rPr>
                <w:rFonts w:hint="eastAsia"/>
                <w:b/>
                <w:kern w:val="0"/>
                <w:sz w:val="24"/>
              </w:rPr>
              <w:t>工艺流程</w:t>
            </w:r>
            <w:r>
              <w:rPr>
                <w:b/>
                <w:kern w:val="0"/>
                <w:sz w:val="24"/>
              </w:rPr>
              <w:t>简述：</w:t>
            </w:r>
          </w:p>
          <w:p>
            <w:pPr>
              <w:spacing w:line="360" w:lineRule="auto"/>
              <w:rPr>
                <w:kern w:val="0"/>
                <w:sz w:val="24"/>
              </w:rPr>
            </w:pPr>
            <w:r>
              <w:rPr>
                <w:rFonts w:hint="eastAsia"/>
                <w:kern w:val="0"/>
                <w:sz w:val="24"/>
              </w:rPr>
              <w:t>1、成型</w:t>
            </w:r>
          </w:p>
          <w:p>
            <w:pPr>
              <w:spacing w:line="360" w:lineRule="auto"/>
              <w:ind w:firstLine="480" w:firstLineChars="200"/>
              <w:rPr>
                <w:kern w:val="0"/>
                <w:sz w:val="24"/>
              </w:rPr>
            </w:pPr>
            <w:r>
              <w:rPr>
                <w:rFonts w:hint="eastAsia"/>
                <w:kern w:val="0"/>
                <w:sz w:val="24"/>
              </w:rPr>
              <w:t>将外购</w:t>
            </w:r>
            <w:r>
              <w:rPr>
                <w:rFonts w:hint="eastAsia"/>
                <w:kern w:val="0"/>
                <w:sz w:val="24"/>
                <w:lang w:eastAsia="zh-CN"/>
              </w:rPr>
              <w:t>棒料</w:t>
            </w:r>
            <w:r>
              <w:rPr>
                <w:rFonts w:hint="eastAsia"/>
                <w:kern w:val="0"/>
                <w:sz w:val="24"/>
              </w:rPr>
              <w:t>利用醇基燃料加热炉加热至1000℃，</w:t>
            </w:r>
            <w:r>
              <w:rPr>
                <w:rFonts w:hint="eastAsia"/>
                <w:kern w:val="0"/>
                <w:sz w:val="24"/>
                <w:lang w:eastAsia="zh-CN"/>
              </w:rPr>
              <w:t>项目使用</w:t>
            </w:r>
            <w:r>
              <w:rPr>
                <w:rFonts w:hint="eastAsia"/>
                <w:kern w:val="0"/>
                <w:sz w:val="24"/>
              </w:rPr>
              <w:t>醇基燃料油转换</w:t>
            </w:r>
            <w:r>
              <w:rPr>
                <w:rFonts w:hint="eastAsia"/>
                <w:kern w:val="0"/>
                <w:sz w:val="24"/>
                <w:lang w:eastAsia="zh-CN"/>
              </w:rPr>
              <w:t>机</w:t>
            </w:r>
            <w:r>
              <w:rPr>
                <w:rFonts w:hint="eastAsia"/>
                <w:kern w:val="0"/>
                <w:sz w:val="24"/>
              </w:rPr>
              <w:t>把燃料油</w:t>
            </w:r>
            <w:r>
              <w:rPr>
                <w:rFonts w:hint="eastAsia"/>
                <w:kern w:val="0"/>
                <w:sz w:val="24"/>
                <w:lang w:eastAsia="zh-CN"/>
              </w:rPr>
              <w:t>雾化</w:t>
            </w:r>
            <w:r>
              <w:rPr>
                <w:rFonts w:hint="eastAsia"/>
                <w:kern w:val="0"/>
                <w:sz w:val="24"/>
              </w:rPr>
              <w:t>，</w:t>
            </w:r>
            <w:r>
              <w:rPr>
                <w:rFonts w:hint="eastAsia"/>
                <w:kern w:val="0"/>
                <w:sz w:val="24"/>
                <w:lang w:eastAsia="zh-CN"/>
              </w:rPr>
              <w:t>使燃料</w:t>
            </w:r>
            <w:r>
              <w:rPr>
                <w:rFonts w:hint="eastAsia"/>
                <w:kern w:val="0"/>
                <w:sz w:val="24"/>
              </w:rPr>
              <w:t>燃烧更充分</w:t>
            </w:r>
            <w:r>
              <w:rPr>
                <w:rFonts w:hint="eastAsia"/>
                <w:kern w:val="0"/>
                <w:sz w:val="24"/>
                <w:lang w:eastAsia="zh-CN"/>
              </w:rPr>
              <w:t>，进一步减少污染物产生。加热好的棒料</w:t>
            </w:r>
            <w:r>
              <w:rPr>
                <w:rFonts w:hint="eastAsia"/>
                <w:kern w:val="0"/>
                <w:sz w:val="24"/>
              </w:rPr>
              <w:t>利用空气锤加工为刀具形状，冷却备用。此过程主要产生的污染物为燃料燃烧废气、各设备工作产生的噪声。</w:t>
            </w:r>
          </w:p>
          <w:p>
            <w:pPr>
              <w:spacing w:line="360" w:lineRule="auto"/>
              <w:rPr>
                <w:rFonts w:hint="eastAsia"/>
                <w:kern w:val="0"/>
                <w:sz w:val="24"/>
              </w:rPr>
            </w:pPr>
            <w:r>
              <w:rPr>
                <w:kern w:val="0"/>
                <w:sz w:val="24"/>
              </w:rPr>
              <w:t>2</w:t>
            </w:r>
            <w:r>
              <w:rPr>
                <w:rFonts w:hint="eastAsia"/>
                <w:kern w:val="0"/>
                <w:sz w:val="24"/>
              </w:rPr>
              <w:t>、打磨</w:t>
            </w:r>
          </w:p>
          <w:p>
            <w:pPr>
              <w:spacing w:line="360" w:lineRule="auto"/>
              <w:ind w:firstLine="480" w:firstLineChars="200"/>
              <w:rPr>
                <w:kern w:val="0"/>
                <w:sz w:val="24"/>
              </w:rPr>
            </w:pPr>
            <w:r>
              <w:rPr>
                <w:rFonts w:hint="eastAsia"/>
                <w:kern w:val="0"/>
                <w:sz w:val="24"/>
              </w:rPr>
              <w:t>冷却后的刀具通过砂轮机、金刚砂机进行初级打磨，打磨后的刀具通过磨削机以及水磨机进一步加工。此过程主要产生的污染物为打磨粉尘、设备工作产生的噪声。</w:t>
            </w:r>
          </w:p>
          <w:p>
            <w:pPr>
              <w:spacing w:line="360" w:lineRule="auto"/>
              <w:rPr>
                <w:kern w:val="0"/>
                <w:sz w:val="24"/>
              </w:rPr>
            </w:pPr>
            <w:r>
              <w:rPr>
                <w:rFonts w:hint="eastAsia"/>
                <w:kern w:val="0"/>
                <w:sz w:val="24"/>
              </w:rPr>
              <w:t>3、淬火、回火</w:t>
            </w:r>
          </w:p>
          <w:p>
            <w:pPr>
              <w:spacing w:line="360" w:lineRule="auto"/>
              <w:rPr>
                <w:rFonts w:hint="eastAsia"/>
                <w:kern w:val="0"/>
                <w:sz w:val="24"/>
              </w:rPr>
            </w:pPr>
            <w:r>
              <w:rPr>
                <w:rFonts w:hint="eastAsia"/>
                <w:kern w:val="0"/>
                <w:sz w:val="24"/>
              </w:rPr>
              <w:t xml:space="preserve"> </w:t>
            </w:r>
            <w:r>
              <w:rPr>
                <w:kern w:val="0"/>
                <w:sz w:val="24"/>
              </w:rPr>
              <w:t xml:space="preserve">   </w:t>
            </w:r>
            <w:r>
              <w:rPr>
                <w:rFonts w:hint="eastAsia"/>
                <w:kern w:val="0"/>
                <w:sz w:val="24"/>
              </w:rPr>
              <w:t>打磨合格的刀具，进入到由电炉加热的菜籽油中，进行淬火（最高温度5</w:t>
            </w:r>
            <w:r>
              <w:rPr>
                <w:kern w:val="0"/>
                <w:sz w:val="24"/>
              </w:rPr>
              <w:t>00</w:t>
            </w:r>
            <w:r>
              <w:rPr>
                <w:rFonts w:hint="eastAsia"/>
                <w:kern w:val="0"/>
                <w:sz w:val="24"/>
              </w:rPr>
              <w:t>℃），淬火后的刀具自然冷却后再利用高频炉进行回火，回火温度为1</w:t>
            </w:r>
            <w:r>
              <w:rPr>
                <w:kern w:val="0"/>
                <w:sz w:val="24"/>
              </w:rPr>
              <w:t>50</w:t>
            </w:r>
            <w:r>
              <w:rPr>
                <w:rFonts w:hint="eastAsia"/>
                <w:kern w:val="0"/>
                <w:sz w:val="24"/>
              </w:rPr>
              <w:t>℃。此过程产生的污染物为淬火时菜籽油产生的油烟、设备工作产生的噪声。</w:t>
            </w:r>
          </w:p>
          <w:p>
            <w:pPr>
              <w:spacing w:line="360" w:lineRule="auto"/>
              <w:rPr>
                <w:kern w:val="0"/>
                <w:sz w:val="24"/>
              </w:rPr>
            </w:pPr>
            <w:r>
              <w:rPr>
                <w:rFonts w:hint="eastAsia"/>
                <w:kern w:val="0"/>
                <w:sz w:val="24"/>
              </w:rPr>
              <w:t>4、组装</w:t>
            </w:r>
          </w:p>
          <w:p>
            <w:pPr>
              <w:spacing w:line="360" w:lineRule="auto"/>
              <w:ind w:firstLine="480" w:firstLineChars="200"/>
              <w:rPr>
                <w:rFonts w:hint="eastAsia"/>
                <w:kern w:val="0"/>
                <w:sz w:val="24"/>
              </w:rPr>
            </w:pPr>
            <w:r>
              <w:rPr>
                <w:rFonts w:hint="eastAsia"/>
                <w:kern w:val="0"/>
                <w:sz w:val="24"/>
              </w:rPr>
              <w:t>将加工后的刀身与外购的木制刀柄进行组装，该过程均由工人手工完成。</w:t>
            </w:r>
          </w:p>
          <w:p>
            <w:pPr>
              <w:spacing w:line="360" w:lineRule="auto"/>
              <w:rPr>
                <w:kern w:val="0"/>
                <w:sz w:val="24"/>
              </w:rPr>
            </w:pPr>
            <w:r>
              <w:rPr>
                <w:rFonts w:hint="eastAsia"/>
                <w:kern w:val="0"/>
                <w:sz w:val="24"/>
              </w:rPr>
              <w:t>5、刀柄抛光</w:t>
            </w:r>
          </w:p>
          <w:p>
            <w:pPr>
              <w:spacing w:line="360" w:lineRule="auto"/>
              <w:ind w:firstLine="480" w:firstLineChars="200"/>
              <w:rPr>
                <w:rFonts w:hint="eastAsia"/>
                <w:kern w:val="0"/>
                <w:sz w:val="24"/>
              </w:rPr>
            </w:pPr>
            <w:r>
              <w:rPr>
                <w:rFonts w:hint="eastAsia"/>
                <w:kern w:val="0"/>
                <w:sz w:val="24"/>
              </w:rPr>
              <w:t>组装好的刀具通过砂带机、砂圈机、尼龙机、软布轮机对刀柄进行打磨抛光。此过程主要产生的污染物为打磨粉尘、设备工作产生的噪声。</w:t>
            </w:r>
          </w:p>
          <w:p>
            <w:pPr>
              <w:spacing w:line="360" w:lineRule="auto"/>
              <w:rPr>
                <w:kern w:val="0"/>
                <w:sz w:val="24"/>
              </w:rPr>
            </w:pPr>
            <w:r>
              <w:rPr>
                <w:rFonts w:hint="eastAsia"/>
                <w:kern w:val="0"/>
                <w:sz w:val="24"/>
              </w:rPr>
              <w:t>6、包装</w:t>
            </w:r>
          </w:p>
          <w:p>
            <w:pPr>
              <w:spacing w:line="360" w:lineRule="auto"/>
              <w:ind w:firstLine="480" w:firstLineChars="200"/>
              <w:rPr>
                <w:kern w:val="0"/>
                <w:sz w:val="24"/>
              </w:rPr>
            </w:pPr>
            <w:r>
              <w:rPr>
                <w:rFonts w:hint="eastAsia"/>
                <w:kern w:val="0"/>
                <w:sz w:val="24"/>
              </w:rPr>
              <w:t>加工完毕的刀具通过人工进行包装，包装材料为纸箱。</w:t>
            </w:r>
          </w:p>
          <w:p>
            <w:pPr>
              <w:snapToGrid w:val="0"/>
              <w:spacing w:line="360" w:lineRule="auto"/>
              <w:ind w:firstLine="482" w:firstLineChars="200"/>
              <w:textAlignment w:val="center"/>
              <w:outlineLvl w:val="1"/>
              <w:rPr>
                <w:rFonts w:hint="eastAsia"/>
                <w:b/>
                <w:sz w:val="24"/>
              </w:rPr>
            </w:pPr>
            <w:r>
              <w:rPr>
                <w:rFonts w:hint="eastAsia"/>
                <w:b/>
                <w:sz w:val="24"/>
              </w:rPr>
              <w:t>2、工艺展示主要污染工序</w:t>
            </w:r>
          </w:p>
          <w:p>
            <w:pPr>
              <w:snapToGrid w:val="0"/>
              <w:spacing w:line="360" w:lineRule="auto"/>
              <w:ind w:firstLine="480" w:firstLineChars="200"/>
              <w:jc w:val="left"/>
              <w:textAlignment w:val="center"/>
              <w:outlineLvl w:val="1"/>
              <w:rPr>
                <w:rFonts w:hint="eastAsia"/>
                <w:sz w:val="24"/>
              </w:rPr>
            </w:pPr>
            <w:r>
              <w:rPr>
                <w:rFonts w:hint="eastAsia"/>
                <w:sz w:val="24"/>
              </w:rPr>
              <w:t>（1）大气污染物</w:t>
            </w:r>
          </w:p>
          <w:p>
            <w:pPr>
              <w:spacing w:line="360" w:lineRule="auto"/>
              <w:ind w:firstLine="480" w:firstLineChars="200"/>
              <w:rPr>
                <w:sz w:val="24"/>
              </w:rPr>
            </w:pPr>
            <w:r>
              <w:rPr>
                <w:rFonts w:hint="eastAsia"/>
                <w:sz w:val="24"/>
              </w:rPr>
              <w:t>加热炉废气、</w:t>
            </w:r>
            <w:r>
              <w:rPr>
                <w:rFonts w:hint="eastAsia"/>
                <w:kern w:val="0"/>
                <w:sz w:val="24"/>
              </w:rPr>
              <w:t>淬火时菜籽油产生的油烟、刀身打磨粉尘、刀柄打磨粉尘、食堂油烟。</w:t>
            </w:r>
          </w:p>
          <w:p>
            <w:pPr>
              <w:spacing w:line="360" w:lineRule="auto"/>
              <w:ind w:firstLine="480" w:firstLineChars="200"/>
              <w:rPr>
                <w:rFonts w:hint="eastAsia"/>
                <w:sz w:val="24"/>
              </w:rPr>
            </w:pPr>
            <w:r>
              <w:rPr>
                <w:rFonts w:hint="eastAsia"/>
                <w:sz w:val="24"/>
              </w:rPr>
              <w:t>（2）废水</w:t>
            </w:r>
          </w:p>
          <w:p>
            <w:pPr>
              <w:spacing w:line="360" w:lineRule="auto"/>
              <w:ind w:firstLine="480" w:firstLineChars="200"/>
              <w:rPr>
                <w:rFonts w:hint="eastAsia"/>
                <w:sz w:val="24"/>
              </w:rPr>
            </w:pPr>
            <w:r>
              <w:rPr>
                <w:rFonts w:hint="eastAsia"/>
                <w:sz w:val="24"/>
              </w:rPr>
              <w:t>项目运营期主要为磨削机、水磨机废水和生活污水。</w:t>
            </w:r>
          </w:p>
          <w:p>
            <w:pPr>
              <w:spacing w:line="360" w:lineRule="auto"/>
              <w:ind w:firstLine="480" w:firstLineChars="200"/>
              <w:rPr>
                <w:rFonts w:hint="eastAsia"/>
                <w:sz w:val="24"/>
              </w:rPr>
            </w:pPr>
            <w:r>
              <w:rPr>
                <w:rFonts w:hint="eastAsia"/>
                <w:sz w:val="24"/>
              </w:rPr>
              <w:t>（3）噪声</w:t>
            </w:r>
          </w:p>
          <w:p>
            <w:pPr>
              <w:spacing w:line="360" w:lineRule="auto"/>
              <w:ind w:firstLine="480" w:firstLineChars="200"/>
              <w:rPr>
                <w:rFonts w:hint="eastAsia"/>
                <w:sz w:val="24"/>
              </w:rPr>
            </w:pPr>
            <w:r>
              <w:rPr>
                <w:rFonts w:hint="eastAsia"/>
                <w:sz w:val="24"/>
              </w:rPr>
              <w:t>本项目营运期间产生的噪声主要为各设备工作噪声。</w:t>
            </w:r>
          </w:p>
          <w:p>
            <w:pPr>
              <w:spacing w:line="360" w:lineRule="auto"/>
              <w:ind w:firstLine="480" w:firstLineChars="200"/>
              <w:rPr>
                <w:rFonts w:hint="eastAsia"/>
                <w:sz w:val="24"/>
              </w:rPr>
            </w:pPr>
            <w:r>
              <w:rPr>
                <w:rFonts w:hint="eastAsia"/>
                <w:sz w:val="24"/>
              </w:rPr>
              <w:t>（4）固体废物</w:t>
            </w:r>
          </w:p>
          <w:p>
            <w:pPr>
              <w:spacing w:line="360" w:lineRule="auto"/>
              <w:ind w:firstLine="480" w:firstLineChars="200"/>
              <w:rPr>
                <w:sz w:val="24"/>
              </w:rPr>
            </w:pPr>
            <w:r>
              <w:rPr>
                <w:rFonts w:hint="eastAsia"/>
                <w:sz w:val="24"/>
              </w:rPr>
              <w:t>项目营运期主要的固体废弃物是除尘器收集粉尘、员工生活垃圾、污水预处理池污泥、沉淀池固废、不合格产品、油浸淬火废渣、废矿物油。</w:t>
            </w:r>
          </w:p>
          <w:p>
            <w:pPr>
              <w:spacing w:line="360" w:lineRule="auto"/>
              <w:ind w:firstLine="562"/>
              <w:textAlignment w:val="center"/>
              <w:rPr>
                <w:b/>
                <w:bCs/>
                <w:sz w:val="28"/>
                <w:szCs w:val="28"/>
              </w:rPr>
            </w:pPr>
            <w:r>
              <w:rPr>
                <w:b/>
                <w:bCs/>
                <w:sz w:val="28"/>
                <w:szCs w:val="28"/>
              </w:rPr>
              <w:t>三、</w:t>
            </w:r>
            <w:r>
              <w:rPr>
                <w:b/>
                <w:sz w:val="28"/>
              </w:rPr>
              <w:t>污染物排放及治理</w:t>
            </w:r>
          </w:p>
          <w:p>
            <w:pPr>
              <w:spacing w:line="360" w:lineRule="auto"/>
              <w:ind w:firstLine="482" w:firstLineChars="200"/>
              <w:textAlignment w:val="center"/>
              <w:rPr>
                <w:b/>
                <w:bCs/>
                <w:sz w:val="24"/>
              </w:rPr>
            </w:pPr>
            <w:r>
              <w:rPr>
                <w:b/>
                <w:bCs/>
                <w:sz w:val="24"/>
              </w:rPr>
              <w:t>（一）施工期</w:t>
            </w:r>
            <w:r>
              <w:rPr>
                <w:b/>
                <w:sz w:val="24"/>
              </w:rPr>
              <w:t>污染物排放及治理</w:t>
            </w:r>
          </w:p>
          <w:p>
            <w:pPr>
              <w:pStyle w:val="5"/>
              <w:numPr>
                <w:ilvl w:val="0"/>
                <w:numId w:val="0"/>
              </w:numPr>
              <w:spacing w:before="0" w:after="0" w:line="360" w:lineRule="auto"/>
              <w:ind w:firstLine="843" w:firstLineChars="300"/>
              <w:rPr>
                <w:rFonts w:hint="eastAsia" w:ascii="Times New Roman" w:hAnsi="Times New Roman" w:eastAsia="宋体"/>
                <w:szCs w:val="24"/>
              </w:rPr>
            </w:pPr>
            <w:r>
              <w:rPr>
                <w:rFonts w:hint="eastAsia" w:ascii="Times New Roman" w:hAnsi="Times New Roman" w:eastAsia="宋体"/>
                <w:szCs w:val="24"/>
              </w:rPr>
              <w:t>1、</w:t>
            </w:r>
            <w:r>
              <w:rPr>
                <w:rFonts w:ascii="Times New Roman" w:hAnsi="Times New Roman" w:eastAsia="宋体"/>
                <w:szCs w:val="24"/>
              </w:rPr>
              <w:t>大气污染物</w:t>
            </w:r>
          </w:p>
          <w:p>
            <w:pPr>
              <w:tabs>
                <w:tab w:val="left" w:pos="3645"/>
              </w:tabs>
              <w:spacing w:line="360" w:lineRule="auto"/>
              <w:ind w:firstLine="482" w:firstLineChars="200"/>
              <w:rPr>
                <w:rFonts w:hint="eastAsia"/>
                <w:b/>
                <w:sz w:val="24"/>
              </w:rPr>
            </w:pPr>
            <w:r>
              <w:rPr>
                <w:b/>
                <w:sz w:val="24"/>
              </w:rPr>
              <w:t>（1）排放源</w:t>
            </w:r>
          </w:p>
          <w:p>
            <w:pPr>
              <w:spacing w:line="360" w:lineRule="auto"/>
              <w:ind w:firstLine="480" w:firstLineChars="200"/>
              <w:rPr>
                <w:rFonts w:hint="eastAsia" w:ascii="宋体" w:hAnsi="宋体" w:cs="Courier New"/>
                <w:sz w:val="24"/>
              </w:rPr>
            </w:pPr>
            <w:r>
              <w:rPr>
                <w:sz w:val="24"/>
              </w:rPr>
              <w:t>施工期的大气污染物主要是</w:t>
            </w:r>
            <w:r>
              <w:rPr>
                <w:rFonts w:hint="eastAsia"/>
                <w:sz w:val="24"/>
              </w:rPr>
              <w:t>机械废气和</w:t>
            </w:r>
            <w:r>
              <w:rPr>
                <w:sz w:val="24"/>
              </w:rPr>
              <w:t>挖掘机和运输车辆装卸物料、泥土、等产生的扬尘</w:t>
            </w:r>
            <w:r>
              <w:rPr>
                <w:rFonts w:hint="eastAsia"/>
                <w:sz w:val="24"/>
              </w:rPr>
              <w:t>。</w:t>
            </w:r>
            <w:r>
              <w:rPr>
                <w:rFonts w:hint="eastAsia" w:ascii="宋体" w:hAnsi="宋体" w:cs="Courier New"/>
                <w:sz w:val="24"/>
              </w:rPr>
              <w:t>施工期施工机械包括</w:t>
            </w:r>
            <w:r>
              <w:rPr>
                <w:rFonts w:ascii="宋体" w:hAnsi="宋体" w:cs="Courier New"/>
                <w:sz w:val="24"/>
              </w:rPr>
              <w:t>装载机、平地机和运输车辆等</w:t>
            </w:r>
            <w:r>
              <w:rPr>
                <w:rFonts w:hint="eastAsia" w:ascii="宋体" w:hAnsi="宋体" w:cs="Courier New"/>
                <w:sz w:val="24"/>
              </w:rPr>
              <w:t>，此类机械</w:t>
            </w:r>
            <w:r>
              <w:rPr>
                <w:rFonts w:ascii="宋体" w:hAnsi="宋体" w:cs="Courier New"/>
                <w:sz w:val="24"/>
              </w:rPr>
              <w:t>以汽、柴油为燃料，有燃油废气排放。</w:t>
            </w:r>
            <w:r>
              <w:rPr>
                <w:rFonts w:hint="eastAsia" w:ascii="宋体" w:hAnsi="宋体" w:cs="Courier New"/>
                <w:sz w:val="24"/>
              </w:rPr>
              <w:t>施工机械燃料废气的主要污染物为</w:t>
            </w:r>
            <w:r>
              <w:rPr>
                <w:sz w:val="24"/>
              </w:rPr>
              <w:t>NO</w:t>
            </w:r>
            <w:r>
              <w:rPr>
                <w:sz w:val="24"/>
                <w:vertAlign w:val="subscript"/>
              </w:rPr>
              <w:t>X</w:t>
            </w:r>
            <w:r>
              <w:rPr>
                <w:rFonts w:hAnsi="宋体"/>
                <w:sz w:val="24"/>
              </w:rPr>
              <w:t>、</w:t>
            </w:r>
            <w:r>
              <w:rPr>
                <w:sz w:val="24"/>
              </w:rPr>
              <w:t>CO</w:t>
            </w:r>
            <w:r>
              <w:rPr>
                <w:rFonts w:hint="eastAsia" w:ascii="宋体" w:hAnsi="宋体" w:cs="Courier New"/>
                <w:sz w:val="24"/>
              </w:rPr>
              <w:t>和烃类等。</w:t>
            </w:r>
          </w:p>
          <w:p>
            <w:pPr>
              <w:tabs>
                <w:tab w:val="left" w:pos="3645"/>
              </w:tabs>
              <w:spacing w:line="360" w:lineRule="auto"/>
              <w:ind w:firstLine="482" w:firstLineChars="200"/>
              <w:rPr>
                <w:b/>
                <w:sz w:val="24"/>
              </w:rPr>
            </w:pPr>
            <w:r>
              <w:rPr>
                <w:b/>
                <w:sz w:val="24"/>
              </w:rPr>
              <w:t>（2）治理措施</w:t>
            </w:r>
          </w:p>
          <w:p>
            <w:pPr>
              <w:spacing w:line="360" w:lineRule="auto"/>
              <w:ind w:firstLine="480" w:firstLineChars="200"/>
              <w:rPr>
                <w:rFonts w:hint="eastAsia"/>
                <w:sz w:val="24"/>
              </w:rPr>
            </w:pPr>
            <w:r>
              <w:rPr>
                <w:rFonts w:hAnsi="宋体"/>
                <w:sz w:val="24"/>
              </w:rPr>
              <w:t>建设单位采取抑尘措施，如施工场地洒水抑尘、</w:t>
            </w:r>
            <w:r>
              <w:rPr>
                <w:rFonts w:hint="eastAsia" w:hAnsi="宋体"/>
                <w:sz w:val="24"/>
              </w:rPr>
              <w:t>打围施工、合理规划运输路线，避开敏感点对建筑原辅料进行密闭运输等方式。</w:t>
            </w:r>
            <w:r>
              <w:rPr>
                <w:rFonts w:hAnsi="宋体"/>
                <w:sz w:val="24"/>
              </w:rPr>
              <w:t>施工现场及场外道路泥土及时清理，减少二次扬尘。</w:t>
            </w:r>
            <w:r>
              <w:rPr>
                <w:rFonts w:hint="eastAsia"/>
                <w:sz w:val="24"/>
              </w:rPr>
              <w:t>施工扬尘必须按照《防治城市扬尘污染技术规范》（HJ/T393-2007）和乐山市人民政府《关于大气污染物防治</w:t>
            </w:r>
            <w:r>
              <w:rPr>
                <w:sz w:val="24"/>
              </w:rPr>
              <w:t>管理规定》防止扬尘污染，减少施工粉尘对环境的影响程度</w:t>
            </w:r>
            <w:r>
              <w:rPr>
                <w:rFonts w:hint="eastAsia"/>
                <w:sz w:val="24"/>
              </w:rPr>
              <w:t>。项目建设需按照《四川省灰霾污染防治实施方案》和《四川省大气污染防治行动计划实施细则的通知》的要求严格控制建设施工扬尘。全面推行现场标准化管理，需做到“六必须”（必须围档作业、必须硬化道路、必须设置冲洗设施、必须及时洒水作业、必须落实保洁人员、必须定时清扫施工现场）、“六不准”（不准车辆带泥出门、不准运渣车辆冒顶装载、不准高空抛撒建筑垃圾、不准现场搅拌混凝土、不准场地积水、不准现场焚烧废弃物），灰霾重度污染气候条件下禁止施工。要加强对建设工地的监督检查，督促责任单位落实降尘、压尘和抑尘措施。</w:t>
            </w:r>
          </w:p>
          <w:p>
            <w:pPr>
              <w:spacing w:line="360" w:lineRule="auto"/>
              <w:ind w:firstLine="480" w:firstLineChars="200"/>
              <w:rPr>
                <w:rFonts w:hint="eastAsia"/>
                <w:sz w:val="24"/>
              </w:rPr>
            </w:pPr>
            <w:r>
              <w:rPr>
                <w:sz w:val="24"/>
              </w:rPr>
              <w:t>施工期的燃油机械设备加强施工机械的保养维护，提高机械的正常使用率；运输车辆禁止超载；不使用劣质燃料</w:t>
            </w:r>
            <w:r>
              <w:rPr>
                <w:rFonts w:hint="eastAsia"/>
                <w:sz w:val="24"/>
              </w:rPr>
              <w:t>等降低机械尾气对环境空气的影响。</w:t>
            </w:r>
          </w:p>
          <w:p>
            <w:pPr>
              <w:pStyle w:val="5"/>
              <w:spacing w:before="0" w:after="0" w:line="360" w:lineRule="auto"/>
              <w:ind w:firstLine="562" w:firstLineChars="200"/>
              <w:rPr>
                <w:rFonts w:hint="eastAsia" w:ascii="Times New Roman" w:hAnsi="Times New Roman" w:eastAsia="宋体"/>
                <w:szCs w:val="24"/>
              </w:rPr>
            </w:pPr>
            <w:r>
              <w:rPr>
                <w:rFonts w:hint="eastAsia" w:ascii="Times New Roman" w:hAnsi="Times New Roman" w:eastAsia="宋体"/>
                <w:szCs w:val="24"/>
              </w:rPr>
              <w:t>2、</w:t>
            </w:r>
            <w:r>
              <w:rPr>
                <w:rFonts w:ascii="Times New Roman" w:hAnsi="Times New Roman" w:eastAsia="宋体"/>
                <w:szCs w:val="24"/>
              </w:rPr>
              <w:t>废水</w:t>
            </w:r>
          </w:p>
          <w:p>
            <w:pPr>
              <w:tabs>
                <w:tab w:val="left" w:pos="3645"/>
              </w:tabs>
              <w:spacing w:line="360" w:lineRule="auto"/>
              <w:ind w:firstLine="482" w:firstLineChars="200"/>
              <w:rPr>
                <w:rFonts w:hint="eastAsia"/>
                <w:b/>
                <w:sz w:val="24"/>
              </w:rPr>
            </w:pPr>
            <w:r>
              <w:rPr>
                <w:b/>
                <w:sz w:val="24"/>
              </w:rPr>
              <w:t>（1）排放源</w:t>
            </w:r>
          </w:p>
          <w:p>
            <w:pPr>
              <w:snapToGrid w:val="0"/>
              <w:spacing w:line="360" w:lineRule="auto"/>
              <w:ind w:firstLine="480" w:firstLineChars="200"/>
              <w:rPr>
                <w:b/>
                <w:sz w:val="24"/>
              </w:rPr>
            </w:pPr>
            <w:r>
              <w:rPr>
                <w:rFonts w:hint="eastAsia"/>
                <w:sz w:val="24"/>
              </w:rPr>
              <w:t>施工期由于施工人员并不在项目所在地食宿，因此废水主要为工地场地废水</w:t>
            </w:r>
            <w:r>
              <w:rPr>
                <w:sz w:val="24"/>
              </w:rPr>
              <w:t>（设备冲洗废水、基础开挖废水）。</w:t>
            </w:r>
          </w:p>
          <w:p>
            <w:pPr>
              <w:tabs>
                <w:tab w:val="left" w:pos="3645"/>
              </w:tabs>
              <w:spacing w:line="360" w:lineRule="auto"/>
              <w:ind w:firstLine="482" w:firstLineChars="200"/>
              <w:rPr>
                <w:sz w:val="24"/>
              </w:rPr>
            </w:pPr>
            <w:r>
              <w:rPr>
                <w:b/>
                <w:sz w:val="24"/>
              </w:rPr>
              <w:t>（2）治理措施</w:t>
            </w:r>
          </w:p>
          <w:p>
            <w:pPr>
              <w:spacing w:line="360" w:lineRule="auto"/>
              <w:ind w:firstLine="480" w:firstLineChars="200"/>
              <w:rPr>
                <w:rFonts w:hint="eastAsia" w:ascii="宋体" w:hAnsi="Courier New" w:cs="Courier New"/>
                <w:sz w:val="24"/>
              </w:rPr>
            </w:pPr>
            <w:r>
              <w:rPr>
                <w:rFonts w:hint="eastAsia" w:ascii="宋体" w:hAnsi="Courier New" w:cs="Courier New"/>
                <w:sz w:val="24"/>
              </w:rPr>
              <w:t>施工单位不同时进入现场，而是根据工程安排，分批入驻工地。</w:t>
            </w:r>
            <w:r>
              <w:rPr>
                <w:rFonts w:ascii="宋体" w:hAnsi="Courier New" w:cs="Courier New"/>
                <w:bCs/>
                <w:sz w:val="24"/>
              </w:rPr>
              <w:t>施工时使用的机械设备较多，一般情况下，都会产生含油冲洗废水，但由于此部分废水的排放较为分散，因而其影响程度有限。环评</w:t>
            </w:r>
            <w:r>
              <w:rPr>
                <w:rFonts w:ascii="宋体" w:hAnsi="Courier New" w:cs="Courier New"/>
                <w:sz w:val="24"/>
              </w:rPr>
              <w:t>建议机械设备尽量集中维修和冲洗，含油冲洗废水经沉淀处理后尽量回用，不外排。</w:t>
            </w:r>
            <w:r>
              <w:rPr>
                <w:rFonts w:cs="Courier New"/>
                <w:sz w:val="24"/>
              </w:rPr>
              <w:t>施工期间人员以</w:t>
            </w:r>
            <w:r>
              <w:rPr>
                <w:rFonts w:hint="eastAsia" w:ascii="宋体" w:hAnsi="Courier New" w:cs="Courier New"/>
                <w:sz w:val="24"/>
              </w:rPr>
              <w:t>15</w:t>
            </w:r>
            <w:r>
              <w:rPr>
                <w:rFonts w:cs="Courier New"/>
                <w:sz w:val="24"/>
              </w:rPr>
              <w:t>人计，生活用水量按</w:t>
            </w:r>
            <w:r>
              <w:rPr>
                <w:rFonts w:hint="eastAsia" w:cs="Courier New"/>
                <w:sz w:val="24"/>
              </w:rPr>
              <w:t>50</w:t>
            </w:r>
            <w:r>
              <w:rPr>
                <w:rFonts w:cs="Courier New"/>
                <w:sz w:val="24"/>
              </w:rPr>
              <w:t>L/d·人计，则日生活用水量为</w:t>
            </w:r>
            <w:r>
              <w:rPr>
                <w:rFonts w:hint="eastAsia" w:ascii="宋体" w:hAnsi="Courier New" w:cs="Courier New"/>
                <w:sz w:val="24"/>
              </w:rPr>
              <w:t>0.75</w:t>
            </w:r>
            <w:r>
              <w:rPr>
                <w:rFonts w:cs="Courier New"/>
                <w:sz w:val="24"/>
              </w:rPr>
              <w:t>m</w:t>
            </w:r>
            <w:r>
              <w:rPr>
                <w:rFonts w:cs="Courier New"/>
                <w:sz w:val="24"/>
                <w:vertAlign w:val="superscript"/>
              </w:rPr>
              <w:t>3</w:t>
            </w:r>
            <w:r>
              <w:rPr>
                <w:rFonts w:cs="Courier New"/>
                <w:sz w:val="24"/>
              </w:rPr>
              <w:t>/d，生活污水排放量按照用水量的80%计，则每日排放量为</w:t>
            </w:r>
            <w:r>
              <w:rPr>
                <w:rFonts w:hint="eastAsia" w:ascii="宋体" w:hAnsi="Courier New" w:cs="Courier New"/>
                <w:sz w:val="24"/>
              </w:rPr>
              <w:t>0.6</w:t>
            </w:r>
            <w:r>
              <w:rPr>
                <w:rFonts w:cs="Courier New"/>
                <w:sz w:val="24"/>
              </w:rPr>
              <w:t>m</w:t>
            </w:r>
            <w:r>
              <w:rPr>
                <w:rFonts w:cs="Courier New"/>
                <w:sz w:val="24"/>
                <w:vertAlign w:val="superscript"/>
              </w:rPr>
              <w:t>3</w:t>
            </w:r>
            <w:r>
              <w:rPr>
                <w:rFonts w:cs="Courier New"/>
                <w:sz w:val="24"/>
              </w:rPr>
              <w:t>。生活污水中的主要污染因子为COD</w:t>
            </w:r>
            <w:r>
              <w:rPr>
                <w:rFonts w:cs="Courier New"/>
                <w:sz w:val="24"/>
                <w:vertAlign w:val="subscript"/>
              </w:rPr>
              <w:t>cr</w:t>
            </w:r>
            <w:r>
              <w:rPr>
                <w:rFonts w:cs="Courier New"/>
                <w:sz w:val="24"/>
              </w:rPr>
              <w:t>、BOD</w:t>
            </w:r>
            <w:r>
              <w:rPr>
                <w:rFonts w:cs="Courier New"/>
                <w:sz w:val="24"/>
                <w:vertAlign w:val="subscript"/>
              </w:rPr>
              <w:t>5</w:t>
            </w:r>
            <w:r>
              <w:rPr>
                <w:rFonts w:cs="Courier New"/>
                <w:sz w:val="24"/>
              </w:rPr>
              <w:t>、SS、NH</w:t>
            </w:r>
            <w:r>
              <w:rPr>
                <w:rFonts w:cs="Courier New"/>
                <w:sz w:val="24"/>
                <w:vertAlign w:val="subscript"/>
              </w:rPr>
              <w:t>3</w:t>
            </w:r>
            <w:r>
              <w:rPr>
                <w:rFonts w:cs="Courier New"/>
                <w:sz w:val="24"/>
              </w:rPr>
              <w:t>-N等。</w:t>
            </w:r>
            <w:r>
              <w:rPr>
                <w:rFonts w:hint="eastAsia" w:cs="Courier New"/>
                <w:sz w:val="24"/>
              </w:rPr>
              <w:t>项目施工期生活污水可依托周边现有污水处理设施处理。</w:t>
            </w:r>
            <w:r>
              <w:rPr>
                <w:rFonts w:hint="eastAsia" w:ascii="宋体" w:hAnsi="Courier New" w:cs="Courier New"/>
                <w:sz w:val="24"/>
              </w:rPr>
              <w:t xml:space="preserve"> </w:t>
            </w:r>
          </w:p>
          <w:p>
            <w:pPr>
              <w:tabs>
                <w:tab w:val="left" w:pos="3645"/>
              </w:tabs>
              <w:spacing w:line="360" w:lineRule="auto"/>
              <w:ind w:firstLine="482" w:firstLineChars="200"/>
              <w:rPr>
                <w:rFonts w:hint="eastAsia"/>
                <w:b/>
                <w:sz w:val="24"/>
              </w:rPr>
            </w:pPr>
            <w:r>
              <w:rPr>
                <w:rFonts w:hint="eastAsia"/>
                <w:b/>
                <w:sz w:val="24"/>
              </w:rPr>
              <w:t>3、</w:t>
            </w:r>
            <w:r>
              <w:rPr>
                <w:b/>
                <w:sz w:val="24"/>
              </w:rPr>
              <w:t>固体废弃物</w:t>
            </w:r>
          </w:p>
          <w:p>
            <w:pPr>
              <w:spacing w:line="360" w:lineRule="auto"/>
              <w:ind w:firstLine="482" w:firstLineChars="200"/>
              <w:rPr>
                <w:rFonts w:hint="eastAsia"/>
                <w:b/>
                <w:sz w:val="24"/>
              </w:rPr>
            </w:pPr>
            <w:r>
              <w:rPr>
                <w:b/>
                <w:sz w:val="24"/>
              </w:rPr>
              <w:t>（1）排放源</w:t>
            </w:r>
          </w:p>
          <w:p>
            <w:pPr>
              <w:spacing w:line="360" w:lineRule="auto"/>
              <w:ind w:firstLine="480" w:firstLineChars="200"/>
              <w:rPr>
                <w:rFonts w:hint="eastAsia"/>
                <w:sz w:val="24"/>
              </w:rPr>
            </w:pPr>
            <w:r>
              <w:rPr>
                <w:sz w:val="24"/>
              </w:rPr>
              <w:t>施工期间产生的固体废弃物包</w:t>
            </w:r>
            <w:r>
              <w:rPr>
                <w:rFonts w:hint="eastAsia"/>
                <w:sz w:val="24"/>
              </w:rPr>
              <w:t>括项目建设产生的</w:t>
            </w:r>
            <w:r>
              <w:rPr>
                <w:sz w:val="24"/>
              </w:rPr>
              <w:t>建筑垃圾和施工人员生活垃圾。</w:t>
            </w:r>
            <w:r>
              <w:rPr>
                <w:rFonts w:hint="eastAsia"/>
                <w:sz w:val="24"/>
              </w:rPr>
              <w:t>项目不进行大规模开挖，无弃土石方产生。建筑垃圾主要来自施工作业，</w:t>
            </w:r>
            <w:r>
              <w:rPr>
                <w:sz w:val="24"/>
              </w:rPr>
              <w:t>包括砂石、石块、废木料、废金属、废钢筋等杂物</w:t>
            </w:r>
            <w:r>
              <w:rPr>
                <w:rFonts w:hint="eastAsia"/>
                <w:sz w:val="24"/>
              </w:rPr>
              <w:t>。</w:t>
            </w:r>
            <w:r>
              <w:rPr>
                <w:sz w:val="24"/>
              </w:rPr>
              <w:t>施工人员生活垃圾产生量按0.</w:t>
            </w:r>
            <w:r>
              <w:rPr>
                <w:rFonts w:hint="eastAsia"/>
                <w:sz w:val="24"/>
              </w:rPr>
              <w:t>5k</w:t>
            </w:r>
            <w:r>
              <w:rPr>
                <w:sz w:val="24"/>
              </w:rPr>
              <w:t>g/人·d计，施工人员</w:t>
            </w:r>
            <w:r>
              <w:rPr>
                <w:rFonts w:hint="eastAsia"/>
                <w:sz w:val="24"/>
              </w:rPr>
              <w:t>15</w:t>
            </w:r>
            <w:r>
              <w:rPr>
                <w:sz w:val="24"/>
              </w:rPr>
              <w:t>人，则生活垃圾</w:t>
            </w:r>
            <w:r>
              <w:rPr>
                <w:rFonts w:hint="eastAsia"/>
                <w:sz w:val="24"/>
              </w:rPr>
              <w:t>产生量为7.5kg/d。</w:t>
            </w:r>
          </w:p>
          <w:p>
            <w:pPr>
              <w:spacing w:line="360" w:lineRule="auto"/>
              <w:ind w:firstLine="482" w:firstLineChars="200"/>
              <w:rPr>
                <w:rFonts w:hint="eastAsia"/>
                <w:b/>
                <w:sz w:val="24"/>
              </w:rPr>
            </w:pPr>
            <w:r>
              <w:rPr>
                <w:rFonts w:hint="eastAsia"/>
                <w:b/>
                <w:sz w:val="24"/>
              </w:rPr>
              <w:t>（2）采取的措施：</w:t>
            </w:r>
          </w:p>
          <w:p>
            <w:pPr>
              <w:spacing w:line="360" w:lineRule="auto"/>
              <w:ind w:firstLine="480" w:firstLineChars="200"/>
              <w:rPr>
                <w:sz w:val="24"/>
              </w:rPr>
            </w:pPr>
            <w:r>
              <w:rPr>
                <w:rFonts w:hint="eastAsia"/>
                <w:sz w:val="24"/>
              </w:rPr>
              <w:t>建筑垃圾由建筑单位运送至政府指定地点处理。</w:t>
            </w:r>
            <w:r>
              <w:rPr>
                <w:sz w:val="24"/>
              </w:rPr>
              <w:t>施工人员每日产生的生活垃圾应经过袋装收集后，</w:t>
            </w:r>
            <w:r>
              <w:rPr>
                <w:rFonts w:hint="eastAsia"/>
                <w:sz w:val="24"/>
              </w:rPr>
              <w:t>由当地环卫部门定时清运到市中区垃圾填埋场处理</w:t>
            </w:r>
            <w:r>
              <w:rPr>
                <w:sz w:val="24"/>
              </w:rPr>
              <w:t>，不可就地填埋，以避免对居住区环境空气和水环境质量构成潜在的影响因素。</w:t>
            </w:r>
          </w:p>
          <w:p>
            <w:pPr>
              <w:spacing w:line="360" w:lineRule="auto"/>
              <w:ind w:firstLine="480" w:firstLineChars="200"/>
              <w:rPr>
                <w:rFonts w:hint="eastAsia"/>
                <w:sz w:val="24"/>
              </w:rPr>
            </w:pPr>
            <w:r>
              <w:rPr>
                <w:sz w:val="24"/>
              </w:rPr>
              <w:t>由于项目周边有</w:t>
            </w:r>
            <w:r>
              <w:rPr>
                <w:rFonts w:hint="eastAsia"/>
                <w:sz w:val="24"/>
              </w:rPr>
              <w:t>农户</w:t>
            </w:r>
            <w:r>
              <w:rPr>
                <w:sz w:val="24"/>
              </w:rPr>
              <w:t>，因此外运以上各种建筑垃圾时，出场前一律清洗轮胎，用毡布覆盖，尽量避免轮胎上的泥土掉落至路面而造成扬尘。</w:t>
            </w:r>
          </w:p>
          <w:p>
            <w:pPr>
              <w:spacing w:line="360" w:lineRule="auto"/>
              <w:ind w:firstLine="480" w:firstLineChars="200"/>
              <w:rPr>
                <w:sz w:val="24"/>
              </w:rPr>
            </w:pPr>
            <w:r>
              <w:rPr>
                <w:sz w:val="24"/>
              </w:rPr>
              <w:t>综上所述，项目施工期在严格落实了本环评提出的上述措施后，其施工期的固体废弃物可实现清洁处理和处置，不致造成二次污染。</w:t>
            </w:r>
          </w:p>
          <w:p>
            <w:pPr>
              <w:pStyle w:val="5"/>
              <w:spacing w:before="0" w:after="0" w:line="360" w:lineRule="auto"/>
              <w:ind w:firstLine="562" w:firstLineChars="200"/>
              <w:rPr>
                <w:rFonts w:hint="eastAsia" w:ascii="Times New Roman" w:hAnsi="Times New Roman" w:eastAsia="宋体"/>
                <w:szCs w:val="24"/>
              </w:rPr>
            </w:pPr>
            <w:r>
              <w:rPr>
                <w:rFonts w:hint="eastAsia" w:ascii="Times New Roman" w:hAnsi="Times New Roman" w:eastAsia="宋体"/>
                <w:szCs w:val="24"/>
              </w:rPr>
              <w:t>4、</w:t>
            </w:r>
            <w:r>
              <w:rPr>
                <w:rFonts w:ascii="Times New Roman" w:hAnsi="Times New Roman" w:eastAsia="宋体"/>
                <w:szCs w:val="24"/>
              </w:rPr>
              <w:t>噪声</w:t>
            </w:r>
          </w:p>
          <w:p>
            <w:pPr>
              <w:autoSpaceDE w:val="0"/>
              <w:autoSpaceDN w:val="0"/>
              <w:spacing w:line="360" w:lineRule="auto"/>
              <w:ind w:firstLine="482" w:firstLineChars="200"/>
              <w:rPr>
                <w:sz w:val="24"/>
              </w:rPr>
            </w:pPr>
            <w:r>
              <w:rPr>
                <w:b/>
                <w:sz w:val="24"/>
              </w:rPr>
              <w:t>（1）排放源</w:t>
            </w:r>
          </w:p>
          <w:p>
            <w:pPr>
              <w:spacing w:line="360" w:lineRule="auto"/>
              <w:ind w:firstLine="480" w:firstLineChars="200"/>
              <w:rPr>
                <w:rFonts w:hint="eastAsia" w:hAnsi="宋体"/>
                <w:sz w:val="24"/>
              </w:rPr>
            </w:pPr>
            <w:r>
              <w:rPr>
                <w:sz w:val="24"/>
              </w:rPr>
              <w:t>施工期噪声主要来源于各种建设机械和运输车辆噪声，</w:t>
            </w:r>
            <w:r>
              <w:rPr>
                <w:rFonts w:hint="eastAsia"/>
                <w:sz w:val="24"/>
              </w:rPr>
              <w:t>施工工地不设混凝土搅拌站，各</w:t>
            </w:r>
            <w:r>
              <w:rPr>
                <w:sz w:val="24"/>
              </w:rPr>
              <w:t>施工阶段的主要产噪机械设备、运输车辆及其</w:t>
            </w:r>
            <w:r>
              <w:rPr>
                <w:rFonts w:hint="eastAsia"/>
                <w:sz w:val="24"/>
              </w:rPr>
              <w:t>噪声</w:t>
            </w:r>
            <w:r>
              <w:rPr>
                <w:sz w:val="24"/>
              </w:rPr>
              <w:t>值</w:t>
            </w:r>
            <w:r>
              <w:rPr>
                <w:rFonts w:hint="eastAsia"/>
                <w:sz w:val="24"/>
              </w:rPr>
              <w:t>在</w:t>
            </w:r>
            <w:r>
              <w:rPr>
                <w:sz w:val="24"/>
              </w:rPr>
              <w:t>75dB~</w:t>
            </w:r>
            <w:r>
              <w:rPr>
                <w:rFonts w:hint="eastAsia"/>
                <w:sz w:val="24"/>
              </w:rPr>
              <w:t>105</w:t>
            </w:r>
            <w:r>
              <w:rPr>
                <w:sz w:val="24"/>
              </w:rPr>
              <w:t>dB</w:t>
            </w:r>
            <w:r>
              <w:rPr>
                <w:rFonts w:hAnsi="宋体"/>
                <w:sz w:val="24"/>
              </w:rPr>
              <w:t>。</w:t>
            </w:r>
          </w:p>
          <w:p>
            <w:pPr>
              <w:autoSpaceDE w:val="0"/>
              <w:autoSpaceDN w:val="0"/>
              <w:spacing w:line="360" w:lineRule="auto"/>
              <w:ind w:firstLine="482" w:firstLineChars="200"/>
              <w:rPr>
                <w:sz w:val="24"/>
              </w:rPr>
            </w:pPr>
            <w:r>
              <w:rPr>
                <w:b/>
                <w:sz w:val="24"/>
              </w:rPr>
              <w:t>（2）治理措施</w:t>
            </w:r>
          </w:p>
          <w:p>
            <w:pPr>
              <w:spacing w:line="360" w:lineRule="auto"/>
              <w:ind w:firstLine="480" w:firstLineChars="200"/>
              <w:rPr>
                <w:rFonts w:hint="eastAsia" w:ascii="宋体" w:hAnsi="宋体"/>
                <w:sz w:val="24"/>
              </w:rPr>
            </w:pPr>
            <w:r>
              <w:rPr>
                <w:sz w:val="24"/>
              </w:rPr>
              <w:t>由外环境关系图可知，本项目选址于</w:t>
            </w:r>
            <w:r>
              <w:rPr>
                <w:rFonts w:hint="eastAsia"/>
                <w:sz w:val="24"/>
              </w:rPr>
              <w:t>乐山市市中区悦来乡龙岩村二组</w:t>
            </w:r>
            <w:r>
              <w:rPr>
                <w:sz w:val="24"/>
              </w:rPr>
              <w:t>，</w:t>
            </w:r>
            <w:r>
              <w:rPr>
                <w:rFonts w:hint="eastAsia"/>
                <w:sz w:val="24"/>
              </w:rPr>
              <w:t>项目南面4</w:t>
            </w:r>
            <w:r>
              <w:rPr>
                <w:sz w:val="24"/>
              </w:rPr>
              <w:t>0m</w:t>
            </w:r>
            <w:r>
              <w:rPr>
                <w:rFonts w:hint="eastAsia"/>
                <w:sz w:val="24"/>
              </w:rPr>
              <w:t>处有1户农户，为了减少施工期噪声的影响，采取以下措施：</w:t>
            </w:r>
            <w:r>
              <w:rPr>
                <w:rFonts w:hint="eastAsia" w:ascii="宋体" w:hAnsi="宋体"/>
                <w:sz w:val="24"/>
              </w:rPr>
              <w:t xml:space="preserve"> </w:t>
            </w:r>
          </w:p>
          <w:p>
            <w:pPr>
              <w:autoSpaceDE w:val="0"/>
              <w:autoSpaceDN w:val="0"/>
              <w:spacing w:line="360" w:lineRule="auto"/>
              <w:ind w:firstLine="480" w:firstLineChars="200"/>
              <w:rPr>
                <w:sz w:val="24"/>
              </w:rPr>
            </w:pPr>
            <w:r>
              <w:rPr>
                <w:rFonts w:hint="eastAsia" w:ascii="宋体" w:hAnsi="宋体" w:cs="宋体"/>
                <w:sz w:val="24"/>
              </w:rPr>
              <w:t>①</w:t>
            </w:r>
            <w:r>
              <w:rPr>
                <w:sz w:val="24"/>
              </w:rPr>
              <w:t>合理安排作业时间：施工方应合理安排施工时间，将强噪声作业尽量安排在白天进行，严禁夜间施工，杜绝夜间（22：00－7：00）施工噪声扰民。</w:t>
            </w:r>
          </w:p>
          <w:p>
            <w:pPr>
              <w:autoSpaceDE w:val="0"/>
              <w:autoSpaceDN w:val="0"/>
              <w:spacing w:line="360" w:lineRule="auto"/>
              <w:ind w:firstLine="480" w:firstLineChars="200"/>
              <w:rPr>
                <w:rFonts w:hint="eastAsia"/>
                <w:sz w:val="24"/>
              </w:rPr>
            </w:pPr>
            <w:r>
              <w:rPr>
                <w:rFonts w:hint="eastAsia" w:ascii="宋体" w:hAnsi="宋体" w:cs="宋体"/>
                <w:sz w:val="24"/>
              </w:rPr>
              <w:t>②</w:t>
            </w:r>
            <w:r>
              <w:rPr>
                <w:sz w:val="24"/>
              </w:rPr>
              <w:t>材料运输等汽车进场安排专人指挥，场内禁止运输车辆鸣笛</w:t>
            </w:r>
            <w:r>
              <w:rPr>
                <w:rFonts w:hint="eastAsia"/>
                <w:sz w:val="24"/>
              </w:rPr>
              <w:t>，减少对南面农户的影响。</w:t>
            </w:r>
          </w:p>
          <w:p>
            <w:pPr>
              <w:autoSpaceDE w:val="0"/>
              <w:autoSpaceDN w:val="0"/>
              <w:spacing w:line="360" w:lineRule="auto"/>
              <w:ind w:firstLine="480" w:firstLineChars="200"/>
              <w:rPr>
                <w:sz w:val="24"/>
              </w:rPr>
            </w:pPr>
            <w:r>
              <w:rPr>
                <w:rFonts w:hint="eastAsia" w:ascii="宋体" w:hAnsi="宋体" w:cs="宋体"/>
                <w:sz w:val="24"/>
              </w:rPr>
              <w:t>③</w:t>
            </w:r>
            <w:r>
              <w:rPr>
                <w:sz w:val="24"/>
              </w:rPr>
              <w:t>材料装卸采用人工传递，严禁抛掷或汽车一次性下料。</w:t>
            </w:r>
          </w:p>
          <w:p>
            <w:pPr>
              <w:autoSpaceDE w:val="0"/>
              <w:autoSpaceDN w:val="0"/>
              <w:spacing w:line="360" w:lineRule="auto"/>
              <w:ind w:firstLine="480" w:firstLineChars="200"/>
              <w:rPr>
                <w:sz w:val="24"/>
              </w:rPr>
            </w:pPr>
            <w:r>
              <w:rPr>
                <w:rFonts w:hint="eastAsia" w:ascii="宋体" w:hAnsi="宋体" w:cs="宋体"/>
                <w:sz w:val="24"/>
              </w:rPr>
              <w:t>④</w:t>
            </w:r>
            <w:r>
              <w:rPr>
                <w:sz w:val="24"/>
              </w:rPr>
              <w:t>加强施工人员的管理和教育，施工中减</w:t>
            </w:r>
            <w:r>
              <w:rPr>
                <w:rFonts w:hint="eastAsia"/>
                <w:sz w:val="24"/>
              </w:rPr>
              <w:t>少</w:t>
            </w:r>
            <w:r>
              <w:rPr>
                <w:sz w:val="24"/>
              </w:rPr>
              <w:t>不必要的金属敲击声。</w:t>
            </w:r>
          </w:p>
          <w:p>
            <w:pPr>
              <w:autoSpaceDE w:val="0"/>
              <w:autoSpaceDN w:val="0"/>
              <w:spacing w:line="360" w:lineRule="auto"/>
              <w:ind w:firstLine="480" w:firstLineChars="200"/>
              <w:rPr>
                <w:rFonts w:hint="eastAsia"/>
                <w:sz w:val="24"/>
              </w:rPr>
            </w:pPr>
            <w:r>
              <w:rPr>
                <w:rFonts w:hint="eastAsia" w:ascii="宋体" w:hAnsi="宋体" w:cs="宋体"/>
                <w:sz w:val="24"/>
              </w:rPr>
              <w:t>⑤</w:t>
            </w:r>
            <w:r>
              <w:rPr>
                <w:sz w:val="24"/>
              </w:rPr>
              <w:t>在室内施工时期，关闭窗户，并做到文明施工。</w:t>
            </w:r>
          </w:p>
          <w:p>
            <w:pPr>
              <w:autoSpaceDE w:val="0"/>
              <w:autoSpaceDN w:val="0"/>
              <w:spacing w:line="360" w:lineRule="auto"/>
              <w:ind w:firstLine="480" w:firstLineChars="200"/>
              <w:rPr>
                <w:sz w:val="24"/>
              </w:rPr>
            </w:pPr>
            <w:r>
              <w:rPr>
                <w:rFonts w:hint="eastAsia"/>
                <w:sz w:val="24"/>
              </w:rPr>
              <w:t>在采取上述措施后，</w:t>
            </w:r>
            <w:r>
              <w:rPr>
                <w:sz w:val="24"/>
              </w:rPr>
              <w:t>施工期间的场界噪声必须满足</w:t>
            </w:r>
            <w:r>
              <w:rPr>
                <w:rFonts w:hint="eastAsia"/>
                <w:sz w:val="24"/>
              </w:rPr>
              <w:t>《建筑施工场界环境噪声排放标准》GB12523－2011</w:t>
            </w:r>
            <w:r>
              <w:rPr>
                <w:sz w:val="24"/>
              </w:rPr>
              <w:t>标准要求。施工方应合理安排施工时间，杜绝深夜施工噪声扰民。</w:t>
            </w:r>
          </w:p>
          <w:p>
            <w:pPr>
              <w:pStyle w:val="4"/>
              <w:tabs>
                <w:tab w:val="left" w:pos="1260"/>
              </w:tabs>
              <w:spacing w:before="0" w:after="0" w:line="360" w:lineRule="auto"/>
              <w:ind w:left="422" w:hanging="562" w:hangingChars="175"/>
              <w:textAlignment w:val="center"/>
              <w:rPr>
                <w:rFonts w:hint="eastAsia" w:hAnsi="宋体" w:eastAsia="宋体"/>
                <w:color w:val="000000"/>
                <w:szCs w:val="24"/>
              </w:rPr>
            </w:pPr>
            <w:bookmarkStart w:id="3" w:name="_Toc349399324"/>
            <w:r>
              <w:rPr>
                <w:rFonts w:hAnsi="宋体" w:eastAsia="宋体"/>
                <w:szCs w:val="24"/>
              </w:rPr>
              <w:t>（</w:t>
            </w:r>
            <w:r>
              <w:rPr>
                <w:rFonts w:hAnsi="宋体" w:eastAsia="宋体"/>
                <w:color w:val="000000"/>
                <w:szCs w:val="24"/>
              </w:rPr>
              <w:t>二）运营期</w:t>
            </w:r>
            <w:bookmarkEnd w:id="3"/>
            <w:r>
              <w:rPr>
                <w:rFonts w:hint="eastAsia" w:hAnsi="宋体" w:eastAsia="宋体"/>
                <w:color w:val="000000"/>
                <w:szCs w:val="24"/>
              </w:rPr>
              <w:t>刀具制作工艺展示区</w:t>
            </w:r>
            <w:r>
              <w:rPr>
                <w:rFonts w:hAnsi="宋体" w:eastAsia="宋体"/>
                <w:color w:val="000000"/>
                <w:szCs w:val="24"/>
              </w:rPr>
              <w:t>污染物排放情况及控制措施</w:t>
            </w:r>
          </w:p>
          <w:p>
            <w:pPr>
              <w:spacing w:line="360" w:lineRule="auto"/>
              <w:ind w:firstLine="480" w:firstLineChars="200"/>
              <w:rPr>
                <w:sz w:val="24"/>
              </w:rPr>
            </w:pPr>
            <w:r>
              <w:rPr>
                <w:rFonts w:hint="eastAsia"/>
                <w:sz w:val="24"/>
              </w:rPr>
              <w:t>1、大气污染物</w:t>
            </w:r>
          </w:p>
          <w:p>
            <w:pPr>
              <w:spacing w:line="360" w:lineRule="auto"/>
              <w:ind w:firstLine="480" w:firstLineChars="200"/>
              <w:rPr>
                <w:sz w:val="24"/>
              </w:rPr>
            </w:pPr>
            <w:r>
              <w:rPr>
                <w:rFonts w:hint="eastAsia"/>
                <w:sz w:val="24"/>
              </w:rPr>
              <w:t>（1）刀身打磨粉尘</w:t>
            </w:r>
          </w:p>
          <w:p>
            <w:pPr>
              <w:spacing w:line="360" w:lineRule="auto"/>
              <w:ind w:firstLine="480" w:firstLineChars="200"/>
              <w:rPr>
                <w:bCs/>
                <w:sz w:val="24"/>
              </w:rPr>
            </w:pPr>
            <w:r>
              <w:rPr>
                <w:rFonts w:hint="eastAsia"/>
                <w:bCs/>
                <w:sz w:val="24"/>
              </w:rPr>
              <w:t>本项目刀具制作展示过程中需要对工件进行打磨，在此过程中会产生一定量的金属粉尘，本次评价按原料0</w:t>
            </w:r>
            <w:r>
              <w:rPr>
                <w:bCs/>
                <w:sz w:val="24"/>
              </w:rPr>
              <w:t>.1</w:t>
            </w:r>
            <w:r>
              <w:rPr>
                <w:rFonts w:hint="eastAsia"/>
                <w:bCs/>
                <w:sz w:val="24"/>
              </w:rPr>
              <w:t>%的打磨金属粉尘产生量计算，即打磨粉尘产生量为0</w:t>
            </w:r>
            <w:r>
              <w:rPr>
                <w:bCs/>
                <w:sz w:val="24"/>
              </w:rPr>
              <w:t>.03 t/a</w:t>
            </w:r>
            <w:r>
              <w:rPr>
                <w:rFonts w:hint="eastAsia"/>
                <w:bCs/>
                <w:sz w:val="24"/>
              </w:rPr>
              <w:t>（0</w:t>
            </w:r>
            <w:r>
              <w:rPr>
                <w:bCs/>
                <w:sz w:val="24"/>
              </w:rPr>
              <w:t>.011 kg/h</w:t>
            </w:r>
            <w:r>
              <w:rPr>
                <w:rFonts w:hint="eastAsia"/>
                <w:bCs/>
                <w:sz w:val="24"/>
              </w:rPr>
              <w:t>），刀身打磨工段进行封闭，粉尘通过抽风机集中，每天清扫。</w:t>
            </w:r>
          </w:p>
          <w:p>
            <w:pPr>
              <w:spacing w:line="360" w:lineRule="auto"/>
              <w:ind w:firstLine="480" w:firstLineChars="200"/>
              <w:rPr>
                <w:sz w:val="24"/>
              </w:rPr>
            </w:pPr>
            <w:r>
              <w:rPr>
                <w:rFonts w:hint="eastAsia"/>
                <w:sz w:val="24"/>
              </w:rPr>
              <w:t>（2）刀柄抛光粉尘</w:t>
            </w:r>
          </w:p>
          <w:p>
            <w:pPr>
              <w:spacing w:line="360" w:lineRule="auto"/>
              <w:ind w:firstLine="480" w:firstLineChars="200"/>
              <w:rPr>
                <w:rFonts w:hint="eastAsia"/>
                <w:bCs/>
                <w:sz w:val="24"/>
                <w:lang w:eastAsia="zh-CN"/>
              </w:rPr>
            </w:pPr>
            <w:r>
              <w:rPr>
                <w:rFonts w:hint="eastAsia"/>
                <w:sz w:val="24"/>
              </w:rPr>
              <w:t>项目制作过程中需对刀柄进行抛光打磨，此过程会产生一定量的粉尘，根据类比同类型企业，粉尘产生量按原料的</w:t>
            </w:r>
            <w:r>
              <w:rPr>
                <w:sz w:val="24"/>
              </w:rPr>
              <w:t>1</w:t>
            </w:r>
            <w:r>
              <w:rPr>
                <w:rFonts w:hint="eastAsia"/>
                <w:sz w:val="24"/>
              </w:rPr>
              <w:t>%计算，本项目使用木制刀柄约</w:t>
            </w:r>
            <w:r>
              <w:rPr>
                <w:sz w:val="24"/>
              </w:rPr>
              <w:t>53000</w:t>
            </w:r>
            <w:r>
              <w:rPr>
                <w:rFonts w:hint="eastAsia"/>
                <w:sz w:val="24"/>
              </w:rPr>
              <w:t>副，每副刀柄约</w:t>
            </w:r>
            <w:r>
              <w:rPr>
                <w:sz w:val="24"/>
              </w:rPr>
              <w:t>60g</w:t>
            </w:r>
            <w:r>
              <w:rPr>
                <w:rFonts w:hint="eastAsia"/>
                <w:sz w:val="24"/>
              </w:rPr>
              <w:t>，共计</w:t>
            </w:r>
            <w:r>
              <w:rPr>
                <w:sz w:val="24"/>
              </w:rPr>
              <w:t>3.2t</w:t>
            </w:r>
            <w:r>
              <w:rPr>
                <w:rFonts w:hint="eastAsia"/>
                <w:sz w:val="24"/>
              </w:rPr>
              <w:t>，即刀柄抛光粉尘产生量为</w:t>
            </w:r>
            <w:r>
              <w:rPr>
                <w:sz w:val="24"/>
              </w:rPr>
              <w:t>0.03</w:t>
            </w:r>
            <w:r>
              <w:rPr>
                <w:bCs/>
                <w:sz w:val="24"/>
              </w:rPr>
              <w:t xml:space="preserve"> t/a</w:t>
            </w:r>
            <w:r>
              <w:rPr>
                <w:rFonts w:hint="eastAsia"/>
                <w:bCs/>
                <w:sz w:val="24"/>
              </w:rPr>
              <w:t>（0</w:t>
            </w:r>
            <w:r>
              <w:rPr>
                <w:bCs/>
                <w:sz w:val="24"/>
              </w:rPr>
              <w:t>.01kg/h</w:t>
            </w:r>
            <w:r>
              <w:rPr>
                <w:rFonts w:hint="eastAsia"/>
                <w:bCs/>
                <w:sz w:val="24"/>
              </w:rPr>
              <w:t>）。评价要求项目抛光工序设置集尘罩，经集尘罩收集后的粉尘由</w:t>
            </w:r>
            <w:r>
              <w:rPr>
                <w:rFonts w:hint="eastAsia"/>
                <w:bCs/>
                <w:sz w:val="24"/>
                <w:lang w:eastAsia="zh-CN"/>
              </w:rPr>
              <w:t>布袋收尘设施收集。</w:t>
            </w:r>
          </w:p>
          <w:p>
            <w:pPr>
              <w:spacing w:line="360" w:lineRule="auto"/>
              <w:ind w:firstLine="480" w:firstLineChars="200"/>
              <w:rPr>
                <w:sz w:val="24"/>
              </w:rPr>
            </w:pPr>
            <w:r>
              <w:rPr>
                <w:rFonts w:hint="eastAsia"/>
                <w:sz w:val="24"/>
              </w:rPr>
              <w:t>（3）加热炉废气</w:t>
            </w:r>
          </w:p>
          <w:p>
            <w:pPr>
              <w:spacing w:line="360" w:lineRule="auto"/>
              <w:ind w:firstLine="480" w:firstLineChars="200"/>
              <w:rPr>
                <w:rFonts w:hint="eastAsia"/>
                <w:sz w:val="24"/>
              </w:rPr>
            </w:pPr>
            <w:r>
              <w:rPr>
                <w:rFonts w:hint="eastAsia"/>
                <w:sz w:val="24"/>
              </w:rPr>
              <w:t>项目定制刀具棒料成型工序，需将棒料加热，项目加热炉采用醇基燃料。根据业主提供资料，项目采用奥新富通环保生物醇油，根据生物醇油质量监测报告，项目所使用生物醇油，醇含量高达9</w:t>
            </w:r>
            <w:r>
              <w:rPr>
                <w:sz w:val="24"/>
              </w:rPr>
              <w:t>9.4</w:t>
            </w:r>
            <w:r>
              <w:rPr>
                <w:rFonts w:hint="eastAsia"/>
                <w:sz w:val="24"/>
              </w:rPr>
              <w:t>%。依据北京奥达清环境质量检测有限公司对项目所使用的醇油污染源废气检测，本项目使用的环保生物醇油燃烧时，各污染物产生的量以及浓度均远远低于《大气污染物综合排放标准》（GB16297-1996）表2二级标准。（详见检测报告）</w:t>
            </w:r>
          </w:p>
          <w:p>
            <w:pPr>
              <w:spacing w:line="360" w:lineRule="auto"/>
              <w:ind w:firstLine="480" w:firstLineChars="200"/>
              <w:rPr>
                <w:sz w:val="24"/>
              </w:rPr>
            </w:pPr>
            <w:r>
              <w:rPr>
                <w:rFonts w:hint="eastAsia"/>
                <w:sz w:val="24"/>
              </w:rPr>
              <w:t>（4）淬火油烟</w:t>
            </w:r>
          </w:p>
          <w:p>
            <w:pPr>
              <w:spacing w:line="360" w:lineRule="auto"/>
              <w:ind w:firstLine="480" w:firstLineChars="200"/>
              <w:rPr>
                <w:rFonts w:hint="eastAsia"/>
                <w:sz w:val="24"/>
              </w:rPr>
            </w:pPr>
            <w:r>
              <w:rPr>
                <w:rFonts w:hint="eastAsia"/>
                <w:sz w:val="24"/>
              </w:rPr>
              <w:t>本项目淬火油属于快速淬火油，淬火过程会有油烟产生，主要成分为油品在高温状态下分解和碳化的细小油雾颗粒物。本项目淬火设备为全封闭式，油烟经集管道进入油雾烟气净化器中，处理后由一根15m高排气筒排放。风机风量为</w:t>
            </w:r>
            <w:r>
              <w:rPr>
                <w:sz w:val="24"/>
              </w:rPr>
              <w:t>2000</w:t>
            </w:r>
            <w:r>
              <w:rPr>
                <w:rFonts w:hint="eastAsia"/>
                <w:sz w:val="24"/>
              </w:rPr>
              <w:t>m</w:t>
            </w:r>
            <w:r>
              <w:rPr>
                <w:rFonts w:hint="eastAsia"/>
                <w:sz w:val="24"/>
                <w:vertAlign w:val="superscript"/>
              </w:rPr>
              <w:t>3</w:t>
            </w:r>
            <w:r>
              <w:rPr>
                <w:rFonts w:hint="eastAsia"/>
                <w:sz w:val="24"/>
              </w:rPr>
              <w:t>/h，经类比油雾颗粒物的产生浓度为100mg/m</w:t>
            </w:r>
            <w:r>
              <w:rPr>
                <w:rFonts w:hint="eastAsia"/>
                <w:sz w:val="24"/>
                <w:vertAlign w:val="superscript"/>
              </w:rPr>
              <w:t>3</w:t>
            </w:r>
            <w:r>
              <w:rPr>
                <w:rFonts w:hint="eastAsia"/>
                <w:sz w:val="24"/>
              </w:rPr>
              <w:t>；油雾烟气净化器的净化效率为9</w:t>
            </w:r>
            <w:r>
              <w:rPr>
                <w:sz w:val="24"/>
              </w:rPr>
              <w:t>0</w:t>
            </w:r>
            <w:r>
              <w:rPr>
                <w:rFonts w:hint="eastAsia"/>
                <w:sz w:val="24"/>
              </w:rPr>
              <w:t>%，油雾颗粒物排放浓度为</w:t>
            </w:r>
            <w:r>
              <w:rPr>
                <w:sz w:val="24"/>
              </w:rPr>
              <w:t>10</w:t>
            </w:r>
            <w:r>
              <w:rPr>
                <w:rFonts w:hint="eastAsia"/>
                <w:sz w:val="24"/>
              </w:rPr>
              <w:t>mg/m</w:t>
            </w:r>
            <w:r>
              <w:rPr>
                <w:rFonts w:hint="eastAsia"/>
                <w:sz w:val="24"/>
                <w:vertAlign w:val="superscript"/>
              </w:rPr>
              <w:t>3</w:t>
            </w:r>
            <w:r>
              <w:rPr>
                <w:rFonts w:hint="eastAsia"/>
                <w:sz w:val="24"/>
              </w:rPr>
              <w:t>，排放速率为0.018kg/h，废气满足《大气污染物综合排放标准》（GB16297-1996）表2二级标准。</w:t>
            </w:r>
          </w:p>
          <w:p>
            <w:pPr>
              <w:spacing w:line="360" w:lineRule="auto"/>
              <w:ind w:firstLine="480" w:firstLineChars="200"/>
              <w:rPr>
                <w:sz w:val="24"/>
              </w:rPr>
            </w:pPr>
            <w:r>
              <w:rPr>
                <w:rFonts w:hint="eastAsia"/>
                <w:sz w:val="24"/>
              </w:rPr>
              <w:t>（5）食堂油烟</w:t>
            </w:r>
          </w:p>
          <w:p>
            <w:pPr>
              <w:pStyle w:val="15"/>
              <w:ind w:firstLine="480"/>
              <w:rPr>
                <w:b w:val="0"/>
                <w:sz w:val="24"/>
              </w:rPr>
            </w:pPr>
            <w:r>
              <w:rPr>
                <w:rFonts w:hint="eastAsia"/>
                <w:b w:val="0"/>
                <w:sz w:val="24"/>
              </w:rPr>
              <w:t>本项目设置有一座食堂，供</w:t>
            </w:r>
            <w:r>
              <w:rPr>
                <w:b w:val="0"/>
                <w:sz w:val="24"/>
              </w:rPr>
              <w:t>20</w:t>
            </w:r>
            <w:r>
              <w:rPr>
                <w:rFonts w:hint="eastAsia"/>
                <w:b w:val="0"/>
                <w:sz w:val="24"/>
              </w:rPr>
              <w:t>名员工就餐，根据《饮食业油烟排放标准（试行）》（GB18483-2001），本项目餐厅属于小型规模（设置</w:t>
            </w:r>
            <w:r>
              <w:rPr>
                <w:b w:val="0"/>
                <w:sz w:val="24"/>
              </w:rPr>
              <w:t>2</w:t>
            </w:r>
            <w:r>
              <w:rPr>
                <w:rFonts w:hint="eastAsia"/>
                <w:b w:val="0"/>
                <w:sz w:val="24"/>
              </w:rPr>
              <w:t>餐、每餐饮食时间为3小时），采用醇基燃料，营运后将会有食堂油烟废气产生。一般食堂的使用油耗系数为7kg/100人·d，根据本项目食堂规模，可推算出食用油的用量约为</w:t>
            </w:r>
            <w:r>
              <w:rPr>
                <w:b w:val="0"/>
                <w:sz w:val="24"/>
              </w:rPr>
              <w:t>1.4</w:t>
            </w:r>
            <w:r>
              <w:rPr>
                <w:rFonts w:hint="eastAsia"/>
                <w:b w:val="0"/>
                <w:sz w:val="24"/>
              </w:rPr>
              <w:t>kg/d，一般油烟的挥发量占总耗油系数的2%~4%之间，取其均值3%，食堂油烟废气在未经处理时，油烟的产生量为0.0</w:t>
            </w:r>
            <w:r>
              <w:rPr>
                <w:b w:val="0"/>
                <w:sz w:val="24"/>
              </w:rPr>
              <w:t>42</w:t>
            </w:r>
            <w:r>
              <w:rPr>
                <w:rFonts w:hint="eastAsia"/>
                <w:b w:val="0"/>
                <w:sz w:val="24"/>
              </w:rPr>
              <w:t>kg/d（</w:t>
            </w:r>
            <w:r>
              <w:rPr>
                <w:b w:val="0"/>
                <w:sz w:val="24"/>
              </w:rPr>
              <w:t>8.4</w:t>
            </w:r>
            <w:r>
              <w:rPr>
                <w:rFonts w:hint="eastAsia"/>
                <w:b w:val="0"/>
                <w:sz w:val="24"/>
              </w:rPr>
              <w:t>kg/a）。评价要求：建设单位需安装油烟净化效率大于65%的油烟净化设施（风量5000m</w:t>
            </w:r>
            <w:r>
              <w:rPr>
                <w:rFonts w:hint="eastAsia"/>
                <w:b w:val="0"/>
                <w:sz w:val="24"/>
                <w:vertAlign w:val="superscript"/>
              </w:rPr>
              <w:t>3</w:t>
            </w:r>
            <w:r>
              <w:rPr>
                <w:rFonts w:hint="eastAsia"/>
                <w:b w:val="0"/>
                <w:sz w:val="24"/>
              </w:rPr>
              <w:t>/h），经处理后油烟排放量为</w:t>
            </w:r>
            <w:r>
              <w:rPr>
                <w:b w:val="0"/>
                <w:sz w:val="24"/>
              </w:rPr>
              <w:t>2.94</w:t>
            </w:r>
            <w:r>
              <w:rPr>
                <w:rFonts w:hint="eastAsia"/>
                <w:b w:val="0"/>
                <w:sz w:val="24"/>
              </w:rPr>
              <w:t>kg/a，排放速率为0.005kg/h，排放浓度为</w:t>
            </w:r>
            <w:r>
              <w:rPr>
                <w:b w:val="0"/>
                <w:sz w:val="24"/>
              </w:rPr>
              <w:t>1</w:t>
            </w:r>
            <w:r>
              <w:rPr>
                <w:rFonts w:hint="eastAsia"/>
                <w:b w:val="0"/>
                <w:sz w:val="24"/>
              </w:rPr>
              <w:t>mg/m</w:t>
            </w:r>
            <w:r>
              <w:rPr>
                <w:rFonts w:hint="eastAsia"/>
                <w:b w:val="0"/>
                <w:sz w:val="24"/>
                <w:vertAlign w:val="superscript"/>
              </w:rPr>
              <w:t>3</w:t>
            </w:r>
            <w:r>
              <w:rPr>
                <w:rFonts w:hint="eastAsia"/>
                <w:b w:val="0"/>
                <w:sz w:val="24"/>
              </w:rPr>
              <w:t>，其排放浓度能够满足《饮食业油烟排放标准（试行）》（GB18483-2001）中最高允许排放浓度限值要求。</w:t>
            </w:r>
          </w:p>
          <w:p>
            <w:pPr>
              <w:pStyle w:val="15"/>
              <w:ind w:firstLine="480"/>
              <w:rPr>
                <w:b w:val="0"/>
                <w:sz w:val="24"/>
              </w:rPr>
            </w:pPr>
            <w:r>
              <w:rPr>
                <w:rFonts w:hint="eastAsia"/>
                <w:b w:val="0"/>
                <w:sz w:val="24"/>
              </w:rPr>
              <w:t>2、营运期废水排放及治理措施</w:t>
            </w:r>
          </w:p>
          <w:p>
            <w:pPr>
              <w:pStyle w:val="15"/>
              <w:ind w:firstLine="480"/>
              <w:rPr>
                <w:rFonts w:hint="eastAsia"/>
                <w:b w:val="0"/>
                <w:sz w:val="24"/>
              </w:rPr>
            </w:pPr>
            <w:r>
              <w:rPr>
                <w:rFonts w:hint="eastAsia"/>
                <w:b w:val="0"/>
                <w:sz w:val="24"/>
              </w:rPr>
              <w:t>本项目营运期废水主要为磨削机、水磨机产生废水、职工生活污水、食堂废水。</w:t>
            </w:r>
          </w:p>
          <w:p>
            <w:pPr>
              <w:pStyle w:val="15"/>
              <w:ind w:firstLine="480"/>
              <w:rPr>
                <w:b w:val="0"/>
                <w:sz w:val="24"/>
              </w:rPr>
            </w:pPr>
            <w:r>
              <w:rPr>
                <w:rFonts w:hint="eastAsia"/>
                <w:b w:val="0"/>
                <w:sz w:val="24"/>
              </w:rPr>
              <w:t>本项目职工定员为</w:t>
            </w:r>
            <w:r>
              <w:rPr>
                <w:b w:val="0"/>
                <w:sz w:val="24"/>
              </w:rPr>
              <w:t>20</w:t>
            </w:r>
            <w:r>
              <w:rPr>
                <w:rFonts w:hint="eastAsia"/>
                <w:b w:val="0"/>
                <w:sz w:val="24"/>
              </w:rPr>
              <w:t>人，根据《建筑给排水设计规范》，职工生活用水量按1</w:t>
            </w:r>
            <w:r>
              <w:rPr>
                <w:b w:val="0"/>
                <w:sz w:val="24"/>
              </w:rPr>
              <w:t>2</w:t>
            </w:r>
            <w:r>
              <w:rPr>
                <w:rFonts w:hint="eastAsia"/>
                <w:b w:val="0"/>
                <w:sz w:val="24"/>
              </w:rPr>
              <w:t>0L/人·d计，则职工生活用水量为</w:t>
            </w:r>
            <w:r>
              <w:rPr>
                <w:b w:val="0"/>
                <w:sz w:val="24"/>
              </w:rPr>
              <w:t>2.4</w:t>
            </w:r>
            <w:r>
              <w:rPr>
                <w:rFonts w:hint="eastAsia"/>
                <w:b w:val="0"/>
                <w:sz w:val="24"/>
              </w:rPr>
              <w:t>t/d，生活污水产生系数取0.9，则项目生活污水产生量为</w:t>
            </w:r>
            <w:r>
              <w:rPr>
                <w:b w:val="0"/>
                <w:sz w:val="24"/>
              </w:rPr>
              <w:t>2.16</w:t>
            </w:r>
            <w:r>
              <w:rPr>
                <w:rFonts w:hint="eastAsia"/>
                <w:b w:val="0"/>
                <w:sz w:val="24"/>
              </w:rPr>
              <w:t>t/d（</w:t>
            </w:r>
            <w:r>
              <w:rPr>
                <w:b w:val="0"/>
                <w:sz w:val="24"/>
              </w:rPr>
              <w:t>432</w:t>
            </w:r>
            <w:r>
              <w:rPr>
                <w:rFonts w:hint="eastAsia"/>
                <w:b w:val="0"/>
                <w:sz w:val="24"/>
              </w:rPr>
              <w:t>t/a）。生活污水经污水预处理池处理后综合利用，不外排。本项目设置有一食堂，食堂废水产生量为</w:t>
            </w:r>
            <w:r>
              <w:rPr>
                <w:b w:val="0"/>
                <w:sz w:val="24"/>
              </w:rPr>
              <w:t>1.35</w:t>
            </w:r>
            <w:r>
              <w:rPr>
                <w:rFonts w:hint="eastAsia"/>
                <w:b w:val="0"/>
                <w:sz w:val="24"/>
              </w:rPr>
              <w:t>m</w:t>
            </w:r>
            <w:r>
              <w:rPr>
                <w:rFonts w:hint="eastAsia"/>
                <w:b w:val="0"/>
                <w:sz w:val="24"/>
                <w:vertAlign w:val="superscript"/>
              </w:rPr>
              <w:t>3</w:t>
            </w:r>
            <w:r>
              <w:rPr>
                <w:rFonts w:hint="eastAsia"/>
                <w:b w:val="0"/>
                <w:sz w:val="24"/>
              </w:rPr>
              <w:t>/d（</w:t>
            </w:r>
            <w:r>
              <w:rPr>
                <w:b w:val="0"/>
                <w:sz w:val="24"/>
              </w:rPr>
              <w:t>270</w:t>
            </w:r>
            <w:r>
              <w:rPr>
                <w:rFonts w:hint="eastAsia"/>
                <w:b w:val="0"/>
                <w:sz w:val="24"/>
              </w:rPr>
              <w:t>t/a），经隔油池后与生活废水一同处理后综合利用，不外排；项目磨削机和水磨机每天用水约2</w:t>
            </w:r>
            <w:r>
              <w:rPr>
                <w:b w:val="0"/>
                <w:sz w:val="24"/>
              </w:rPr>
              <w:t>0</w:t>
            </w:r>
            <w:r>
              <w:rPr>
                <w:rFonts w:hint="eastAsia"/>
                <w:b w:val="0"/>
                <w:sz w:val="24"/>
              </w:rPr>
              <w:t>m³，打磨工区演示区建设有2个1</w:t>
            </w:r>
            <w:r>
              <w:rPr>
                <w:b w:val="0"/>
                <w:sz w:val="24"/>
              </w:rPr>
              <w:t>0</w:t>
            </w:r>
            <w:r>
              <w:rPr>
                <w:rFonts w:hint="eastAsia"/>
                <w:b w:val="0"/>
                <w:sz w:val="24"/>
              </w:rPr>
              <w:t>m³循环水池，磨削机和水磨机废水进入循环水池沉淀后，循环使用，不外排。</w:t>
            </w:r>
          </w:p>
          <w:p>
            <w:pPr>
              <w:pStyle w:val="15"/>
              <w:ind w:firstLine="480"/>
              <w:rPr>
                <w:rFonts w:hint="eastAsia"/>
                <w:b w:val="0"/>
                <w:sz w:val="24"/>
              </w:rPr>
            </w:pPr>
            <w:r>
              <w:rPr>
                <w:rFonts w:hint="eastAsia"/>
                <w:b w:val="0"/>
                <w:sz w:val="24"/>
              </w:rPr>
              <w:t>3、营运期噪声源强及治理措施</w:t>
            </w:r>
          </w:p>
          <w:p>
            <w:pPr>
              <w:pStyle w:val="15"/>
              <w:ind w:firstLine="480"/>
              <w:rPr>
                <w:rFonts w:hint="eastAsia"/>
                <w:b w:val="0"/>
                <w:sz w:val="24"/>
              </w:rPr>
            </w:pPr>
            <w:r>
              <w:rPr>
                <w:rFonts w:hint="eastAsia"/>
                <w:b w:val="0"/>
                <w:sz w:val="24"/>
              </w:rPr>
              <w:t>本项目的噪声主要来自空气锤、高频炉、打磨机、磨削机、冲床等机械设备，其噪声值在80~100dB（A）之间。建设项目噪声产生情况见下表：</w:t>
            </w:r>
          </w:p>
          <w:p>
            <w:pPr>
              <w:pStyle w:val="456"/>
              <w:rPr>
                <w:rFonts w:hint="eastAsia"/>
              </w:rPr>
            </w:pPr>
            <w:r>
              <w:rPr>
                <w:rFonts w:hint="eastAsia"/>
              </w:rPr>
              <w:t>表5-</w:t>
            </w:r>
            <w:r>
              <w:t>1</w:t>
            </w:r>
            <w:r>
              <w:rPr>
                <w:rFonts w:hint="eastAsia"/>
              </w:rPr>
              <w:t xml:space="preserve"> 项目噪声源强一览表</w:t>
            </w:r>
          </w:p>
          <w:tbl>
            <w:tblPr>
              <w:tblStyle w:val="69"/>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97"/>
              <w:gridCol w:w="720"/>
              <w:gridCol w:w="2180"/>
              <w:gridCol w:w="719"/>
              <w:gridCol w:w="721"/>
              <w:gridCol w:w="719"/>
              <w:gridCol w:w="719"/>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722" w:type="dxa"/>
                  <w:vMerge w:val="restart"/>
                  <w:noWrap w:val="0"/>
                  <w:vAlign w:val="center"/>
                </w:tcPr>
                <w:p>
                  <w:pPr>
                    <w:pStyle w:val="87"/>
                    <w:rPr>
                      <w:rFonts w:hint="eastAsia"/>
                      <w:sz w:val="21"/>
                      <w:szCs w:val="21"/>
                    </w:rPr>
                  </w:pPr>
                  <w:r>
                    <w:rPr>
                      <w:rFonts w:hint="eastAsia"/>
                      <w:sz w:val="21"/>
                      <w:szCs w:val="21"/>
                    </w:rPr>
                    <w:t>序号</w:t>
                  </w:r>
                </w:p>
              </w:tc>
              <w:tc>
                <w:tcPr>
                  <w:tcW w:w="1197" w:type="dxa"/>
                  <w:vMerge w:val="restart"/>
                  <w:noWrap w:val="0"/>
                  <w:vAlign w:val="center"/>
                </w:tcPr>
                <w:p>
                  <w:pPr>
                    <w:pStyle w:val="87"/>
                    <w:rPr>
                      <w:rFonts w:hint="eastAsia"/>
                      <w:sz w:val="21"/>
                      <w:szCs w:val="21"/>
                    </w:rPr>
                  </w:pPr>
                  <w:r>
                    <w:rPr>
                      <w:rFonts w:hint="eastAsia"/>
                      <w:sz w:val="21"/>
                      <w:szCs w:val="21"/>
                    </w:rPr>
                    <w:t>设备名称</w:t>
                  </w:r>
                </w:p>
              </w:tc>
              <w:tc>
                <w:tcPr>
                  <w:tcW w:w="720" w:type="dxa"/>
                  <w:vMerge w:val="restart"/>
                  <w:noWrap w:val="0"/>
                  <w:vAlign w:val="center"/>
                </w:tcPr>
                <w:p>
                  <w:pPr>
                    <w:pStyle w:val="87"/>
                    <w:rPr>
                      <w:rFonts w:hint="eastAsia"/>
                      <w:sz w:val="21"/>
                      <w:szCs w:val="21"/>
                    </w:rPr>
                  </w:pPr>
                  <w:r>
                    <w:rPr>
                      <w:rFonts w:hint="eastAsia"/>
                      <w:sz w:val="21"/>
                      <w:szCs w:val="21"/>
                    </w:rPr>
                    <w:t>数量</w:t>
                  </w:r>
                </w:p>
              </w:tc>
              <w:tc>
                <w:tcPr>
                  <w:tcW w:w="2180" w:type="dxa"/>
                  <w:vMerge w:val="restart"/>
                  <w:noWrap w:val="0"/>
                  <w:vAlign w:val="center"/>
                </w:tcPr>
                <w:p>
                  <w:pPr>
                    <w:pStyle w:val="87"/>
                    <w:rPr>
                      <w:rFonts w:hint="eastAsia"/>
                      <w:sz w:val="21"/>
                      <w:szCs w:val="21"/>
                    </w:rPr>
                  </w:pPr>
                  <w:r>
                    <w:rPr>
                      <w:rFonts w:hint="eastAsia"/>
                      <w:sz w:val="21"/>
                      <w:szCs w:val="21"/>
                    </w:rPr>
                    <w:t>噪声源强dB（A）</w:t>
                  </w:r>
                </w:p>
              </w:tc>
              <w:tc>
                <w:tcPr>
                  <w:tcW w:w="2878" w:type="dxa"/>
                  <w:gridSpan w:val="4"/>
                  <w:noWrap w:val="0"/>
                  <w:vAlign w:val="center"/>
                </w:tcPr>
                <w:p>
                  <w:pPr>
                    <w:pStyle w:val="87"/>
                    <w:rPr>
                      <w:rFonts w:hint="eastAsia"/>
                      <w:sz w:val="21"/>
                      <w:szCs w:val="21"/>
                    </w:rPr>
                  </w:pPr>
                  <w:r>
                    <w:rPr>
                      <w:rFonts w:hint="eastAsia"/>
                      <w:sz w:val="21"/>
                      <w:szCs w:val="21"/>
                    </w:rPr>
                    <w:t>与边界的距离</w:t>
                  </w:r>
                </w:p>
              </w:tc>
              <w:tc>
                <w:tcPr>
                  <w:tcW w:w="1433" w:type="dxa"/>
                  <w:vMerge w:val="restart"/>
                  <w:noWrap w:val="0"/>
                  <w:vAlign w:val="center"/>
                </w:tcPr>
                <w:p>
                  <w:pPr>
                    <w:pStyle w:val="87"/>
                    <w:rPr>
                      <w:rFonts w:hint="eastAsia"/>
                      <w:sz w:val="21"/>
                      <w:szCs w:val="21"/>
                    </w:rPr>
                  </w:pPr>
                  <w:r>
                    <w:rPr>
                      <w:rFonts w:hint="eastAsia"/>
                      <w:sz w:val="21"/>
                      <w:szCs w:val="21"/>
                    </w:rPr>
                    <w:t>采取措施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22" w:type="dxa"/>
                  <w:vMerge w:val="continue"/>
                  <w:noWrap w:val="0"/>
                  <w:vAlign w:val="center"/>
                </w:tcPr>
                <w:p>
                  <w:pPr>
                    <w:pStyle w:val="87"/>
                    <w:rPr>
                      <w:rFonts w:hint="eastAsia"/>
                      <w:sz w:val="21"/>
                      <w:szCs w:val="21"/>
                    </w:rPr>
                  </w:pPr>
                </w:p>
              </w:tc>
              <w:tc>
                <w:tcPr>
                  <w:tcW w:w="1197" w:type="dxa"/>
                  <w:vMerge w:val="continue"/>
                  <w:noWrap w:val="0"/>
                  <w:vAlign w:val="center"/>
                </w:tcPr>
                <w:p>
                  <w:pPr>
                    <w:pStyle w:val="87"/>
                    <w:rPr>
                      <w:rFonts w:hint="eastAsia"/>
                      <w:sz w:val="21"/>
                      <w:szCs w:val="21"/>
                    </w:rPr>
                  </w:pPr>
                </w:p>
              </w:tc>
              <w:tc>
                <w:tcPr>
                  <w:tcW w:w="720" w:type="dxa"/>
                  <w:vMerge w:val="continue"/>
                  <w:noWrap w:val="0"/>
                  <w:vAlign w:val="center"/>
                </w:tcPr>
                <w:p>
                  <w:pPr>
                    <w:pStyle w:val="87"/>
                    <w:rPr>
                      <w:rFonts w:hint="eastAsia"/>
                      <w:sz w:val="21"/>
                      <w:szCs w:val="21"/>
                    </w:rPr>
                  </w:pPr>
                </w:p>
              </w:tc>
              <w:tc>
                <w:tcPr>
                  <w:tcW w:w="2180" w:type="dxa"/>
                  <w:vMerge w:val="continue"/>
                  <w:noWrap w:val="0"/>
                  <w:vAlign w:val="center"/>
                </w:tcPr>
                <w:p>
                  <w:pPr>
                    <w:pStyle w:val="87"/>
                    <w:rPr>
                      <w:rFonts w:hint="eastAsia"/>
                      <w:sz w:val="21"/>
                      <w:szCs w:val="21"/>
                    </w:rPr>
                  </w:pPr>
                </w:p>
              </w:tc>
              <w:tc>
                <w:tcPr>
                  <w:tcW w:w="719" w:type="dxa"/>
                  <w:noWrap w:val="0"/>
                  <w:vAlign w:val="center"/>
                </w:tcPr>
                <w:p>
                  <w:pPr>
                    <w:pStyle w:val="87"/>
                    <w:rPr>
                      <w:rFonts w:hint="eastAsia"/>
                      <w:sz w:val="21"/>
                      <w:szCs w:val="21"/>
                    </w:rPr>
                  </w:pPr>
                  <w:r>
                    <w:rPr>
                      <w:rFonts w:hint="eastAsia"/>
                      <w:sz w:val="21"/>
                      <w:szCs w:val="21"/>
                    </w:rPr>
                    <w:t>西南</w:t>
                  </w:r>
                </w:p>
              </w:tc>
              <w:tc>
                <w:tcPr>
                  <w:tcW w:w="721" w:type="dxa"/>
                  <w:noWrap w:val="0"/>
                  <w:vAlign w:val="center"/>
                </w:tcPr>
                <w:p>
                  <w:pPr>
                    <w:pStyle w:val="87"/>
                    <w:rPr>
                      <w:rFonts w:hint="eastAsia"/>
                      <w:sz w:val="21"/>
                      <w:szCs w:val="21"/>
                    </w:rPr>
                  </w:pPr>
                  <w:r>
                    <w:rPr>
                      <w:rFonts w:hint="eastAsia"/>
                      <w:sz w:val="21"/>
                      <w:szCs w:val="21"/>
                    </w:rPr>
                    <w:t>东南</w:t>
                  </w:r>
                </w:p>
              </w:tc>
              <w:tc>
                <w:tcPr>
                  <w:tcW w:w="719" w:type="dxa"/>
                  <w:noWrap w:val="0"/>
                  <w:vAlign w:val="center"/>
                </w:tcPr>
                <w:p>
                  <w:pPr>
                    <w:pStyle w:val="87"/>
                    <w:rPr>
                      <w:rFonts w:hint="eastAsia"/>
                      <w:sz w:val="21"/>
                      <w:szCs w:val="21"/>
                    </w:rPr>
                  </w:pPr>
                  <w:r>
                    <w:rPr>
                      <w:rFonts w:hint="eastAsia"/>
                      <w:sz w:val="21"/>
                      <w:szCs w:val="21"/>
                    </w:rPr>
                    <w:t>东北</w:t>
                  </w:r>
                </w:p>
              </w:tc>
              <w:tc>
                <w:tcPr>
                  <w:tcW w:w="719" w:type="dxa"/>
                  <w:noWrap w:val="0"/>
                  <w:vAlign w:val="center"/>
                </w:tcPr>
                <w:p>
                  <w:pPr>
                    <w:pStyle w:val="87"/>
                    <w:rPr>
                      <w:rFonts w:hint="eastAsia"/>
                      <w:sz w:val="21"/>
                      <w:szCs w:val="21"/>
                    </w:rPr>
                  </w:pPr>
                  <w:r>
                    <w:rPr>
                      <w:rFonts w:hint="eastAsia"/>
                      <w:sz w:val="21"/>
                      <w:szCs w:val="21"/>
                    </w:rPr>
                    <w:t>西北</w:t>
                  </w:r>
                </w:p>
              </w:tc>
              <w:tc>
                <w:tcPr>
                  <w:tcW w:w="1433" w:type="dxa"/>
                  <w:vMerge w:val="continue"/>
                  <w:noWrap w:val="0"/>
                  <w:vAlign w:val="center"/>
                </w:tcPr>
                <w:p>
                  <w:pPr>
                    <w:pStyle w:val="87"/>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2" w:type="dxa"/>
                  <w:noWrap w:val="0"/>
                  <w:vAlign w:val="center"/>
                </w:tcPr>
                <w:p>
                  <w:pPr>
                    <w:pStyle w:val="87"/>
                    <w:rPr>
                      <w:rFonts w:hint="eastAsia"/>
                      <w:sz w:val="21"/>
                      <w:szCs w:val="21"/>
                    </w:rPr>
                  </w:pPr>
                  <w:r>
                    <w:rPr>
                      <w:rFonts w:hint="eastAsia"/>
                      <w:sz w:val="21"/>
                      <w:szCs w:val="21"/>
                    </w:rPr>
                    <w:t>1</w:t>
                  </w:r>
                </w:p>
              </w:tc>
              <w:tc>
                <w:tcPr>
                  <w:tcW w:w="1197" w:type="dxa"/>
                  <w:noWrap w:val="0"/>
                  <w:vAlign w:val="center"/>
                </w:tcPr>
                <w:p>
                  <w:pPr>
                    <w:pStyle w:val="87"/>
                    <w:rPr>
                      <w:rFonts w:hint="eastAsia"/>
                      <w:sz w:val="21"/>
                      <w:szCs w:val="21"/>
                    </w:rPr>
                  </w:pPr>
                  <w:r>
                    <w:rPr>
                      <w:rFonts w:hint="eastAsia"/>
                      <w:sz w:val="21"/>
                      <w:szCs w:val="21"/>
                    </w:rPr>
                    <w:t>空气锤</w:t>
                  </w:r>
                </w:p>
              </w:tc>
              <w:tc>
                <w:tcPr>
                  <w:tcW w:w="720" w:type="dxa"/>
                  <w:noWrap w:val="0"/>
                  <w:vAlign w:val="center"/>
                </w:tcPr>
                <w:p>
                  <w:pPr>
                    <w:pStyle w:val="87"/>
                    <w:rPr>
                      <w:rFonts w:hint="eastAsia"/>
                      <w:sz w:val="21"/>
                      <w:szCs w:val="21"/>
                    </w:rPr>
                  </w:pPr>
                  <w:r>
                    <w:rPr>
                      <w:sz w:val="21"/>
                      <w:szCs w:val="21"/>
                    </w:rPr>
                    <w:t>3</w:t>
                  </w:r>
                </w:p>
              </w:tc>
              <w:tc>
                <w:tcPr>
                  <w:tcW w:w="2180" w:type="dxa"/>
                  <w:noWrap w:val="0"/>
                  <w:vAlign w:val="center"/>
                </w:tcPr>
                <w:p>
                  <w:pPr>
                    <w:pStyle w:val="87"/>
                    <w:rPr>
                      <w:rFonts w:hint="eastAsia"/>
                      <w:sz w:val="21"/>
                      <w:szCs w:val="21"/>
                    </w:rPr>
                  </w:pPr>
                  <w:r>
                    <w:rPr>
                      <w:rFonts w:hint="eastAsia"/>
                      <w:sz w:val="21"/>
                      <w:szCs w:val="21"/>
                    </w:rPr>
                    <w:t>100</w:t>
                  </w:r>
                </w:p>
              </w:tc>
              <w:tc>
                <w:tcPr>
                  <w:tcW w:w="719" w:type="dxa"/>
                  <w:noWrap w:val="0"/>
                  <w:vAlign w:val="center"/>
                </w:tcPr>
                <w:p>
                  <w:pPr>
                    <w:pStyle w:val="87"/>
                    <w:rPr>
                      <w:rFonts w:hint="eastAsia"/>
                      <w:sz w:val="21"/>
                      <w:szCs w:val="21"/>
                    </w:rPr>
                  </w:pPr>
                  <w:r>
                    <w:rPr>
                      <w:rFonts w:hint="eastAsia"/>
                      <w:sz w:val="21"/>
                      <w:szCs w:val="21"/>
                    </w:rPr>
                    <w:t>65</w:t>
                  </w:r>
                </w:p>
              </w:tc>
              <w:tc>
                <w:tcPr>
                  <w:tcW w:w="721" w:type="dxa"/>
                  <w:noWrap w:val="0"/>
                  <w:vAlign w:val="center"/>
                </w:tcPr>
                <w:p>
                  <w:pPr>
                    <w:pStyle w:val="87"/>
                    <w:rPr>
                      <w:rFonts w:hint="eastAsia"/>
                      <w:sz w:val="21"/>
                      <w:szCs w:val="21"/>
                    </w:rPr>
                  </w:pPr>
                  <w:r>
                    <w:rPr>
                      <w:rFonts w:hint="eastAsia"/>
                      <w:sz w:val="21"/>
                      <w:szCs w:val="21"/>
                    </w:rPr>
                    <w:t>15</w:t>
                  </w:r>
                </w:p>
              </w:tc>
              <w:tc>
                <w:tcPr>
                  <w:tcW w:w="719" w:type="dxa"/>
                  <w:noWrap w:val="0"/>
                  <w:vAlign w:val="center"/>
                </w:tcPr>
                <w:p>
                  <w:pPr>
                    <w:pStyle w:val="87"/>
                    <w:rPr>
                      <w:rFonts w:hint="eastAsia"/>
                      <w:sz w:val="21"/>
                      <w:szCs w:val="21"/>
                    </w:rPr>
                  </w:pPr>
                  <w:r>
                    <w:rPr>
                      <w:rFonts w:hint="eastAsia"/>
                      <w:sz w:val="21"/>
                      <w:szCs w:val="21"/>
                    </w:rPr>
                    <w:t>40</w:t>
                  </w:r>
                </w:p>
              </w:tc>
              <w:tc>
                <w:tcPr>
                  <w:tcW w:w="719" w:type="dxa"/>
                  <w:noWrap w:val="0"/>
                  <w:vAlign w:val="center"/>
                </w:tcPr>
                <w:p>
                  <w:pPr>
                    <w:pStyle w:val="87"/>
                    <w:rPr>
                      <w:rFonts w:hint="eastAsia"/>
                      <w:sz w:val="21"/>
                      <w:szCs w:val="21"/>
                    </w:rPr>
                  </w:pPr>
                  <w:r>
                    <w:rPr>
                      <w:rFonts w:hint="eastAsia"/>
                      <w:sz w:val="21"/>
                      <w:szCs w:val="21"/>
                    </w:rPr>
                    <w:t>80</w:t>
                  </w:r>
                </w:p>
              </w:tc>
              <w:tc>
                <w:tcPr>
                  <w:tcW w:w="1433" w:type="dxa"/>
                  <w:noWrap w:val="0"/>
                  <w:vAlign w:val="center"/>
                </w:tcPr>
                <w:p>
                  <w:pPr>
                    <w:pStyle w:val="87"/>
                    <w:rPr>
                      <w:rFonts w:hint="eastAsia"/>
                      <w:sz w:val="21"/>
                      <w:szCs w:val="21"/>
                    </w:rPr>
                  </w:pPr>
                  <w:r>
                    <w:rPr>
                      <w:rFonts w:hint="eastAsia"/>
                      <w:sz w:val="21"/>
                      <w:szCs w:val="21"/>
                    </w:rPr>
                    <w:t>隔声、减振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2" w:type="dxa"/>
                  <w:noWrap w:val="0"/>
                  <w:vAlign w:val="center"/>
                </w:tcPr>
                <w:p>
                  <w:pPr>
                    <w:pStyle w:val="87"/>
                    <w:rPr>
                      <w:rFonts w:hint="eastAsia"/>
                      <w:sz w:val="21"/>
                      <w:szCs w:val="21"/>
                    </w:rPr>
                  </w:pPr>
                  <w:r>
                    <w:rPr>
                      <w:rFonts w:hint="eastAsia"/>
                      <w:sz w:val="21"/>
                      <w:szCs w:val="21"/>
                    </w:rPr>
                    <w:t>2</w:t>
                  </w:r>
                </w:p>
              </w:tc>
              <w:tc>
                <w:tcPr>
                  <w:tcW w:w="1197" w:type="dxa"/>
                  <w:noWrap w:val="0"/>
                  <w:vAlign w:val="center"/>
                </w:tcPr>
                <w:p>
                  <w:pPr>
                    <w:pStyle w:val="87"/>
                    <w:rPr>
                      <w:rFonts w:hint="eastAsia"/>
                      <w:sz w:val="21"/>
                      <w:szCs w:val="21"/>
                    </w:rPr>
                  </w:pPr>
                  <w:r>
                    <w:rPr>
                      <w:rFonts w:hint="eastAsia"/>
                      <w:sz w:val="21"/>
                      <w:szCs w:val="21"/>
                    </w:rPr>
                    <w:t>高频炉</w:t>
                  </w:r>
                </w:p>
              </w:tc>
              <w:tc>
                <w:tcPr>
                  <w:tcW w:w="720" w:type="dxa"/>
                  <w:noWrap w:val="0"/>
                  <w:vAlign w:val="center"/>
                </w:tcPr>
                <w:p>
                  <w:pPr>
                    <w:pStyle w:val="87"/>
                    <w:rPr>
                      <w:rFonts w:hint="eastAsia"/>
                      <w:sz w:val="21"/>
                      <w:szCs w:val="21"/>
                    </w:rPr>
                  </w:pPr>
                  <w:r>
                    <w:rPr>
                      <w:sz w:val="21"/>
                      <w:szCs w:val="21"/>
                    </w:rPr>
                    <w:t>3</w:t>
                  </w:r>
                </w:p>
              </w:tc>
              <w:tc>
                <w:tcPr>
                  <w:tcW w:w="2180" w:type="dxa"/>
                  <w:noWrap w:val="0"/>
                  <w:vAlign w:val="center"/>
                </w:tcPr>
                <w:p>
                  <w:pPr>
                    <w:pStyle w:val="87"/>
                    <w:rPr>
                      <w:rFonts w:hint="eastAsia"/>
                      <w:sz w:val="21"/>
                      <w:szCs w:val="21"/>
                    </w:rPr>
                  </w:pPr>
                  <w:r>
                    <w:rPr>
                      <w:rFonts w:hint="eastAsia"/>
                      <w:sz w:val="21"/>
                      <w:szCs w:val="21"/>
                    </w:rPr>
                    <w:t>85~95</w:t>
                  </w:r>
                </w:p>
              </w:tc>
              <w:tc>
                <w:tcPr>
                  <w:tcW w:w="719" w:type="dxa"/>
                  <w:noWrap w:val="0"/>
                  <w:vAlign w:val="center"/>
                </w:tcPr>
                <w:p>
                  <w:pPr>
                    <w:pStyle w:val="87"/>
                    <w:rPr>
                      <w:rFonts w:hint="eastAsia"/>
                      <w:sz w:val="21"/>
                      <w:szCs w:val="21"/>
                    </w:rPr>
                  </w:pPr>
                  <w:r>
                    <w:rPr>
                      <w:rFonts w:hint="eastAsia"/>
                      <w:sz w:val="21"/>
                      <w:szCs w:val="21"/>
                    </w:rPr>
                    <w:t>69</w:t>
                  </w:r>
                </w:p>
              </w:tc>
              <w:tc>
                <w:tcPr>
                  <w:tcW w:w="721" w:type="dxa"/>
                  <w:noWrap w:val="0"/>
                  <w:vAlign w:val="center"/>
                </w:tcPr>
                <w:p>
                  <w:pPr>
                    <w:pStyle w:val="87"/>
                    <w:rPr>
                      <w:rFonts w:hint="eastAsia"/>
                      <w:sz w:val="21"/>
                      <w:szCs w:val="21"/>
                    </w:rPr>
                  </w:pPr>
                  <w:r>
                    <w:rPr>
                      <w:rFonts w:hint="eastAsia"/>
                      <w:sz w:val="21"/>
                      <w:szCs w:val="21"/>
                    </w:rPr>
                    <w:t>15</w:t>
                  </w:r>
                </w:p>
              </w:tc>
              <w:tc>
                <w:tcPr>
                  <w:tcW w:w="719" w:type="dxa"/>
                  <w:noWrap w:val="0"/>
                  <w:vAlign w:val="center"/>
                </w:tcPr>
                <w:p>
                  <w:pPr>
                    <w:pStyle w:val="87"/>
                    <w:rPr>
                      <w:rFonts w:hint="eastAsia"/>
                      <w:sz w:val="21"/>
                      <w:szCs w:val="21"/>
                    </w:rPr>
                  </w:pPr>
                  <w:r>
                    <w:rPr>
                      <w:rFonts w:hint="eastAsia"/>
                      <w:sz w:val="21"/>
                      <w:szCs w:val="21"/>
                    </w:rPr>
                    <w:t>35</w:t>
                  </w:r>
                </w:p>
              </w:tc>
              <w:tc>
                <w:tcPr>
                  <w:tcW w:w="719" w:type="dxa"/>
                  <w:noWrap w:val="0"/>
                  <w:vAlign w:val="center"/>
                </w:tcPr>
                <w:p>
                  <w:pPr>
                    <w:pStyle w:val="87"/>
                    <w:rPr>
                      <w:rFonts w:hint="eastAsia"/>
                      <w:sz w:val="21"/>
                      <w:szCs w:val="21"/>
                    </w:rPr>
                  </w:pPr>
                  <w:r>
                    <w:rPr>
                      <w:rFonts w:hint="eastAsia"/>
                      <w:sz w:val="21"/>
                      <w:szCs w:val="21"/>
                    </w:rPr>
                    <w:t>80</w:t>
                  </w:r>
                </w:p>
              </w:tc>
              <w:tc>
                <w:tcPr>
                  <w:tcW w:w="1433" w:type="dxa"/>
                  <w:noWrap w:val="0"/>
                  <w:vAlign w:val="center"/>
                </w:tcPr>
                <w:p>
                  <w:pPr>
                    <w:pStyle w:val="87"/>
                    <w:rPr>
                      <w:rFonts w:hint="eastAsia"/>
                      <w:sz w:val="21"/>
                      <w:szCs w:val="21"/>
                    </w:rPr>
                  </w:pPr>
                  <w:r>
                    <w:rPr>
                      <w:rFonts w:hint="eastAsia"/>
                      <w:sz w:val="21"/>
                      <w:szCs w:val="21"/>
                    </w:rPr>
                    <w:t>减振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2" w:type="dxa"/>
                  <w:noWrap w:val="0"/>
                  <w:vAlign w:val="center"/>
                </w:tcPr>
                <w:p>
                  <w:pPr>
                    <w:pStyle w:val="87"/>
                    <w:rPr>
                      <w:rFonts w:hint="eastAsia"/>
                      <w:sz w:val="21"/>
                      <w:szCs w:val="21"/>
                    </w:rPr>
                  </w:pPr>
                  <w:r>
                    <w:rPr>
                      <w:rFonts w:hint="eastAsia"/>
                      <w:sz w:val="21"/>
                      <w:szCs w:val="21"/>
                    </w:rPr>
                    <w:t>3</w:t>
                  </w:r>
                </w:p>
              </w:tc>
              <w:tc>
                <w:tcPr>
                  <w:tcW w:w="1197" w:type="dxa"/>
                  <w:noWrap w:val="0"/>
                  <w:vAlign w:val="center"/>
                </w:tcPr>
                <w:p>
                  <w:pPr>
                    <w:pStyle w:val="87"/>
                    <w:rPr>
                      <w:rFonts w:hint="eastAsia"/>
                      <w:sz w:val="21"/>
                      <w:szCs w:val="21"/>
                    </w:rPr>
                  </w:pPr>
                  <w:r>
                    <w:rPr>
                      <w:rFonts w:hint="eastAsia"/>
                      <w:sz w:val="21"/>
                      <w:szCs w:val="21"/>
                    </w:rPr>
                    <w:t>打磨机</w:t>
                  </w:r>
                </w:p>
              </w:tc>
              <w:tc>
                <w:tcPr>
                  <w:tcW w:w="720" w:type="dxa"/>
                  <w:noWrap w:val="0"/>
                  <w:vAlign w:val="center"/>
                </w:tcPr>
                <w:p>
                  <w:pPr>
                    <w:pStyle w:val="87"/>
                    <w:rPr>
                      <w:rFonts w:hint="eastAsia"/>
                      <w:sz w:val="21"/>
                      <w:szCs w:val="21"/>
                    </w:rPr>
                  </w:pPr>
                  <w:r>
                    <w:rPr>
                      <w:sz w:val="21"/>
                      <w:szCs w:val="21"/>
                    </w:rPr>
                    <w:t>10</w:t>
                  </w:r>
                </w:p>
              </w:tc>
              <w:tc>
                <w:tcPr>
                  <w:tcW w:w="2180" w:type="dxa"/>
                  <w:noWrap w:val="0"/>
                  <w:vAlign w:val="center"/>
                </w:tcPr>
                <w:p>
                  <w:pPr>
                    <w:pStyle w:val="87"/>
                    <w:rPr>
                      <w:rFonts w:hint="eastAsia"/>
                      <w:sz w:val="21"/>
                      <w:szCs w:val="21"/>
                    </w:rPr>
                  </w:pPr>
                  <w:r>
                    <w:rPr>
                      <w:rFonts w:hint="eastAsia"/>
                      <w:sz w:val="21"/>
                      <w:szCs w:val="21"/>
                    </w:rPr>
                    <w:t>85</w:t>
                  </w:r>
                </w:p>
              </w:tc>
              <w:tc>
                <w:tcPr>
                  <w:tcW w:w="719" w:type="dxa"/>
                  <w:noWrap w:val="0"/>
                  <w:vAlign w:val="center"/>
                </w:tcPr>
                <w:p>
                  <w:pPr>
                    <w:pStyle w:val="87"/>
                    <w:rPr>
                      <w:rFonts w:hint="eastAsia"/>
                      <w:sz w:val="21"/>
                      <w:szCs w:val="21"/>
                    </w:rPr>
                  </w:pPr>
                  <w:r>
                    <w:rPr>
                      <w:rFonts w:hint="eastAsia"/>
                      <w:sz w:val="21"/>
                      <w:szCs w:val="21"/>
                    </w:rPr>
                    <w:t>65</w:t>
                  </w:r>
                </w:p>
              </w:tc>
              <w:tc>
                <w:tcPr>
                  <w:tcW w:w="721" w:type="dxa"/>
                  <w:noWrap w:val="0"/>
                  <w:vAlign w:val="center"/>
                </w:tcPr>
                <w:p>
                  <w:pPr>
                    <w:pStyle w:val="87"/>
                    <w:rPr>
                      <w:rFonts w:hint="eastAsia"/>
                      <w:sz w:val="21"/>
                      <w:szCs w:val="21"/>
                    </w:rPr>
                  </w:pPr>
                  <w:r>
                    <w:rPr>
                      <w:rFonts w:hint="eastAsia"/>
                      <w:sz w:val="21"/>
                      <w:szCs w:val="21"/>
                    </w:rPr>
                    <w:t>15</w:t>
                  </w:r>
                </w:p>
              </w:tc>
              <w:tc>
                <w:tcPr>
                  <w:tcW w:w="719" w:type="dxa"/>
                  <w:noWrap w:val="0"/>
                  <w:vAlign w:val="center"/>
                </w:tcPr>
                <w:p>
                  <w:pPr>
                    <w:pStyle w:val="87"/>
                    <w:rPr>
                      <w:rFonts w:hint="eastAsia"/>
                      <w:sz w:val="21"/>
                      <w:szCs w:val="21"/>
                    </w:rPr>
                  </w:pPr>
                  <w:r>
                    <w:rPr>
                      <w:rFonts w:hint="eastAsia"/>
                      <w:sz w:val="21"/>
                      <w:szCs w:val="21"/>
                    </w:rPr>
                    <w:t>40</w:t>
                  </w:r>
                </w:p>
              </w:tc>
              <w:tc>
                <w:tcPr>
                  <w:tcW w:w="719" w:type="dxa"/>
                  <w:noWrap w:val="0"/>
                  <w:vAlign w:val="center"/>
                </w:tcPr>
                <w:p>
                  <w:pPr>
                    <w:pStyle w:val="87"/>
                    <w:rPr>
                      <w:rFonts w:hint="eastAsia"/>
                      <w:sz w:val="21"/>
                      <w:szCs w:val="21"/>
                    </w:rPr>
                  </w:pPr>
                  <w:r>
                    <w:rPr>
                      <w:rFonts w:hint="eastAsia"/>
                      <w:sz w:val="21"/>
                      <w:szCs w:val="21"/>
                    </w:rPr>
                    <w:t>80</w:t>
                  </w:r>
                </w:p>
              </w:tc>
              <w:tc>
                <w:tcPr>
                  <w:tcW w:w="1433" w:type="dxa"/>
                  <w:noWrap w:val="0"/>
                  <w:vAlign w:val="center"/>
                </w:tcPr>
                <w:p>
                  <w:pPr>
                    <w:pStyle w:val="87"/>
                    <w:rPr>
                      <w:rFonts w:hint="eastAsia"/>
                      <w:sz w:val="21"/>
                      <w:szCs w:val="21"/>
                    </w:rPr>
                  </w:pPr>
                  <w:r>
                    <w:rPr>
                      <w:rFonts w:hint="eastAsia"/>
                      <w:sz w:val="21"/>
                      <w:szCs w:val="21"/>
                    </w:rPr>
                    <w:t>减振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2" w:type="dxa"/>
                  <w:noWrap w:val="0"/>
                  <w:vAlign w:val="center"/>
                </w:tcPr>
                <w:p>
                  <w:pPr>
                    <w:pStyle w:val="87"/>
                    <w:rPr>
                      <w:rFonts w:hint="eastAsia"/>
                      <w:sz w:val="21"/>
                      <w:szCs w:val="21"/>
                    </w:rPr>
                  </w:pPr>
                  <w:r>
                    <w:rPr>
                      <w:rFonts w:hint="eastAsia"/>
                      <w:sz w:val="21"/>
                      <w:szCs w:val="21"/>
                    </w:rPr>
                    <w:t>4</w:t>
                  </w:r>
                </w:p>
              </w:tc>
              <w:tc>
                <w:tcPr>
                  <w:tcW w:w="1197" w:type="dxa"/>
                  <w:noWrap w:val="0"/>
                  <w:vAlign w:val="center"/>
                </w:tcPr>
                <w:p>
                  <w:pPr>
                    <w:pStyle w:val="87"/>
                    <w:rPr>
                      <w:rFonts w:hint="eastAsia"/>
                      <w:sz w:val="21"/>
                      <w:szCs w:val="21"/>
                    </w:rPr>
                  </w:pPr>
                  <w:r>
                    <w:rPr>
                      <w:rFonts w:hint="eastAsia"/>
                      <w:sz w:val="21"/>
                      <w:szCs w:val="21"/>
                    </w:rPr>
                    <w:t>磨削机</w:t>
                  </w:r>
                </w:p>
              </w:tc>
              <w:tc>
                <w:tcPr>
                  <w:tcW w:w="720" w:type="dxa"/>
                  <w:noWrap w:val="0"/>
                  <w:vAlign w:val="center"/>
                </w:tcPr>
                <w:p>
                  <w:pPr>
                    <w:pStyle w:val="87"/>
                    <w:rPr>
                      <w:rFonts w:hint="eastAsia"/>
                      <w:sz w:val="21"/>
                      <w:szCs w:val="21"/>
                    </w:rPr>
                  </w:pPr>
                  <w:r>
                    <w:rPr>
                      <w:sz w:val="21"/>
                      <w:szCs w:val="21"/>
                    </w:rPr>
                    <w:t>2</w:t>
                  </w:r>
                </w:p>
              </w:tc>
              <w:tc>
                <w:tcPr>
                  <w:tcW w:w="2180" w:type="dxa"/>
                  <w:noWrap w:val="0"/>
                  <w:vAlign w:val="center"/>
                </w:tcPr>
                <w:p>
                  <w:pPr>
                    <w:pStyle w:val="87"/>
                    <w:rPr>
                      <w:rFonts w:hint="eastAsia"/>
                      <w:sz w:val="21"/>
                      <w:szCs w:val="21"/>
                    </w:rPr>
                  </w:pPr>
                  <w:r>
                    <w:rPr>
                      <w:rFonts w:hint="eastAsia"/>
                      <w:sz w:val="21"/>
                      <w:szCs w:val="21"/>
                    </w:rPr>
                    <w:t>90</w:t>
                  </w:r>
                </w:p>
              </w:tc>
              <w:tc>
                <w:tcPr>
                  <w:tcW w:w="719" w:type="dxa"/>
                  <w:noWrap w:val="0"/>
                  <w:vAlign w:val="center"/>
                </w:tcPr>
                <w:p>
                  <w:pPr>
                    <w:pStyle w:val="87"/>
                    <w:rPr>
                      <w:rFonts w:hint="eastAsia"/>
                      <w:sz w:val="21"/>
                      <w:szCs w:val="21"/>
                    </w:rPr>
                  </w:pPr>
                  <w:r>
                    <w:rPr>
                      <w:rFonts w:hint="eastAsia"/>
                      <w:sz w:val="21"/>
                      <w:szCs w:val="21"/>
                    </w:rPr>
                    <w:t>64</w:t>
                  </w:r>
                </w:p>
              </w:tc>
              <w:tc>
                <w:tcPr>
                  <w:tcW w:w="721" w:type="dxa"/>
                  <w:noWrap w:val="0"/>
                  <w:vAlign w:val="center"/>
                </w:tcPr>
                <w:p>
                  <w:pPr>
                    <w:pStyle w:val="87"/>
                    <w:rPr>
                      <w:rFonts w:hint="eastAsia"/>
                      <w:sz w:val="21"/>
                      <w:szCs w:val="21"/>
                    </w:rPr>
                  </w:pPr>
                  <w:r>
                    <w:rPr>
                      <w:rFonts w:hint="eastAsia"/>
                      <w:sz w:val="21"/>
                      <w:szCs w:val="21"/>
                    </w:rPr>
                    <w:t>15</w:t>
                  </w:r>
                </w:p>
              </w:tc>
              <w:tc>
                <w:tcPr>
                  <w:tcW w:w="719" w:type="dxa"/>
                  <w:noWrap w:val="0"/>
                  <w:vAlign w:val="center"/>
                </w:tcPr>
                <w:p>
                  <w:pPr>
                    <w:pStyle w:val="87"/>
                    <w:rPr>
                      <w:rFonts w:hint="eastAsia"/>
                      <w:sz w:val="21"/>
                      <w:szCs w:val="21"/>
                    </w:rPr>
                  </w:pPr>
                  <w:r>
                    <w:rPr>
                      <w:rFonts w:hint="eastAsia"/>
                      <w:sz w:val="21"/>
                      <w:szCs w:val="21"/>
                    </w:rPr>
                    <w:t>41</w:t>
                  </w:r>
                </w:p>
              </w:tc>
              <w:tc>
                <w:tcPr>
                  <w:tcW w:w="719" w:type="dxa"/>
                  <w:noWrap w:val="0"/>
                  <w:vAlign w:val="center"/>
                </w:tcPr>
                <w:p>
                  <w:pPr>
                    <w:pStyle w:val="87"/>
                    <w:rPr>
                      <w:rFonts w:hint="eastAsia"/>
                      <w:sz w:val="21"/>
                      <w:szCs w:val="21"/>
                    </w:rPr>
                  </w:pPr>
                  <w:r>
                    <w:rPr>
                      <w:rFonts w:hint="eastAsia"/>
                      <w:sz w:val="21"/>
                      <w:szCs w:val="21"/>
                    </w:rPr>
                    <w:t>77</w:t>
                  </w:r>
                </w:p>
              </w:tc>
              <w:tc>
                <w:tcPr>
                  <w:tcW w:w="1433" w:type="dxa"/>
                  <w:noWrap w:val="0"/>
                  <w:vAlign w:val="center"/>
                </w:tcPr>
                <w:p>
                  <w:pPr>
                    <w:pStyle w:val="87"/>
                    <w:rPr>
                      <w:rFonts w:hint="eastAsia"/>
                      <w:sz w:val="21"/>
                      <w:szCs w:val="21"/>
                    </w:rPr>
                  </w:pPr>
                  <w:r>
                    <w:rPr>
                      <w:rFonts w:hint="eastAsia"/>
                      <w:sz w:val="21"/>
                      <w:szCs w:val="21"/>
                    </w:rPr>
                    <w:t>减振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2" w:type="dxa"/>
                  <w:noWrap w:val="0"/>
                  <w:vAlign w:val="center"/>
                </w:tcPr>
                <w:p>
                  <w:pPr>
                    <w:pStyle w:val="87"/>
                    <w:rPr>
                      <w:rFonts w:hint="eastAsia"/>
                      <w:sz w:val="21"/>
                      <w:szCs w:val="21"/>
                    </w:rPr>
                  </w:pPr>
                  <w:r>
                    <w:rPr>
                      <w:rFonts w:hint="eastAsia"/>
                      <w:sz w:val="21"/>
                      <w:szCs w:val="21"/>
                    </w:rPr>
                    <w:t>5</w:t>
                  </w:r>
                </w:p>
              </w:tc>
              <w:tc>
                <w:tcPr>
                  <w:tcW w:w="1197" w:type="dxa"/>
                  <w:noWrap w:val="0"/>
                  <w:vAlign w:val="center"/>
                </w:tcPr>
                <w:p>
                  <w:pPr>
                    <w:pStyle w:val="87"/>
                    <w:rPr>
                      <w:rFonts w:hint="eastAsia"/>
                      <w:sz w:val="21"/>
                      <w:szCs w:val="21"/>
                    </w:rPr>
                  </w:pPr>
                  <w:r>
                    <w:rPr>
                      <w:rFonts w:hint="eastAsia"/>
                      <w:sz w:val="21"/>
                      <w:szCs w:val="21"/>
                    </w:rPr>
                    <w:t>切割机</w:t>
                  </w:r>
                </w:p>
              </w:tc>
              <w:tc>
                <w:tcPr>
                  <w:tcW w:w="720" w:type="dxa"/>
                  <w:noWrap w:val="0"/>
                  <w:vAlign w:val="center"/>
                </w:tcPr>
                <w:p>
                  <w:pPr>
                    <w:pStyle w:val="87"/>
                    <w:rPr>
                      <w:rFonts w:hint="eastAsia"/>
                      <w:sz w:val="21"/>
                      <w:szCs w:val="21"/>
                    </w:rPr>
                  </w:pPr>
                  <w:r>
                    <w:rPr>
                      <w:sz w:val="21"/>
                      <w:szCs w:val="21"/>
                    </w:rPr>
                    <w:t>1</w:t>
                  </w:r>
                </w:p>
              </w:tc>
              <w:tc>
                <w:tcPr>
                  <w:tcW w:w="2180" w:type="dxa"/>
                  <w:noWrap w:val="0"/>
                  <w:vAlign w:val="center"/>
                </w:tcPr>
                <w:p>
                  <w:pPr>
                    <w:pStyle w:val="87"/>
                    <w:rPr>
                      <w:rFonts w:hint="eastAsia"/>
                      <w:sz w:val="21"/>
                      <w:szCs w:val="21"/>
                    </w:rPr>
                  </w:pPr>
                  <w:r>
                    <w:rPr>
                      <w:rFonts w:hint="eastAsia"/>
                      <w:sz w:val="21"/>
                      <w:szCs w:val="21"/>
                    </w:rPr>
                    <w:t>95</w:t>
                  </w:r>
                </w:p>
              </w:tc>
              <w:tc>
                <w:tcPr>
                  <w:tcW w:w="719" w:type="dxa"/>
                  <w:noWrap w:val="0"/>
                  <w:vAlign w:val="center"/>
                </w:tcPr>
                <w:p>
                  <w:pPr>
                    <w:pStyle w:val="87"/>
                    <w:rPr>
                      <w:rFonts w:hint="eastAsia"/>
                      <w:sz w:val="21"/>
                      <w:szCs w:val="21"/>
                    </w:rPr>
                  </w:pPr>
                  <w:r>
                    <w:rPr>
                      <w:rFonts w:hint="eastAsia"/>
                      <w:sz w:val="21"/>
                      <w:szCs w:val="21"/>
                    </w:rPr>
                    <w:t>64</w:t>
                  </w:r>
                </w:p>
              </w:tc>
              <w:tc>
                <w:tcPr>
                  <w:tcW w:w="721" w:type="dxa"/>
                  <w:noWrap w:val="0"/>
                  <w:vAlign w:val="center"/>
                </w:tcPr>
                <w:p>
                  <w:pPr>
                    <w:pStyle w:val="87"/>
                    <w:rPr>
                      <w:rFonts w:hint="eastAsia"/>
                      <w:sz w:val="21"/>
                      <w:szCs w:val="21"/>
                    </w:rPr>
                  </w:pPr>
                  <w:r>
                    <w:rPr>
                      <w:rFonts w:hint="eastAsia"/>
                      <w:sz w:val="21"/>
                      <w:szCs w:val="21"/>
                    </w:rPr>
                    <w:t>15</w:t>
                  </w:r>
                </w:p>
              </w:tc>
              <w:tc>
                <w:tcPr>
                  <w:tcW w:w="719" w:type="dxa"/>
                  <w:noWrap w:val="0"/>
                  <w:vAlign w:val="center"/>
                </w:tcPr>
                <w:p>
                  <w:pPr>
                    <w:pStyle w:val="87"/>
                    <w:rPr>
                      <w:rFonts w:hint="eastAsia"/>
                      <w:sz w:val="21"/>
                      <w:szCs w:val="21"/>
                    </w:rPr>
                  </w:pPr>
                  <w:r>
                    <w:rPr>
                      <w:rFonts w:hint="eastAsia"/>
                      <w:sz w:val="21"/>
                      <w:szCs w:val="21"/>
                    </w:rPr>
                    <w:t>41</w:t>
                  </w:r>
                </w:p>
              </w:tc>
              <w:tc>
                <w:tcPr>
                  <w:tcW w:w="719" w:type="dxa"/>
                  <w:noWrap w:val="0"/>
                  <w:vAlign w:val="center"/>
                </w:tcPr>
                <w:p>
                  <w:pPr>
                    <w:pStyle w:val="87"/>
                    <w:rPr>
                      <w:rFonts w:hint="eastAsia"/>
                      <w:sz w:val="21"/>
                      <w:szCs w:val="21"/>
                    </w:rPr>
                  </w:pPr>
                  <w:r>
                    <w:rPr>
                      <w:rFonts w:hint="eastAsia"/>
                      <w:sz w:val="21"/>
                      <w:szCs w:val="21"/>
                    </w:rPr>
                    <w:t>77</w:t>
                  </w:r>
                </w:p>
              </w:tc>
              <w:tc>
                <w:tcPr>
                  <w:tcW w:w="1433" w:type="dxa"/>
                  <w:noWrap w:val="0"/>
                  <w:vAlign w:val="center"/>
                </w:tcPr>
                <w:p>
                  <w:pPr>
                    <w:pStyle w:val="87"/>
                    <w:rPr>
                      <w:rFonts w:hint="eastAsia"/>
                      <w:sz w:val="21"/>
                      <w:szCs w:val="21"/>
                    </w:rPr>
                  </w:pPr>
                  <w:r>
                    <w:rPr>
                      <w:rFonts w:hint="eastAsia"/>
                      <w:sz w:val="21"/>
                      <w:szCs w:val="21"/>
                    </w:rPr>
                    <w:t>减振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2" w:type="dxa"/>
                  <w:noWrap w:val="0"/>
                  <w:vAlign w:val="center"/>
                </w:tcPr>
                <w:p>
                  <w:pPr>
                    <w:pStyle w:val="87"/>
                    <w:rPr>
                      <w:rFonts w:hint="eastAsia"/>
                      <w:sz w:val="21"/>
                      <w:szCs w:val="21"/>
                    </w:rPr>
                  </w:pPr>
                  <w:r>
                    <w:rPr>
                      <w:rFonts w:hint="eastAsia"/>
                      <w:sz w:val="21"/>
                      <w:szCs w:val="21"/>
                    </w:rPr>
                    <w:t>6</w:t>
                  </w:r>
                </w:p>
              </w:tc>
              <w:tc>
                <w:tcPr>
                  <w:tcW w:w="1197" w:type="dxa"/>
                  <w:noWrap w:val="0"/>
                  <w:vAlign w:val="center"/>
                </w:tcPr>
                <w:p>
                  <w:pPr>
                    <w:pStyle w:val="87"/>
                    <w:rPr>
                      <w:rFonts w:hint="eastAsia"/>
                      <w:sz w:val="21"/>
                      <w:szCs w:val="21"/>
                    </w:rPr>
                  </w:pPr>
                  <w:r>
                    <w:rPr>
                      <w:rFonts w:hint="eastAsia"/>
                      <w:sz w:val="21"/>
                      <w:szCs w:val="21"/>
                    </w:rPr>
                    <w:t>台钻</w:t>
                  </w:r>
                </w:p>
              </w:tc>
              <w:tc>
                <w:tcPr>
                  <w:tcW w:w="720" w:type="dxa"/>
                  <w:noWrap w:val="0"/>
                  <w:vAlign w:val="center"/>
                </w:tcPr>
                <w:p>
                  <w:pPr>
                    <w:pStyle w:val="87"/>
                    <w:rPr>
                      <w:rFonts w:hint="eastAsia"/>
                      <w:sz w:val="21"/>
                      <w:szCs w:val="21"/>
                    </w:rPr>
                  </w:pPr>
                  <w:r>
                    <w:rPr>
                      <w:sz w:val="21"/>
                      <w:szCs w:val="21"/>
                    </w:rPr>
                    <w:t>5</w:t>
                  </w:r>
                </w:p>
              </w:tc>
              <w:tc>
                <w:tcPr>
                  <w:tcW w:w="2180" w:type="dxa"/>
                  <w:noWrap w:val="0"/>
                  <w:vAlign w:val="center"/>
                </w:tcPr>
                <w:p>
                  <w:pPr>
                    <w:pStyle w:val="87"/>
                    <w:rPr>
                      <w:rFonts w:hint="eastAsia"/>
                      <w:sz w:val="21"/>
                      <w:szCs w:val="21"/>
                    </w:rPr>
                  </w:pPr>
                  <w:r>
                    <w:rPr>
                      <w:rFonts w:hint="eastAsia"/>
                      <w:sz w:val="21"/>
                      <w:szCs w:val="21"/>
                    </w:rPr>
                    <w:t>80</w:t>
                  </w:r>
                </w:p>
              </w:tc>
              <w:tc>
                <w:tcPr>
                  <w:tcW w:w="719" w:type="dxa"/>
                  <w:noWrap w:val="0"/>
                  <w:vAlign w:val="center"/>
                </w:tcPr>
                <w:p>
                  <w:pPr>
                    <w:pStyle w:val="87"/>
                    <w:rPr>
                      <w:rFonts w:hint="eastAsia"/>
                      <w:sz w:val="21"/>
                      <w:szCs w:val="21"/>
                    </w:rPr>
                  </w:pPr>
                  <w:r>
                    <w:rPr>
                      <w:rFonts w:hint="eastAsia"/>
                      <w:sz w:val="21"/>
                      <w:szCs w:val="21"/>
                    </w:rPr>
                    <w:t>85</w:t>
                  </w:r>
                </w:p>
              </w:tc>
              <w:tc>
                <w:tcPr>
                  <w:tcW w:w="721" w:type="dxa"/>
                  <w:noWrap w:val="0"/>
                  <w:vAlign w:val="center"/>
                </w:tcPr>
                <w:p>
                  <w:pPr>
                    <w:pStyle w:val="87"/>
                    <w:rPr>
                      <w:rFonts w:hint="eastAsia"/>
                      <w:sz w:val="21"/>
                      <w:szCs w:val="21"/>
                    </w:rPr>
                  </w:pPr>
                  <w:r>
                    <w:rPr>
                      <w:rFonts w:hint="eastAsia"/>
                      <w:sz w:val="21"/>
                      <w:szCs w:val="21"/>
                    </w:rPr>
                    <w:t>30</w:t>
                  </w:r>
                </w:p>
              </w:tc>
              <w:tc>
                <w:tcPr>
                  <w:tcW w:w="719" w:type="dxa"/>
                  <w:noWrap w:val="0"/>
                  <w:vAlign w:val="center"/>
                </w:tcPr>
                <w:p>
                  <w:pPr>
                    <w:pStyle w:val="87"/>
                    <w:rPr>
                      <w:rFonts w:hint="eastAsia"/>
                      <w:sz w:val="21"/>
                      <w:szCs w:val="21"/>
                    </w:rPr>
                  </w:pPr>
                  <w:r>
                    <w:rPr>
                      <w:rFonts w:hint="eastAsia"/>
                      <w:sz w:val="21"/>
                      <w:szCs w:val="21"/>
                    </w:rPr>
                    <w:t>20</w:t>
                  </w:r>
                </w:p>
              </w:tc>
              <w:tc>
                <w:tcPr>
                  <w:tcW w:w="719" w:type="dxa"/>
                  <w:noWrap w:val="0"/>
                  <w:vAlign w:val="center"/>
                </w:tcPr>
                <w:p>
                  <w:pPr>
                    <w:pStyle w:val="87"/>
                    <w:rPr>
                      <w:rFonts w:hint="eastAsia"/>
                      <w:sz w:val="21"/>
                      <w:szCs w:val="21"/>
                    </w:rPr>
                  </w:pPr>
                  <w:r>
                    <w:rPr>
                      <w:rFonts w:hint="eastAsia"/>
                      <w:sz w:val="21"/>
                      <w:szCs w:val="21"/>
                    </w:rPr>
                    <w:t>70</w:t>
                  </w:r>
                </w:p>
              </w:tc>
              <w:tc>
                <w:tcPr>
                  <w:tcW w:w="1433" w:type="dxa"/>
                  <w:noWrap w:val="0"/>
                  <w:vAlign w:val="center"/>
                </w:tcPr>
                <w:p>
                  <w:pPr>
                    <w:pStyle w:val="87"/>
                    <w:rPr>
                      <w:rFonts w:hint="eastAsia"/>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2" w:type="dxa"/>
                  <w:noWrap w:val="0"/>
                  <w:vAlign w:val="center"/>
                </w:tcPr>
                <w:p>
                  <w:pPr>
                    <w:pStyle w:val="87"/>
                    <w:rPr>
                      <w:rFonts w:hint="eastAsia"/>
                      <w:sz w:val="21"/>
                      <w:szCs w:val="21"/>
                    </w:rPr>
                  </w:pPr>
                  <w:r>
                    <w:rPr>
                      <w:sz w:val="21"/>
                      <w:szCs w:val="21"/>
                    </w:rPr>
                    <w:t>7</w:t>
                  </w:r>
                </w:p>
              </w:tc>
              <w:tc>
                <w:tcPr>
                  <w:tcW w:w="1197" w:type="dxa"/>
                  <w:noWrap w:val="0"/>
                  <w:vAlign w:val="center"/>
                </w:tcPr>
                <w:p>
                  <w:pPr>
                    <w:pStyle w:val="87"/>
                    <w:rPr>
                      <w:rFonts w:hint="eastAsia"/>
                      <w:sz w:val="21"/>
                      <w:szCs w:val="21"/>
                    </w:rPr>
                  </w:pPr>
                  <w:r>
                    <w:rPr>
                      <w:rFonts w:hint="eastAsia"/>
                      <w:sz w:val="21"/>
                      <w:szCs w:val="21"/>
                    </w:rPr>
                    <w:t>冲床</w:t>
                  </w:r>
                </w:p>
              </w:tc>
              <w:tc>
                <w:tcPr>
                  <w:tcW w:w="720" w:type="dxa"/>
                  <w:noWrap w:val="0"/>
                  <w:vAlign w:val="center"/>
                </w:tcPr>
                <w:p>
                  <w:pPr>
                    <w:pStyle w:val="87"/>
                    <w:rPr>
                      <w:rFonts w:hint="eastAsia"/>
                      <w:sz w:val="21"/>
                      <w:szCs w:val="21"/>
                    </w:rPr>
                  </w:pPr>
                  <w:r>
                    <w:rPr>
                      <w:sz w:val="21"/>
                      <w:szCs w:val="21"/>
                    </w:rPr>
                    <w:t>1</w:t>
                  </w:r>
                </w:p>
              </w:tc>
              <w:tc>
                <w:tcPr>
                  <w:tcW w:w="2180" w:type="dxa"/>
                  <w:noWrap w:val="0"/>
                  <w:vAlign w:val="center"/>
                </w:tcPr>
                <w:p>
                  <w:pPr>
                    <w:pStyle w:val="87"/>
                    <w:rPr>
                      <w:rFonts w:hint="eastAsia"/>
                      <w:sz w:val="21"/>
                      <w:szCs w:val="21"/>
                    </w:rPr>
                  </w:pPr>
                  <w:r>
                    <w:rPr>
                      <w:rFonts w:hint="eastAsia"/>
                      <w:sz w:val="21"/>
                      <w:szCs w:val="21"/>
                    </w:rPr>
                    <w:t>95</w:t>
                  </w:r>
                </w:p>
              </w:tc>
              <w:tc>
                <w:tcPr>
                  <w:tcW w:w="719" w:type="dxa"/>
                  <w:noWrap w:val="0"/>
                  <w:vAlign w:val="center"/>
                </w:tcPr>
                <w:p>
                  <w:pPr>
                    <w:pStyle w:val="87"/>
                    <w:rPr>
                      <w:rFonts w:hint="eastAsia"/>
                      <w:sz w:val="21"/>
                      <w:szCs w:val="21"/>
                    </w:rPr>
                  </w:pPr>
                  <w:r>
                    <w:rPr>
                      <w:rFonts w:hint="eastAsia"/>
                      <w:sz w:val="21"/>
                      <w:szCs w:val="21"/>
                    </w:rPr>
                    <w:t>65</w:t>
                  </w:r>
                </w:p>
              </w:tc>
              <w:tc>
                <w:tcPr>
                  <w:tcW w:w="721" w:type="dxa"/>
                  <w:noWrap w:val="0"/>
                  <w:vAlign w:val="center"/>
                </w:tcPr>
                <w:p>
                  <w:pPr>
                    <w:pStyle w:val="87"/>
                    <w:rPr>
                      <w:rFonts w:hint="eastAsia"/>
                      <w:sz w:val="21"/>
                      <w:szCs w:val="21"/>
                    </w:rPr>
                  </w:pPr>
                  <w:r>
                    <w:rPr>
                      <w:rFonts w:hint="eastAsia"/>
                      <w:sz w:val="21"/>
                      <w:szCs w:val="21"/>
                    </w:rPr>
                    <w:t>40</w:t>
                  </w:r>
                </w:p>
              </w:tc>
              <w:tc>
                <w:tcPr>
                  <w:tcW w:w="719" w:type="dxa"/>
                  <w:noWrap w:val="0"/>
                  <w:vAlign w:val="center"/>
                </w:tcPr>
                <w:p>
                  <w:pPr>
                    <w:pStyle w:val="87"/>
                    <w:rPr>
                      <w:rFonts w:hint="eastAsia"/>
                      <w:sz w:val="21"/>
                      <w:szCs w:val="21"/>
                    </w:rPr>
                  </w:pPr>
                  <w:r>
                    <w:rPr>
                      <w:rFonts w:hint="eastAsia"/>
                      <w:sz w:val="21"/>
                      <w:szCs w:val="21"/>
                    </w:rPr>
                    <w:t>21</w:t>
                  </w:r>
                </w:p>
              </w:tc>
              <w:tc>
                <w:tcPr>
                  <w:tcW w:w="719" w:type="dxa"/>
                  <w:noWrap w:val="0"/>
                  <w:vAlign w:val="center"/>
                </w:tcPr>
                <w:p>
                  <w:pPr>
                    <w:pStyle w:val="87"/>
                    <w:rPr>
                      <w:rFonts w:hint="eastAsia"/>
                      <w:sz w:val="21"/>
                      <w:szCs w:val="21"/>
                    </w:rPr>
                  </w:pPr>
                  <w:r>
                    <w:rPr>
                      <w:rFonts w:hint="eastAsia"/>
                      <w:sz w:val="21"/>
                      <w:szCs w:val="21"/>
                    </w:rPr>
                    <w:t>80</w:t>
                  </w:r>
                </w:p>
              </w:tc>
              <w:tc>
                <w:tcPr>
                  <w:tcW w:w="1433" w:type="dxa"/>
                  <w:noWrap w:val="0"/>
                  <w:vAlign w:val="center"/>
                </w:tcPr>
                <w:p>
                  <w:pPr>
                    <w:pStyle w:val="87"/>
                    <w:rPr>
                      <w:rFonts w:hint="eastAsia"/>
                      <w:sz w:val="21"/>
                      <w:szCs w:val="21"/>
                    </w:rPr>
                  </w:pPr>
                  <w:r>
                    <w:rPr>
                      <w:rFonts w:hint="eastAsia"/>
                      <w:sz w:val="21"/>
                      <w:szCs w:val="21"/>
                    </w:rPr>
                    <w:t>减振</w:t>
                  </w:r>
                </w:p>
              </w:tc>
            </w:tr>
          </w:tbl>
          <w:p>
            <w:pPr>
              <w:pStyle w:val="15"/>
              <w:ind w:firstLine="482"/>
              <w:rPr>
                <w:rFonts w:hint="eastAsia"/>
                <w:b w:val="0"/>
                <w:sz w:val="24"/>
              </w:rPr>
            </w:pPr>
            <w:r>
              <w:rPr>
                <w:rFonts w:hint="eastAsia"/>
                <w:b w:val="0"/>
                <w:sz w:val="24"/>
              </w:rPr>
              <w:t>4、固体废弃物</w:t>
            </w:r>
          </w:p>
          <w:p>
            <w:pPr>
              <w:spacing w:line="360" w:lineRule="auto"/>
              <w:ind w:firstLine="480" w:firstLineChars="200"/>
              <w:rPr>
                <w:sz w:val="24"/>
              </w:rPr>
            </w:pPr>
            <w:r>
              <w:rPr>
                <w:rFonts w:hint="eastAsia"/>
                <w:sz w:val="24"/>
              </w:rPr>
              <w:t>项目营运期主要的固体废弃物是除尘器收集粉尘、员工生活垃圾、污水预处理池污泥、沉淀池固废、不合格产品、油浸淬火废渣、废矿物油。</w:t>
            </w:r>
          </w:p>
          <w:p>
            <w:pPr>
              <w:pStyle w:val="15"/>
              <w:numPr>
                <w:ilvl w:val="0"/>
                <w:numId w:val="4"/>
              </w:numPr>
              <w:rPr>
                <w:rFonts w:ascii="宋体" w:hAnsi="宋体"/>
                <w:b w:val="0"/>
                <w:sz w:val="24"/>
              </w:rPr>
            </w:pPr>
            <w:r>
              <w:rPr>
                <w:rFonts w:hint="eastAsia" w:ascii="宋体" w:hAnsi="宋体"/>
                <w:b w:val="0"/>
                <w:sz w:val="24"/>
              </w:rPr>
              <w:t>除尘器收集粉尘</w:t>
            </w:r>
          </w:p>
          <w:p>
            <w:pPr>
              <w:pStyle w:val="104"/>
              <w:spacing w:line="360" w:lineRule="auto"/>
              <w:ind w:firstLine="480" w:firstLineChars="200"/>
              <w:jc w:val="both"/>
              <w:rPr>
                <w:rFonts w:ascii="宋体" w:hAnsi="宋体"/>
                <w:b w:val="0"/>
                <w:bCs/>
                <w:sz w:val="24"/>
                <w:lang w:val="en-US" w:eastAsia="zh-CN"/>
              </w:rPr>
            </w:pPr>
            <w:r>
              <w:rPr>
                <w:rFonts w:hint="eastAsia" w:ascii="宋体" w:hAnsi="宋体"/>
                <w:b w:val="0"/>
                <w:bCs/>
                <w:sz w:val="24"/>
                <w:lang w:val="en-US" w:eastAsia="zh-CN"/>
              </w:rPr>
              <w:t>除尘灰主要产生于项目除尘系统，根据分析，本项目除尘灰的产生量约为</w:t>
            </w:r>
            <w:r>
              <w:rPr>
                <w:rFonts w:ascii="宋体" w:hAnsi="宋体"/>
                <w:b w:val="0"/>
                <w:bCs/>
                <w:sz w:val="24"/>
                <w:lang w:val="en-US" w:eastAsia="zh-CN"/>
              </w:rPr>
              <w:t>0.15</w:t>
            </w:r>
            <w:r>
              <w:rPr>
                <w:rFonts w:hint="eastAsia" w:ascii="宋体" w:hAnsi="宋体"/>
                <w:b w:val="0"/>
                <w:bCs/>
                <w:sz w:val="24"/>
                <w:lang w:val="en-US" w:eastAsia="zh-CN"/>
              </w:rPr>
              <w:t>t/a。本项目除尘灰经收集后</w:t>
            </w:r>
            <w:r>
              <w:rPr>
                <w:rFonts w:hint="eastAsia"/>
                <w:b w:val="0"/>
                <w:sz w:val="24"/>
                <w:lang w:val="en-US" w:eastAsia="zh-CN"/>
              </w:rPr>
              <w:t>交由当地环卫部门统一清运至垃圾填埋场处置。</w:t>
            </w:r>
          </w:p>
          <w:p>
            <w:pPr>
              <w:pStyle w:val="104"/>
              <w:spacing w:line="360" w:lineRule="auto"/>
              <w:ind w:firstLine="480" w:firstLineChars="200"/>
              <w:jc w:val="both"/>
              <w:rPr>
                <w:rFonts w:ascii="宋体" w:hAnsi="宋体"/>
                <w:b w:val="0"/>
                <w:sz w:val="24"/>
                <w:lang w:val="en-US" w:eastAsia="zh-CN"/>
              </w:rPr>
            </w:pPr>
            <w:r>
              <w:rPr>
                <w:rFonts w:hint="eastAsia" w:ascii="宋体" w:hAnsi="宋体"/>
                <w:b w:val="0"/>
                <w:sz w:val="24"/>
                <w:lang w:val="en-US" w:eastAsia="zh-CN"/>
              </w:rPr>
              <w:t>（2）生活垃圾</w:t>
            </w:r>
          </w:p>
          <w:p>
            <w:pPr>
              <w:pStyle w:val="15"/>
              <w:ind w:firstLine="480"/>
              <w:rPr>
                <w:rFonts w:hint="eastAsia"/>
                <w:b w:val="0"/>
                <w:sz w:val="24"/>
              </w:rPr>
            </w:pPr>
            <w:r>
              <w:rPr>
                <w:rFonts w:hint="eastAsia"/>
                <w:b w:val="0"/>
                <w:sz w:val="24"/>
              </w:rPr>
              <w:t>本项目生活垃圾产生量按0.5kg/人·d计，本项目劳动定员为</w:t>
            </w:r>
            <w:r>
              <w:rPr>
                <w:b w:val="0"/>
                <w:sz w:val="24"/>
              </w:rPr>
              <w:t>20</w:t>
            </w:r>
            <w:r>
              <w:rPr>
                <w:rFonts w:hint="eastAsia"/>
                <w:b w:val="0"/>
                <w:sz w:val="24"/>
              </w:rPr>
              <w:t>人，则项目生活垃圾产生量为</w:t>
            </w:r>
            <w:r>
              <w:rPr>
                <w:rFonts w:hint="eastAsia"/>
                <w:b w:val="0"/>
                <w:sz w:val="24"/>
                <w:lang w:val="en-US" w:eastAsia="zh-CN"/>
              </w:rPr>
              <w:t>3.3</w:t>
            </w:r>
            <w:r>
              <w:rPr>
                <w:rFonts w:hint="eastAsia"/>
                <w:b w:val="0"/>
                <w:sz w:val="24"/>
              </w:rPr>
              <w:t>t/a。经收集后交由当地环卫部门统一清运至垃圾填埋场处置。</w:t>
            </w:r>
          </w:p>
          <w:p>
            <w:pPr>
              <w:pStyle w:val="104"/>
              <w:spacing w:line="360" w:lineRule="auto"/>
              <w:ind w:firstLine="480" w:firstLineChars="200"/>
              <w:jc w:val="both"/>
              <w:rPr>
                <w:rFonts w:ascii="宋体" w:hAnsi="宋体"/>
                <w:b w:val="0"/>
                <w:sz w:val="24"/>
                <w:lang w:val="en-US" w:eastAsia="zh-CN"/>
              </w:rPr>
            </w:pPr>
            <w:r>
              <w:rPr>
                <w:rFonts w:hint="eastAsia" w:ascii="宋体" w:hAnsi="宋体"/>
                <w:b w:val="0"/>
                <w:sz w:val="24"/>
                <w:lang w:val="en-US" w:eastAsia="zh-CN"/>
              </w:rPr>
              <w:t>（3）污水预处理池污泥</w:t>
            </w:r>
          </w:p>
          <w:p>
            <w:pPr>
              <w:pStyle w:val="104"/>
              <w:spacing w:line="360" w:lineRule="auto"/>
              <w:ind w:firstLine="480" w:firstLineChars="200"/>
              <w:jc w:val="both"/>
              <w:rPr>
                <w:rFonts w:hint="eastAsia" w:ascii="宋体" w:hAnsi="宋体"/>
                <w:b w:val="0"/>
                <w:sz w:val="24"/>
                <w:lang w:val="en-US" w:eastAsia="zh-CN"/>
              </w:rPr>
            </w:pPr>
            <w:r>
              <w:rPr>
                <w:rFonts w:hint="eastAsia"/>
                <w:b w:val="0"/>
                <w:sz w:val="24"/>
                <w:lang w:val="en-US" w:eastAsia="zh-CN"/>
              </w:rPr>
              <w:t>根据项目生活废水量估算，污水预处理池污泥量约为0.5 t/a，污泥定期清掏用作农肥；</w:t>
            </w:r>
          </w:p>
          <w:p>
            <w:pPr>
              <w:pStyle w:val="104"/>
              <w:spacing w:line="360" w:lineRule="auto"/>
              <w:ind w:firstLine="480" w:firstLineChars="200"/>
              <w:jc w:val="both"/>
              <w:rPr>
                <w:rFonts w:ascii="宋体" w:hAnsi="宋体"/>
                <w:b w:val="0"/>
                <w:sz w:val="24"/>
                <w:lang w:val="en-US" w:eastAsia="zh-CN"/>
              </w:rPr>
            </w:pPr>
            <w:r>
              <w:rPr>
                <w:rFonts w:hint="eastAsia" w:ascii="宋体" w:hAnsi="宋体"/>
                <w:b w:val="0"/>
                <w:sz w:val="24"/>
                <w:lang w:val="en-US" w:eastAsia="zh-CN"/>
              </w:rPr>
              <w:t>（4）不合格产品</w:t>
            </w:r>
          </w:p>
          <w:p>
            <w:pPr>
              <w:pStyle w:val="104"/>
              <w:spacing w:line="360" w:lineRule="auto"/>
              <w:ind w:firstLine="480" w:firstLineChars="200"/>
              <w:jc w:val="both"/>
              <w:rPr>
                <w:rFonts w:hint="eastAsia" w:ascii="宋体" w:hAnsi="宋体"/>
                <w:b w:val="0"/>
                <w:sz w:val="24"/>
                <w:lang w:val="en-US" w:eastAsia="zh-CN"/>
              </w:rPr>
            </w:pPr>
            <w:r>
              <w:rPr>
                <w:rFonts w:hint="eastAsia" w:ascii="宋体" w:hAnsi="宋体"/>
                <w:b w:val="0"/>
                <w:sz w:val="24"/>
                <w:lang w:val="en-US" w:eastAsia="zh-CN"/>
              </w:rPr>
              <w:t>项目年制作刀具</w:t>
            </w:r>
            <w:r>
              <w:rPr>
                <w:rFonts w:ascii="宋体" w:hAnsi="宋体"/>
                <w:b w:val="0"/>
                <w:sz w:val="24"/>
                <w:lang w:val="en-US" w:eastAsia="zh-CN"/>
              </w:rPr>
              <w:t>53000</w:t>
            </w:r>
            <w:r>
              <w:rPr>
                <w:rFonts w:hint="eastAsia" w:ascii="宋体" w:hAnsi="宋体"/>
                <w:b w:val="0"/>
                <w:sz w:val="24"/>
                <w:lang w:val="en-US" w:eastAsia="zh-CN"/>
              </w:rPr>
              <w:t>件，不合格产品按0</w:t>
            </w:r>
            <w:r>
              <w:rPr>
                <w:rFonts w:ascii="宋体" w:hAnsi="宋体"/>
                <w:b w:val="0"/>
                <w:sz w:val="24"/>
                <w:lang w:val="en-US" w:eastAsia="zh-CN"/>
              </w:rPr>
              <w:t>.5</w:t>
            </w:r>
            <w:r>
              <w:rPr>
                <w:rFonts w:hint="eastAsia" w:ascii="宋体" w:hAnsi="宋体"/>
                <w:b w:val="0"/>
                <w:sz w:val="24"/>
                <w:lang w:val="en-US" w:eastAsia="zh-CN"/>
              </w:rPr>
              <w:t>%计，则不合格产品量为</w:t>
            </w:r>
            <w:r>
              <w:rPr>
                <w:rFonts w:ascii="宋体" w:hAnsi="宋体"/>
                <w:b w:val="0"/>
                <w:sz w:val="24"/>
                <w:lang w:val="en-US" w:eastAsia="zh-CN"/>
              </w:rPr>
              <w:t>265</w:t>
            </w:r>
            <w:r>
              <w:rPr>
                <w:rFonts w:hint="eastAsia" w:ascii="宋体" w:hAnsi="宋体"/>
                <w:b w:val="0"/>
                <w:sz w:val="24"/>
                <w:lang w:val="en-US" w:eastAsia="zh-CN"/>
              </w:rPr>
              <w:t>件，出售给相关回收单位综合利用。</w:t>
            </w:r>
          </w:p>
          <w:p>
            <w:pPr>
              <w:pStyle w:val="104"/>
              <w:spacing w:line="360" w:lineRule="auto"/>
              <w:ind w:firstLine="480" w:firstLineChars="200"/>
              <w:jc w:val="both"/>
              <w:rPr>
                <w:rFonts w:ascii="宋体" w:hAnsi="宋体"/>
                <w:b w:val="0"/>
                <w:sz w:val="24"/>
                <w:lang w:val="en-US" w:eastAsia="zh-CN"/>
              </w:rPr>
            </w:pPr>
            <w:r>
              <w:rPr>
                <w:rFonts w:hint="eastAsia" w:ascii="宋体" w:hAnsi="宋体"/>
                <w:b w:val="0"/>
                <w:sz w:val="24"/>
                <w:lang w:val="en-US" w:eastAsia="zh-CN"/>
              </w:rPr>
              <w:t>（5）循环水池污泥</w:t>
            </w:r>
          </w:p>
          <w:p>
            <w:pPr>
              <w:pStyle w:val="104"/>
              <w:spacing w:line="360" w:lineRule="auto"/>
              <w:ind w:firstLine="480" w:firstLineChars="200"/>
              <w:jc w:val="both"/>
              <w:rPr>
                <w:rFonts w:hint="eastAsia" w:ascii="宋体" w:hAnsi="宋体"/>
                <w:b w:val="0"/>
                <w:sz w:val="24"/>
                <w:lang w:val="en-US" w:eastAsia="zh-CN"/>
              </w:rPr>
            </w:pPr>
            <w:r>
              <w:rPr>
                <w:rFonts w:hint="eastAsia" w:ascii="宋体" w:hAnsi="宋体"/>
                <w:b w:val="0"/>
                <w:sz w:val="24"/>
                <w:lang w:val="en-US" w:eastAsia="zh-CN"/>
              </w:rPr>
              <w:t>项目设置两个循环水池，容积均为1</w:t>
            </w:r>
            <w:r>
              <w:rPr>
                <w:rFonts w:ascii="宋体" w:hAnsi="宋体"/>
                <w:b w:val="0"/>
                <w:sz w:val="24"/>
                <w:lang w:val="en-US" w:eastAsia="zh-CN"/>
              </w:rPr>
              <w:t>0</w:t>
            </w:r>
            <w:r>
              <w:rPr>
                <w:rFonts w:hint="eastAsia" w:ascii="宋体" w:hAnsi="宋体"/>
                <w:b w:val="0"/>
                <w:sz w:val="24"/>
                <w:lang w:val="en-US" w:eastAsia="zh-CN"/>
              </w:rPr>
              <w:t>m³，污泥产生量为0</w:t>
            </w:r>
            <w:r>
              <w:rPr>
                <w:rFonts w:ascii="宋体" w:hAnsi="宋体"/>
                <w:b w:val="0"/>
                <w:sz w:val="24"/>
                <w:lang w:val="en-US" w:eastAsia="zh-CN"/>
              </w:rPr>
              <w:t>.3 t/a</w:t>
            </w:r>
            <w:r>
              <w:rPr>
                <w:rFonts w:hint="eastAsia" w:ascii="宋体" w:hAnsi="宋体"/>
                <w:b w:val="0"/>
                <w:sz w:val="24"/>
                <w:lang w:val="en-US" w:eastAsia="zh-CN"/>
              </w:rPr>
              <w:t>。根据《国家危险废物名录》项目磨削机和水磨机产生的油泥属于危险固废（HW</w:t>
            </w:r>
            <w:r>
              <w:rPr>
                <w:rFonts w:ascii="宋体" w:hAnsi="宋体"/>
                <w:b w:val="0"/>
                <w:sz w:val="24"/>
                <w:lang w:val="en-US" w:eastAsia="zh-CN"/>
              </w:rPr>
              <w:t>08,900-200-08</w:t>
            </w:r>
            <w:r>
              <w:rPr>
                <w:rFonts w:hint="eastAsia" w:ascii="宋体" w:hAnsi="宋体"/>
                <w:b w:val="0"/>
                <w:sz w:val="24"/>
                <w:lang w:val="en-US" w:eastAsia="zh-CN"/>
              </w:rPr>
              <w:t>）,</w:t>
            </w:r>
            <w:r>
              <w:rPr>
                <w:rFonts w:hint="eastAsia"/>
                <w:b w:val="0"/>
                <w:sz w:val="24"/>
                <w:lang w:val="en-US" w:eastAsia="zh-CN"/>
              </w:rPr>
              <w:t>收集至危废暂存间后交由资质单位处理。</w:t>
            </w:r>
          </w:p>
          <w:p>
            <w:pPr>
              <w:pStyle w:val="104"/>
              <w:spacing w:line="360" w:lineRule="auto"/>
              <w:ind w:firstLine="480" w:firstLineChars="200"/>
              <w:jc w:val="both"/>
              <w:rPr>
                <w:rFonts w:ascii="宋体" w:hAnsi="宋体"/>
                <w:b w:val="0"/>
                <w:sz w:val="24"/>
                <w:lang w:val="en-US" w:eastAsia="zh-CN"/>
              </w:rPr>
            </w:pPr>
            <w:r>
              <w:rPr>
                <w:rFonts w:hint="eastAsia" w:ascii="宋体" w:hAnsi="宋体"/>
                <w:b w:val="0"/>
                <w:sz w:val="24"/>
                <w:lang w:val="en-US" w:eastAsia="zh-CN"/>
              </w:rPr>
              <w:t>（6）油浸淬火废渣</w:t>
            </w:r>
          </w:p>
          <w:p>
            <w:pPr>
              <w:pStyle w:val="104"/>
              <w:spacing w:line="360" w:lineRule="auto"/>
              <w:ind w:firstLine="480" w:firstLineChars="200"/>
              <w:jc w:val="both"/>
              <w:rPr>
                <w:rFonts w:ascii="宋体" w:hAnsi="宋体"/>
                <w:b w:val="0"/>
                <w:sz w:val="24"/>
                <w:lang w:val="en-US" w:eastAsia="zh-CN"/>
              </w:rPr>
            </w:pPr>
            <w:r>
              <w:rPr>
                <w:rFonts w:hint="eastAsia" w:ascii="宋体" w:hAnsi="宋体"/>
                <w:b w:val="0"/>
                <w:sz w:val="24"/>
                <w:lang w:val="en-US" w:eastAsia="zh-CN"/>
              </w:rPr>
              <w:t>本项目淬火工序采用淬火油，淬火油为菜籽油，根据《国家危险废物名录》菜籽油浸淬火废渣不属于危险固废，其产生量约为0</w:t>
            </w:r>
            <w:r>
              <w:rPr>
                <w:rFonts w:ascii="宋体" w:hAnsi="宋体"/>
                <w:b w:val="0"/>
                <w:sz w:val="24"/>
                <w:lang w:val="en-US" w:eastAsia="zh-CN"/>
              </w:rPr>
              <w:t>.1t/a</w:t>
            </w:r>
            <w:r>
              <w:rPr>
                <w:rFonts w:hint="eastAsia" w:ascii="宋体" w:hAnsi="宋体"/>
                <w:b w:val="0"/>
                <w:sz w:val="24"/>
                <w:lang w:val="en-US" w:eastAsia="zh-CN"/>
              </w:rPr>
              <w:t>。收集后交由当地环卫部门统一清运至垃圾填埋场处置</w:t>
            </w:r>
          </w:p>
          <w:p>
            <w:pPr>
              <w:pStyle w:val="104"/>
              <w:spacing w:line="360" w:lineRule="auto"/>
              <w:ind w:firstLine="480" w:firstLineChars="200"/>
              <w:jc w:val="both"/>
              <w:rPr>
                <w:rFonts w:ascii="宋体" w:hAnsi="宋体"/>
                <w:b w:val="0"/>
                <w:sz w:val="24"/>
                <w:lang w:val="en-US" w:eastAsia="zh-CN"/>
              </w:rPr>
            </w:pPr>
            <w:r>
              <w:rPr>
                <w:rFonts w:hint="eastAsia" w:ascii="宋体" w:hAnsi="宋体"/>
                <w:b w:val="0"/>
                <w:sz w:val="24"/>
                <w:lang w:val="en-US" w:eastAsia="zh-CN"/>
              </w:rPr>
              <w:t>（7）废矿物油</w:t>
            </w:r>
          </w:p>
          <w:p>
            <w:pPr>
              <w:pStyle w:val="104"/>
              <w:spacing w:line="360" w:lineRule="auto"/>
              <w:ind w:firstLine="480" w:firstLineChars="200"/>
              <w:jc w:val="both"/>
              <w:rPr>
                <w:rFonts w:hint="eastAsia"/>
                <w:b w:val="0"/>
                <w:sz w:val="24"/>
                <w:lang w:val="en-US" w:eastAsia="zh-CN"/>
              </w:rPr>
            </w:pPr>
            <w:r>
              <w:rPr>
                <w:rFonts w:hint="eastAsia" w:ascii="宋体" w:hAnsi="宋体"/>
                <w:b w:val="0"/>
                <w:sz w:val="24"/>
                <w:lang w:val="en-US" w:eastAsia="zh-CN"/>
              </w:rPr>
              <w:t>项目各设备会使用到液压油、润滑油、根据业主提供使用量，项目每年废矿物油产生量为0</w:t>
            </w:r>
            <w:r>
              <w:rPr>
                <w:rFonts w:ascii="宋体" w:hAnsi="宋体"/>
                <w:b w:val="0"/>
                <w:sz w:val="24"/>
                <w:lang w:val="en-US" w:eastAsia="zh-CN"/>
              </w:rPr>
              <w:t>.2t/a</w:t>
            </w:r>
            <w:r>
              <w:rPr>
                <w:rFonts w:hint="eastAsia" w:ascii="宋体" w:hAnsi="宋体"/>
                <w:b w:val="0"/>
                <w:sz w:val="24"/>
                <w:lang w:val="en-US" w:eastAsia="zh-CN"/>
              </w:rPr>
              <w:t>。根据《国家危险废物名录》废矿物油属于危险固废（HW</w:t>
            </w:r>
            <w:r>
              <w:rPr>
                <w:rFonts w:ascii="宋体" w:hAnsi="宋体"/>
                <w:b w:val="0"/>
                <w:sz w:val="24"/>
                <w:lang w:val="en-US" w:eastAsia="zh-CN"/>
              </w:rPr>
              <w:t>08,900-214-08</w:t>
            </w:r>
            <w:r>
              <w:rPr>
                <w:rFonts w:hint="eastAsia" w:ascii="宋体" w:hAnsi="宋体"/>
                <w:b w:val="0"/>
                <w:sz w:val="24"/>
                <w:lang w:val="en-US" w:eastAsia="zh-CN"/>
              </w:rPr>
              <w:t>），</w:t>
            </w:r>
            <w:r>
              <w:rPr>
                <w:rFonts w:hint="eastAsia"/>
                <w:b w:val="0"/>
                <w:sz w:val="24"/>
                <w:lang w:val="en-US" w:eastAsia="zh-CN"/>
              </w:rPr>
              <w:t>收集至危废暂存间后交由资质单位处理。</w:t>
            </w:r>
          </w:p>
          <w:p>
            <w:pPr>
              <w:pStyle w:val="104"/>
              <w:spacing w:line="240" w:lineRule="auto"/>
              <w:rPr>
                <w:rFonts w:hint="eastAsia"/>
                <w:lang w:val="en-US" w:eastAsia="zh-CN"/>
              </w:rPr>
            </w:pPr>
            <w:r>
              <w:rPr>
                <w:rFonts w:hint="eastAsia"/>
                <w:lang w:val="en-US" w:eastAsia="zh-CN"/>
              </w:rPr>
              <w:t>表5-</w:t>
            </w:r>
            <w:r>
              <w:rPr>
                <w:lang w:val="en-US" w:eastAsia="zh-CN"/>
              </w:rPr>
              <w:t>2</w:t>
            </w:r>
            <w:r>
              <w:rPr>
                <w:rFonts w:hint="eastAsia"/>
                <w:lang w:val="en-US" w:eastAsia="zh-CN"/>
              </w:rPr>
              <w:t xml:space="preserve"> 固体废物产生及处理、处置措施</w:t>
            </w:r>
          </w:p>
          <w:tbl>
            <w:tblPr>
              <w:tblStyle w:val="69"/>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227"/>
              <w:gridCol w:w="1404"/>
              <w:gridCol w:w="1404"/>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872" w:type="dxa"/>
                  <w:noWrap w:val="0"/>
                  <w:vAlign w:val="center"/>
                </w:tcPr>
                <w:p>
                  <w:pPr>
                    <w:pStyle w:val="87"/>
                    <w:rPr>
                      <w:rFonts w:hint="eastAsia"/>
                      <w:sz w:val="21"/>
                      <w:szCs w:val="21"/>
                    </w:rPr>
                  </w:pPr>
                  <w:r>
                    <w:rPr>
                      <w:rFonts w:hint="eastAsia"/>
                      <w:sz w:val="21"/>
                      <w:szCs w:val="21"/>
                    </w:rPr>
                    <w:t>序号</w:t>
                  </w:r>
                </w:p>
              </w:tc>
              <w:tc>
                <w:tcPr>
                  <w:tcW w:w="2227" w:type="dxa"/>
                  <w:noWrap w:val="0"/>
                  <w:vAlign w:val="center"/>
                </w:tcPr>
                <w:p>
                  <w:pPr>
                    <w:pStyle w:val="87"/>
                    <w:rPr>
                      <w:rFonts w:hint="eastAsia"/>
                      <w:sz w:val="21"/>
                      <w:szCs w:val="21"/>
                    </w:rPr>
                  </w:pPr>
                  <w:r>
                    <w:rPr>
                      <w:rFonts w:hint="eastAsia"/>
                      <w:sz w:val="21"/>
                      <w:szCs w:val="21"/>
                    </w:rPr>
                    <w:t>名称</w:t>
                  </w:r>
                </w:p>
              </w:tc>
              <w:tc>
                <w:tcPr>
                  <w:tcW w:w="1404" w:type="dxa"/>
                  <w:noWrap w:val="0"/>
                  <w:vAlign w:val="top"/>
                </w:tcPr>
                <w:p>
                  <w:pPr>
                    <w:pStyle w:val="87"/>
                    <w:rPr>
                      <w:rFonts w:hint="eastAsia"/>
                      <w:sz w:val="21"/>
                      <w:szCs w:val="21"/>
                    </w:rPr>
                  </w:pPr>
                  <w:r>
                    <w:rPr>
                      <w:rFonts w:hint="eastAsia"/>
                      <w:sz w:val="21"/>
                      <w:szCs w:val="21"/>
                    </w:rPr>
                    <w:t>固废性质</w:t>
                  </w:r>
                </w:p>
              </w:tc>
              <w:tc>
                <w:tcPr>
                  <w:tcW w:w="1404" w:type="dxa"/>
                  <w:noWrap w:val="0"/>
                  <w:vAlign w:val="center"/>
                </w:tcPr>
                <w:p>
                  <w:pPr>
                    <w:pStyle w:val="87"/>
                    <w:rPr>
                      <w:rFonts w:hint="eastAsia"/>
                      <w:sz w:val="21"/>
                      <w:szCs w:val="21"/>
                    </w:rPr>
                  </w:pPr>
                  <w:r>
                    <w:rPr>
                      <w:rFonts w:hint="eastAsia"/>
                      <w:sz w:val="21"/>
                      <w:szCs w:val="21"/>
                    </w:rPr>
                    <w:t>产生量</w:t>
                  </w:r>
                </w:p>
              </w:tc>
              <w:tc>
                <w:tcPr>
                  <w:tcW w:w="3223" w:type="dxa"/>
                  <w:noWrap w:val="0"/>
                  <w:vAlign w:val="center"/>
                </w:tcPr>
                <w:p>
                  <w:pPr>
                    <w:pStyle w:val="87"/>
                    <w:rPr>
                      <w:rFonts w:hint="eastAsia"/>
                      <w:sz w:val="21"/>
                      <w:szCs w:val="21"/>
                    </w:rPr>
                  </w:pPr>
                  <w:r>
                    <w:rPr>
                      <w:rFonts w:hint="eastAsia"/>
                      <w:sz w:val="21"/>
                      <w:szCs w:val="21"/>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72" w:type="dxa"/>
                  <w:noWrap w:val="0"/>
                  <w:vAlign w:val="center"/>
                </w:tcPr>
                <w:p>
                  <w:pPr>
                    <w:pStyle w:val="87"/>
                    <w:rPr>
                      <w:rFonts w:hint="eastAsia"/>
                      <w:sz w:val="21"/>
                      <w:szCs w:val="21"/>
                    </w:rPr>
                  </w:pPr>
                  <w:r>
                    <w:rPr>
                      <w:rFonts w:hint="eastAsia"/>
                      <w:sz w:val="21"/>
                      <w:szCs w:val="21"/>
                    </w:rPr>
                    <w:t>1</w:t>
                  </w:r>
                </w:p>
              </w:tc>
              <w:tc>
                <w:tcPr>
                  <w:tcW w:w="2227" w:type="dxa"/>
                  <w:noWrap w:val="0"/>
                  <w:vAlign w:val="center"/>
                </w:tcPr>
                <w:p>
                  <w:pPr>
                    <w:pStyle w:val="87"/>
                    <w:rPr>
                      <w:rFonts w:hint="eastAsia"/>
                      <w:sz w:val="21"/>
                      <w:szCs w:val="21"/>
                    </w:rPr>
                  </w:pPr>
                  <w:r>
                    <w:rPr>
                      <w:rFonts w:hint="eastAsia"/>
                      <w:sz w:val="21"/>
                      <w:szCs w:val="21"/>
                    </w:rPr>
                    <w:t>除尘灰</w:t>
                  </w:r>
                </w:p>
              </w:tc>
              <w:tc>
                <w:tcPr>
                  <w:tcW w:w="1404" w:type="dxa"/>
                  <w:noWrap w:val="0"/>
                  <w:vAlign w:val="top"/>
                </w:tcPr>
                <w:p>
                  <w:pPr>
                    <w:pStyle w:val="87"/>
                    <w:rPr>
                      <w:sz w:val="21"/>
                      <w:szCs w:val="21"/>
                    </w:rPr>
                  </w:pPr>
                  <w:r>
                    <w:rPr>
                      <w:rFonts w:hint="eastAsia"/>
                      <w:sz w:val="21"/>
                      <w:szCs w:val="21"/>
                    </w:rPr>
                    <w:t>一般固废</w:t>
                  </w:r>
                </w:p>
              </w:tc>
              <w:tc>
                <w:tcPr>
                  <w:tcW w:w="1404" w:type="dxa"/>
                  <w:noWrap w:val="0"/>
                  <w:vAlign w:val="center"/>
                </w:tcPr>
                <w:p>
                  <w:pPr>
                    <w:pStyle w:val="87"/>
                    <w:rPr>
                      <w:rFonts w:hint="eastAsia"/>
                      <w:sz w:val="21"/>
                      <w:szCs w:val="21"/>
                    </w:rPr>
                  </w:pPr>
                  <w:r>
                    <w:rPr>
                      <w:sz w:val="21"/>
                      <w:szCs w:val="21"/>
                    </w:rPr>
                    <w:t>0.15</w:t>
                  </w:r>
                  <w:r>
                    <w:rPr>
                      <w:rFonts w:hint="eastAsia"/>
                      <w:sz w:val="21"/>
                      <w:szCs w:val="21"/>
                    </w:rPr>
                    <w:t>t/a</w:t>
                  </w:r>
                </w:p>
              </w:tc>
              <w:tc>
                <w:tcPr>
                  <w:tcW w:w="3223" w:type="dxa"/>
                  <w:noWrap w:val="0"/>
                  <w:vAlign w:val="center"/>
                </w:tcPr>
                <w:p>
                  <w:pPr>
                    <w:pStyle w:val="87"/>
                    <w:rPr>
                      <w:rFonts w:hint="eastAsia"/>
                      <w:sz w:val="21"/>
                      <w:szCs w:val="21"/>
                    </w:rPr>
                  </w:pPr>
                  <w:r>
                    <w:rPr>
                      <w:rFonts w:hint="eastAsia"/>
                      <w:sz w:val="21"/>
                      <w:szCs w:val="21"/>
                    </w:rPr>
                    <w:t>收集后交由当地环卫部门统一清运至垃圾填埋场处置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72" w:type="dxa"/>
                  <w:noWrap w:val="0"/>
                  <w:vAlign w:val="center"/>
                </w:tcPr>
                <w:p>
                  <w:pPr>
                    <w:pStyle w:val="87"/>
                    <w:rPr>
                      <w:rFonts w:hint="eastAsia"/>
                      <w:sz w:val="21"/>
                      <w:szCs w:val="21"/>
                    </w:rPr>
                  </w:pPr>
                  <w:r>
                    <w:rPr>
                      <w:rFonts w:hint="eastAsia"/>
                      <w:sz w:val="21"/>
                      <w:szCs w:val="21"/>
                    </w:rPr>
                    <w:t>2</w:t>
                  </w:r>
                </w:p>
              </w:tc>
              <w:tc>
                <w:tcPr>
                  <w:tcW w:w="2227" w:type="dxa"/>
                  <w:noWrap w:val="0"/>
                  <w:vAlign w:val="center"/>
                </w:tcPr>
                <w:p>
                  <w:pPr>
                    <w:pStyle w:val="87"/>
                    <w:rPr>
                      <w:rFonts w:hint="eastAsia"/>
                      <w:sz w:val="21"/>
                      <w:szCs w:val="21"/>
                    </w:rPr>
                  </w:pPr>
                  <w:r>
                    <w:rPr>
                      <w:rFonts w:hint="eastAsia"/>
                      <w:sz w:val="21"/>
                      <w:szCs w:val="21"/>
                    </w:rPr>
                    <w:t>生活垃圾</w:t>
                  </w:r>
                </w:p>
              </w:tc>
              <w:tc>
                <w:tcPr>
                  <w:tcW w:w="1404" w:type="dxa"/>
                  <w:noWrap w:val="0"/>
                  <w:vAlign w:val="top"/>
                </w:tcPr>
                <w:p>
                  <w:pPr>
                    <w:pStyle w:val="87"/>
                    <w:rPr>
                      <w:sz w:val="21"/>
                      <w:szCs w:val="21"/>
                    </w:rPr>
                  </w:pPr>
                  <w:r>
                    <w:rPr>
                      <w:rFonts w:hint="eastAsia"/>
                      <w:sz w:val="21"/>
                      <w:szCs w:val="21"/>
                    </w:rPr>
                    <w:t>一般固废</w:t>
                  </w:r>
                </w:p>
              </w:tc>
              <w:tc>
                <w:tcPr>
                  <w:tcW w:w="1404" w:type="dxa"/>
                  <w:noWrap w:val="0"/>
                  <w:vAlign w:val="center"/>
                </w:tcPr>
                <w:p>
                  <w:pPr>
                    <w:pStyle w:val="87"/>
                    <w:rPr>
                      <w:rFonts w:hint="eastAsia"/>
                      <w:sz w:val="21"/>
                      <w:szCs w:val="21"/>
                    </w:rPr>
                  </w:pPr>
                  <w:r>
                    <w:rPr>
                      <w:rFonts w:hint="eastAsia"/>
                      <w:sz w:val="21"/>
                      <w:szCs w:val="21"/>
                      <w:lang w:val="en-US" w:eastAsia="zh-CN"/>
                    </w:rPr>
                    <w:t>3.3</w:t>
                  </w:r>
                  <w:r>
                    <w:rPr>
                      <w:rFonts w:hint="eastAsia"/>
                      <w:sz w:val="21"/>
                      <w:szCs w:val="21"/>
                    </w:rPr>
                    <w:t>t/a</w:t>
                  </w:r>
                </w:p>
              </w:tc>
              <w:tc>
                <w:tcPr>
                  <w:tcW w:w="3223" w:type="dxa"/>
                  <w:noWrap w:val="0"/>
                  <w:vAlign w:val="center"/>
                </w:tcPr>
                <w:p>
                  <w:pPr>
                    <w:pStyle w:val="87"/>
                    <w:rPr>
                      <w:rFonts w:hint="eastAsia"/>
                      <w:sz w:val="21"/>
                      <w:szCs w:val="21"/>
                    </w:rPr>
                  </w:pPr>
                  <w:r>
                    <w:rPr>
                      <w:rFonts w:hint="eastAsia"/>
                      <w:sz w:val="21"/>
                      <w:szCs w:val="21"/>
                    </w:rPr>
                    <w:t>经收集后交当地环卫部门统一清运至垃圾填埋场处置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72" w:type="dxa"/>
                  <w:noWrap w:val="0"/>
                  <w:vAlign w:val="center"/>
                </w:tcPr>
                <w:p>
                  <w:pPr>
                    <w:pStyle w:val="87"/>
                    <w:rPr>
                      <w:rFonts w:hint="eastAsia"/>
                      <w:sz w:val="21"/>
                      <w:szCs w:val="21"/>
                    </w:rPr>
                  </w:pPr>
                  <w:r>
                    <w:rPr>
                      <w:rFonts w:hint="eastAsia"/>
                      <w:sz w:val="21"/>
                      <w:szCs w:val="21"/>
                    </w:rPr>
                    <w:t>3</w:t>
                  </w:r>
                </w:p>
              </w:tc>
              <w:tc>
                <w:tcPr>
                  <w:tcW w:w="2227" w:type="dxa"/>
                  <w:noWrap w:val="0"/>
                  <w:vAlign w:val="center"/>
                </w:tcPr>
                <w:p>
                  <w:pPr>
                    <w:pStyle w:val="87"/>
                    <w:rPr>
                      <w:rFonts w:hint="eastAsia"/>
                      <w:sz w:val="21"/>
                      <w:szCs w:val="21"/>
                    </w:rPr>
                  </w:pPr>
                  <w:r>
                    <w:rPr>
                      <w:rFonts w:hint="eastAsia"/>
                      <w:sz w:val="21"/>
                      <w:szCs w:val="21"/>
                    </w:rPr>
                    <w:t>污水预处理池污泥</w:t>
                  </w:r>
                </w:p>
              </w:tc>
              <w:tc>
                <w:tcPr>
                  <w:tcW w:w="1404" w:type="dxa"/>
                  <w:noWrap w:val="0"/>
                  <w:vAlign w:val="top"/>
                </w:tcPr>
                <w:p>
                  <w:pPr>
                    <w:pStyle w:val="87"/>
                    <w:rPr>
                      <w:sz w:val="21"/>
                      <w:szCs w:val="21"/>
                    </w:rPr>
                  </w:pPr>
                  <w:r>
                    <w:rPr>
                      <w:rFonts w:hint="eastAsia"/>
                      <w:sz w:val="21"/>
                      <w:szCs w:val="21"/>
                    </w:rPr>
                    <w:t>一般固废</w:t>
                  </w:r>
                </w:p>
              </w:tc>
              <w:tc>
                <w:tcPr>
                  <w:tcW w:w="1404" w:type="dxa"/>
                  <w:noWrap w:val="0"/>
                  <w:vAlign w:val="center"/>
                </w:tcPr>
                <w:p>
                  <w:pPr>
                    <w:pStyle w:val="87"/>
                    <w:rPr>
                      <w:sz w:val="21"/>
                      <w:szCs w:val="21"/>
                    </w:rPr>
                  </w:pPr>
                  <w:r>
                    <w:rPr>
                      <w:rFonts w:hint="eastAsia"/>
                      <w:sz w:val="21"/>
                      <w:szCs w:val="21"/>
                    </w:rPr>
                    <w:t>0</w:t>
                  </w:r>
                  <w:r>
                    <w:rPr>
                      <w:sz w:val="21"/>
                      <w:szCs w:val="21"/>
                    </w:rPr>
                    <w:t>.5</w:t>
                  </w:r>
                  <w:r>
                    <w:rPr>
                      <w:rFonts w:hint="eastAsia"/>
                      <w:sz w:val="21"/>
                      <w:szCs w:val="21"/>
                    </w:rPr>
                    <w:t xml:space="preserve"> t/a</w:t>
                  </w:r>
                </w:p>
              </w:tc>
              <w:tc>
                <w:tcPr>
                  <w:tcW w:w="3223" w:type="dxa"/>
                  <w:noWrap w:val="0"/>
                  <w:vAlign w:val="center"/>
                </w:tcPr>
                <w:p>
                  <w:pPr>
                    <w:pStyle w:val="87"/>
                    <w:rPr>
                      <w:rFonts w:hint="eastAsia"/>
                      <w:sz w:val="21"/>
                      <w:szCs w:val="21"/>
                    </w:rPr>
                  </w:pPr>
                  <w:r>
                    <w:rPr>
                      <w:rFonts w:hint="eastAsia"/>
                      <w:sz w:val="21"/>
                      <w:szCs w:val="21"/>
                    </w:rPr>
                    <w:t>定期清掏用作农肥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72" w:type="dxa"/>
                  <w:noWrap w:val="0"/>
                  <w:vAlign w:val="center"/>
                </w:tcPr>
                <w:p>
                  <w:pPr>
                    <w:pStyle w:val="87"/>
                    <w:rPr>
                      <w:rFonts w:hint="eastAsia"/>
                      <w:sz w:val="21"/>
                      <w:szCs w:val="21"/>
                    </w:rPr>
                  </w:pPr>
                  <w:r>
                    <w:rPr>
                      <w:rFonts w:hint="eastAsia"/>
                      <w:sz w:val="21"/>
                      <w:szCs w:val="21"/>
                    </w:rPr>
                    <w:t>4</w:t>
                  </w:r>
                </w:p>
              </w:tc>
              <w:tc>
                <w:tcPr>
                  <w:tcW w:w="2227" w:type="dxa"/>
                  <w:noWrap w:val="0"/>
                  <w:vAlign w:val="center"/>
                </w:tcPr>
                <w:p>
                  <w:pPr>
                    <w:pStyle w:val="87"/>
                    <w:rPr>
                      <w:rFonts w:hint="eastAsia"/>
                      <w:sz w:val="21"/>
                      <w:szCs w:val="21"/>
                    </w:rPr>
                  </w:pPr>
                  <w:r>
                    <w:rPr>
                      <w:rFonts w:hint="eastAsia"/>
                      <w:sz w:val="21"/>
                      <w:szCs w:val="21"/>
                    </w:rPr>
                    <w:t>不合格产品</w:t>
                  </w:r>
                </w:p>
              </w:tc>
              <w:tc>
                <w:tcPr>
                  <w:tcW w:w="1404" w:type="dxa"/>
                  <w:noWrap w:val="0"/>
                  <w:vAlign w:val="top"/>
                </w:tcPr>
                <w:p>
                  <w:pPr>
                    <w:pStyle w:val="87"/>
                    <w:rPr>
                      <w:sz w:val="21"/>
                      <w:szCs w:val="21"/>
                    </w:rPr>
                  </w:pPr>
                  <w:r>
                    <w:rPr>
                      <w:rFonts w:hint="eastAsia"/>
                      <w:sz w:val="21"/>
                      <w:szCs w:val="21"/>
                    </w:rPr>
                    <w:t>一般固废</w:t>
                  </w:r>
                </w:p>
              </w:tc>
              <w:tc>
                <w:tcPr>
                  <w:tcW w:w="1404" w:type="dxa"/>
                  <w:noWrap w:val="0"/>
                  <w:vAlign w:val="center"/>
                </w:tcPr>
                <w:p>
                  <w:pPr>
                    <w:pStyle w:val="87"/>
                    <w:rPr>
                      <w:rFonts w:hint="eastAsia"/>
                      <w:sz w:val="21"/>
                      <w:szCs w:val="21"/>
                    </w:rPr>
                  </w:pPr>
                  <w:r>
                    <w:rPr>
                      <w:sz w:val="21"/>
                      <w:szCs w:val="21"/>
                    </w:rPr>
                    <w:t>425</w:t>
                  </w:r>
                  <w:r>
                    <w:rPr>
                      <w:rFonts w:hint="eastAsia"/>
                      <w:sz w:val="21"/>
                      <w:szCs w:val="21"/>
                    </w:rPr>
                    <w:t>件</w:t>
                  </w:r>
                </w:p>
              </w:tc>
              <w:tc>
                <w:tcPr>
                  <w:tcW w:w="3223" w:type="dxa"/>
                  <w:noWrap w:val="0"/>
                  <w:vAlign w:val="center"/>
                </w:tcPr>
                <w:p>
                  <w:pPr>
                    <w:pStyle w:val="87"/>
                    <w:rPr>
                      <w:rFonts w:hint="eastAsia"/>
                      <w:sz w:val="21"/>
                      <w:szCs w:val="21"/>
                    </w:rPr>
                  </w:pPr>
                  <w:r>
                    <w:rPr>
                      <w:rFonts w:hint="eastAsia"/>
                      <w:sz w:val="21"/>
                      <w:szCs w:val="21"/>
                    </w:rPr>
                    <w:t>出售给相关回收单位综合利用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72" w:type="dxa"/>
                  <w:noWrap w:val="0"/>
                  <w:vAlign w:val="center"/>
                </w:tcPr>
                <w:p>
                  <w:pPr>
                    <w:pStyle w:val="87"/>
                    <w:rPr>
                      <w:rFonts w:hint="eastAsia"/>
                      <w:sz w:val="21"/>
                      <w:szCs w:val="21"/>
                    </w:rPr>
                  </w:pPr>
                  <w:r>
                    <w:rPr>
                      <w:sz w:val="21"/>
                      <w:szCs w:val="21"/>
                    </w:rPr>
                    <w:t>5</w:t>
                  </w:r>
                </w:p>
              </w:tc>
              <w:tc>
                <w:tcPr>
                  <w:tcW w:w="2227" w:type="dxa"/>
                  <w:noWrap w:val="0"/>
                  <w:vAlign w:val="center"/>
                </w:tcPr>
                <w:p>
                  <w:pPr>
                    <w:pStyle w:val="87"/>
                    <w:rPr>
                      <w:rFonts w:hint="eastAsia"/>
                      <w:sz w:val="21"/>
                      <w:szCs w:val="21"/>
                    </w:rPr>
                  </w:pPr>
                  <w:r>
                    <w:rPr>
                      <w:rFonts w:hint="eastAsia"/>
                      <w:sz w:val="21"/>
                      <w:szCs w:val="21"/>
                    </w:rPr>
                    <w:t>油浸淬火废渣</w:t>
                  </w:r>
                </w:p>
              </w:tc>
              <w:tc>
                <w:tcPr>
                  <w:tcW w:w="1404" w:type="dxa"/>
                  <w:noWrap w:val="0"/>
                  <w:vAlign w:val="top"/>
                </w:tcPr>
                <w:p>
                  <w:pPr>
                    <w:pStyle w:val="87"/>
                    <w:rPr>
                      <w:rFonts w:hint="eastAsia" w:eastAsia="宋体"/>
                      <w:sz w:val="21"/>
                      <w:szCs w:val="21"/>
                      <w:lang w:eastAsia="zh-CN"/>
                    </w:rPr>
                  </w:pPr>
                  <w:r>
                    <w:rPr>
                      <w:rFonts w:hint="eastAsia"/>
                      <w:sz w:val="21"/>
                      <w:szCs w:val="21"/>
                      <w:lang w:eastAsia="zh-CN"/>
                    </w:rPr>
                    <w:t>一般固废</w:t>
                  </w:r>
                </w:p>
              </w:tc>
              <w:tc>
                <w:tcPr>
                  <w:tcW w:w="1404" w:type="dxa"/>
                  <w:noWrap w:val="0"/>
                  <w:vAlign w:val="center"/>
                </w:tcPr>
                <w:p>
                  <w:pPr>
                    <w:pStyle w:val="87"/>
                    <w:rPr>
                      <w:rFonts w:hint="eastAsia"/>
                      <w:sz w:val="21"/>
                      <w:szCs w:val="21"/>
                    </w:rPr>
                  </w:pPr>
                  <w:r>
                    <w:rPr>
                      <w:sz w:val="21"/>
                      <w:szCs w:val="21"/>
                    </w:rPr>
                    <w:t>0.1</w:t>
                  </w:r>
                  <w:r>
                    <w:rPr>
                      <w:rFonts w:hint="eastAsia"/>
                      <w:sz w:val="21"/>
                      <w:szCs w:val="21"/>
                    </w:rPr>
                    <w:t>t/a</w:t>
                  </w:r>
                </w:p>
              </w:tc>
              <w:tc>
                <w:tcPr>
                  <w:tcW w:w="3223" w:type="dxa"/>
                  <w:noWrap w:val="0"/>
                  <w:vAlign w:val="center"/>
                </w:tcPr>
                <w:p>
                  <w:pPr>
                    <w:pStyle w:val="87"/>
                    <w:rPr>
                      <w:rFonts w:hint="eastAsia"/>
                      <w:sz w:val="21"/>
                      <w:szCs w:val="21"/>
                    </w:rPr>
                  </w:pPr>
                  <w:r>
                    <w:rPr>
                      <w:rFonts w:hint="eastAsia"/>
                      <w:sz w:val="21"/>
                      <w:szCs w:val="21"/>
                    </w:rPr>
                    <w:t>收集后交由当地环卫部门统一清运至垃圾填埋场处置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72" w:type="dxa"/>
                  <w:noWrap w:val="0"/>
                  <w:vAlign w:val="center"/>
                </w:tcPr>
                <w:p>
                  <w:pPr>
                    <w:pStyle w:val="87"/>
                    <w:rPr>
                      <w:rFonts w:hint="eastAsia"/>
                      <w:sz w:val="21"/>
                      <w:szCs w:val="21"/>
                    </w:rPr>
                  </w:pPr>
                  <w:r>
                    <w:rPr>
                      <w:sz w:val="21"/>
                      <w:szCs w:val="21"/>
                    </w:rPr>
                    <w:t>6</w:t>
                  </w:r>
                </w:p>
              </w:tc>
              <w:tc>
                <w:tcPr>
                  <w:tcW w:w="2227" w:type="dxa"/>
                  <w:noWrap w:val="0"/>
                  <w:vAlign w:val="center"/>
                </w:tcPr>
                <w:p>
                  <w:pPr>
                    <w:pStyle w:val="87"/>
                    <w:rPr>
                      <w:rFonts w:hint="eastAsia"/>
                      <w:sz w:val="21"/>
                      <w:szCs w:val="21"/>
                    </w:rPr>
                  </w:pPr>
                  <w:r>
                    <w:rPr>
                      <w:rFonts w:hint="eastAsia"/>
                      <w:sz w:val="21"/>
                      <w:szCs w:val="21"/>
                    </w:rPr>
                    <w:t>循环水池污泥</w:t>
                  </w:r>
                </w:p>
              </w:tc>
              <w:tc>
                <w:tcPr>
                  <w:tcW w:w="1404" w:type="dxa"/>
                  <w:noWrap w:val="0"/>
                  <w:vAlign w:val="top"/>
                </w:tcPr>
                <w:p>
                  <w:pPr>
                    <w:pStyle w:val="87"/>
                    <w:rPr>
                      <w:sz w:val="21"/>
                      <w:szCs w:val="21"/>
                    </w:rPr>
                  </w:pPr>
                  <w:r>
                    <w:rPr>
                      <w:rFonts w:hint="eastAsia"/>
                      <w:sz w:val="21"/>
                      <w:szCs w:val="21"/>
                    </w:rPr>
                    <w:t>危险固废</w:t>
                  </w:r>
                </w:p>
              </w:tc>
              <w:tc>
                <w:tcPr>
                  <w:tcW w:w="1404" w:type="dxa"/>
                  <w:noWrap w:val="0"/>
                  <w:vAlign w:val="center"/>
                </w:tcPr>
                <w:p>
                  <w:pPr>
                    <w:pStyle w:val="87"/>
                    <w:rPr>
                      <w:rFonts w:hint="eastAsia"/>
                      <w:sz w:val="21"/>
                      <w:szCs w:val="21"/>
                    </w:rPr>
                  </w:pPr>
                  <w:r>
                    <w:rPr>
                      <w:sz w:val="21"/>
                      <w:szCs w:val="21"/>
                    </w:rPr>
                    <w:t>0.3</w:t>
                  </w:r>
                  <w:r>
                    <w:rPr>
                      <w:rFonts w:hint="eastAsia"/>
                      <w:sz w:val="21"/>
                      <w:szCs w:val="21"/>
                    </w:rPr>
                    <w:t>t/a</w:t>
                  </w:r>
                </w:p>
              </w:tc>
              <w:tc>
                <w:tcPr>
                  <w:tcW w:w="3223" w:type="dxa"/>
                  <w:noWrap w:val="0"/>
                  <w:vAlign w:val="center"/>
                </w:tcPr>
                <w:p>
                  <w:pPr>
                    <w:pStyle w:val="87"/>
                    <w:rPr>
                      <w:rFonts w:hint="eastAsia"/>
                      <w:sz w:val="21"/>
                      <w:szCs w:val="21"/>
                    </w:rPr>
                  </w:pPr>
                  <w:r>
                    <w:rPr>
                      <w:rFonts w:hint="eastAsia"/>
                      <w:sz w:val="21"/>
                      <w:szCs w:val="21"/>
                    </w:rPr>
                    <w:t>收集至危废暂存间后交由资质单位处理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72" w:type="dxa"/>
                  <w:noWrap w:val="0"/>
                  <w:vAlign w:val="center"/>
                </w:tcPr>
                <w:p>
                  <w:pPr>
                    <w:pStyle w:val="87"/>
                    <w:rPr>
                      <w:sz w:val="21"/>
                      <w:szCs w:val="21"/>
                    </w:rPr>
                  </w:pPr>
                  <w:r>
                    <w:rPr>
                      <w:rFonts w:hint="eastAsia"/>
                      <w:sz w:val="21"/>
                      <w:szCs w:val="21"/>
                    </w:rPr>
                    <w:t>7</w:t>
                  </w:r>
                </w:p>
              </w:tc>
              <w:tc>
                <w:tcPr>
                  <w:tcW w:w="2227" w:type="dxa"/>
                  <w:noWrap w:val="0"/>
                  <w:vAlign w:val="center"/>
                </w:tcPr>
                <w:p>
                  <w:pPr>
                    <w:pStyle w:val="87"/>
                    <w:rPr>
                      <w:rFonts w:hint="eastAsia"/>
                      <w:sz w:val="21"/>
                      <w:szCs w:val="21"/>
                    </w:rPr>
                  </w:pPr>
                  <w:r>
                    <w:rPr>
                      <w:rFonts w:hint="eastAsia"/>
                      <w:sz w:val="21"/>
                      <w:szCs w:val="21"/>
                    </w:rPr>
                    <w:t>废矿物油</w:t>
                  </w:r>
                </w:p>
              </w:tc>
              <w:tc>
                <w:tcPr>
                  <w:tcW w:w="1404" w:type="dxa"/>
                  <w:noWrap w:val="0"/>
                  <w:vAlign w:val="top"/>
                </w:tcPr>
                <w:p>
                  <w:pPr>
                    <w:pStyle w:val="87"/>
                    <w:rPr>
                      <w:rFonts w:hint="eastAsia"/>
                      <w:sz w:val="21"/>
                      <w:szCs w:val="21"/>
                    </w:rPr>
                  </w:pPr>
                  <w:r>
                    <w:rPr>
                      <w:rFonts w:hint="eastAsia"/>
                      <w:sz w:val="21"/>
                      <w:szCs w:val="21"/>
                    </w:rPr>
                    <w:t>危险固废</w:t>
                  </w:r>
                </w:p>
              </w:tc>
              <w:tc>
                <w:tcPr>
                  <w:tcW w:w="1404" w:type="dxa"/>
                  <w:noWrap w:val="0"/>
                  <w:vAlign w:val="center"/>
                </w:tcPr>
                <w:p>
                  <w:pPr>
                    <w:pStyle w:val="87"/>
                    <w:rPr>
                      <w:sz w:val="21"/>
                      <w:szCs w:val="21"/>
                    </w:rPr>
                  </w:pPr>
                  <w:r>
                    <w:rPr>
                      <w:rFonts w:hint="eastAsia"/>
                      <w:sz w:val="21"/>
                      <w:szCs w:val="21"/>
                    </w:rPr>
                    <w:t>0</w:t>
                  </w:r>
                  <w:r>
                    <w:rPr>
                      <w:sz w:val="21"/>
                      <w:szCs w:val="21"/>
                    </w:rPr>
                    <w:t>.2</w:t>
                  </w:r>
                  <w:r>
                    <w:rPr>
                      <w:rFonts w:hint="eastAsia"/>
                      <w:sz w:val="21"/>
                      <w:szCs w:val="21"/>
                    </w:rPr>
                    <w:t xml:space="preserve"> t/a</w:t>
                  </w:r>
                </w:p>
              </w:tc>
              <w:tc>
                <w:tcPr>
                  <w:tcW w:w="3223" w:type="dxa"/>
                  <w:noWrap w:val="0"/>
                  <w:vAlign w:val="center"/>
                </w:tcPr>
                <w:p>
                  <w:pPr>
                    <w:pStyle w:val="87"/>
                    <w:rPr>
                      <w:rFonts w:hint="eastAsia"/>
                      <w:sz w:val="21"/>
                      <w:szCs w:val="21"/>
                    </w:rPr>
                  </w:pPr>
                  <w:r>
                    <w:rPr>
                      <w:rFonts w:hint="eastAsia"/>
                      <w:sz w:val="21"/>
                      <w:szCs w:val="21"/>
                    </w:rPr>
                    <w:t>收集至危废暂存间后交由资质单位处理</w:t>
                  </w:r>
                </w:p>
              </w:tc>
            </w:tr>
          </w:tbl>
          <w:p>
            <w:pPr>
              <w:pStyle w:val="15"/>
              <w:keepNext w:val="0"/>
              <w:keepLines w:val="0"/>
              <w:pageBreakBefore w:val="0"/>
              <w:widowControl w:val="0"/>
              <w:kinsoku/>
              <w:wordWrap/>
              <w:overflowPunct/>
              <w:topLinePunct w:val="0"/>
              <w:autoSpaceDE/>
              <w:autoSpaceDN/>
              <w:bidi w:val="0"/>
              <w:adjustRightInd/>
              <w:snapToGrid/>
              <w:ind w:firstLine="482"/>
              <w:textAlignment w:val="auto"/>
              <w:rPr>
                <w:rFonts w:hint="eastAsia" w:ascii="宋体" w:hAnsi="宋体" w:eastAsia="宋体" w:cs="宋体"/>
                <w:b w:val="0"/>
                <w:bCs w:val="0"/>
                <w:sz w:val="24"/>
              </w:rPr>
            </w:pPr>
            <w:r>
              <w:rPr>
                <w:rFonts w:hint="eastAsia" w:ascii="宋体" w:hAnsi="宋体" w:eastAsia="宋体" w:cs="宋体"/>
                <w:b w:val="0"/>
                <w:bCs w:val="0"/>
                <w:sz w:val="24"/>
              </w:rPr>
              <w:t>5地下水污染防治措施</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为了最大限度降低生产过程中有毒有害物料的跑冒滴漏，防止地下水污染，项目在生产工艺、设备、建筑结构、总图等方面均在设计中考虑了相应的控制措施，具体措施如下：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（1）实施清洁生产及各类废物循环利用的具体方案，减少污染物的排放量；防止污染物的跑冒漏滴，将污染物的</w:t>
            </w:r>
            <w:r>
              <w:rPr>
                <w:rFonts w:hint="eastAsia" w:ascii="宋体" w:hAnsi="宋体" w:eastAsia="宋体" w:cs="宋体"/>
                <w:sz w:val="24"/>
                <w:lang w:eastAsia="zh-CN"/>
              </w:rPr>
              <w:t>泄漏</w:t>
            </w:r>
            <w:r>
              <w:rPr>
                <w:rFonts w:hint="eastAsia" w:ascii="宋体" w:hAnsi="宋体" w:eastAsia="宋体" w:cs="宋体"/>
                <w:sz w:val="24"/>
              </w:rPr>
              <w:t>环境风险事故降到最低限度；</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（2）对厂内排水系统和污水池体及排放管道均做防渗处理；工艺管线应地上敷设，若确实需要地下敷设时，应在不通行的管沟内敷设，管沟应做防渗透处理并设置排水系统；</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（3）设备和管道检修、拆卸时必须采取措施，应收集设备和管道中的残留物质，不得任意排放；</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（4）污水池等所有构筑物均应采用防渗的钢筋混凝土结构；</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（5）项目事故水池、污水池均做防渗处理；并修建雨水沟，实行雨污分流；</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（6）定期进行检漏监测及检修。强化各相关工程的转弯、承插、对接等处防渗，</w:t>
            </w:r>
            <w:r>
              <w:rPr>
                <w:rFonts w:hint="eastAsia" w:ascii="宋体" w:hAnsi="宋体" w:eastAsia="宋体" w:cs="宋体"/>
                <w:sz w:val="24"/>
                <w:lang w:eastAsia="zh-CN"/>
              </w:rPr>
              <w:t>做好</w:t>
            </w:r>
            <w:r>
              <w:rPr>
                <w:rFonts w:hint="eastAsia" w:ascii="宋体" w:hAnsi="宋体" w:eastAsia="宋体" w:cs="宋体"/>
                <w:sz w:val="24"/>
              </w:rPr>
              <w:t>隐蔽工程记录，强化防渗工程环境管理。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（7）必须定期进行检漏监测；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（8）建立地下水风险事故应急响应预案，明确风险事故状态下应采取的封闭、截留等措施；</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（9）分区防渗，项目按一般防渗区、重点防渗区设计考虑相应的控制措施，采取不同等级的防渗措施。在重点防渗区域采用“</w:t>
            </w:r>
            <w:r>
              <w:rPr>
                <w:rFonts w:hint="eastAsia" w:ascii="宋体" w:hAnsi="宋体" w:eastAsia="宋体" w:cs="宋体"/>
                <w:sz w:val="24"/>
                <w:lang w:eastAsia="zh-CN"/>
              </w:rPr>
              <w:t>混凝土浇筑</w:t>
            </w:r>
            <w:r>
              <w:rPr>
                <w:rFonts w:hint="eastAsia" w:ascii="宋体" w:hAnsi="宋体" w:eastAsia="宋体" w:cs="宋体"/>
                <w:sz w:val="24"/>
              </w:rPr>
              <w:t>+铺设HDPE防渗膜”防渗处理（重点防渗区防渗要求：等效粘土防渗层Mb≥6.0m，K≤1×10</w:t>
            </w:r>
            <w:r>
              <w:rPr>
                <w:rFonts w:hint="eastAsia" w:ascii="宋体" w:hAnsi="宋体" w:eastAsia="宋体" w:cs="宋体"/>
                <w:sz w:val="24"/>
                <w:vertAlign w:val="superscript"/>
              </w:rPr>
              <w:t>-10</w:t>
            </w:r>
            <w:r>
              <w:rPr>
                <w:rFonts w:hint="eastAsia" w:ascii="宋体" w:hAnsi="宋体" w:eastAsia="宋体" w:cs="宋体"/>
                <w:sz w:val="24"/>
              </w:rPr>
              <w:t>cm/s。），并设置地下水污染监控系统，防止地下水污染；一般防渗区域应采取防渗混凝土地坪（渗透系数≤1.0×10</w:t>
            </w:r>
            <w:r>
              <w:rPr>
                <w:rFonts w:hint="eastAsia" w:ascii="宋体" w:hAnsi="宋体" w:eastAsia="宋体" w:cs="宋体"/>
                <w:sz w:val="24"/>
                <w:vertAlign w:val="superscript"/>
              </w:rPr>
              <w:t>-7</w:t>
            </w:r>
            <w:r>
              <w:rPr>
                <w:rFonts w:hint="eastAsia" w:ascii="宋体" w:hAnsi="宋体" w:eastAsia="宋体" w:cs="宋体"/>
                <w:sz w:val="24"/>
              </w:rPr>
              <w:t>cm/s）以上措施可以有效地防止地下水污染的发生。</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综上所述，若企业在管理方面严加管理，并配备必要的设施，则可以将项目建设及营运对地下水的污染可以减小到最小程度。</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本项目分区防渗情况如下表：</w:t>
            </w:r>
          </w:p>
          <w:p>
            <w:pPr>
              <w:spacing w:line="360" w:lineRule="auto"/>
              <w:ind w:firstLine="2882" w:firstLineChars="1196"/>
              <w:rPr>
                <w:b/>
                <w:sz w:val="24"/>
              </w:rPr>
            </w:pPr>
            <w:r>
              <w:rPr>
                <w:b/>
                <w:sz w:val="24"/>
              </w:rPr>
              <w:t>表</w:t>
            </w:r>
            <w:r>
              <w:rPr>
                <w:rFonts w:hint="eastAsia"/>
                <w:b/>
                <w:sz w:val="24"/>
              </w:rPr>
              <w:t xml:space="preserve">5-3        </w:t>
            </w:r>
            <w:r>
              <w:rPr>
                <w:b/>
                <w:sz w:val="24"/>
              </w:rPr>
              <w:t>拟建项目分区防渗情况一览表</w:t>
            </w:r>
          </w:p>
          <w:tbl>
            <w:tblPr>
              <w:tblStyle w:val="69"/>
              <w:tblW w:w="9140" w:type="dxa"/>
              <w:jc w:val="center"/>
              <w:tblInd w:w="0" w:type="dxa"/>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shd w:val="clear" w:color="auto" w:fill="CED7E7"/>
              <w:tblLayout w:type="fixed"/>
              <w:tblCellMar>
                <w:top w:w="0" w:type="dxa"/>
                <w:left w:w="0" w:type="dxa"/>
                <w:bottom w:w="0" w:type="dxa"/>
                <w:right w:w="0" w:type="dxa"/>
              </w:tblCellMar>
            </w:tblPr>
            <w:tblGrid>
              <w:gridCol w:w="902"/>
              <w:gridCol w:w="2326"/>
              <w:gridCol w:w="2291"/>
              <w:gridCol w:w="3621"/>
            </w:tblGrid>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shd w:val="clear" w:color="auto" w:fill="CED7E7"/>
                <w:tblLayout w:type="fixed"/>
                <w:tblCellMar>
                  <w:top w:w="0" w:type="dxa"/>
                  <w:left w:w="0" w:type="dxa"/>
                  <w:bottom w:w="0" w:type="dxa"/>
                  <w:right w:w="0" w:type="dxa"/>
                </w:tblCellMar>
              </w:tblPrEx>
              <w:trPr>
                <w:trHeight w:val="73" w:hRule="atLeast"/>
                <w:jc w:val="center"/>
              </w:trPr>
              <w:tc>
                <w:tcPr>
                  <w:tcW w:w="902" w:type="dxa"/>
                  <w:shd w:val="clear" w:color="auto" w:fill="auto"/>
                  <w:noWrap w:val="0"/>
                  <w:tcMar>
                    <w:top w:w="80" w:type="dxa"/>
                    <w:left w:w="80" w:type="dxa"/>
                    <w:bottom w:w="80" w:type="dxa"/>
                    <w:right w:w="80" w:type="dxa"/>
                  </w:tcMar>
                  <w:vAlign w:val="center"/>
                </w:tcPr>
                <w:p>
                  <w:pPr>
                    <w:adjustRightInd w:val="0"/>
                    <w:snapToGrid w:val="0"/>
                    <w:jc w:val="center"/>
                    <w:rPr>
                      <w:rFonts w:ascii="宋体" w:hAnsi="宋体"/>
                      <w:b/>
                      <w:szCs w:val="21"/>
                    </w:rPr>
                  </w:pPr>
                  <w:r>
                    <w:rPr>
                      <w:rStyle w:val="620"/>
                      <w:rFonts w:ascii="宋体" w:hAnsi="宋体"/>
                      <w:b/>
                      <w:bCs/>
                      <w:szCs w:val="21"/>
                      <w:lang w:val="zh-TW" w:eastAsia="zh-TW"/>
                    </w:rPr>
                    <w:t>类别</w:t>
                  </w:r>
                </w:p>
              </w:tc>
              <w:tc>
                <w:tcPr>
                  <w:tcW w:w="2326" w:type="dxa"/>
                  <w:shd w:val="clear" w:color="auto" w:fill="auto"/>
                  <w:noWrap w:val="0"/>
                  <w:vAlign w:val="center"/>
                </w:tcPr>
                <w:p>
                  <w:pPr>
                    <w:adjustRightInd w:val="0"/>
                    <w:snapToGrid w:val="0"/>
                    <w:jc w:val="center"/>
                    <w:rPr>
                      <w:rFonts w:ascii="宋体" w:hAnsi="宋体"/>
                      <w:b/>
                      <w:szCs w:val="21"/>
                    </w:rPr>
                  </w:pPr>
                  <w:r>
                    <w:rPr>
                      <w:rStyle w:val="620"/>
                      <w:rFonts w:ascii="宋体" w:hAnsi="宋体"/>
                      <w:b/>
                      <w:bCs/>
                      <w:szCs w:val="21"/>
                      <w:lang w:val="zh-TW" w:eastAsia="zh-TW"/>
                    </w:rPr>
                    <w:t>分区依据</w:t>
                  </w:r>
                </w:p>
              </w:tc>
              <w:tc>
                <w:tcPr>
                  <w:tcW w:w="2291" w:type="dxa"/>
                  <w:shd w:val="clear" w:color="auto" w:fill="auto"/>
                  <w:noWrap w:val="0"/>
                  <w:vAlign w:val="center"/>
                </w:tcPr>
                <w:p>
                  <w:pPr>
                    <w:adjustRightInd w:val="0"/>
                    <w:snapToGrid w:val="0"/>
                    <w:jc w:val="center"/>
                    <w:rPr>
                      <w:rFonts w:hint="eastAsia" w:ascii="宋体" w:hAnsi="宋体"/>
                      <w:b/>
                      <w:szCs w:val="21"/>
                    </w:rPr>
                  </w:pPr>
                  <w:r>
                    <w:rPr>
                      <w:rStyle w:val="620"/>
                      <w:rFonts w:ascii="宋体" w:hAnsi="宋体"/>
                      <w:b/>
                      <w:bCs/>
                      <w:szCs w:val="21"/>
                      <w:lang w:val="zh-TW" w:eastAsia="zh-TW"/>
                    </w:rPr>
                    <w:t>厂区地下水污染防治</w:t>
                  </w:r>
                  <w:r>
                    <w:rPr>
                      <w:rStyle w:val="620"/>
                      <w:rFonts w:hint="eastAsia" w:ascii="宋体" w:hAnsi="宋体"/>
                      <w:b/>
                      <w:bCs/>
                      <w:szCs w:val="21"/>
                      <w:lang w:val="zh-TW"/>
                    </w:rPr>
                    <w:t>分区</w:t>
                  </w:r>
                </w:p>
              </w:tc>
              <w:tc>
                <w:tcPr>
                  <w:tcW w:w="3621" w:type="dxa"/>
                  <w:shd w:val="clear" w:color="auto" w:fill="auto"/>
                  <w:noWrap w:val="0"/>
                  <w:vAlign w:val="center"/>
                </w:tcPr>
                <w:p>
                  <w:pPr>
                    <w:adjustRightInd w:val="0"/>
                    <w:snapToGrid w:val="0"/>
                    <w:jc w:val="center"/>
                    <w:rPr>
                      <w:rFonts w:ascii="宋体" w:hAnsi="宋体"/>
                      <w:b/>
                      <w:szCs w:val="21"/>
                    </w:rPr>
                  </w:pPr>
                  <w:r>
                    <w:rPr>
                      <w:rStyle w:val="620"/>
                      <w:rFonts w:ascii="宋体" w:hAnsi="宋体"/>
                      <w:b/>
                      <w:bCs/>
                      <w:szCs w:val="21"/>
                      <w:lang w:val="zh-TW" w:eastAsia="zh-TW"/>
                    </w:rPr>
                    <w:t>地下水防护措施</w:t>
                  </w: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902" w:type="dxa"/>
                  <w:shd w:val="clear" w:color="auto" w:fill="auto"/>
                  <w:noWrap w:val="0"/>
                  <w:tcMar>
                    <w:top w:w="80" w:type="dxa"/>
                    <w:left w:w="80" w:type="dxa"/>
                    <w:bottom w:w="80" w:type="dxa"/>
                    <w:right w:w="80" w:type="dxa"/>
                  </w:tcMar>
                  <w:vAlign w:val="center"/>
                </w:tcPr>
                <w:p>
                  <w:pPr>
                    <w:adjustRightInd w:val="0"/>
                    <w:snapToGrid w:val="0"/>
                    <w:jc w:val="center"/>
                    <w:rPr>
                      <w:rFonts w:ascii="宋体" w:hAnsi="宋体"/>
                      <w:szCs w:val="21"/>
                    </w:rPr>
                  </w:pPr>
                  <w:r>
                    <w:rPr>
                      <w:rStyle w:val="620"/>
                      <w:rFonts w:ascii="宋体" w:hAnsi="宋体"/>
                      <w:szCs w:val="21"/>
                      <w:lang w:val="zh-TW" w:eastAsia="zh-TW"/>
                    </w:rPr>
                    <w:t>重点</w:t>
                  </w:r>
                  <w:r>
                    <w:rPr>
                      <w:rStyle w:val="620"/>
                      <w:rFonts w:ascii="宋体" w:hAnsi="宋体"/>
                      <w:szCs w:val="21"/>
                      <w:lang w:val="zh-TW"/>
                    </w:rPr>
                    <w:t>防渗</w:t>
                  </w:r>
                  <w:r>
                    <w:rPr>
                      <w:rStyle w:val="620"/>
                      <w:rFonts w:ascii="宋体" w:hAnsi="宋体"/>
                      <w:szCs w:val="21"/>
                      <w:lang w:val="zh-TW" w:eastAsia="zh-TW"/>
                    </w:rPr>
                    <w:t>区</w:t>
                  </w:r>
                </w:p>
              </w:tc>
              <w:tc>
                <w:tcPr>
                  <w:tcW w:w="2326" w:type="dxa"/>
                  <w:shd w:val="clear" w:color="auto" w:fill="auto"/>
                  <w:noWrap w:val="0"/>
                  <w:vAlign w:val="center"/>
                </w:tcPr>
                <w:p>
                  <w:pPr>
                    <w:adjustRightInd w:val="0"/>
                    <w:snapToGrid w:val="0"/>
                    <w:rPr>
                      <w:rFonts w:ascii="宋体" w:hAnsi="宋体"/>
                      <w:szCs w:val="21"/>
                    </w:rPr>
                  </w:pPr>
                  <w:r>
                    <w:rPr>
                      <w:rStyle w:val="620"/>
                      <w:rFonts w:ascii="宋体" w:hAnsi="宋体"/>
                      <w:szCs w:val="21"/>
                      <w:lang w:val="zh-TW" w:eastAsia="zh-TW"/>
                    </w:rPr>
                    <w:t>可能造成地下水污染且污染地下水不容易发现的区域</w:t>
                  </w:r>
                </w:p>
              </w:tc>
              <w:tc>
                <w:tcPr>
                  <w:tcW w:w="2291" w:type="dxa"/>
                  <w:shd w:val="clear" w:color="auto" w:fill="auto"/>
                  <w:noWrap w:val="0"/>
                  <w:vAlign w:val="center"/>
                </w:tcPr>
                <w:p>
                  <w:pPr>
                    <w:adjustRightInd w:val="0"/>
                    <w:snapToGrid w:val="0"/>
                    <w:rPr>
                      <w:rFonts w:hint="eastAsia" w:ascii="宋体" w:hAnsi="宋体"/>
                      <w:szCs w:val="21"/>
                    </w:rPr>
                  </w:pPr>
                  <w:r>
                    <w:rPr>
                      <w:rFonts w:hint="eastAsia" w:ascii="宋体" w:hAnsi="宋体"/>
                      <w:szCs w:val="21"/>
                      <w:lang w:eastAsia="zh-CN"/>
                    </w:rPr>
                    <w:t>打磨车间</w:t>
                  </w:r>
                  <w:r>
                    <w:rPr>
                      <w:rFonts w:hint="eastAsia" w:ascii="宋体" w:hAnsi="宋体"/>
                      <w:szCs w:val="21"/>
                    </w:rPr>
                    <w:t>、</w:t>
                  </w:r>
                  <w:r>
                    <w:rPr>
                      <w:rFonts w:hint="eastAsia" w:ascii="宋体" w:hAnsi="宋体"/>
                      <w:szCs w:val="21"/>
                      <w:lang w:eastAsia="zh-CN"/>
                    </w:rPr>
                    <w:t>热处理车间、醇油存放间、</w:t>
                  </w:r>
                  <w:r>
                    <w:rPr>
                      <w:rFonts w:hint="eastAsia" w:ascii="宋体" w:hAnsi="宋体"/>
                      <w:szCs w:val="21"/>
                    </w:rPr>
                    <w:t>危废暂存间</w:t>
                  </w:r>
                </w:p>
              </w:tc>
              <w:tc>
                <w:tcPr>
                  <w:tcW w:w="3621" w:type="dxa"/>
                  <w:shd w:val="clear" w:color="auto" w:fill="auto"/>
                  <w:noWrap w:val="0"/>
                  <w:vAlign w:val="center"/>
                </w:tcPr>
                <w:p>
                  <w:pPr>
                    <w:tabs>
                      <w:tab w:val="left" w:pos="8452"/>
                    </w:tabs>
                    <w:adjustRightInd w:val="0"/>
                    <w:snapToGrid w:val="0"/>
                    <w:rPr>
                      <w:rFonts w:ascii="宋体" w:hAnsi="宋体"/>
                      <w:szCs w:val="21"/>
                    </w:rPr>
                  </w:pPr>
                  <w:r>
                    <w:rPr>
                      <w:rStyle w:val="620"/>
                      <w:rFonts w:ascii="宋体" w:hAnsi="宋体"/>
                      <w:szCs w:val="21"/>
                      <w:lang w:val="zh-TW" w:eastAsia="zh-TW"/>
                    </w:rPr>
                    <w:t>采用“环氧树脂（厚度2mm）+抗渗混凝土（厚度24cm，渗透系数≤1.0×10</w:t>
                  </w:r>
                  <w:r>
                    <w:rPr>
                      <w:rStyle w:val="620"/>
                      <w:rFonts w:ascii="宋体" w:hAnsi="宋体"/>
                      <w:szCs w:val="21"/>
                      <w:vertAlign w:val="superscript"/>
                      <w:lang w:val="zh-TW" w:eastAsia="zh-TW"/>
                    </w:rPr>
                    <w:t>-1</w:t>
                  </w:r>
                  <w:r>
                    <w:rPr>
                      <w:rStyle w:val="620"/>
                      <w:rFonts w:hint="eastAsia" w:ascii="宋体" w:hAnsi="宋体"/>
                      <w:szCs w:val="21"/>
                      <w:vertAlign w:val="superscript"/>
                    </w:rPr>
                    <w:t>0</w:t>
                  </w:r>
                  <w:r>
                    <w:rPr>
                      <w:rStyle w:val="620"/>
                      <w:rFonts w:ascii="宋体" w:hAnsi="宋体"/>
                      <w:szCs w:val="21"/>
                      <w:lang w:val="zh-TW" w:eastAsia="zh-TW"/>
                    </w:rPr>
                    <w:t>cm/s）”防渗</w:t>
                  </w: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31" w:hRule="atLeast"/>
                <w:jc w:val="center"/>
              </w:trPr>
              <w:tc>
                <w:tcPr>
                  <w:tcW w:w="902" w:type="dxa"/>
                  <w:shd w:val="clear" w:color="auto" w:fill="auto"/>
                  <w:noWrap w:val="0"/>
                  <w:tcMar>
                    <w:top w:w="80" w:type="dxa"/>
                    <w:left w:w="80" w:type="dxa"/>
                    <w:bottom w:w="80" w:type="dxa"/>
                    <w:right w:w="80" w:type="dxa"/>
                  </w:tcMar>
                  <w:vAlign w:val="center"/>
                </w:tcPr>
                <w:p>
                  <w:pPr>
                    <w:adjustRightInd w:val="0"/>
                    <w:snapToGrid w:val="0"/>
                    <w:jc w:val="center"/>
                    <w:rPr>
                      <w:rFonts w:ascii="宋体" w:hAnsi="宋体"/>
                      <w:szCs w:val="21"/>
                    </w:rPr>
                  </w:pPr>
                  <w:r>
                    <w:rPr>
                      <w:rStyle w:val="620"/>
                      <w:rFonts w:ascii="宋体" w:hAnsi="宋体"/>
                      <w:szCs w:val="21"/>
                      <w:lang w:val="zh-TW" w:eastAsia="zh-TW"/>
                    </w:rPr>
                    <w:t>一般</w:t>
                  </w:r>
                  <w:r>
                    <w:rPr>
                      <w:rStyle w:val="620"/>
                      <w:rFonts w:ascii="宋体" w:hAnsi="宋体"/>
                      <w:szCs w:val="21"/>
                      <w:lang w:val="zh-TW"/>
                    </w:rPr>
                    <w:t>防渗</w:t>
                  </w:r>
                  <w:r>
                    <w:rPr>
                      <w:rStyle w:val="620"/>
                      <w:rFonts w:ascii="宋体" w:hAnsi="宋体"/>
                      <w:szCs w:val="21"/>
                      <w:lang w:val="zh-TW" w:eastAsia="zh-TW"/>
                    </w:rPr>
                    <w:t>区</w:t>
                  </w:r>
                </w:p>
              </w:tc>
              <w:tc>
                <w:tcPr>
                  <w:tcW w:w="2326" w:type="dxa"/>
                  <w:shd w:val="clear" w:color="auto" w:fill="auto"/>
                  <w:noWrap w:val="0"/>
                  <w:vAlign w:val="center"/>
                </w:tcPr>
                <w:p>
                  <w:pPr>
                    <w:adjustRightInd w:val="0"/>
                    <w:snapToGrid w:val="0"/>
                    <w:rPr>
                      <w:rFonts w:ascii="宋体" w:hAnsi="宋体"/>
                      <w:szCs w:val="21"/>
                    </w:rPr>
                  </w:pPr>
                  <w:r>
                    <w:rPr>
                      <w:rStyle w:val="620"/>
                      <w:rFonts w:ascii="宋体" w:hAnsi="宋体"/>
                      <w:szCs w:val="21"/>
                      <w:lang w:val="zh-TW" w:eastAsia="zh-TW"/>
                    </w:rPr>
                    <w:t>辅助功能单元，污染地下水环境的物料泄漏容易及时发现和处理的区域</w:t>
                  </w:r>
                </w:p>
              </w:tc>
              <w:tc>
                <w:tcPr>
                  <w:tcW w:w="2291" w:type="dxa"/>
                  <w:shd w:val="clear" w:color="auto" w:fill="auto"/>
                  <w:noWrap w:val="0"/>
                  <w:vAlign w:val="center"/>
                </w:tcPr>
                <w:p>
                  <w:pPr>
                    <w:adjustRightInd w:val="0"/>
                    <w:snapToGrid w:val="0"/>
                    <w:rPr>
                      <w:rFonts w:hint="eastAsia" w:ascii="宋体" w:hAnsi="宋体"/>
                      <w:szCs w:val="21"/>
                    </w:rPr>
                  </w:pPr>
                  <w:r>
                    <w:rPr>
                      <w:rFonts w:hint="eastAsia" w:ascii="宋体" w:hAnsi="宋体"/>
                      <w:bCs/>
                      <w:spacing w:val="-4"/>
                      <w:szCs w:val="21"/>
                      <w:lang w:eastAsia="zh-CN" w:bidi="ar"/>
                    </w:rPr>
                    <w:t>其他</w:t>
                  </w:r>
                  <w:r>
                    <w:rPr>
                      <w:rFonts w:hint="eastAsia" w:ascii="宋体" w:hAnsi="宋体"/>
                      <w:bCs/>
                      <w:spacing w:val="-4"/>
                      <w:szCs w:val="21"/>
                      <w:lang w:bidi="ar"/>
                    </w:rPr>
                    <w:t>生产车间</w:t>
                  </w:r>
                </w:p>
              </w:tc>
              <w:tc>
                <w:tcPr>
                  <w:tcW w:w="3621" w:type="dxa"/>
                  <w:shd w:val="clear" w:color="auto" w:fill="auto"/>
                  <w:noWrap w:val="0"/>
                  <w:vAlign w:val="center"/>
                </w:tcPr>
                <w:p>
                  <w:pPr>
                    <w:tabs>
                      <w:tab w:val="left" w:pos="8452"/>
                    </w:tabs>
                    <w:adjustRightInd w:val="0"/>
                    <w:snapToGrid w:val="0"/>
                    <w:rPr>
                      <w:rFonts w:ascii="宋体" w:hAnsi="宋体"/>
                      <w:szCs w:val="21"/>
                    </w:rPr>
                  </w:pPr>
                  <w:r>
                    <w:rPr>
                      <w:rStyle w:val="620"/>
                      <w:rFonts w:ascii="宋体" w:hAnsi="宋体"/>
                      <w:szCs w:val="21"/>
                      <w:lang w:val="zh-TW" w:eastAsia="zh-TW"/>
                    </w:rPr>
                    <w:t>采用“混凝土（厚度20cm，渗透系数≤1.0×10</w:t>
                  </w:r>
                  <w:r>
                    <w:rPr>
                      <w:rStyle w:val="620"/>
                      <w:rFonts w:ascii="宋体" w:hAnsi="宋体"/>
                      <w:szCs w:val="21"/>
                      <w:vertAlign w:val="superscript"/>
                      <w:lang w:val="zh-TW" w:eastAsia="zh-TW"/>
                    </w:rPr>
                    <w:t>-7</w:t>
                  </w:r>
                  <w:r>
                    <w:rPr>
                      <w:rStyle w:val="620"/>
                      <w:rFonts w:ascii="宋体" w:hAnsi="宋体"/>
                      <w:szCs w:val="21"/>
                      <w:lang w:val="zh-TW" w:eastAsia="zh-TW"/>
                    </w:rPr>
                    <w:t>cm/s）” 防渗</w:t>
                  </w:r>
                </w:p>
              </w:tc>
            </w:tr>
          </w:tbl>
          <w:p>
            <w:pPr>
              <w:spacing w:line="360" w:lineRule="auto"/>
              <w:rPr>
                <w:rFonts w:hint="eastAsia"/>
                <w:b/>
                <w:sz w:val="24"/>
              </w:rPr>
            </w:pPr>
          </w:p>
        </w:tc>
      </w:tr>
    </w:tbl>
    <w:p>
      <w:pPr>
        <w:pStyle w:val="52"/>
        <w:jc w:val="both"/>
        <w:rPr>
          <w:rFonts w:hint="eastAsia"/>
        </w:rPr>
      </w:pPr>
      <w:r>
        <w:rPr>
          <w:rFonts w:hint="eastAsia"/>
        </w:rPr>
        <w:t xml:space="preserve">项目主要污染物产生及预计排放情况 </w:t>
      </w:r>
      <w:r>
        <w:t xml:space="preserve"> </w:t>
      </w:r>
      <w:r>
        <w:rPr>
          <w:rFonts w:hint="eastAsia"/>
          <w:lang w:val="en-US" w:eastAsia="zh-CN"/>
        </w:rPr>
        <w:t xml:space="preserve">             </w:t>
      </w:r>
      <w:r>
        <w:t xml:space="preserve">  </w:t>
      </w:r>
      <w:r>
        <w:rPr>
          <w:rFonts w:hint="eastAsia"/>
        </w:rPr>
        <w:t>表（六）</w:t>
      </w:r>
      <w:r>
        <w:t xml:space="preserve">                </w:t>
      </w:r>
    </w:p>
    <w:tbl>
      <w:tblPr>
        <w:tblStyle w:val="69"/>
        <w:tblW w:w="873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5"/>
        <w:gridCol w:w="1371"/>
        <w:gridCol w:w="2033"/>
        <w:gridCol w:w="2235"/>
        <w:gridCol w:w="22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tc>
          <w:tcPr>
            <w:tcW w:w="815" w:type="dxa"/>
            <w:tcBorders>
              <w:bottom w:val="single" w:color="auto" w:sz="4" w:space="0"/>
              <w:tl2br w:val="single" w:color="000000" w:sz="6" w:space="0"/>
            </w:tcBorders>
            <w:noWrap w:val="0"/>
            <w:vAlign w:val="top"/>
          </w:tcPr>
          <w:p>
            <w:pPr>
              <w:pStyle w:val="621"/>
              <w:topLinePunct w:val="0"/>
              <w:autoSpaceDE/>
              <w:autoSpaceDN/>
              <w:adjustRightInd/>
              <w:ind w:firstLine="210"/>
              <w:jc w:val="right"/>
              <w:textAlignment w:val="auto"/>
              <w:rPr>
                <w:rFonts w:ascii="Times New Roman" w:hAnsi="Times New Roman"/>
                <w:b/>
                <w:kern w:val="2"/>
                <w:position w:val="0"/>
                <w:szCs w:val="21"/>
              </w:rPr>
            </w:pPr>
            <w:r>
              <w:rPr>
                <w:rFonts w:ascii="Times New Roman" w:hAnsi="宋体"/>
                <w:b/>
                <w:kern w:val="2"/>
                <w:position w:val="0"/>
                <w:szCs w:val="21"/>
              </w:rPr>
              <w:t>内</w:t>
            </w:r>
            <w:r>
              <w:rPr>
                <w:rFonts w:ascii="Times New Roman" w:hAnsi="Times New Roman"/>
                <w:b/>
                <w:kern w:val="2"/>
                <w:position w:val="0"/>
                <w:szCs w:val="21"/>
              </w:rPr>
              <w:t xml:space="preserve">   </w:t>
            </w:r>
            <w:r>
              <w:rPr>
                <w:rFonts w:ascii="Times New Roman" w:hAnsi="宋体"/>
                <w:b/>
                <w:kern w:val="2"/>
                <w:position w:val="0"/>
                <w:szCs w:val="21"/>
              </w:rPr>
              <w:t>容</w:t>
            </w:r>
          </w:p>
          <w:p>
            <w:pPr>
              <w:jc w:val="left"/>
              <w:rPr>
                <w:b/>
                <w:szCs w:val="21"/>
              </w:rPr>
            </w:pPr>
            <w:r>
              <w:rPr>
                <w:rFonts w:hAnsi="宋体"/>
                <w:b/>
                <w:szCs w:val="21"/>
              </w:rPr>
              <w:t>类型</w:t>
            </w:r>
          </w:p>
        </w:tc>
        <w:tc>
          <w:tcPr>
            <w:tcW w:w="1371" w:type="dxa"/>
            <w:noWrap w:val="0"/>
            <w:vAlign w:val="center"/>
          </w:tcPr>
          <w:p>
            <w:pPr>
              <w:jc w:val="center"/>
              <w:rPr>
                <w:b/>
                <w:szCs w:val="21"/>
              </w:rPr>
            </w:pPr>
            <w:r>
              <w:rPr>
                <w:rFonts w:hAnsi="宋体"/>
                <w:b/>
                <w:szCs w:val="21"/>
              </w:rPr>
              <w:t>排放源</w:t>
            </w:r>
          </w:p>
          <w:p>
            <w:pPr>
              <w:jc w:val="center"/>
              <w:rPr>
                <w:b/>
                <w:szCs w:val="21"/>
              </w:rPr>
            </w:pPr>
            <w:r>
              <w:rPr>
                <w:b/>
                <w:szCs w:val="21"/>
              </w:rPr>
              <w:t>(</w:t>
            </w:r>
            <w:r>
              <w:rPr>
                <w:rFonts w:hAnsi="宋体"/>
                <w:b/>
                <w:szCs w:val="21"/>
              </w:rPr>
              <w:t>编号</w:t>
            </w:r>
            <w:r>
              <w:rPr>
                <w:b/>
                <w:szCs w:val="21"/>
              </w:rPr>
              <w:t>)</w:t>
            </w:r>
          </w:p>
        </w:tc>
        <w:tc>
          <w:tcPr>
            <w:tcW w:w="2033" w:type="dxa"/>
            <w:noWrap w:val="0"/>
            <w:vAlign w:val="center"/>
          </w:tcPr>
          <w:p>
            <w:pPr>
              <w:pStyle w:val="619"/>
              <w:topLinePunct w:val="0"/>
              <w:autoSpaceDE/>
              <w:autoSpaceDN/>
              <w:adjustRightInd/>
              <w:textAlignment w:val="auto"/>
              <w:rPr>
                <w:rFonts w:ascii="Times New Roman" w:hAnsi="Times New Roman"/>
                <w:b/>
                <w:kern w:val="2"/>
                <w:sz w:val="21"/>
                <w:szCs w:val="21"/>
              </w:rPr>
            </w:pPr>
            <w:r>
              <w:rPr>
                <w:rFonts w:ascii="Times New Roman" w:hAnsi="宋体"/>
                <w:b/>
                <w:kern w:val="2"/>
                <w:sz w:val="21"/>
                <w:szCs w:val="21"/>
              </w:rPr>
              <w:t>污染物名称</w:t>
            </w:r>
          </w:p>
        </w:tc>
        <w:tc>
          <w:tcPr>
            <w:tcW w:w="2235" w:type="dxa"/>
            <w:tcBorders>
              <w:right w:val="single" w:color="auto" w:sz="4" w:space="0"/>
            </w:tcBorders>
            <w:noWrap w:val="0"/>
            <w:vAlign w:val="center"/>
          </w:tcPr>
          <w:p>
            <w:pPr>
              <w:jc w:val="center"/>
              <w:rPr>
                <w:b/>
                <w:szCs w:val="21"/>
              </w:rPr>
            </w:pPr>
            <w:r>
              <w:rPr>
                <w:rFonts w:hAnsi="宋体"/>
                <w:b/>
                <w:szCs w:val="21"/>
              </w:rPr>
              <w:t>处理前产生浓度及</w:t>
            </w:r>
          </w:p>
          <w:p>
            <w:pPr>
              <w:jc w:val="center"/>
              <w:rPr>
                <w:b/>
                <w:szCs w:val="21"/>
              </w:rPr>
            </w:pPr>
            <w:r>
              <w:rPr>
                <w:rFonts w:hAnsi="宋体"/>
                <w:b/>
                <w:szCs w:val="21"/>
              </w:rPr>
              <w:t>产生量</w:t>
            </w:r>
            <w:r>
              <w:rPr>
                <w:b/>
                <w:szCs w:val="21"/>
              </w:rPr>
              <w:t>(</w:t>
            </w:r>
            <w:r>
              <w:rPr>
                <w:rFonts w:hAnsi="宋体"/>
                <w:b/>
                <w:szCs w:val="21"/>
              </w:rPr>
              <w:t>单位</w:t>
            </w:r>
            <w:r>
              <w:rPr>
                <w:b/>
                <w:szCs w:val="21"/>
              </w:rPr>
              <w:t>)</w:t>
            </w:r>
          </w:p>
        </w:tc>
        <w:tc>
          <w:tcPr>
            <w:tcW w:w="2277" w:type="dxa"/>
            <w:tcBorders>
              <w:left w:val="single" w:color="auto" w:sz="4" w:space="0"/>
              <w:bottom w:val="single" w:color="auto" w:sz="4" w:space="0"/>
            </w:tcBorders>
            <w:noWrap w:val="0"/>
            <w:vAlign w:val="center"/>
          </w:tcPr>
          <w:p>
            <w:pPr>
              <w:jc w:val="center"/>
              <w:rPr>
                <w:b/>
                <w:szCs w:val="21"/>
              </w:rPr>
            </w:pPr>
            <w:r>
              <w:rPr>
                <w:rFonts w:hAnsi="宋体"/>
                <w:b/>
                <w:szCs w:val="21"/>
              </w:rPr>
              <w:t>排放浓度及排放量</w:t>
            </w:r>
          </w:p>
          <w:p>
            <w:pPr>
              <w:jc w:val="center"/>
              <w:rPr>
                <w:b/>
                <w:szCs w:val="21"/>
              </w:rPr>
            </w:pPr>
            <w:r>
              <w:rPr>
                <w:b/>
                <w:szCs w:val="21"/>
              </w:rPr>
              <w:t>(</w:t>
            </w:r>
            <w:r>
              <w:rPr>
                <w:rFonts w:hAnsi="宋体"/>
                <w:b/>
                <w:szCs w:val="21"/>
              </w:rPr>
              <w:t>单位</w:t>
            </w:r>
            <w:r>
              <w:rPr>
                <w:b/>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3" w:hRule="atLeast"/>
        </w:trPr>
        <w:tc>
          <w:tcPr>
            <w:tcW w:w="815" w:type="dxa"/>
            <w:vMerge w:val="restart"/>
            <w:noWrap w:val="0"/>
            <w:vAlign w:val="center"/>
          </w:tcPr>
          <w:p>
            <w:pPr>
              <w:pStyle w:val="24"/>
              <w:ind w:firstLine="0"/>
              <w:jc w:val="center"/>
              <w:rPr>
                <w:rFonts w:hint="eastAsia" w:ascii="宋体" w:hAnsi="宋体" w:cs="宋体"/>
                <w:sz w:val="21"/>
                <w:szCs w:val="21"/>
              </w:rPr>
            </w:pPr>
            <w:r>
              <w:rPr>
                <w:rFonts w:hint="eastAsia" w:ascii="宋体" w:hAnsi="宋体" w:cs="宋体"/>
                <w:sz w:val="21"/>
                <w:szCs w:val="21"/>
              </w:rPr>
              <w:t>大</w:t>
            </w:r>
          </w:p>
          <w:p>
            <w:pPr>
              <w:jc w:val="center"/>
              <w:rPr>
                <w:rFonts w:hint="eastAsia" w:ascii="宋体" w:hAnsi="宋体" w:cs="宋体"/>
                <w:szCs w:val="21"/>
              </w:rPr>
            </w:pPr>
            <w:r>
              <w:rPr>
                <w:rFonts w:hint="eastAsia" w:ascii="宋体" w:hAnsi="宋体" w:cs="宋体"/>
                <w:szCs w:val="21"/>
              </w:rPr>
              <w:t>气</w:t>
            </w:r>
          </w:p>
          <w:p>
            <w:pPr>
              <w:jc w:val="center"/>
              <w:rPr>
                <w:rFonts w:hint="eastAsia" w:ascii="宋体" w:hAnsi="宋体" w:cs="宋体"/>
                <w:szCs w:val="21"/>
              </w:rPr>
            </w:pPr>
            <w:r>
              <w:rPr>
                <w:rFonts w:hint="eastAsia" w:ascii="宋体" w:hAnsi="宋体" w:cs="宋体"/>
                <w:szCs w:val="21"/>
              </w:rPr>
              <w:t>污</w:t>
            </w:r>
          </w:p>
          <w:p>
            <w:pPr>
              <w:jc w:val="center"/>
              <w:rPr>
                <w:rFonts w:hint="eastAsia" w:ascii="宋体" w:hAnsi="宋体" w:cs="宋体"/>
                <w:szCs w:val="21"/>
              </w:rPr>
            </w:pPr>
            <w:r>
              <w:rPr>
                <w:rFonts w:hint="eastAsia" w:ascii="宋体" w:hAnsi="宋体" w:cs="宋体"/>
                <w:szCs w:val="21"/>
              </w:rPr>
              <w:t>染</w:t>
            </w:r>
          </w:p>
          <w:p>
            <w:pPr>
              <w:pStyle w:val="583"/>
              <w:rPr>
                <w:rFonts w:hint="eastAsia" w:ascii="宋体" w:hAnsi="宋体" w:cs="宋体"/>
                <w:sz w:val="21"/>
                <w:szCs w:val="21"/>
              </w:rPr>
            </w:pPr>
            <w:r>
              <w:rPr>
                <w:rFonts w:hint="eastAsia" w:ascii="宋体" w:hAnsi="宋体" w:eastAsia="宋体" w:cs="宋体"/>
                <w:sz w:val="21"/>
                <w:szCs w:val="21"/>
              </w:rPr>
              <w:t>物</w:t>
            </w:r>
          </w:p>
        </w:tc>
        <w:tc>
          <w:tcPr>
            <w:tcW w:w="1371" w:type="dxa"/>
            <w:tcBorders>
              <w:bottom w:val="single" w:color="auto" w:sz="4" w:space="0"/>
            </w:tcBorders>
            <w:noWrap w:val="0"/>
            <w:vAlign w:val="center"/>
          </w:tcPr>
          <w:p>
            <w:pPr>
              <w:pStyle w:val="574"/>
              <w:rPr>
                <w:rFonts w:ascii="Times New Roman" w:hAnsi="Times New Roman"/>
                <w:sz w:val="21"/>
                <w:szCs w:val="21"/>
              </w:rPr>
            </w:pPr>
            <w:r>
              <w:rPr>
                <w:rFonts w:hint="eastAsia" w:ascii="Times New Roman" w:hAnsi="Times New Roman"/>
                <w:sz w:val="21"/>
                <w:szCs w:val="21"/>
              </w:rPr>
              <w:t>施工期</w:t>
            </w:r>
          </w:p>
        </w:tc>
        <w:tc>
          <w:tcPr>
            <w:tcW w:w="2033" w:type="dxa"/>
            <w:tcBorders>
              <w:bottom w:val="single" w:color="auto" w:sz="4" w:space="0"/>
            </w:tcBorders>
            <w:noWrap w:val="0"/>
            <w:vAlign w:val="top"/>
          </w:tcPr>
          <w:p>
            <w:pPr>
              <w:rPr>
                <w:rFonts w:hint="eastAsia"/>
                <w:szCs w:val="21"/>
              </w:rPr>
            </w:pPr>
            <w:r>
              <w:rPr>
                <w:rFonts w:hint="eastAsia"/>
                <w:szCs w:val="21"/>
              </w:rPr>
              <w:t>装修废气、扬尘</w:t>
            </w:r>
          </w:p>
        </w:tc>
        <w:tc>
          <w:tcPr>
            <w:tcW w:w="4512" w:type="dxa"/>
            <w:gridSpan w:val="2"/>
            <w:tcBorders>
              <w:bottom w:val="single" w:color="auto" w:sz="4" w:space="0"/>
            </w:tcBorders>
            <w:noWrap w:val="0"/>
            <w:vAlign w:val="top"/>
          </w:tcPr>
          <w:p>
            <w:pPr>
              <w:rPr>
                <w:szCs w:val="21"/>
              </w:rPr>
            </w:pPr>
            <w:r>
              <w:rPr>
                <w:rFonts w:hint="eastAsia"/>
                <w:szCs w:val="21"/>
              </w:rPr>
              <w:t>加强室内通风换气；减缓运输车辆车速、洒水降尘等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3" w:hRule="atLeast"/>
        </w:trPr>
        <w:tc>
          <w:tcPr>
            <w:tcW w:w="815" w:type="dxa"/>
            <w:vMerge w:val="continue"/>
            <w:noWrap w:val="0"/>
            <w:vAlign w:val="center"/>
          </w:tcPr>
          <w:p>
            <w:pPr>
              <w:pStyle w:val="583"/>
              <w:rPr>
                <w:rFonts w:hint="eastAsia" w:ascii="宋体" w:hAnsi="宋体" w:eastAsia="宋体" w:cs="宋体"/>
                <w:sz w:val="21"/>
                <w:szCs w:val="21"/>
              </w:rPr>
            </w:pPr>
          </w:p>
        </w:tc>
        <w:tc>
          <w:tcPr>
            <w:tcW w:w="1371" w:type="dxa"/>
            <w:vMerge w:val="restart"/>
            <w:noWrap w:val="0"/>
            <w:vAlign w:val="center"/>
          </w:tcPr>
          <w:p>
            <w:pPr>
              <w:pStyle w:val="574"/>
              <w:rPr>
                <w:rFonts w:ascii="Times New Roman" w:hAnsi="Times New Roman"/>
                <w:sz w:val="21"/>
                <w:szCs w:val="21"/>
              </w:rPr>
            </w:pPr>
            <w:r>
              <w:rPr>
                <w:rFonts w:hint="eastAsia" w:ascii="Times New Roman" w:hAnsi="Times New Roman"/>
                <w:sz w:val="21"/>
                <w:szCs w:val="21"/>
              </w:rPr>
              <w:t>营运期</w:t>
            </w:r>
          </w:p>
        </w:tc>
        <w:tc>
          <w:tcPr>
            <w:tcW w:w="2033" w:type="dxa"/>
            <w:tcBorders>
              <w:bottom w:val="single" w:color="auto" w:sz="4" w:space="0"/>
            </w:tcBorders>
            <w:noWrap w:val="0"/>
            <w:vAlign w:val="center"/>
          </w:tcPr>
          <w:p>
            <w:pPr>
              <w:pStyle w:val="574"/>
              <w:autoSpaceDE/>
              <w:autoSpaceDN/>
              <w:adjustRightInd/>
              <w:textAlignment w:val="auto"/>
              <w:rPr>
                <w:rFonts w:hint="eastAsia" w:ascii="Times New Roman" w:hAnsi="Times New Roman"/>
                <w:sz w:val="21"/>
                <w:szCs w:val="21"/>
              </w:rPr>
            </w:pPr>
            <w:r>
              <w:rPr>
                <w:rFonts w:hint="eastAsia" w:ascii="Times New Roman" w:hAnsi="Times New Roman"/>
                <w:sz w:val="21"/>
                <w:szCs w:val="21"/>
              </w:rPr>
              <w:t>刀身打磨粉尘</w:t>
            </w:r>
          </w:p>
        </w:tc>
        <w:tc>
          <w:tcPr>
            <w:tcW w:w="2235" w:type="dxa"/>
            <w:tcBorders>
              <w:bottom w:val="single" w:color="auto" w:sz="4" w:space="0"/>
              <w:right w:val="single" w:color="auto" w:sz="4" w:space="0"/>
            </w:tcBorders>
            <w:noWrap w:val="0"/>
            <w:vAlign w:val="center"/>
          </w:tcPr>
          <w:p>
            <w:pPr>
              <w:jc w:val="center"/>
              <w:rPr>
                <w:rFonts w:hint="eastAsia"/>
                <w:szCs w:val="21"/>
              </w:rPr>
            </w:pPr>
            <w:r>
              <w:rPr>
                <w:rFonts w:hint="eastAsia"/>
                <w:bCs/>
                <w:szCs w:val="21"/>
              </w:rPr>
              <w:t>产生量</w:t>
            </w:r>
            <w:r>
              <w:rPr>
                <w:bCs/>
                <w:szCs w:val="21"/>
              </w:rPr>
              <w:t>0.03t/a</w:t>
            </w:r>
          </w:p>
        </w:tc>
        <w:tc>
          <w:tcPr>
            <w:tcW w:w="2277" w:type="dxa"/>
            <w:tcBorders>
              <w:left w:val="single" w:color="auto" w:sz="4" w:space="0"/>
            </w:tcBorders>
            <w:noWrap w:val="0"/>
            <w:vAlign w:val="center"/>
          </w:tcPr>
          <w:p>
            <w:pPr>
              <w:jc w:val="center"/>
              <w:rPr>
                <w:szCs w:val="21"/>
                <w:highlight w:val="yellow"/>
              </w:rPr>
            </w:pPr>
            <w:r>
              <w:rPr>
                <w:bCs/>
                <w:szCs w:val="21"/>
              </w:rPr>
              <w:t>周界外浓度最高点小于1.0mg/m</w:t>
            </w:r>
            <w:r>
              <w:rPr>
                <w:rFonts w:hint="eastAsia"/>
                <w:szCs w:val="21"/>
                <w:vertAlign w:val="superscript"/>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2" w:hRule="atLeast"/>
        </w:trPr>
        <w:tc>
          <w:tcPr>
            <w:tcW w:w="815" w:type="dxa"/>
            <w:vMerge w:val="continue"/>
            <w:noWrap w:val="0"/>
            <w:vAlign w:val="center"/>
          </w:tcPr>
          <w:p>
            <w:pPr>
              <w:pStyle w:val="15"/>
              <w:jc w:val="center"/>
              <w:rPr>
                <w:rFonts w:hint="eastAsia" w:ascii="宋体" w:hAnsi="宋体" w:cs="宋体"/>
                <w:sz w:val="21"/>
                <w:szCs w:val="21"/>
              </w:rPr>
            </w:pPr>
          </w:p>
        </w:tc>
        <w:tc>
          <w:tcPr>
            <w:tcW w:w="1371" w:type="dxa"/>
            <w:vMerge w:val="continue"/>
            <w:noWrap w:val="0"/>
            <w:vAlign w:val="center"/>
          </w:tcPr>
          <w:p>
            <w:pPr>
              <w:jc w:val="center"/>
              <w:rPr>
                <w:szCs w:val="21"/>
              </w:rPr>
            </w:pPr>
          </w:p>
        </w:tc>
        <w:tc>
          <w:tcPr>
            <w:tcW w:w="2033" w:type="dxa"/>
            <w:tcBorders>
              <w:bottom w:val="single" w:color="auto" w:sz="4" w:space="0"/>
            </w:tcBorders>
            <w:noWrap w:val="0"/>
            <w:vAlign w:val="center"/>
          </w:tcPr>
          <w:p>
            <w:pPr>
              <w:adjustRightInd w:val="0"/>
              <w:snapToGrid w:val="0"/>
              <w:jc w:val="center"/>
              <w:rPr>
                <w:szCs w:val="21"/>
              </w:rPr>
            </w:pPr>
            <w:r>
              <w:rPr>
                <w:rFonts w:hint="eastAsia"/>
                <w:szCs w:val="21"/>
              </w:rPr>
              <w:t>刀柄</w:t>
            </w:r>
            <w:r>
              <w:rPr>
                <w:szCs w:val="21"/>
              </w:rPr>
              <w:t>抛光粉尘</w:t>
            </w:r>
          </w:p>
        </w:tc>
        <w:tc>
          <w:tcPr>
            <w:tcW w:w="2235" w:type="dxa"/>
            <w:tcBorders>
              <w:bottom w:val="single" w:color="auto" w:sz="4" w:space="0"/>
              <w:right w:val="single" w:color="auto" w:sz="4" w:space="0"/>
            </w:tcBorders>
            <w:noWrap w:val="0"/>
            <w:vAlign w:val="center"/>
          </w:tcPr>
          <w:p>
            <w:pPr>
              <w:jc w:val="center"/>
              <w:rPr>
                <w:szCs w:val="21"/>
              </w:rPr>
            </w:pPr>
            <w:r>
              <w:rPr>
                <w:szCs w:val="21"/>
              </w:rPr>
              <w:t>30mg/m</w:t>
            </w:r>
            <w:r>
              <w:rPr>
                <w:szCs w:val="21"/>
                <w:vertAlign w:val="superscript"/>
              </w:rPr>
              <w:t>3</w:t>
            </w:r>
            <w:r>
              <w:rPr>
                <w:szCs w:val="21"/>
              </w:rPr>
              <w:t>，0.03t/a</w:t>
            </w:r>
          </w:p>
        </w:tc>
        <w:tc>
          <w:tcPr>
            <w:tcW w:w="2277" w:type="dxa"/>
            <w:tcBorders>
              <w:left w:val="single" w:color="auto" w:sz="4" w:space="0"/>
              <w:bottom w:val="single" w:color="auto" w:sz="4" w:space="0"/>
            </w:tcBorders>
            <w:noWrap w:val="0"/>
            <w:vAlign w:val="center"/>
          </w:tcPr>
          <w:p>
            <w:pPr>
              <w:jc w:val="center"/>
              <w:rPr>
                <w:szCs w:val="21"/>
                <w:highlight w:val="yellow"/>
              </w:rPr>
            </w:pPr>
            <w:r>
              <w:rPr>
                <w:szCs w:val="21"/>
              </w:rPr>
              <w:t>3mg/m</w:t>
            </w:r>
            <w:r>
              <w:rPr>
                <w:szCs w:val="21"/>
                <w:vertAlign w:val="superscript"/>
              </w:rPr>
              <w:t>3</w:t>
            </w:r>
            <w:r>
              <w:rPr>
                <w:szCs w:val="21"/>
              </w:rPr>
              <w:t>，0.003t/a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95" w:hRule="atLeast"/>
        </w:trPr>
        <w:tc>
          <w:tcPr>
            <w:tcW w:w="815" w:type="dxa"/>
            <w:vMerge w:val="continue"/>
            <w:noWrap w:val="0"/>
            <w:vAlign w:val="center"/>
          </w:tcPr>
          <w:p>
            <w:pPr>
              <w:pStyle w:val="15"/>
              <w:jc w:val="center"/>
              <w:rPr>
                <w:rFonts w:hint="eastAsia" w:ascii="宋体" w:hAnsi="宋体" w:cs="宋体"/>
                <w:sz w:val="21"/>
                <w:szCs w:val="21"/>
              </w:rPr>
            </w:pPr>
          </w:p>
        </w:tc>
        <w:tc>
          <w:tcPr>
            <w:tcW w:w="1371" w:type="dxa"/>
            <w:vMerge w:val="continue"/>
            <w:noWrap w:val="0"/>
            <w:vAlign w:val="center"/>
          </w:tcPr>
          <w:p>
            <w:pPr>
              <w:jc w:val="center"/>
              <w:rPr>
                <w:szCs w:val="21"/>
              </w:rPr>
            </w:pPr>
          </w:p>
        </w:tc>
        <w:tc>
          <w:tcPr>
            <w:tcW w:w="2033" w:type="dxa"/>
            <w:noWrap w:val="0"/>
            <w:vAlign w:val="center"/>
          </w:tcPr>
          <w:p>
            <w:pPr>
              <w:adjustRightInd w:val="0"/>
              <w:snapToGrid w:val="0"/>
              <w:jc w:val="center"/>
              <w:rPr>
                <w:rFonts w:hint="eastAsia"/>
                <w:szCs w:val="21"/>
              </w:rPr>
            </w:pPr>
            <w:r>
              <w:rPr>
                <w:rFonts w:hint="eastAsia"/>
                <w:szCs w:val="21"/>
              </w:rPr>
              <w:t>淬火油烟</w:t>
            </w:r>
          </w:p>
        </w:tc>
        <w:tc>
          <w:tcPr>
            <w:tcW w:w="2235" w:type="dxa"/>
            <w:tcBorders>
              <w:top w:val="single" w:color="auto" w:sz="4" w:space="0"/>
              <w:right w:val="single" w:color="auto" w:sz="4" w:space="0"/>
            </w:tcBorders>
            <w:noWrap w:val="0"/>
            <w:vAlign w:val="center"/>
          </w:tcPr>
          <w:p>
            <w:pPr>
              <w:jc w:val="center"/>
              <w:rPr>
                <w:szCs w:val="21"/>
              </w:rPr>
            </w:pPr>
            <w:r>
              <w:rPr>
                <w:rFonts w:hint="eastAsia"/>
                <w:szCs w:val="21"/>
              </w:rPr>
              <w:t>油雾</w:t>
            </w:r>
            <w:r>
              <w:rPr>
                <w:szCs w:val="21"/>
              </w:rPr>
              <w:t>100mg/m</w:t>
            </w:r>
            <w:r>
              <w:rPr>
                <w:szCs w:val="21"/>
                <w:vertAlign w:val="superscript"/>
              </w:rPr>
              <w:t>3</w:t>
            </w:r>
            <w:r>
              <w:rPr>
                <w:szCs w:val="21"/>
              </w:rPr>
              <w:t>，0.05t/a</w:t>
            </w:r>
          </w:p>
        </w:tc>
        <w:tc>
          <w:tcPr>
            <w:tcW w:w="2277" w:type="dxa"/>
            <w:tcBorders>
              <w:top w:val="single" w:color="auto" w:sz="4" w:space="0"/>
              <w:left w:val="single" w:color="auto" w:sz="4" w:space="0"/>
              <w:bottom w:val="single" w:color="auto" w:sz="4" w:space="0"/>
            </w:tcBorders>
            <w:noWrap w:val="0"/>
            <w:vAlign w:val="center"/>
          </w:tcPr>
          <w:p>
            <w:pPr>
              <w:jc w:val="center"/>
              <w:rPr>
                <w:szCs w:val="21"/>
              </w:rPr>
            </w:pPr>
            <w:r>
              <w:rPr>
                <w:szCs w:val="21"/>
              </w:rPr>
              <w:t>10mg/m</w:t>
            </w:r>
            <w:r>
              <w:rPr>
                <w:szCs w:val="21"/>
                <w:vertAlign w:val="superscript"/>
              </w:rPr>
              <w:t>3</w:t>
            </w:r>
            <w:r>
              <w:rPr>
                <w:szCs w:val="21"/>
              </w:rPr>
              <w:t>，0.01t/a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8" w:hRule="atLeast"/>
        </w:trPr>
        <w:tc>
          <w:tcPr>
            <w:tcW w:w="815" w:type="dxa"/>
            <w:vMerge w:val="continue"/>
            <w:noWrap w:val="0"/>
            <w:vAlign w:val="center"/>
          </w:tcPr>
          <w:p>
            <w:pPr>
              <w:pStyle w:val="15"/>
              <w:jc w:val="center"/>
              <w:rPr>
                <w:rFonts w:hint="eastAsia" w:ascii="宋体" w:hAnsi="宋体" w:cs="宋体"/>
                <w:sz w:val="21"/>
                <w:szCs w:val="21"/>
              </w:rPr>
            </w:pPr>
          </w:p>
        </w:tc>
        <w:tc>
          <w:tcPr>
            <w:tcW w:w="1371" w:type="dxa"/>
            <w:vMerge w:val="continue"/>
            <w:noWrap w:val="0"/>
            <w:vAlign w:val="center"/>
          </w:tcPr>
          <w:p>
            <w:pPr>
              <w:jc w:val="center"/>
              <w:rPr>
                <w:szCs w:val="21"/>
              </w:rPr>
            </w:pPr>
          </w:p>
        </w:tc>
        <w:tc>
          <w:tcPr>
            <w:tcW w:w="2033" w:type="dxa"/>
            <w:noWrap w:val="0"/>
            <w:vAlign w:val="center"/>
          </w:tcPr>
          <w:p>
            <w:pPr>
              <w:adjustRightInd w:val="0"/>
              <w:snapToGrid w:val="0"/>
              <w:jc w:val="center"/>
              <w:rPr>
                <w:rFonts w:hint="eastAsia"/>
                <w:szCs w:val="21"/>
              </w:rPr>
            </w:pPr>
            <w:r>
              <w:rPr>
                <w:rFonts w:hint="eastAsia"/>
                <w:szCs w:val="21"/>
              </w:rPr>
              <w:t>食堂油烟</w:t>
            </w:r>
          </w:p>
        </w:tc>
        <w:tc>
          <w:tcPr>
            <w:tcW w:w="2235" w:type="dxa"/>
            <w:tcBorders>
              <w:right w:val="single" w:color="auto" w:sz="4" w:space="0"/>
            </w:tcBorders>
            <w:noWrap w:val="0"/>
            <w:vAlign w:val="center"/>
          </w:tcPr>
          <w:p>
            <w:pPr>
              <w:jc w:val="center"/>
              <w:rPr>
                <w:rFonts w:hint="eastAsia"/>
                <w:bCs/>
                <w:szCs w:val="21"/>
              </w:rPr>
            </w:pPr>
            <w:r>
              <w:rPr>
                <w:bCs/>
                <w:szCs w:val="21"/>
              </w:rPr>
              <w:t>8.4kg/a</w:t>
            </w:r>
          </w:p>
        </w:tc>
        <w:tc>
          <w:tcPr>
            <w:tcW w:w="2277" w:type="dxa"/>
            <w:tcBorders>
              <w:left w:val="single" w:color="auto" w:sz="4" w:space="0"/>
              <w:bottom w:val="single" w:color="auto" w:sz="4" w:space="0"/>
            </w:tcBorders>
            <w:noWrap w:val="0"/>
            <w:vAlign w:val="center"/>
          </w:tcPr>
          <w:p>
            <w:pPr>
              <w:jc w:val="center"/>
              <w:rPr>
                <w:szCs w:val="21"/>
              </w:rPr>
            </w:pPr>
            <w:r>
              <w:rPr>
                <w:szCs w:val="21"/>
              </w:rPr>
              <w:t>2.94kg/a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8" w:hRule="atLeast"/>
        </w:trPr>
        <w:tc>
          <w:tcPr>
            <w:tcW w:w="815" w:type="dxa"/>
            <w:vMerge w:val="continue"/>
            <w:noWrap w:val="0"/>
            <w:vAlign w:val="center"/>
          </w:tcPr>
          <w:p>
            <w:pPr>
              <w:pStyle w:val="15"/>
              <w:jc w:val="center"/>
              <w:rPr>
                <w:rFonts w:hint="eastAsia" w:ascii="宋体" w:hAnsi="宋体" w:cs="宋体"/>
                <w:sz w:val="21"/>
                <w:szCs w:val="21"/>
              </w:rPr>
            </w:pPr>
          </w:p>
        </w:tc>
        <w:tc>
          <w:tcPr>
            <w:tcW w:w="1371" w:type="dxa"/>
            <w:vMerge w:val="continue"/>
            <w:noWrap w:val="0"/>
            <w:vAlign w:val="center"/>
          </w:tcPr>
          <w:p>
            <w:pPr>
              <w:jc w:val="center"/>
              <w:rPr>
                <w:szCs w:val="21"/>
              </w:rPr>
            </w:pPr>
          </w:p>
        </w:tc>
        <w:tc>
          <w:tcPr>
            <w:tcW w:w="2033" w:type="dxa"/>
            <w:noWrap w:val="0"/>
            <w:vAlign w:val="center"/>
          </w:tcPr>
          <w:p>
            <w:pPr>
              <w:adjustRightInd w:val="0"/>
              <w:snapToGrid w:val="0"/>
              <w:jc w:val="center"/>
              <w:rPr>
                <w:rFonts w:hint="eastAsia"/>
                <w:szCs w:val="21"/>
              </w:rPr>
            </w:pPr>
            <w:r>
              <w:rPr>
                <w:rFonts w:hint="eastAsia"/>
                <w:szCs w:val="21"/>
              </w:rPr>
              <w:t>醇基燃料燃烧废气</w:t>
            </w:r>
          </w:p>
        </w:tc>
        <w:tc>
          <w:tcPr>
            <w:tcW w:w="2235" w:type="dxa"/>
            <w:tcBorders>
              <w:right w:val="single" w:color="auto" w:sz="4" w:space="0"/>
            </w:tcBorders>
            <w:noWrap w:val="0"/>
            <w:vAlign w:val="center"/>
          </w:tcPr>
          <w:p>
            <w:pPr>
              <w:jc w:val="center"/>
              <w:rPr>
                <w:bCs/>
                <w:szCs w:val="21"/>
              </w:rPr>
            </w:pPr>
            <w:r>
              <w:rPr>
                <w:rFonts w:hint="eastAsia"/>
                <w:bCs/>
                <w:szCs w:val="21"/>
              </w:rPr>
              <w:t>少量</w:t>
            </w:r>
          </w:p>
        </w:tc>
        <w:tc>
          <w:tcPr>
            <w:tcW w:w="2277" w:type="dxa"/>
            <w:tcBorders>
              <w:left w:val="single" w:color="auto" w:sz="4" w:space="0"/>
              <w:bottom w:val="single" w:color="auto" w:sz="4" w:space="0"/>
            </w:tcBorders>
            <w:noWrap w:val="0"/>
            <w:vAlign w:val="center"/>
          </w:tcPr>
          <w:p>
            <w:pPr>
              <w:jc w:val="center"/>
              <w:rPr>
                <w:szCs w:val="21"/>
              </w:rPr>
            </w:pPr>
            <w:r>
              <w:rPr>
                <w:rFonts w:hint="eastAsia"/>
                <w:szCs w:val="21"/>
              </w:rPr>
              <w:t>少量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8" w:hRule="atLeast"/>
        </w:trPr>
        <w:tc>
          <w:tcPr>
            <w:tcW w:w="815" w:type="dxa"/>
            <w:vMerge w:val="restart"/>
            <w:noWrap w:val="0"/>
            <w:vAlign w:val="center"/>
          </w:tcPr>
          <w:p>
            <w:pPr>
              <w:jc w:val="center"/>
              <w:rPr>
                <w:rFonts w:hint="eastAsia" w:ascii="宋体" w:hAnsi="宋体" w:cs="宋体"/>
                <w:szCs w:val="21"/>
              </w:rPr>
            </w:pPr>
            <w:r>
              <w:rPr>
                <w:rFonts w:hint="eastAsia" w:ascii="宋体" w:hAnsi="宋体" w:cs="宋体"/>
                <w:szCs w:val="21"/>
              </w:rPr>
              <w:t>水</w:t>
            </w:r>
          </w:p>
          <w:p>
            <w:pPr>
              <w:jc w:val="center"/>
              <w:rPr>
                <w:rFonts w:hint="eastAsia" w:ascii="宋体" w:hAnsi="宋体" w:cs="宋体"/>
                <w:szCs w:val="21"/>
              </w:rPr>
            </w:pPr>
            <w:r>
              <w:rPr>
                <w:rFonts w:hint="eastAsia" w:ascii="宋体" w:hAnsi="宋体" w:cs="宋体"/>
                <w:szCs w:val="21"/>
              </w:rPr>
              <w:t>污</w:t>
            </w:r>
          </w:p>
          <w:p>
            <w:pPr>
              <w:jc w:val="center"/>
              <w:rPr>
                <w:rFonts w:hint="eastAsia" w:ascii="宋体" w:hAnsi="宋体" w:cs="宋体"/>
                <w:szCs w:val="21"/>
              </w:rPr>
            </w:pPr>
            <w:r>
              <w:rPr>
                <w:rFonts w:hint="eastAsia" w:ascii="宋体" w:hAnsi="宋体" w:cs="宋体"/>
                <w:szCs w:val="21"/>
              </w:rPr>
              <w:t>染</w:t>
            </w:r>
          </w:p>
          <w:p>
            <w:pPr>
              <w:pStyle w:val="24"/>
              <w:ind w:firstLine="210" w:firstLineChars="100"/>
              <w:rPr>
                <w:rFonts w:hint="eastAsia" w:ascii="宋体" w:hAnsi="宋体" w:cs="宋体"/>
                <w:sz w:val="21"/>
                <w:szCs w:val="21"/>
              </w:rPr>
            </w:pPr>
            <w:r>
              <w:rPr>
                <w:rFonts w:hint="eastAsia" w:ascii="宋体" w:hAnsi="宋体" w:cs="宋体"/>
                <w:sz w:val="21"/>
                <w:szCs w:val="21"/>
              </w:rPr>
              <w:t>物</w:t>
            </w:r>
          </w:p>
        </w:tc>
        <w:tc>
          <w:tcPr>
            <w:tcW w:w="1371" w:type="dxa"/>
            <w:noWrap w:val="0"/>
            <w:vAlign w:val="center"/>
          </w:tcPr>
          <w:p>
            <w:pPr>
              <w:jc w:val="center"/>
              <w:rPr>
                <w:szCs w:val="21"/>
              </w:rPr>
            </w:pPr>
            <w:r>
              <w:rPr>
                <w:rFonts w:hint="eastAsia"/>
                <w:szCs w:val="21"/>
              </w:rPr>
              <w:t>施工期</w:t>
            </w:r>
          </w:p>
        </w:tc>
        <w:tc>
          <w:tcPr>
            <w:tcW w:w="2033" w:type="dxa"/>
            <w:noWrap w:val="0"/>
            <w:vAlign w:val="center"/>
          </w:tcPr>
          <w:p>
            <w:pPr>
              <w:pStyle w:val="94"/>
              <w:tabs>
                <w:tab w:val="left" w:pos="-2848"/>
              </w:tabs>
              <w:contextualSpacing/>
              <w:textAlignment w:val="center"/>
              <w:rPr>
                <w:bCs/>
                <w:color w:val="000000"/>
                <w:szCs w:val="21"/>
              </w:rPr>
            </w:pPr>
            <w:r>
              <w:rPr>
                <w:rFonts w:hint="eastAsia"/>
                <w:bCs/>
                <w:color w:val="000000"/>
                <w:szCs w:val="21"/>
              </w:rPr>
              <w:t>施工废水</w:t>
            </w:r>
          </w:p>
        </w:tc>
        <w:tc>
          <w:tcPr>
            <w:tcW w:w="2235" w:type="dxa"/>
            <w:tcBorders>
              <w:right w:val="single" w:color="auto" w:sz="4" w:space="0"/>
            </w:tcBorders>
            <w:noWrap w:val="0"/>
            <w:vAlign w:val="center"/>
          </w:tcPr>
          <w:p>
            <w:pPr>
              <w:contextualSpacing/>
              <w:jc w:val="center"/>
              <w:textAlignment w:val="center"/>
              <w:rPr>
                <w:szCs w:val="21"/>
              </w:rPr>
            </w:pPr>
            <w:r>
              <w:rPr>
                <w:rFonts w:hint="eastAsia" w:ascii="宋体" w:hAnsi="Courier New" w:cs="Courier New"/>
                <w:szCs w:val="21"/>
              </w:rPr>
              <w:t>0.75</w:t>
            </w:r>
            <w:r>
              <w:rPr>
                <w:rFonts w:cs="Courier New"/>
                <w:szCs w:val="21"/>
              </w:rPr>
              <w:t>m</w:t>
            </w:r>
            <w:r>
              <w:rPr>
                <w:rFonts w:cs="Courier New"/>
                <w:szCs w:val="21"/>
                <w:vertAlign w:val="superscript"/>
              </w:rPr>
              <w:t>3</w:t>
            </w:r>
            <w:r>
              <w:rPr>
                <w:rFonts w:cs="Courier New"/>
                <w:szCs w:val="21"/>
              </w:rPr>
              <w:t>/d</w:t>
            </w:r>
          </w:p>
        </w:tc>
        <w:tc>
          <w:tcPr>
            <w:tcW w:w="2277" w:type="dxa"/>
            <w:tcBorders>
              <w:left w:val="single" w:color="auto" w:sz="4" w:space="0"/>
              <w:bottom w:val="single" w:color="auto" w:sz="4" w:space="0"/>
            </w:tcBorders>
            <w:noWrap w:val="0"/>
            <w:vAlign w:val="center"/>
          </w:tcPr>
          <w:p>
            <w:pPr>
              <w:contextualSpacing/>
              <w:jc w:val="center"/>
              <w:textAlignment w:val="center"/>
              <w:rPr>
                <w:szCs w:val="21"/>
              </w:rPr>
            </w:pPr>
            <w:r>
              <w:rPr>
                <w:rFonts w:hint="eastAsia"/>
                <w:szCs w:val="21"/>
              </w:rPr>
              <w:t>0.6</w:t>
            </w:r>
            <w:r>
              <w:rPr>
                <w:rFonts w:cs="Courier New"/>
                <w:szCs w:val="21"/>
              </w:rPr>
              <w:t xml:space="preserve"> m</w:t>
            </w:r>
            <w:r>
              <w:rPr>
                <w:rFonts w:cs="Courier New"/>
                <w:szCs w:val="21"/>
                <w:vertAlign w:val="superscript"/>
              </w:rPr>
              <w:t>3</w:t>
            </w:r>
            <w:r>
              <w:rPr>
                <w:rFonts w:cs="Courier New"/>
                <w:szCs w:val="21"/>
              </w:rPr>
              <w:t>/d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65" w:hRule="atLeast"/>
        </w:trPr>
        <w:tc>
          <w:tcPr>
            <w:tcW w:w="815" w:type="dxa"/>
            <w:vMerge w:val="continue"/>
            <w:noWrap w:val="0"/>
            <w:vAlign w:val="center"/>
          </w:tcPr>
          <w:p>
            <w:pPr>
              <w:pStyle w:val="24"/>
              <w:ind w:firstLine="0"/>
              <w:jc w:val="center"/>
              <w:rPr>
                <w:rFonts w:hint="eastAsia" w:ascii="宋体" w:hAnsi="宋体" w:cs="宋体"/>
                <w:sz w:val="21"/>
                <w:szCs w:val="21"/>
              </w:rPr>
            </w:pPr>
          </w:p>
        </w:tc>
        <w:tc>
          <w:tcPr>
            <w:tcW w:w="1371" w:type="dxa"/>
            <w:tcBorders>
              <w:top w:val="single" w:color="auto" w:sz="4" w:space="0"/>
              <w:right w:val="single" w:color="auto" w:sz="4" w:space="0"/>
            </w:tcBorders>
            <w:noWrap w:val="0"/>
            <w:vAlign w:val="center"/>
          </w:tcPr>
          <w:p>
            <w:pPr>
              <w:jc w:val="center"/>
              <w:rPr>
                <w:spacing w:val="10"/>
                <w:szCs w:val="21"/>
              </w:rPr>
            </w:pPr>
            <w:r>
              <w:rPr>
                <w:rFonts w:hint="eastAsia"/>
                <w:szCs w:val="21"/>
              </w:rPr>
              <w:t>营运期</w:t>
            </w:r>
          </w:p>
        </w:tc>
        <w:tc>
          <w:tcPr>
            <w:tcW w:w="2033" w:type="dxa"/>
            <w:tcBorders>
              <w:top w:val="single" w:color="auto" w:sz="4" w:space="0"/>
              <w:left w:val="single" w:color="auto" w:sz="4" w:space="0"/>
              <w:right w:val="single" w:color="auto" w:sz="4" w:space="0"/>
            </w:tcBorders>
            <w:noWrap w:val="0"/>
            <w:vAlign w:val="center"/>
          </w:tcPr>
          <w:p>
            <w:pPr>
              <w:jc w:val="center"/>
              <w:rPr>
                <w:szCs w:val="21"/>
              </w:rPr>
            </w:pPr>
            <w:r>
              <w:rPr>
                <w:szCs w:val="21"/>
              </w:rPr>
              <w:t>CODcr</w:t>
            </w:r>
          </w:p>
          <w:p>
            <w:pPr>
              <w:jc w:val="center"/>
              <w:rPr>
                <w:szCs w:val="21"/>
              </w:rPr>
            </w:pPr>
            <w:r>
              <w:rPr>
                <w:szCs w:val="21"/>
              </w:rPr>
              <w:t>BOD</w:t>
            </w:r>
            <w:r>
              <w:rPr>
                <w:szCs w:val="21"/>
                <w:vertAlign w:val="subscript"/>
              </w:rPr>
              <w:t>5</w:t>
            </w:r>
          </w:p>
          <w:p>
            <w:pPr>
              <w:jc w:val="center"/>
              <w:rPr>
                <w:szCs w:val="21"/>
              </w:rPr>
            </w:pPr>
            <w:r>
              <w:rPr>
                <w:szCs w:val="21"/>
              </w:rPr>
              <w:t>SS</w:t>
            </w:r>
          </w:p>
          <w:p>
            <w:pPr>
              <w:jc w:val="center"/>
              <w:rPr>
                <w:szCs w:val="21"/>
              </w:rPr>
            </w:pPr>
            <w:r>
              <w:rPr>
                <w:szCs w:val="21"/>
              </w:rPr>
              <w:t>NH</w:t>
            </w:r>
            <w:r>
              <w:rPr>
                <w:szCs w:val="21"/>
                <w:vertAlign w:val="subscript"/>
              </w:rPr>
              <w:t>3</w:t>
            </w:r>
            <w:r>
              <w:rPr>
                <w:szCs w:val="21"/>
              </w:rPr>
              <w:t>-N</w:t>
            </w:r>
          </w:p>
        </w:tc>
        <w:tc>
          <w:tcPr>
            <w:tcW w:w="2235" w:type="dxa"/>
            <w:tcBorders>
              <w:top w:val="single" w:color="auto" w:sz="4" w:space="0"/>
              <w:left w:val="single" w:color="auto" w:sz="4" w:space="0"/>
              <w:right w:val="single" w:color="auto" w:sz="4" w:space="0"/>
            </w:tcBorders>
            <w:noWrap w:val="0"/>
            <w:vAlign w:val="center"/>
          </w:tcPr>
          <w:p>
            <w:pPr>
              <w:jc w:val="center"/>
              <w:rPr>
                <w:szCs w:val="21"/>
              </w:rPr>
            </w:pPr>
            <w:r>
              <w:rPr>
                <w:szCs w:val="21"/>
              </w:rPr>
              <w:t>400 mg/L</w:t>
            </w:r>
            <w:r>
              <w:rPr>
                <w:szCs w:val="21"/>
              </w:rPr>
              <w:tab/>
            </w:r>
            <w:r>
              <w:rPr>
                <w:szCs w:val="21"/>
              </w:rPr>
              <w:t>0.17t/a</w:t>
            </w:r>
          </w:p>
          <w:p>
            <w:pPr>
              <w:jc w:val="center"/>
              <w:rPr>
                <w:szCs w:val="21"/>
              </w:rPr>
            </w:pPr>
            <w:r>
              <w:rPr>
                <w:szCs w:val="21"/>
              </w:rPr>
              <w:t>250 mg/L</w:t>
            </w:r>
            <w:r>
              <w:rPr>
                <w:szCs w:val="21"/>
              </w:rPr>
              <w:tab/>
            </w:r>
            <w:r>
              <w:rPr>
                <w:szCs w:val="21"/>
              </w:rPr>
              <w:t>0.11 t/a</w:t>
            </w:r>
          </w:p>
          <w:p>
            <w:pPr>
              <w:jc w:val="center"/>
              <w:rPr>
                <w:szCs w:val="21"/>
              </w:rPr>
            </w:pPr>
            <w:r>
              <w:rPr>
                <w:szCs w:val="21"/>
              </w:rPr>
              <w:t>300 mg/L</w:t>
            </w:r>
            <w:r>
              <w:rPr>
                <w:szCs w:val="21"/>
              </w:rPr>
              <w:tab/>
            </w:r>
            <w:r>
              <w:rPr>
                <w:szCs w:val="21"/>
              </w:rPr>
              <w:t>0.13 t/a</w:t>
            </w:r>
          </w:p>
          <w:p>
            <w:pPr>
              <w:jc w:val="center"/>
              <w:rPr>
                <w:szCs w:val="21"/>
              </w:rPr>
            </w:pPr>
            <w:r>
              <w:rPr>
                <w:szCs w:val="21"/>
              </w:rPr>
              <w:t>30 mg/L 0.01 t/a</w:t>
            </w:r>
          </w:p>
        </w:tc>
        <w:tc>
          <w:tcPr>
            <w:tcW w:w="2277" w:type="dxa"/>
            <w:tcBorders>
              <w:top w:val="single" w:color="auto" w:sz="4" w:space="0"/>
              <w:left w:val="single" w:color="auto" w:sz="4" w:space="0"/>
              <w:right w:val="single" w:color="auto" w:sz="4" w:space="0"/>
            </w:tcBorders>
            <w:noWrap w:val="0"/>
            <w:vAlign w:val="center"/>
          </w:tcPr>
          <w:p>
            <w:pPr>
              <w:snapToGrid w:val="0"/>
              <w:jc w:val="center"/>
              <w:rPr>
                <w:szCs w:val="21"/>
              </w:rPr>
            </w:pPr>
            <w:r>
              <w:rPr>
                <w:rFonts w:hint="eastAsia"/>
                <w:szCs w:val="21"/>
              </w:rPr>
              <w:t>用作农肥，不外排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00" w:hRule="atLeast"/>
        </w:trPr>
        <w:tc>
          <w:tcPr>
            <w:tcW w:w="815" w:type="dxa"/>
            <w:vMerge w:val="restart"/>
            <w:noWrap w:val="0"/>
            <w:vAlign w:val="center"/>
          </w:tcPr>
          <w:p>
            <w:pPr>
              <w:pStyle w:val="35"/>
              <w:jc w:val="center"/>
              <w:rPr>
                <w:rFonts w:hint="eastAsia" w:ascii="宋体" w:hAnsi="宋体" w:cs="宋体"/>
                <w:kern w:val="2"/>
                <w:sz w:val="21"/>
                <w:szCs w:val="21"/>
                <w:lang w:val="en-US" w:eastAsia="zh-CN"/>
              </w:rPr>
            </w:pPr>
            <w:r>
              <w:rPr>
                <w:rFonts w:hint="eastAsia" w:ascii="宋体" w:hAnsi="宋体" w:cs="宋体"/>
                <w:kern w:val="2"/>
                <w:sz w:val="21"/>
                <w:szCs w:val="21"/>
                <w:lang w:val="en-US" w:eastAsia="zh-CN"/>
              </w:rPr>
              <w:t>固</w:t>
            </w:r>
          </w:p>
          <w:p>
            <w:pPr>
              <w:pStyle w:val="35"/>
              <w:jc w:val="center"/>
              <w:rPr>
                <w:rFonts w:hint="eastAsia" w:ascii="宋体" w:hAnsi="宋体" w:cs="宋体"/>
                <w:kern w:val="2"/>
                <w:sz w:val="21"/>
                <w:szCs w:val="21"/>
                <w:lang w:val="en-US" w:eastAsia="zh-CN"/>
              </w:rPr>
            </w:pPr>
            <w:r>
              <w:rPr>
                <w:rFonts w:hint="eastAsia" w:ascii="宋体" w:hAnsi="宋体" w:cs="宋体"/>
                <w:kern w:val="2"/>
                <w:sz w:val="21"/>
                <w:szCs w:val="21"/>
                <w:lang w:val="en-US" w:eastAsia="zh-CN"/>
              </w:rPr>
              <w:t>体</w:t>
            </w:r>
          </w:p>
          <w:p>
            <w:pPr>
              <w:pStyle w:val="35"/>
              <w:jc w:val="center"/>
              <w:rPr>
                <w:rFonts w:hint="eastAsia" w:ascii="宋体" w:hAnsi="宋体" w:cs="宋体"/>
                <w:kern w:val="2"/>
                <w:sz w:val="21"/>
                <w:szCs w:val="21"/>
                <w:lang w:val="en-US" w:eastAsia="zh-CN"/>
              </w:rPr>
            </w:pPr>
            <w:r>
              <w:rPr>
                <w:rFonts w:hint="eastAsia" w:ascii="宋体" w:hAnsi="宋体" w:cs="宋体"/>
                <w:kern w:val="2"/>
                <w:sz w:val="21"/>
                <w:szCs w:val="21"/>
                <w:lang w:val="en-US" w:eastAsia="zh-CN"/>
              </w:rPr>
              <w:t>废</w:t>
            </w:r>
          </w:p>
          <w:p>
            <w:pPr>
              <w:pStyle w:val="35"/>
              <w:jc w:val="center"/>
              <w:rPr>
                <w:rFonts w:hint="eastAsia" w:ascii="宋体" w:hAnsi="宋体" w:cs="宋体"/>
                <w:sz w:val="21"/>
                <w:szCs w:val="21"/>
              </w:rPr>
            </w:pPr>
            <w:r>
              <w:rPr>
                <w:rFonts w:hint="eastAsia" w:ascii="宋体" w:hAnsi="宋体" w:cs="宋体"/>
                <w:kern w:val="2"/>
                <w:sz w:val="21"/>
                <w:szCs w:val="21"/>
                <w:lang w:val="en-US" w:eastAsia="zh-CN"/>
              </w:rPr>
              <w:t>物</w:t>
            </w:r>
          </w:p>
        </w:tc>
        <w:tc>
          <w:tcPr>
            <w:tcW w:w="1371" w:type="dxa"/>
            <w:vMerge w:val="restart"/>
            <w:tcBorders>
              <w:top w:val="single" w:color="auto" w:sz="4" w:space="0"/>
              <w:right w:val="single" w:color="auto" w:sz="4" w:space="0"/>
            </w:tcBorders>
            <w:noWrap w:val="0"/>
            <w:vAlign w:val="center"/>
          </w:tcPr>
          <w:p>
            <w:pPr>
              <w:jc w:val="center"/>
              <w:rPr>
                <w:rFonts w:hint="eastAsia"/>
                <w:szCs w:val="21"/>
              </w:rPr>
            </w:pPr>
            <w:r>
              <w:rPr>
                <w:rFonts w:hint="eastAsia"/>
                <w:szCs w:val="21"/>
              </w:rPr>
              <w:t>施工期</w:t>
            </w:r>
          </w:p>
        </w:tc>
        <w:tc>
          <w:tcPr>
            <w:tcW w:w="203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建筑固废</w:t>
            </w:r>
          </w:p>
        </w:tc>
        <w:tc>
          <w:tcPr>
            <w:tcW w:w="22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堆放在指定地点，由环卫部门统一清运处理。</w:t>
            </w:r>
          </w:p>
        </w:tc>
        <w:tc>
          <w:tcPr>
            <w:tcW w:w="22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建筑固废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55" w:hRule="atLeast"/>
        </w:trPr>
        <w:tc>
          <w:tcPr>
            <w:tcW w:w="815" w:type="dxa"/>
            <w:vMerge w:val="continue"/>
            <w:noWrap w:val="0"/>
            <w:vAlign w:val="center"/>
          </w:tcPr>
          <w:p>
            <w:pPr>
              <w:pStyle w:val="35"/>
              <w:jc w:val="center"/>
              <w:rPr>
                <w:rFonts w:hint="eastAsia" w:ascii="宋体" w:hAnsi="宋体" w:cs="宋体"/>
                <w:kern w:val="2"/>
                <w:sz w:val="21"/>
                <w:szCs w:val="21"/>
                <w:lang w:val="en-US" w:eastAsia="zh-CN"/>
              </w:rPr>
            </w:pPr>
          </w:p>
        </w:tc>
        <w:tc>
          <w:tcPr>
            <w:tcW w:w="1371" w:type="dxa"/>
            <w:vMerge w:val="continue"/>
            <w:tcBorders>
              <w:right w:val="single" w:color="auto" w:sz="4" w:space="0"/>
            </w:tcBorders>
            <w:noWrap w:val="0"/>
            <w:vAlign w:val="center"/>
          </w:tcPr>
          <w:p>
            <w:pPr>
              <w:jc w:val="center"/>
              <w:rPr>
                <w:rFonts w:hint="eastAsia"/>
                <w:szCs w:val="21"/>
              </w:rPr>
            </w:pPr>
          </w:p>
        </w:tc>
        <w:tc>
          <w:tcPr>
            <w:tcW w:w="2033" w:type="dxa"/>
            <w:tcBorders>
              <w:top w:val="single" w:color="auto" w:sz="4" w:space="0"/>
              <w:left w:val="single" w:color="auto" w:sz="4" w:space="0"/>
              <w:right w:val="single" w:color="auto" w:sz="4" w:space="0"/>
            </w:tcBorders>
            <w:noWrap w:val="0"/>
            <w:vAlign w:val="top"/>
          </w:tcPr>
          <w:p>
            <w:pPr>
              <w:jc w:val="center"/>
              <w:rPr>
                <w:rFonts w:hint="eastAsia"/>
                <w:szCs w:val="21"/>
              </w:rPr>
            </w:pPr>
            <w:r>
              <w:rPr>
                <w:rFonts w:hint="eastAsia"/>
                <w:szCs w:val="21"/>
              </w:rPr>
              <w:t>生活垃圾</w:t>
            </w:r>
          </w:p>
        </w:tc>
        <w:tc>
          <w:tcPr>
            <w:tcW w:w="2235" w:type="dxa"/>
            <w:tcBorders>
              <w:top w:val="single" w:color="auto" w:sz="4" w:space="0"/>
              <w:left w:val="single" w:color="auto" w:sz="4" w:space="0"/>
              <w:right w:val="single" w:color="auto" w:sz="4" w:space="0"/>
            </w:tcBorders>
            <w:noWrap w:val="0"/>
            <w:vAlign w:val="top"/>
          </w:tcPr>
          <w:p>
            <w:pPr>
              <w:jc w:val="center"/>
              <w:rPr>
                <w:szCs w:val="21"/>
              </w:rPr>
            </w:pPr>
            <w:r>
              <w:rPr>
                <w:rFonts w:hint="eastAsia"/>
                <w:szCs w:val="21"/>
              </w:rPr>
              <w:t>环卫部门清运处理</w:t>
            </w:r>
          </w:p>
        </w:tc>
        <w:tc>
          <w:tcPr>
            <w:tcW w:w="2277" w:type="dxa"/>
            <w:tcBorders>
              <w:top w:val="single" w:color="auto" w:sz="4" w:space="0"/>
              <w:left w:val="single" w:color="auto" w:sz="4" w:space="0"/>
              <w:right w:val="single" w:color="auto" w:sz="4" w:space="0"/>
            </w:tcBorders>
            <w:noWrap w:val="0"/>
            <w:vAlign w:val="top"/>
          </w:tcPr>
          <w:p>
            <w:pPr>
              <w:jc w:val="center"/>
              <w:rPr>
                <w:rFonts w:hint="eastAsia"/>
                <w:szCs w:val="21"/>
              </w:rPr>
            </w:pPr>
            <w:r>
              <w:rPr>
                <w:rFonts w:hint="eastAsia"/>
                <w:szCs w:val="21"/>
              </w:rPr>
              <w:t>生活垃圾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97" w:hRule="atLeast"/>
        </w:trPr>
        <w:tc>
          <w:tcPr>
            <w:tcW w:w="815" w:type="dxa"/>
            <w:vMerge w:val="continue"/>
            <w:noWrap w:val="0"/>
            <w:vAlign w:val="center"/>
          </w:tcPr>
          <w:p>
            <w:pPr>
              <w:pStyle w:val="35"/>
              <w:jc w:val="center"/>
              <w:rPr>
                <w:rFonts w:hint="eastAsia" w:ascii="宋体" w:hAnsi="宋体" w:cs="宋体"/>
                <w:kern w:val="2"/>
                <w:sz w:val="21"/>
                <w:szCs w:val="21"/>
                <w:lang w:val="en-US" w:eastAsia="zh-CN"/>
              </w:rPr>
            </w:pPr>
          </w:p>
        </w:tc>
        <w:tc>
          <w:tcPr>
            <w:tcW w:w="1371" w:type="dxa"/>
            <w:vMerge w:val="restart"/>
            <w:noWrap w:val="0"/>
            <w:vAlign w:val="center"/>
          </w:tcPr>
          <w:p>
            <w:pPr>
              <w:spacing w:line="240" w:lineRule="atLeast"/>
              <w:jc w:val="center"/>
              <w:rPr>
                <w:szCs w:val="21"/>
              </w:rPr>
            </w:pPr>
            <w:r>
              <w:rPr>
                <w:rFonts w:hint="eastAsia"/>
                <w:szCs w:val="21"/>
              </w:rPr>
              <w:t>营运期</w:t>
            </w:r>
          </w:p>
        </w:tc>
        <w:tc>
          <w:tcPr>
            <w:tcW w:w="2033" w:type="dxa"/>
            <w:tcBorders>
              <w:bottom w:val="single" w:color="auto" w:sz="4" w:space="0"/>
            </w:tcBorders>
            <w:noWrap w:val="0"/>
            <w:vAlign w:val="center"/>
          </w:tcPr>
          <w:p>
            <w:pPr>
              <w:spacing w:line="240" w:lineRule="atLeast"/>
              <w:jc w:val="center"/>
              <w:rPr>
                <w:szCs w:val="21"/>
              </w:rPr>
            </w:pPr>
            <w:r>
              <w:rPr>
                <w:rFonts w:hint="eastAsia"/>
                <w:szCs w:val="21"/>
              </w:rPr>
              <w:t>除尘灰</w:t>
            </w:r>
          </w:p>
        </w:tc>
        <w:tc>
          <w:tcPr>
            <w:tcW w:w="2235" w:type="dxa"/>
            <w:noWrap w:val="0"/>
            <w:vAlign w:val="center"/>
          </w:tcPr>
          <w:p>
            <w:pPr>
              <w:pStyle w:val="87"/>
              <w:rPr>
                <w:rFonts w:hint="eastAsia"/>
                <w:sz w:val="21"/>
                <w:szCs w:val="21"/>
              </w:rPr>
            </w:pPr>
            <w:r>
              <w:rPr>
                <w:sz w:val="21"/>
                <w:szCs w:val="21"/>
              </w:rPr>
              <w:t>0.15</w:t>
            </w:r>
            <w:r>
              <w:rPr>
                <w:rFonts w:hint="eastAsia"/>
                <w:sz w:val="21"/>
                <w:szCs w:val="21"/>
              </w:rPr>
              <w:t>t/a</w:t>
            </w:r>
          </w:p>
        </w:tc>
        <w:tc>
          <w:tcPr>
            <w:tcW w:w="2277" w:type="dxa"/>
            <w:noWrap w:val="0"/>
            <w:vAlign w:val="center"/>
          </w:tcPr>
          <w:p>
            <w:pPr>
              <w:pStyle w:val="87"/>
              <w:rPr>
                <w:rFonts w:hint="eastAsia"/>
                <w:sz w:val="21"/>
                <w:szCs w:val="21"/>
              </w:rPr>
            </w:pPr>
            <w:r>
              <w:rPr>
                <w:rFonts w:hint="eastAsia"/>
                <w:sz w:val="21"/>
                <w:szCs w:val="21"/>
              </w:rPr>
              <w:t>收集后交当地环卫部门统一清运至垃圾填埋场处置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2" w:hRule="atLeast"/>
        </w:trPr>
        <w:tc>
          <w:tcPr>
            <w:tcW w:w="815" w:type="dxa"/>
            <w:vMerge w:val="continue"/>
            <w:noWrap w:val="0"/>
            <w:vAlign w:val="center"/>
          </w:tcPr>
          <w:p>
            <w:pPr>
              <w:pStyle w:val="35"/>
              <w:jc w:val="center"/>
              <w:rPr>
                <w:rFonts w:hint="eastAsia" w:ascii="宋体" w:hAnsi="宋体" w:cs="宋体"/>
                <w:kern w:val="2"/>
                <w:sz w:val="21"/>
                <w:szCs w:val="21"/>
                <w:lang w:val="en-US" w:eastAsia="zh-CN"/>
              </w:rPr>
            </w:pPr>
          </w:p>
        </w:tc>
        <w:tc>
          <w:tcPr>
            <w:tcW w:w="1371" w:type="dxa"/>
            <w:vMerge w:val="continue"/>
            <w:noWrap w:val="0"/>
            <w:vAlign w:val="center"/>
          </w:tcPr>
          <w:p>
            <w:pPr>
              <w:spacing w:line="240" w:lineRule="atLeast"/>
              <w:jc w:val="center"/>
              <w:rPr>
                <w:szCs w:val="21"/>
              </w:rPr>
            </w:pPr>
          </w:p>
        </w:tc>
        <w:tc>
          <w:tcPr>
            <w:tcW w:w="2033" w:type="dxa"/>
            <w:tcBorders>
              <w:top w:val="single" w:color="auto" w:sz="4" w:space="0"/>
            </w:tcBorders>
            <w:noWrap w:val="0"/>
            <w:vAlign w:val="top"/>
          </w:tcPr>
          <w:p>
            <w:pPr>
              <w:ind w:firstLine="210" w:firstLineChars="100"/>
              <w:rPr>
                <w:rFonts w:hint="eastAsia"/>
                <w:szCs w:val="21"/>
              </w:rPr>
            </w:pPr>
            <w:r>
              <w:rPr>
                <w:rFonts w:hint="eastAsia"/>
                <w:szCs w:val="21"/>
              </w:rPr>
              <w:t>生活垃圾</w:t>
            </w:r>
          </w:p>
        </w:tc>
        <w:tc>
          <w:tcPr>
            <w:tcW w:w="2235" w:type="dxa"/>
            <w:tcBorders>
              <w:top w:val="single" w:color="auto" w:sz="4" w:space="0"/>
            </w:tcBorders>
            <w:noWrap w:val="0"/>
            <w:vAlign w:val="center"/>
          </w:tcPr>
          <w:p>
            <w:pPr>
              <w:pStyle w:val="87"/>
              <w:rPr>
                <w:rFonts w:hint="eastAsia"/>
                <w:sz w:val="21"/>
                <w:szCs w:val="21"/>
              </w:rPr>
            </w:pPr>
            <w:r>
              <w:rPr>
                <w:rFonts w:hint="eastAsia"/>
                <w:sz w:val="21"/>
                <w:szCs w:val="21"/>
                <w:lang w:val="en-US" w:eastAsia="zh-CN"/>
              </w:rPr>
              <w:t>3.3</w:t>
            </w:r>
            <w:r>
              <w:rPr>
                <w:rFonts w:hint="eastAsia"/>
                <w:sz w:val="21"/>
                <w:szCs w:val="21"/>
              </w:rPr>
              <w:t>t/a</w:t>
            </w:r>
          </w:p>
        </w:tc>
        <w:tc>
          <w:tcPr>
            <w:tcW w:w="2277" w:type="dxa"/>
            <w:tcBorders>
              <w:top w:val="single" w:color="auto" w:sz="4" w:space="0"/>
            </w:tcBorders>
            <w:noWrap w:val="0"/>
            <w:vAlign w:val="center"/>
          </w:tcPr>
          <w:p>
            <w:pPr>
              <w:pStyle w:val="87"/>
              <w:rPr>
                <w:rFonts w:hint="eastAsia"/>
                <w:sz w:val="21"/>
                <w:szCs w:val="21"/>
              </w:rPr>
            </w:pPr>
            <w:r>
              <w:rPr>
                <w:rFonts w:hint="eastAsia"/>
                <w:sz w:val="21"/>
                <w:szCs w:val="21"/>
              </w:rPr>
              <w:t>经收集后交当地环卫部门统一清运至垃圾填埋场处置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2" w:hRule="atLeast"/>
        </w:trPr>
        <w:tc>
          <w:tcPr>
            <w:tcW w:w="815" w:type="dxa"/>
            <w:vMerge w:val="continue"/>
            <w:noWrap w:val="0"/>
            <w:vAlign w:val="center"/>
          </w:tcPr>
          <w:p>
            <w:pPr>
              <w:pStyle w:val="35"/>
              <w:jc w:val="center"/>
              <w:rPr>
                <w:rFonts w:hint="eastAsia" w:ascii="宋体" w:hAnsi="宋体" w:cs="宋体"/>
                <w:kern w:val="2"/>
                <w:sz w:val="21"/>
                <w:szCs w:val="21"/>
                <w:lang w:val="en-US" w:eastAsia="zh-CN"/>
              </w:rPr>
            </w:pPr>
          </w:p>
        </w:tc>
        <w:tc>
          <w:tcPr>
            <w:tcW w:w="1371" w:type="dxa"/>
            <w:vMerge w:val="continue"/>
            <w:noWrap w:val="0"/>
            <w:vAlign w:val="center"/>
          </w:tcPr>
          <w:p>
            <w:pPr>
              <w:spacing w:line="240" w:lineRule="atLeast"/>
              <w:jc w:val="center"/>
              <w:rPr>
                <w:szCs w:val="21"/>
              </w:rPr>
            </w:pPr>
          </w:p>
        </w:tc>
        <w:tc>
          <w:tcPr>
            <w:tcW w:w="2033" w:type="dxa"/>
            <w:tcBorders>
              <w:top w:val="single" w:color="auto" w:sz="4" w:space="0"/>
            </w:tcBorders>
            <w:noWrap w:val="0"/>
            <w:vAlign w:val="top"/>
          </w:tcPr>
          <w:p>
            <w:pPr>
              <w:rPr>
                <w:rFonts w:hint="eastAsia"/>
                <w:szCs w:val="21"/>
              </w:rPr>
            </w:pPr>
            <w:r>
              <w:rPr>
                <w:rFonts w:hint="eastAsia"/>
                <w:szCs w:val="21"/>
              </w:rPr>
              <w:t>污水预处理池污泥</w:t>
            </w:r>
          </w:p>
        </w:tc>
        <w:tc>
          <w:tcPr>
            <w:tcW w:w="2235" w:type="dxa"/>
            <w:tcBorders>
              <w:top w:val="single" w:color="auto" w:sz="4" w:space="0"/>
            </w:tcBorders>
            <w:noWrap w:val="0"/>
            <w:vAlign w:val="center"/>
          </w:tcPr>
          <w:p>
            <w:pPr>
              <w:pStyle w:val="87"/>
              <w:rPr>
                <w:sz w:val="21"/>
                <w:szCs w:val="21"/>
              </w:rPr>
            </w:pPr>
            <w:r>
              <w:rPr>
                <w:rFonts w:hint="eastAsia"/>
                <w:sz w:val="21"/>
                <w:szCs w:val="21"/>
              </w:rPr>
              <w:t>0</w:t>
            </w:r>
            <w:r>
              <w:rPr>
                <w:sz w:val="21"/>
                <w:szCs w:val="21"/>
              </w:rPr>
              <w:t>.5</w:t>
            </w:r>
            <w:r>
              <w:rPr>
                <w:rFonts w:hint="eastAsia"/>
                <w:sz w:val="21"/>
                <w:szCs w:val="21"/>
              </w:rPr>
              <w:t xml:space="preserve"> t/a</w:t>
            </w:r>
          </w:p>
        </w:tc>
        <w:tc>
          <w:tcPr>
            <w:tcW w:w="2277" w:type="dxa"/>
            <w:tcBorders>
              <w:top w:val="single" w:color="auto" w:sz="4" w:space="0"/>
            </w:tcBorders>
            <w:noWrap w:val="0"/>
            <w:vAlign w:val="center"/>
          </w:tcPr>
          <w:p>
            <w:pPr>
              <w:pStyle w:val="87"/>
              <w:rPr>
                <w:rFonts w:hint="eastAsia"/>
                <w:sz w:val="21"/>
                <w:szCs w:val="21"/>
              </w:rPr>
            </w:pPr>
            <w:r>
              <w:rPr>
                <w:rFonts w:hint="eastAsia"/>
                <w:sz w:val="21"/>
                <w:szCs w:val="21"/>
              </w:rPr>
              <w:t>定期清掏用作农肥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2" w:hRule="atLeast"/>
        </w:trPr>
        <w:tc>
          <w:tcPr>
            <w:tcW w:w="815" w:type="dxa"/>
            <w:vMerge w:val="continue"/>
            <w:noWrap w:val="0"/>
            <w:vAlign w:val="center"/>
          </w:tcPr>
          <w:p>
            <w:pPr>
              <w:pStyle w:val="35"/>
              <w:jc w:val="center"/>
              <w:rPr>
                <w:rFonts w:hint="eastAsia" w:ascii="宋体" w:hAnsi="宋体" w:cs="宋体"/>
                <w:kern w:val="2"/>
                <w:sz w:val="21"/>
                <w:szCs w:val="21"/>
                <w:lang w:val="en-US" w:eastAsia="zh-CN"/>
              </w:rPr>
            </w:pPr>
          </w:p>
        </w:tc>
        <w:tc>
          <w:tcPr>
            <w:tcW w:w="1371" w:type="dxa"/>
            <w:vMerge w:val="continue"/>
            <w:noWrap w:val="0"/>
            <w:vAlign w:val="center"/>
          </w:tcPr>
          <w:p>
            <w:pPr>
              <w:spacing w:line="240" w:lineRule="atLeast"/>
              <w:jc w:val="center"/>
              <w:rPr>
                <w:szCs w:val="21"/>
              </w:rPr>
            </w:pPr>
          </w:p>
        </w:tc>
        <w:tc>
          <w:tcPr>
            <w:tcW w:w="2033" w:type="dxa"/>
            <w:tcBorders>
              <w:top w:val="single" w:color="auto" w:sz="4" w:space="0"/>
            </w:tcBorders>
            <w:noWrap w:val="0"/>
            <w:vAlign w:val="top"/>
          </w:tcPr>
          <w:p>
            <w:pPr>
              <w:rPr>
                <w:rFonts w:hint="eastAsia"/>
                <w:szCs w:val="21"/>
              </w:rPr>
            </w:pPr>
            <w:r>
              <w:rPr>
                <w:rFonts w:hint="eastAsia"/>
                <w:szCs w:val="21"/>
              </w:rPr>
              <w:t>不合格产品</w:t>
            </w:r>
          </w:p>
        </w:tc>
        <w:tc>
          <w:tcPr>
            <w:tcW w:w="2235" w:type="dxa"/>
            <w:tcBorders>
              <w:top w:val="single" w:color="auto" w:sz="4" w:space="0"/>
            </w:tcBorders>
            <w:noWrap w:val="0"/>
            <w:vAlign w:val="center"/>
          </w:tcPr>
          <w:p>
            <w:pPr>
              <w:pStyle w:val="87"/>
              <w:rPr>
                <w:rFonts w:hint="eastAsia"/>
                <w:sz w:val="21"/>
                <w:szCs w:val="21"/>
              </w:rPr>
            </w:pPr>
            <w:r>
              <w:rPr>
                <w:sz w:val="21"/>
                <w:szCs w:val="21"/>
              </w:rPr>
              <w:t>265</w:t>
            </w:r>
            <w:r>
              <w:rPr>
                <w:rFonts w:hint="eastAsia"/>
                <w:sz w:val="21"/>
                <w:szCs w:val="21"/>
              </w:rPr>
              <w:t>件</w:t>
            </w:r>
          </w:p>
        </w:tc>
        <w:tc>
          <w:tcPr>
            <w:tcW w:w="2277" w:type="dxa"/>
            <w:tcBorders>
              <w:top w:val="single" w:color="auto" w:sz="4" w:space="0"/>
            </w:tcBorders>
            <w:noWrap w:val="0"/>
            <w:vAlign w:val="center"/>
          </w:tcPr>
          <w:p>
            <w:pPr>
              <w:pStyle w:val="87"/>
              <w:rPr>
                <w:rFonts w:hint="eastAsia"/>
                <w:sz w:val="21"/>
                <w:szCs w:val="21"/>
              </w:rPr>
            </w:pPr>
            <w:r>
              <w:rPr>
                <w:rFonts w:hint="eastAsia"/>
                <w:sz w:val="21"/>
                <w:szCs w:val="21"/>
              </w:rPr>
              <w:t>出售给相关回收单位综合利用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2" w:hRule="atLeast"/>
        </w:trPr>
        <w:tc>
          <w:tcPr>
            <w:tcW w:w="815" w:type="dxa"/>
            <w:vMerge w:val="continue"/>
            <w:noWrap w:val="0"/>
            <w:vAlign w:val="center"/>
          </w:tcPr>
          <w:p>
            <w:pPr>
              <w:pStyle w:val="35"/>
              <w:jc w:val="center"/>
              <w:rPr>
                <w:rFonts w:hint="eastAsia" w:ascii="宋体" w:hAnsi="宋体" w:cs="宋体"/>
                <w:kern w:val="2"/>
                <w:sz w:val="21"/>
                <w:szCs w:val="21"/>
                <w:lang w:val="en-US" w:eastAsia="zh-CN"/>
              </w:rPr>
            </w:pPr>
          </w:p>
        </w:tc>
        <w:tc>
          <w:tcPr>
            <w:tcW w:w="1371" w:type="dxa"/>
            <w:vMerge w:val="continue"/>
            <w:noWrap w:val="0"/>
            <w:vAlign w:val="center"/>
          </w:tcPr>
          <w:p>
            <w:pPr>
              <w:spacing w:line="240" w:lineRule="atLeast"/>
              <w:jc w:val="center"/>
              <w:rPr>
                <w:szCs w:val="21"/>
              </w:rPr>
            </w:pPr>
          </w:p>
        </w:tc>
        <w:tc>
          <w:tcPr>
            <w:tcW w:w="2033" w:type="dxa"/>
            <w:tcBorders>
              <w:top w:val="single" w:color="auto" w:sz="4" w:space="0"/>
            </w:tcBorders>
            <w:noWrap w:val="0"/>
            <w:vAlign w:val="top"/>
          </w:tcPr>
          <w:p>
            <w:pPr>
              <w:rPr>
                <w:rFonts w:hint="eastAsia"/>
                <w:szCs w:val="21"/>
              </w:rPr>
            </w:pPr>
            <w:r>
              <w:rPr>
                <w:rFonts w:hint="eastAsia"/>
                <w:szCs w:val="21"/>
              </w:rPr>
              <w:t>循环水池污泥</w:t>
            </w:r>
          </w:p>
        </w:tc>
        <w:tc>
          <w:tcPr>
            <w:tcW w:w="2235" w:type="dxa"/>
            <w:tcBorders>
              <w:top w:val="single" w:color="auto" w:sz="4" w:space="0"/>
            </w:tcBorders>
            <w:noWrap w:val="0"/>
            <w:vAlign w:val="center"/>
          </w:tcPr>
          <w:p>
            <w:pPr>
              <w:pStyle w:val="87"/>
              <w:rPr>
                <w:rFonts w:hint="eastAsia"/>
                <w:sz w:val="21"/>
                <w:szCs w:val="21"/>
              </w:rPr>
            </w:pPr>
            <w:r>
              <w:rPr>
                <w:sz w:val="21"/>
                <w:szCs w:val="21"/>
              </w:rPr>
              <w:t>0.3</w:t>
            </w:r>
            <w:r>
              <w:rPr>
                <w:rFonts w:hint="eastAsia"/>
                <w:sz w:val="21"/>
                <w:szCs w:val="21"/>
              </w:rPr>
              <w:t>t/a</w:t>
            </w:r>
          </w:p>
        </w:tc>
        <w:tc>
          <w:tcPr>
            <w:tcW w:w="2277" w:type="dxa"/>
            <w:tcBorders>
              <w:top w:val="single" w:color="auto" w:sz="4" w:space="0"/>
            </w:tcBorders>
            <w:noWrap w:val="0"/>
            <w:vAlign w:val="center"/>
          </w:tcPr>
          <w:p>
            <w:pPr>
              <w:pStyle w:val="87"/>
              <w:rPr>
                <w:rFonts w:hint="eastAsia"/>
                <w:sz w:val="21"/>
                <w:szCs w:val="21"/>
              </w:rPr>
            </w:pPr>
            <w:r>
              <w:rPr>
                <w:rFonts w:hint="eastAsia"/>
                <w:sz w:val="21"/>
                <w:szCs w:val="21"/>
              </w:rPr>
              <w:t>收集至危废暂存间后交由资质单位处理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2" w:hRule="atLeast"/>
        </w:trPr>
        <w:tc>
          <w:tcPr>
            <w:tcW w:w="815" w:type="dxa"/>
            <w:vMerge w:val="continue"/>
            <w:noWrap w:val="0"/>
            <w:vAlign w:val="center"/>
          </w:tcPr>
          <w:p>
            <w:pPr>
              <w:pStyle w:val="35"/>
              <w:jc w:val="center"/>
              <w:rPr>
                <w:rFonts w:hint="eastAsia" w:ascii="宋体" w:hAnsi="宋体" w:cs="宋体"/>
                <w:kern w:val="2"/>
                <w:sz w:val="21"/>
                <w:szCs w:val="21"/>
                <w:lang w:val="en-US" w:eastAsia="zh-CN"/>
              </w:rPr>
            </w:pPr>
          </w:p>
        </w:tc>
        <w:tc>
          <w:tcPr>
            <w:tcW w:w="1371" w:type="dxa"/>
            <w:vMerge w:val="continue"/>
            <w:noWrap w:val="0"/>
            <w:vAlign w:val="center"/>
          </w:tcPr>
          <w:p>
            <w:pPr>
              <w:spacing w:line="240" w:lineRule="atLeast"/>
              <w:jc w:val="center"/>
              <w:rPr>
                <w:szCs w:val="21"/>
              </w:rPr>
            </w:pPr>
          </w:p>
        </w:tc>
        <w:tc>
          <w:tcPr>
            <w:tcW w:w="2033" w:type="dxa"/>
            <w:tcBorders>
              <w:top w:val="single" w:color="auto" w:sz="4" w:space="0"/>
            </w:tcBorders>
            <w:noWrap w:val="0"/>
            <w:vAlign w:val="top"/>
          </w:tcPr>
          <w:p>
            <w:pPr>
              <w:rPr>
                <w:rFonts w:hint="eastAsia"/>
                <w:szCs w:val="21"/>
              </w:rPr>
            </w:pPr>
            <w:r>
              <w:rPr>
                <w:rFonts w:hint="eastAsia"/>
                <w:szCs w:val="21"/>
              </w:rPr>
              <w:t>油浸淬火废渣</w:t>
            </w:r>
          </w:p>
        </w:tc>
        <w:tc>
          <w:tcPr>
            <w:tcW w:w="2235" w:type="dxa"/>
            <w:tcBorders>
              <w:top w:val="single" w:color="auto" w:sz="4" w:space="0"/>
            </w:tcBorders>
            <w:noWrap w:val="0"/>
            <w:vAlign w:val="center"/>
          </w:tcPr>
          <w:p>
            <w:pPr>
              <w:pStyle w:val="87"/>
              <w:rPr>
                <w:rFonts w:hint="eastAsia"/>
                <w:sz w:val="21"/>
                <w:szCs w:val="21"/>
              </w:rPr>
            </w:pPr>
            <w:r>
              <w:rPr>
                <w:sz w:val="21"/>
                <w:szCs w:val="21"/>
              </w:rPr>
              <w:t>0.1</w:t>
            </w:r>
            <w:r>
              <w:rPr>
                <w:rFonts w:hint="eastAsia"/>
                <w:sz w:val="21"/>
                <w:szCs w:val="21"/>
              </w:rPr>
              <w:t>t/a</w:t>
            </w:r>
          </w:p>
        </w:tc>
        <w:tc>
          <w:tcPr>
            <w:tcW w:w="2277" w:type="dxa"/>
            <w:tcBorders>
              <w:top w:val="single" w:color="auto" w:sz="4" w:space="0"/>
            </w:tcBorders>
            <w:noWrap w:val="0"/>
            <w:vAlign w:val="center"/>
          </w:tcPr>
          <w:p>
            <w:pPr>
              <w:pStyle w:val="87"/>
              <w:rPr>
                <w:rFonts w:hint="eastAsia"/>
                <w:sz w:val="21"/>
                <w:szCs w:val="21"/>
              </w:rPr>
            </w:pPr>
            <w:r>
              <w:rPr>
                <w:rFonts w:hint="eastAsia"/>
                <w:sz w:val="21"/>
                <w:szCs w:val="21"/>
              </w:rPr>
              <w:t>收集后交当地环卫部门统一清运至垃圾填埋场处置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2" w:hRule="atLeast"/>
        </w:trPr>
        <w:tc>
          <w:tcPr>
            <w:tcW w:w="815" w:type="dxa"/>
            <w:vMerge w:val="continue"/>
            <w:noWrap w:val="0"/>
            <w:vAlign w:val="center"/>
          </w:tcPr>
          <w:p>
            <w:pPr>
              <w:pStyle w:val="35"/>
              <w:jc w:val="center"/>
              <w:rPr>
                <w:rFonts w:hint="eastAsia" w:ascii="宋体" w:hAnsi="宋体" w:cs="宋体"/>
                <w:kern w:val="2"/>
                <w:sz w:val="21"/>
                <w:szCs w:val="21"/>
                <w:lang w:val="en-US" w:eastAsia="zh-CN"/>
              </w:rPr>
            </w:pPr>
          </w:p>
        </w:tc>
        <w:tc>
          <w:tcPr>
            <w:tcW w:w="1371" w:type="dxa"/>
            <w:vMerge w:val="continue"/>
            <w:noWrap w:val="0"/>
            <w:vAlign w:val="center"/>
          </w:tcPr>
          <w:p>
            <w:pPr>
              <w:spacing w:line="240" w:lineRule="atLeast"/>
              <w:jc w:val="center"/>
              <w:rPr>
                <w:szCs w:val="21"/>
              </w:rPr>
            </w:pPr>
          </w:p>
        </w:tc>
        <w:tc>
          <w:tcPr>
            <w:tcW w:w="2033" w:type="dxa"/>
            <w:tcBorders>
              <w:top w:val="single" w:color="auto" w:sz="4" w:space="0"/>
            </w:tcBorders>
            <w:noWrap w:val="0"/>
            <w:vAlign w:val="top"/>
          </w:tcPr>
          <w:p>
            <w:pPr>
              <w:rPr>
                <w:szCs w:val="21"/>
              </w:rPr>
            </w:pPr>
            <w:r>
              <w:rPr>
                <w:rFonts w:hint="eastAsia"/>
                <w:szCs w:val="21"/>
              </w:rPr>
              <w:t>废矿物油</w:t>
            </w:r>
          </w:p>
        </w:tc>
        <w:tc>
          <w:tcPr>
            <w:tcW w:w="2235" w:type="dxa"/>
            <w:tcBorders>
              <w:top w:val="single" w:color="auto" w:sz="4" w:space="0"/>
            </w:tcBorders>
            <w:noWrap w:val="0"/>
            <w:vAlign w:val="center"/>
          </w:tcPr>
          <w:p>
            <w:pPr>
              <w:pStyle w:val="87"/>
              <w:rPr>
                <w:sz w:val="21"/>
                <w:szCs w:val="21"/>
              </w:rPr>
            </w:pPr>
            <w:r>
              <w:rPr>
                <w:rFonts w:hint="eastAsia"/>
                <w:sz w:val="21"/>
                <w:szCs w:val="21"/>
              </w:rPr>
              <w:t>0</w:t>
            </w:r>
            <w:r>
              <w:rPr>
                <w:sz w:val="21"/>
                <w:szCs w:val="21"/>
              </w:rPr>
              <w:t>.2</w:t>
            </w:r>
            <w:r>
              <w:rPr>
                <w:rFonts w:hint="eastAsia"/>
                <w:sz w:val="21"/>
                <w:szCs w:val="21"/>
              </w:rPr>
              <w:t xml:space="preserve"> t/a</w:t>
            </w:r>
          </w:p>
        </w:tc>
        <w:tc>
          <w:tcPr>
            <w:tcW w:w="2277" w:type="dxa"/>
            <w:tcBorders>
              <w:top w:val="single" w:color="auto" w:sz="4" w:space="0"/>
            </w:tcBorders>
            <w:noWrap w:val="0"/>
            <w:vAlign w:val="center"/>
          </w:tcPr>
          <w:p>
            <w:pPr>
              <w:pStyle w:val="87"/>
              <w:rPr>
                <w:rFonts w:hint="eastAsia"/>
                <w:sz w:val="21"/>
                <w:szCs w:val="21"/>
              </w:rPr>
            </w:pPr>
            <w:r>
              <w:rPr>
                <w:rFonts w:hint="eastAsia"/>
                <w:sz w:val="21"/>
                <w:szCs w:val="21"/>
              </w:rPr>
              <w:t>收集至危废暂存间后交由资质单位处理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tc>
          <w:tcPr>
            <w:tcW w:w="815" w:type="dxa"/>
            <w:noWrap w:val="0"/>
            <w:vAlign w:val="center"/>
          </w:tcPr>
          <w:p>
            <w:pPr>
              <w:jc w:val="center"/>
              <w:rPr>
                <w:rFonts w:hint="eastAsia" w:ascii="宋体" w:hAnsi="宋体" w:cs="宋体"/>
                <w:szCs w:val="21"/>
              </w:rPr>
            </w:pPr>
            <w:r>
              <w:rPr>
                <w:rFonts w:hint="eastAsia" w:ascii="宋体" w:hAnsi="宋体" w:cs="宋体"/>
                <w:szCs w:val="21"/>
              </w:rPr>
              <w:t>噪</w:t>
            </w:r>
          </w:p>
          <w:p>
            <w:pPr>
              <w:jc w:val="center"/>
              <w:rPr>
                <w:rFonts w:hint="eastAsia" w:ascii="宋体" w:hAnsi="宋体" w:cs="宋体"/>
                <w:szCs w:val="21"/>
              </w:rPr>
            </w:pPr>
            <w:r>
              <w:rPr>
                <w:rFonts w:hint="eastAsia" w:ascii="宋体" w:hAnsi="宋体" w:cs="宋体"/>
                <w:szCs w:val="21"/>
              </w:rPr>
              <w:t>声</w:t>
            </w:r>
          </w:p>
        </w:tc>
        <w:tc>
          <w:tcPr>
            <w:tcW w:w="7916" w:type="dxa"/>
            <w:gridSpan w:val="4"/>
            <w:noWrap w:val="0"/>
            <w:vAlign w:val="center"/>
          </w:tcPr>
          <w:p>
            <w:pPr>
              <w:ind w:firstLine="420" w:firstLineChars="200"/>
              <w:rPr>
                <w:szCs w:val="21"/>
              </w:rPr>
            </w:pPr>
            <w:r>
              <w:rPr>
                <w:szCs w:val="21"/>
              </w:rPr>
              <w:t>项目噪声主要来自各设备运行</w:t>
            </w:r>
            <w:r>
              <w:rPr>
                <w:rFonts w:hint="eastAsia"/>
                <w:szCs w:val="21"/>
              </w:rPr>
              <w:t>时</w:t>
            </w:r>
            <w:r>
              <w:rPr>
                <w:szCs w:val="21"/>
              </w:rPr>
              <w:t>产生的噪声，噪声级约为75～90dB（A），经减振、消声及墙体隔音处理后，达到噪声标准。经减振、消声及墙体隔音措施处理后，厂界噪声达到《工业企业厂界环境噪声排放标准》（GB12348-2008）2类标准。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tc>
          <w:tcPr>
            <w:tcW w:w="8731" w:type="dxa"/>
            <w:gridSpan w:val="5"/>
            <w:noWrap w:val="0"/>
            <w:vAlign w:val="top"/>
          </w:tcPr>
          <w:p>
            <w:pPr>
              <w:spacing w:line="336" w:lineRule="auto"/>
              <w:rPr>
                <w:b/>
                <w:bCs/>
                <w:sz w:val="24"/>
              </w:rPr>
            </w:pPr>
            <w:r>
              <w:rPr>
                <w:rFonts w:hAnsi="宋体"/>
                <w:b/>
                <w:bCs/>
                <w:sz w:val="24"/>
              </w:rPr>
              <w:t>主要生态影响</w:t>
            </w:r>
            <w:r>
              <w:rPr>
                <w:b/>
                <w:bCs/>
                <w:sz w:val="24"/>
              </w:rPr>
              <w:t>(</w:t>
            </w:r>
            <w:r>
              <w:rPr>
                <w:rFonts w:hAnsi="宋体"/>
                <w:b/>
                <w:bCs/>
                <w:sz w:val="24"/>
              </w:rPr>
              <w:t>不够时可附另页</w:t>
            </w:r>
            <w:r>
              <w:rPr>
                <w:b/>
                <w:bCs/>
                <w:sz w:val="24"/>
              </w:rPr>
              <w:t>):</w:t>
            </w:r>
          </w:p>
          <w:p>
            <w:pPr>
              <w:spacing w:line="360" w:lineRule="auto"/>
              <w:ind w:firstLine="482"/>
              <w:rPr>
                <w:rFonts w:hint="eastAsia" w:ascii="宋体" w:hAnsi="宋体" w:cs="宋体"/>
                <w:szCs w:val="21"/>
              </w:rPr>
            </w:pPr>
            <w:r>
              <w:rPr>
                <w:rFonts w:hint="eastAsia" w:ascii="宋体" w:hAnsi="宋体" w:cs="宋体"/>
                <w:szCs w:val="21"/>
              </w:rPr>
              <w:t>项目周围无自然保护区及文物古迹等特殊保护对象。</w:t>
            </w:r>
          </w:p>
          <w:p>
            <w:pPr>
              <w:spacing w:line="360" w:lineRule="auto"/>
              <w:ind w:firstLine="420" w:firstLineChars="200"/>
              <w:rPr>
                <w:rFonts w:hint="eastAsia" w:hAnsi="宋体"/>
                <w:sz w:val="24"/>
              </w:rPr>
            </w:pPr>
            <w:r>
              <w:rPr>
                <w:rFonts w:hint="eastAsia" w:ascii="宋体" w:hAnsi="宋体" w:cs="宋体"/>
                <w:szCs w:val="21"/>
              </w:rPr>
              <w:t>该地区的开发建设在环境保护方面，一定要坚持统一规划、合理布局、优化结构、总量控制。保证该区的人工生态系统和与之相关的自然生态系统的动态平衡。</w:t>
            </w:r>
          </w:p>
        </w:tc>
      </w:tr>
    </w:tbl>
    <w:p>
      <w:pPr>
        <w:spacing w:line="300" w:lineRule="auto"/>
        <w:rPr>
          <w:color w:val="000000"/>
          <w:sz w:val="24"/>
        </w:rPr>
        <w:sectPr>
          <w:footerReference r:id="rId12" w:type="default"/>
          <w:pgSz w:w="11907" w:h="16840"/>
          <w:pgMar w:top="1440" w:right="1803" w:bottom="1440" w:left="1803" w:header="0" w:footer="898" w:gutter="0"/>
          <w:pgBorders>
            <w:top w:val="none" w:sz="0" w:space="0"/>
            <w:left w:val="none" w:sz="0" w:space="0"/>
            <w:bottom w:val="none" w:sz="0" w:space="0"/>
            <w:right w:val="none" w:sz="0" w:space="0"/>
          </w:pgBorders>
          <w:cols w:space="720" w:num="1"/>
          <w:docGrid w:linePitch="326" w:charSpace="-4916"/>
        </w:sectPr>
      </w:pPr>
    </w:p>
    <w:p>
      <w:pPr>
        <w:pStyle w:val="52"/>
        <w:rPr>
          <w:rFonts w:hint="eastAsia"/>
        </w:rPr>
      </w:pPr>
      <w:r>
        <w:rPr>
          <w:rFonts w:hint="eastAsia"/>
        </w:rPr>
        <w:t xml:space="preserve">环境影响分析 </w:t>
      </w:r>
      <w:r>
        <w:t xml:space="preserve">                                        </w:t>
      </w:r>
      <w:r>
        <w:rPr>
          <w:rFonts w:hint="eastAsia"/>
        </w:rPr>
        <w:t>表（七）</w:t>
      </w:r>
    </w:p>
    <w:tbl>
      <w:tblPr>
        <w:tblStyle w:val="69"/>
        <w:tblW w:w="9368"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33" w:hRule="atLeast"/>
        </w:trPr>
        <w:tc>
          <w:tcPr>
            <w:tcW w:w="9368" w:type="dxa"/>
            <w:noWrap w:val="0"/>
            <w:vAlign w:val="top"/>
          </w:tcPr>
          <w:p>
            <w:pPr>
              <w:spacing w:line="360" w:lineRule="auto"/>
              <w:rPr>
                <w:rFonts w:hint="eastAsia" w:ascii="宋体" w:hAnsi="宋体" w:cs="宋体"/>
                <w:color w:val="000000"/>
                <w:sz w:val="24"/>
              </w:rPr>
            </w:pPr>
            <w:r>
              <w:rPr>
                <w:rFonts w:hint="eastAsia" w:ascii="宋体" w:hAnsi="宋体" w:cs="宋体"/>
                <w:b/>
                <w:bCs/>
                <w:color w:val="000000"/>
                <w:sz w:val="24"/>
              </w:rPr>
              <w:t>施工期环境影响简要分析:</w:t>
            </w:r>
            <w:r>
              <w:rPr>
                <w:rFonts w:hint="eastAsia" w:ascii="宋体" w:hAnsi="宋体" w:cs="宋体"/>
                <w:color w:val="000000"/>
                <w:sz w:val="24"/>
              </w:rPr>
              <w:t xml:space="preserve"> </w:t>
            </w:r>
          </w:p>
          <w:p>
            <w:pPr>
              <w:spacing w:line="360" w:lineRule="auto"/>
              <w:ind w:right="151" w:rightChars="72" w:firstLine="482" w:firstLineChars="200"/>
              <w:textAlignment w:val="center"/>
              <w:rPr>
                <w:b/>
                <w:sz w:val="24"/>
              </w:rPr>
            </w:pPr>
            <w:r>
              <w:rPr>
                <w:b/>
                <w:sz w:val="24"/>
              </w:rPr>
              <w:t>一、大气环境影响分析</w:t>
            </w:r>
          </w:p>
          <w:p>
            <w:pPr>
              <w:spacing w:line="360" w:lineRule="auto"/>
              <w:ind w:firstLine="480" w:firstLineChars="200"/>
              <w:rPr>
                <w:rFonts w:hint="eastAsia"/>
                <w:sz w:val="24"/>
              </w:rPr>
            </w:pPr>
            <w:r>
              <w:rPr>
                <w:rFonts w:hint="eastAsia"/>
                <w:sz w:val="24"/>
              </w:rPr>
              <w:t>项目施工期对环境空气影响的主要污染物为粉尘。在项目的施工建设过程中，建筑材料的运输、堆放，车辆运输等施工作业产生不同程度的地面扬尘，扬尘呈无组织排放，散落在施工场地和周围地表，并随降水的冲刷而转移至水体。在干季风速较大的情况下，空气中粉尘颗粒物浓度升高，影响所在区周围的环境空气质量。本项目施工场主要通过洒水抑尘降低扬尘浓度。</w:t>
            </w:r>
          </w:p>
          <w:p>
            <w:pPr>
              <w:spacing w:line="360" w:lineRule="auto"/>
              <w:ind w:firstLine="480" w:firstLineChars="200"/>
              <w:rPr>
                <w:rFonts w:hint="eastAsia"/>
                <w:sz w:val="24"/>
              </w:rPr>
            </w:pPr>
            <w:r>
              <w:rPr>
                <w:rFonts w:hint="eastAsia"/>
                <w:sz w:val="24"/>
              </w:rPr>
              <w:t>施工过程中产生的扬尘大多是尘土和建筑材料灰尘，其中并无特殊污染物，在下雨或小风的时候，其对环境空气的影响范围减少，且程度减轻。项目周边的保护目标主要为项目边界东南侧居民住户。项目通过加强洒水抑尘减小对其影响，并在靠近敏感目标一侧设置施工围墙。而且施工期产生的扬尘对环境空气的影响是暂时的和可恢复的，随着施工活动的结束，施工场地进行大量绿化，以及道路、建筑物的形成，施工扬尘对环境空气的影响将随之消除。</w:t>
            </w:r>
          </w:p>
          <w:p>
            <w:pPr>
              <w:spacing w:line="360" w:lineRule="auto"/>
              <w:ind w:firstLine="480" w:firstLineChars="200"/>
              <w:rPr>
                <w:sz w:val="24"/>
              </w:rPr>
            </w:pPr>
            <w:r>
              <w:rPr>
                <w:rFonts w:hint="eastAsia"/>
                <w:sz w:val="24"/>
              </w:rPr>
              <w:t>在项目的建设工程中，钢结构的连接大量用到焊接工艺，其中一部分用氧炔焊，一部分为电焊，在电焊中用到焊条时产生少量的烟尘，由于作业点比较分散，产生的烟尘不易在空气中积累到较高浓度就被稀释扩散了，因此，焊接产生的少量烟尘对项目区大气环境影响较小。</w:t>
            </w:r>
          </w:p>
          <w:p>
            <w:pPr>
              <w:spacing w:line="360" w:lineRule="auto"/>
              <w:ind w:firstLine="480" w:firstLineChars="200"/>
              <w:rPr>
                <w:rFonts w:hint="eastAsia"/>
                <w:sz w:val="24"/>
              </w:rPr>
            </w:pPr>
            <w:r>
              <w:rPr>
                <w:rFonts w:hint="eastAsia"/>
                <w:sz w:val="24"/>
              </w:rPr>
              <w:t>项目在施工期对环境空气的影响还有施工机械在施工运作中所产生的尾气和运输车辆在运输中产生的废气；项目施工范围虽大，施工期也长，但产生的汽车尾气的量不是很大，所以汽车尾气在环境空气中经自然扩散、稀释，对周围环境产生的影响是可以接受的。</w:t>
            </w:r>
          </w:p>
          <w:p>
            <w:pPr>
              <w:spacing w:line="360" w:lineRule="auto"/>
              <w:ind w:firstLine="480" w:firstLineChars="200"/>
              <w:rPr>
                <w:rFonts w:hint="eastAsia" w:ascii="宋体" w:cs="宋体"/>
                <w:sz w:val="24"/>
              </w:rPr>
            </w:pPr>
            <w:r>
              <w:rPr>
                <w:rFonts w:hint="eastAsia" w:ascii="宋体" w:cs="宋体"/>
                <w:sz w:val="24"/>
              </w:rPr>
              <w:t>所以为减轻扬尘对区域环境空气质量的不利影响，拟采取的措施：</w:t>
            </w:r>
          </w:p>
          <w:p>
            <w:pPr>
              <w:spacing w:line="360" w:lineRule="auto"/>
              <w:ind w:firstLine="480" w:firstLineChars="200"/>
              <w:rPr>
                <w:sz w:val="24"/>
              </w:rPr>
            </w:pPr>
            <w:r>
              <w:rPr>
                <w:rFonts w:hint="eastAsia" w:ascii="新宋体" w:eastAsia="新宋体" w:cs="新宋体"/>
                <w:sz w:val="24"/>
              </w:rPr>
              <w:t>①</w:t>
            </w:r>
            <w:r>
              <w:rPr>
                <w:rFonts w:hint="eastAsia"/>
                <w:sz w:val="24"/>
              </w:rPr>
              <w:t>施工场地每天定期洒水，以有效防止扬尘产生，在晴天风大时，应加大洒水量及洒水频次；</w:t>
            </w:r>
          </w:p>
          <w:p>
            <w:pPr>
              <w:spacing w:line="360" w:lineRule="auto"/>
              <w:ind w:firstLine="480" w:firstLineChars="200"/>
              <w:rPr>
                <w:sz w:val="24"/>
              </w:rPr>
            </w:pPr>
            <w:r>
              <w:rPr>
                <w:rFonts w:hint="eastAsia" w:ascii="新宋体" w:eastAsia="新宋体" w:cs="新宋体"/>
                <w:sz w:val="24"/>
              </w:rPr>
              <w:t>②</w:t>
            </w:r>
            <w:r>
              <w:rPr>
                <w:rFonts w:hint="eastAsia"/>
                <w:sz w:val="24"/>
              </w:rPr>
              <w:t>施工场地内运输通道应及时清扫和平整，以尽量减少运输车辆行驶产生的扬尘，必要时应采取洒水抑尘、垫草席等措施；</w:t>
            </w:r>
          </w:p>
          <w:p>
            <w:pPr>
              <w:spacing w:line="360" w:lineRule="auto"/>
              <w:ind w:firstLine="480" w:firstLineChars="200"/>
              <w:rPr>
                <w:rFonts w:hint="eastAsia"/>
                <w:sz w:val="24"/>
              </w:rPr>
            </w:pPr>
            <w:r>
              <w:rPr>
                <w:rFonts w:hint="eastAsia" w:ascii="新宋体" w:eastAsia="新宋体" w:cs="新宋体"/>
                <w:sz w:val="24"/>
              </w:rPr>
              <w:t>③</w:t>
            </w:r>
            <w:r>
              <w:rPr>
                <w:rFonts w:hint="eastAsia"/>
                <w:sz w:val="24"/>
              </w:rPr>
              <w:t>运输车辆进入施工场地要限速行驶，减少产尘量；</w:t>
            </w:r>
          </w:p>
          <w:p>
            <w:pPr>
              <w:spacing w:line="360" w:lineRule="auto"/>
              <w:ind w:firstLine="480" w:firstLineChars="200"/>
              <w:rPr>
                <w:sz w:val="24"/>
              </w:rPr>
            </w:pPr>
            <w:r>
              <w:rPr>
                <w:rFonts w:hint="eastAsia" w:ascii="新宋体" w:eastAsia="新宋体" w:cs="新宋体"/>
                <w:sz w:val="24"/>
              </w:rPr>
              <w:t>④</w:t>
            </w:r>
            <w:r>
              <w:rPr>
                <w:rFonts w:hint="eastAsia"/>
                <w:sz w:val="24"/>
              </w:rPr>
              <w:t>砂、石料等应有专门的堆存场地，并建围拦，避免易产生扬尘的原材料露天堆放，减少扬尘；</w:t>
            </w:r>
          </w:p>
          <w:p>
            <w:pPr>
              <w:spacing w:line="360" w:lineRule="auto"/>
              <w:ind w:firstLine="480" w:firstLineChars="200"/>
              <w:rPr>
                <w:sz w:val="24"/>
              </w:rPr>
            </w:pPr>
            <w:r>
              <w:rPr>
                <w:rFonts w:hint="eastAsia" w:ascii="新宋体" w:eastAsia="新宋体" w:cs="新宋体"/>
                <w:sz w:val="24"/>
              </w:rPr>
              <w:t>⑤</w:t>
            </w:r>
            <w:r>
              <w:rPr>
                <w:rFonts w:hint="eastAsia"/>
                <w:sz w:val="24"/>
              </w:rPr>
              <w:t>施工工地场界采用挡板等遮挡措施，以有效地减少近地面扬尘的扩散；</w:t>
            </w:r>
          </w:p>
          <w:p>
            <w:pPr>
              <w:spacing w:line="360" w:lineRule="auto"/>
              <w:ind w:firstLine="480" w:firstLineChars="200"/>
              <w:rPr>
                <w:rFonts w:hint="eastAsia"/>
                <w:sz w:val="24"/>
              </w:rPr>
            </w:pPr>
            <w:r>
              <w:rPr>
                <w:rFonts w:hint="eastAsia" w:ascii="新宋体" w:eastAsia="新宋体" w:cs="新宋体"/>
                <w:sz w:val="24"/>
              </w:rPr>
              <w:t>⑥</w:t>
            </w:r>
            <w:r>
              <w:rPr>
                <w:rFonts w:hint="eastAsia"/>
                <w:sz w:val="24"/>
              </w:rPr>
              <w:t>根据现场勘查，项目边界南面分布有居民，为减小施工期对其影响尽量避免将物料堆场设置于靠近敏感点一侧，并在干燥起风天气搭盖篷布，降低施工期间对其造成的不利影响。</w:t>
            </w:r>
          </w:p>
          <w:p>
            <w:pPr>
              <w:spacing w:line="360" w:lineRule="auto"/>
              <w:ind w:right="151" w:rightChars="72" w:firstLine="482" w:firstLineChars="200"/>
              <w:textAlignment w:val="center"/>
              <w:rPr>
                <w:b/>
                <w:sz w:val="24"/>
              </w:rPr>
            </w:pPr>
            <w:r>
              <w:rPr>
                <w:b/>
                <w:sz w:val="24"/>
              </w:rPr>
              <w:t>二、 废水影响分析</w:t>
            </w:r>
          </w:p>
          <w:p>
            <w:pPr>
              <w:spacing w:line="360" w:lineRule="auto"/>
              <w:ind w:firstLine="480" w:firstLineChars="200"/>
              <w:rPr>
                <w:sz w:val="24"/>
              </w:rPr>
            </w:pPr>
            <w:r>
              <w:rPr>
                <w:rFonts w:hint="eastAsia"/>
                <w:sz w:val="24"/>
              </w:rPr>
              <w:t>施工过程产生的废水主要有：</w:t>
            </w:r>
          </w:p>
          <w:p>
            <w:pPr>
              <w:spacing w:line="360" w:lineRule="auto"/>
              <w:ind w:firstLine="480" w:firstLineChars="200"/>
              <w:rPr>
                <w:rFonts w:hint="eastAsia"/>
                <w:sz w:val="24"/>
              </w:rPr>
            </w:pPr>
            <w:r>
              <w:rPr>
                <w:rFonts w:hint="eastAsia"/>
                <w:sz w:val="24"/>
              </w:rPr>
              <w:t>该项目施工现场每天施工人数约需要</w:t>
            </w:r>
            <w:r>
              <w:rPr>
                <w:rFonts w:hint="eastAsia" w:ascii="TimesNewRomanPSMT" w:hAnsi="TimesNewRomanPSMT" w:cs="TimesNewRomanPSMT"/>
                <w:sz w:val="24"/>
              </w:rPr>
              <w:t>15</w:t>
            </w:r>
            <w:r>
              <w:rPr>
                <w:rFonts w:hint="eastAsia"/>
                <w:sz w:val="24"/>
              </w:rPr>
              <w:t>人。根据《给排水设计手册》，用水量按</w:t>
            </w:r>
            <w:r>
              <w:rPr>
                <w:rFonts w:ascii="TimesNewRomanPSMT" w:hAnsi="TimesNewRomanPSMT" w:cs="TimesNewRomanPSMT"/>
                <w:sz w:val="24"/>
              </w:rPr>
              <w:t>50L/</w:t>
            </w:r>
            <w:r>
              <w:rPr>
                <w:rFonts w:hint="eastAsia"/>
                <w:sz w:val="24"/>
              </w:rPr>
              <w:t>人</w:t>
            </w:r>
            <w:r>
              <w:rPr>
                <w:rFonts w:ascii="TimesNewRomanPSMT" w:hAnsi="TimesNewRomanPSMT" w:cs="TimesNewRomanPSMT"/>
                <w:sz w:val="24"/>
              </w:rPr>
              <w:t xml:space="preserve">·d </w:t>
            </w:r>
            <w:r>
              <w:rPr>
                <w:rFonts w:hint="eastAsia"/>
                <w:sz w:val="24"/>
              </w:rPr>
              <w:t>测算，需用水</w:t>
            </w:r>
            <w:r>
              <w:rPr>
                <w:rFonts w:hint="eastAsia" w:ascii="TimesNewRomanPSMT" w:hAnsi="TimesNewRomanPSMT" w:cs="TimesNewRomanPSMT"/>
                <w:sz w:val="24"/>
              </w:rPr>
              <w:t>0.75m³</w:t>
            </w:r>
            <w:r>
              <w:rPr>
                <w:rFonts w:ascii="TimesNewRomanPSMT" w:hAnsi="TimesNewRomanPSMT" w:cs="TimesNewRomanPSMT"/>
                <w:sz w:val="24"/>
              </w:rPr>
              <w:t>/d</w:t>
            </w:r>
            <w:r>
              <w:rPr>
                <w:rFonts w:hint="eastAsia"/>
                <w:sz w:val="24"/>
              </w:rPr>
              <w:t>，生活污水产生量按日用水量的</w:t>
            </w:r>
            <w:r>
              <w:rPr>
                <w:rFonts w:ascii="TimesNewRomanPSMT" w:hAnsi="TimesNewRomanPSMT" w:cs="TimesNewRomanPSMT"/>
                <w:sz w:val="24"/>
              </w:rPr>
              <w:t xml:space="preserve">0.8 </w:t>
            </w:r>
            <w:r>
              <w:rPr>
                <w:rFonts w:hint="eastAsia"/>
                <w:sz w:val="24"/>
              </w:rPr>
              <w:t>计，施工期生活污水最大排放量为</w:t>
            </w:r>
            <w:r>
              <w:rPr>
                <w:rFonts w:hint="eastAsia" w:ascii="TimesNewRomanPSMT" w:hAnsi="TimesNewRomanPSMT" w:cs="TimesNewRomanPSMT"/>
                <w:sz w:val="24"/>
              </w:rPr>
              <w:t>0.6m³</w:t>
            </w:r>
            <w:r>
              <w:rPr>
                <w:rFonts w:ascii="TimesNewRomanPSMT" w:hAnsi="TimesNewRomanPSMT" w:cs="TimesNewRomanPSMT"/>
                <w:sz w:val="24"/>
              </w:rPr>
              <w:t>/d</w:t>
            </w:r>
            <w:r>
              <w:rPr>
                <w:rFonts w:hint="eastAsia"/>
                <w:sz w:val="24"/>
              </w:rPr>
              <w:t>。生活污水中的主要污染物为</w:t>
            </w:r>
            <w:r>
              <w:rPr>
                <w:rFonts w:ascii="TimesNewRomanPSMT" w:hAnsi="TimesNewRomanPSMT" w:cs="TimesNewRomanPSMT"/>
                <w:sz w:val="24"/>
              </w:rPr>
              <w:t>COD</w:t>
            </w:r>
            <w:r>
              <w:rPr>
                <w:rFonts w:hint="eastAsia"/>
                <w:sz w:val="24"/>
              </w:rPr>
              <w:t>、</w:t>
            </w:r>
            <w:r>
              <w:rPr>
                <w:rFonts w:ascii="TimesNewRomanPSMT" w:hAnsi="TimesNewRomanPSMT" w:cs="TimesNewRomanPSMT"/>
                <w:sz w:val="24"/>
              </w:rPr>
              <w:t xml:space="preserve">SS </w:t>
            </w:r>
            <w:r>
              <w:rPr>
                <w:rFonts w:hint="eastAsia"/>
                <w:sz w:val="24"/>
              </w:rPr>
              <w:t>和氨氮。项目施工期的施工人员废水较少，经现有污水处理设施处理后回用于绿地。</w:t>
            </w:r>
          </w:p>
          <w:p>
            <w:pPr>
              <w:spacing w:line="360" w:lineRule="auto"/>
              <w:ind w:firstLine="480" w:firstLineChars="200"/>
              <w:rPr>
                <w:sz w:val="24"/>
              </w:rPr>
            </w:pPr>
            <w:r>
              <w:rPr>
                <w:rFonts w:hint="eastAsia"/>
                <w:sz w:val="24"/>
              </w:rPr>
              <w:t>项目施工期涉及用水和排水的阶段主要是结构阶段，在土石方阶段几乎不产生施工废水，施工废水主要来自于混凝土拌和混凝土养护、机械冲洗等。</w:t>
            </w:r>
          </w:p>
          <w:p>
            <w:pPr>
              <w:spacing w:line="360" w:lineRule="auto"/>
              <w:ind w:firstLine="480" w:firstLineChars="200"/>
              <w:rPr>
                <w:rFonts w:hint="eastAsia"/>
                <w:sz w:val="24"/>
              </w:rPr>
            </w:pPr>
            <w:r>
              <w:rPr>
                <w:rFonts w:hint="eastAsia"/>
                <w:sz w:val="24"/>
              </w:rPr>
              <w:t>项目施工时拟设置施工废水收集池，将引入池中的废水进行沉淀处理，大大降低废水中</w:t>
            </w:r>
            <w:r>
              <w:rPr>
                <w:rFonts w:ascii="TimesNewRomanPSMT" w:hAnsi="TimesNewRomanPSMT" w:cs="TimesNewRomanPSMT"/>
                <w:sz w:val="24"/>
              </w:rPr>
              <w:t xml:space="preserve">SS </w:t>
            </w:r>
            <w:r>
              <w:rPr>
                <w:rFonts w:hint="eastAsia"/>
                <w:sz w:val="24"/>
              </w:rPr>
              <w:t>的含量，经过沉淀处理后的施工废水用于施工场地洒水降尘。因此本项目施工期无外排的施工废水，对地表水无影响。</w:t>
            </w:r>
          </w:p>
          <w:p>
            <w:pPr>
              <w:spacing w:line="360" w:lineRule="auto"/>
              <w:ind w:right="151" w:rightChars="72" w:firstLine="482" w:firstLineChars="200"/>
              <w:textAlignment w:val="center"/>
              <w:rPr>
                <w:b/>
                <w:sz w:val="24"/>
              </w:rPr>
            </w:pPr>
            <w:r>
              <w:rPr>
                <w:b/>
                <w:sz w:val="24"/>
              </w:rPr>
              <w:t>三、噪声影响分析</w:t>
            </w:r>
          </w:p>
          <w:p>
            <w:pPr>
              <w:spacing w:line="360" w:lineRule="auto"/>
              <w:ind w:firstLine="480" w:firstLineChars="200"/>
              <w:rPr>
                <w:rFonts w:hint="eastAsia"/>
                <w:sz w:val="24"/>
              </w:rPr>
            </w:pPr>
            <w:r>
              <w:rPr>
                <w:rFonts w:hint="eastAsia"/>
                <w:sz w:val="24"/>
              </w:rPr>
              <w:t>施工期对声环境的影响主要是施工噪声，噪声主要来源于施工机械和运输车辆。施工机械产生的噪声与各施工阶段所使用的机械类型、数量有关，主体建筑施工阶段主要使用吊车、电焊机等；初装修阶段主要使用切割机、电钻等。这些机械产生的噪声对环境造成不利影响。各施工阶段使用不同的施工机械，其数量、地点常发生变化，作业时间也不定，从而导致噪声产生的随机性、无组织性，属不连续产生。运输车辆的噪声更具不规律性。</w:t>
            </w:r>
          </w:p>
          <w:p>
            <w:pPr>
              <w:pStyle w:val="33"/>
              <w:spacing w:line="360" w:lineRule="auto"/>
              <w:ind w:left="-2" w:leftChars="-1" w:right="51" w:firstLine="482" w:firstLineChars="200"/>
              <w:jc w:val="both"/>
              <w:rPr>
                <w:rFonts w:hint="eastAsia" w:ascii="宋体" w:hAnsi="宋体"/>
                <w:b/>
                <w:szCs w:val="24"/>
              </w:rPr>
            </w:pPr>
            <w:r>
              <w:rPr>
                <w:rFonts w:hint="eastAsia" w:ascii="宋体" w:hAnsi="宋体"/>
                <w:b/>
                <w:szCs w:val="24"/>
              </w:rPr>
              <w:t>（1）</w:t>
            </w:r>
            <w:r>
              <w:rPr>
                <w:rFonts w:ascii="宋体" w:hAnsi="宋体"/>
                <w:b/>
                <w:szCs w:val="24"/>
              </w:rPr>
              <w:t>噪声环境影响源分析</w:t>
            </w:r>
          </w:p>
          <w:p>
            <w:pPr>
              <w:spacing w:line="360" w:lineRule="auto"/>
              <w:ind w:firstLine="480" w:firstLineChars="200"/>
              <w:rPr>
                <w:rFonts w:hint="eastAsia"/>
                <w:sz w:val="24"/>
              </w:rPr>
            </w:pPr>
            <w:r>
              <w:rPr>
                <w:rFonts w:hint="eastAsia"/>
                <w:sz w:val="24"/>
              </w:rPr>
              <w:t>由于施工设备种类多，不同的设备产生的噪声不同。在多台机械设备同时作业时，产生的噪声还会叠加（根据类比调查，叠加后的噪声增值约为</w:t>
            </w:r>
            <w:r>
              <w:rPr>
                <w:rFonts w:ascii="TimesNewRomanPSMT" w:hAnsi="TimesNewRomanPSMT" w:cs="TimesNewRomanPSMT"/>
                <w:sz w:val="24"/>
              </w:rPr>
              <w:t>3-8dB</w:t>
            </w:r>
            <w:r>
              <w:rPr>
                <w:rFonts w:hint="eastAsia"/>
                <w:sz w:val="24"/>
              </w:rPr>
              <w:t>）。在各类施工机械中，噪声较高的为推土机、装载机、卡车等，其声级在</w:t>
            </w:r>
            <w:r>
              <w:rPr>
                <w:rFonts w:ascii="TimesNewRomanPSMT" w:hAnsi="TimesNewRomanPSMT" w:cs="TimesNewRomanPSMT"/>
                <w:sz w:val="24"/>
              </w:rPr>
              <w:t xml:space="preserve">80dB </w:t>
            </w:r>
            <w:r>
              <w:rPr>
                <w:rFonts w:hint="eastAsia"/>
                <w:sz w:val="24"/>
              </w:rPr>
              <w:t>以上。</w:t>
            </w:r>
          </w:p>
          <w:p>
            <w:pPr>
              <w:spacing w:line="360" w:lineRule="auto"/>
              <w:ind w:firstLine="480" w:firstLineChars="200"/>
              <w:rPr>
                <w:rFonts w:hint="eastAsia"/>
                <w:sz w:val="24"/>
              </w:rPr>
            </w:pPr>
            <w:r>
              <w:rPr>
                <w:rFonts w:hint="eastAsia"/>
                <w:sz w:val="24"/>
              </w:rPr>
              <w:t>该项目在施工过程中将采用一定量的大、中型设备进行机械化施工。因此，施工期间对施工现场及周围敏感点将产生一定的不利影响。据有关测试分析资料，项目施工过程中将使用多种施工机械，具体各种机械施工噪声测试结果如表</w:t>
            </w:r>
            <w:r>
              <w:rPr>
                <w:rFonts w:ascii="TimesNewRomanPSMT" w:hAnsi="TimesNewRomanPSMT" w:cs="TimesNewRomanPSMT"/>
                <w:sz w:val="24"/>
              </w:rPr>
              <w:t xml:space="preserve">7-1 </w:t>
            </w:r>
            <w:r>
              <w:rPr>
                <w:rFonts w:hint="eastAsia"/>
                <w:sz w:val="24"/>
              </w:rPr>
              <w:t>所示。施工机械噪声可近似点声源处理，为了反映施工机械噪声对环境的影响，利用距离传播衰减模式预测施工机械噪声距离边界处的噪声值，预测模式如下：</w:t>
            </w:r>
          </w:p>
          <w:p>
            <w:pPr>
              <w:spacing w:line="360" w:lineRule="auto"/>
              <w:ind w:firstLine="480" w:firstLineChars="200"/>
              <w:rPr>
                <w:sz w:val="24"/>
              </w:rPr>
            </w:pPr>
            <w:r>
              <w:rPr>
                <w:rFonts w:hint="eastAsia"/>
                <w:sz w:val="24"/>
              </w:rPr>
              <w:t>距离传播衰减模式：</w:t>
            </w:r>
          </w:p>
          <w:p>
            <w:pPr>
              <w:spacing w:line="360" w:lineRule="auto"/>
              <w:ind w:firstLine="480" w:firstLineChars="200"/>
              <w:rPr>
                <w:rFonts w:ascii="宋体" w:cs="宋体"/>
                <w:sz w:val="24"/>
              </w:rPr>
            </w:pPr>
            <w:r>
              <w:rPr>
                <w:sz w:val="24"/>
              </w:rPr>
              <w:t>LP2=LP1</w:t>
            </w:r>
            <w:r>
              <w:rPr>
                <w:rFonts w:hint="eastAsia" w:ascii="宋体" w:cs="宋体"/>
                <w:sz w:val="24"/>
              </w:rPr>
              <w:t>－</w:t>
            </w:r>
            <w:r>
              <w:rPr>
                <w:sz w:val="24"/>
              </w:rPr>
              <w:t>20Lg</w:t>
            </w:r>
            <w:r>
              <w:rPr>
                <w:rFonts w:hint="eastAsia" w:ascii="宋体" w:cs="宋体"/>
                <w:sz w:val="24"/>
              </w:rPr>
              <w:t>（</w:t>
            </w:r>
            <w:r>
              <w:rPr>
                <w:sz w:val="24"/>
              </w:rPr>
              <w:t>r2/r1</w:t>
            </w:r>
            <w:r>
              <w:rPr>
                <w:rFonts w:hint="eastAsia" w:ascii="宋体" w:cs="宋体"/>
                <w:sz w:val="24"/>
              </w:rPr>
              <w:t>）</w:t>
            </w:r>
          </w:p>
          <w:p>
            <w:pPr>
              <w:spacing w:line="360" w:lineRule="auto"/>
              <w:ind w:firstLine="480" w:firstLineChars="200"/>
              <w:rPr>
                <w:rFonts w:ascii="宋体" w:cs="宋体"/>
                <w:sz w:val="24"/>
              </w:rPr>
            </w:pPr>
            <w:r>
              <w:rPr>
                <w:rFonts w:hint="eastAsia" w:ascii="宋体" w:cs="宋体"/>
                <w:sz w:val="24"/>
              </w:rPr>
              <w:t>式中：</w:t>
            </w:r>
          </w:p>
          <w:p>
            <w:pPr>
              <w:spacing w:line="360" w:lineRule="auto"/>
              <w:ind w:firstLine="480" w:firstLineChars="200"/>
              <w:rPr>
                <w:rFonts w:ascii="宋体" w:cs="宋体"/>
                <w:sz w:val="24"/>
              </w:rPr>
            </w:pPr>
            <w:r>
              <w:rPr>
                <w:sz w:val="24"/>
              </w:rPr>
              <w:t>LP1—</w:t>
            </w:r>
            <w:r>
              <w:rPr>
                <w:rFonts w:hint="eastAsia" w:ascii="宋体" w:cs="宋体"/>
                <w:sz w:val="24"/>
              </w:rPr>
              <w:t>受声点</w:t>
            </w:r>
            <w:r>
              <w:rPr>
                <w:sz w:val="24"/>
              </w:rPr>
              <w:t xml:space="preserve">P1 </w:t>
            </w:r>
            <w:r>
              <w:rPr>
                <w:rFonts w:hint="eastAsia" w:ascii="宋体" w:cs="宋体"/>
                <w:sz w:val="24"/>
              </w:rPr>
              <w:t>处的声级</w:t>
            </w:r>
            <w:r>
              <w:rPr>
                <w:sz w:val="24"/>
              </w:rPr>
              <w:t>[dB</w:t>
            </w:r>
            <w:r>
              <w:rPr>
                <w:rFonts w:hint="eastAsia" w:ascii="宋体" w:cs="宋体"/>
                <w:sz w:val="24"/>
              </w:rPr>
              <w:t>（</w:t>
            </w:r>
            <w:r>
              <w:rPr>
                <w:sz w:val="24"/>
              </w:rPr>
              <w:t>A</w:t>
            </w:r>
            <w:r>
              <w:rPr>
                <w:rFonts w:hint="eastAsia" w:ascii="宋体" w:cs="宋体"/>
                <w:sz w:val="24"/>
              </w:rPr>
              <w:t>）</w:t>
            </w:r>
            <w:r>
              <w:rPr>
                <w:sz w:val="24"/>
              </w:rPr>
              <w:t>]</w:t>
            </w:r>
            <w:r>
              <w:rPr>
                <w:rFonts w:hint="eastAsia" w:ascii="宋体" w:cs="宋体"/>
                <w:sz w:val="24"/>
              </w:rPr>
              <w:t>；</w:t>
            </w:r>
          </w:p>
          <w:p>
            <w:pPr>
              <w:spacing w:line="360" w:lineRule="auto"/>
              <w:ind w:firstLine="480" w:firstLineChars="200"/>
              <w:rPr>
                <w:rFonts w:ascii="宋体" w:cs="宋体"/>
                <w:sz w:val="24"/>
              </w:rPr>
            </w:pPr>
            <w:r>
              <w:rPr>
                <w:sz w:val="24"/>
              </w:rPr>
              <w:t>LP2—</w:t>
            </w:r>
            <w:r>
              <w:rPr>
                <w:rFonts w:hint="eastAsia" w:ascii="宋体" w:cs="宋体"/>
                <w:sz w:val="24"/>
              </w:rPr>
              <w:t>受声点</w:t>
            </w:r>
            <w:r>
              <w:rPr>
                <w:sz w:val="24"/>
              </w:rPr>
              <w:t xml:space="preserve">P2 </w:t>
            </w:r>
            <w:r>
              <w:rPr>
                <w:rFonts w:hint="eastAsia" w:ascii="宋体" w:cs="宋体"/>
                <w:sz w:val="24"/>
              </w:rPr>
              <w:t>处的声级</w:t>
            </w:r>
            <w:r>
              <w:rPr>
                <w:sz w:val="24"/>
              </w:rPr>
              <w:t>[dB</w:t>
            </w:r>
            <w:r>
              <w:rPr>
                <w:rFonts w:hint="eastAsia" w:ascii="宋体" w:cs="宋体"/>
                <w:sz w:val="24"/>
              </w:rPr>
              <w:t>（</w:t>
            </w:r>
            <w:r>
              <w:rPr>
                <w:sz w:val="24"/>
              </w:rPr>
              <w:t>A</w:t>
            </w:r>
            <w:r>
              <w:rPr>
                <w:rFonts w:hint="eastAsia" w:ascii="宋体" w:cs="宋体"/>
                <w:sz w:val="24"/>
              </w:rPr>
              <w:t>）</w:t>
            </w:r>
            <w:r>
              <w:rPr>
                <w:sz w:val="24"/>
              </w:rPr>
              <w:t>]</w:t>
            </w:r>
            <w:r>
              <w:rPr>
                <w:rFonts w:hint="eastAsia" w:ascii="宋体" w:cs="宋体"/>
                <w:sz w:val="24"/>
              </w:rPr>
              <w:t>；</w:t>
            </w:r>
          </w:p>
          <w:p>
            <w:pPr>
              <w:spacing w:line="360" w:lineRule="auto"/>
              <w:ind w:firstLine="480" w:firstLineChars="200"/>
              <w:rPr>
                <w:rFonts w:hint="eastAsia" w:ascii="宋体" w:cs="宋体"/>
                <w:sz w:val="24"/>
              </w:rPr>
            </w:pPr>
            <w:r>
              <w:rPr>
                <w:sz w:val="24"/>
              </w:rPr>
              <w:t>r1—</w:t>
            </w:r>
            <w:r>
              <w:rPr>
                <w:rFonts w:hint="eastAsia" w:ascii="宋体" w:cs="宋体"/>
                <w:sz w:val="24"/>
              </w:rPr>
              <w:t>声源至</w:t>
            </w:r>
            <w:r>
              <w:rPr>
                <w:sz w:val="24"/>
              </w:rPr>
              <w:t xml:space="preserve">P1 </w:t>
            </w:r>
            <w:r>
              <w:rPr>
                <w:rFonts w:hint="eastAsia" w:ascii="宋体" w:cs="宋体"/>
                <w:sz w:val="24"/>
              </w:rPr>
              <w:t>处的距离（</w:t>
            </w:r>
            <w:r>
              <w:rPr>
                <w:sz w:val="24"/>
              </w:rPr>
              <w:t>m</w:t>
            </w:r>
            <w:r>
              <w:rPr>
                <w:rFonts w:hint="eastAsia" w:ascii="宋体" w:cs="宋体"/>
                <w:sz w:val="24"/>
              </w:rPr>
              <w:t>）；</w:t>
            </w:r>
          </w:p>
          <w:p>
            <w:pPr>
              <w:spacing w:line="360" w:lineRule="auto"/>
              <w:ind w:firstLine="480" w:firstLineChars="200"/>
              <w:rPr>
                <w:rFonts w:ascii="宋体" w:cs="宋体"/>
                <w:sz w:val="24"/>
              </w:rPr>
            </w:pPr>
            <w:r>
              <w:rPr>
                <w:sz w:val="24"/>
              </w:rPr>
              <w:t>r2—</w:t>
            </w:r>
            <w:r>
              <w:rPr>
                <w:rFonts w:hint="eastAsia" w:ascii="宋体" w:cs="宋体"/>
                <w:sz w:val="24"/>
              </w:rPr>
              <w:t>声源至</w:t>
            </w:r>
            <w:r>
              <w:rPr>
                <w:sz w:val="24"/>
              </w:rPr>
              <w:t xml:space="preserve">P2 </w:t>
            </w:r>
            <w:r>
              <w:rPr>
                <w:rFonts w:hint="eastAsia" w:ascii="宋体" w:cs="宋体"/>
                <w:sz w:val="24"/>
              </w:rPr>
              <w:t>处的距离（</w:t>
            </w:r>
            <w:r>
              <w:rPr>
                <w:sz w:val="24"/>
              </w:rPr>
              <w:t>m</w:t>
            </w:r>
            <w:r>
              <w:rPr>
                <w:rFonts w:hint="eastAsia" w:ascii="宋体" w:cs="宋体"/>
                <w:sz w:val="24"/>
              </w:rPr>
              <w:t>）。</w:t>
            </w:r>
          </w:p>
          <w:p>
            <w:pPr>
              <w:spacing w:line="360" w:lineRule="auto"/>
              <w:ind w:firstLine="480" w:firstLineChars="200"/>
              <w:rPr>
                <w:rFonts w:hint="eastAsia"/>
                <w:sz w:val="24"/>
              </w:rPr>
            </w:pPr>
            <w:r>
              <w:rPr>
                <w:rFonts w:hint="eastAsia"/>
                <w:sz w:val="24"/>
              </w:rPr>
              <w:t>各施工机械设备噪声随距离衰减预测值如表</w:t>
            </w:r>
            <w:r>
              <w:rPr>
                <w:rFonts w:ascii="TimesNewRomanPSMT" w:hAnsi="TimesNewRomanPSMT" w:cs="TimesNewRomanPSMT"/>
                <w:sz w:val="24"/>
              </w:rPr>
              <w:t>7-1</w:t>
            </w:r>
            <w:r>
              <w:rPr>
                <w:rFonts w:hint="eastAsia"/>
                <w:sz w:val="24"/>
              </w:rPr>
              <w:t>。</w:t>
            </w:r>
          </w:p>
          <w:p>
            <w:pPr>
              <w:ind w:firstLine="482"/>
              <w:jc w:val="center"/>
              <w:rPr>
                <w:rFonts w:hint="eastAsia"/>
                <w:b/>
              </w:rPr>
            </w:pPr>
            <w:r>
              <w:rPr>
                <w:rFonts w:hint="eastAsia"/>
                <w:b/>
              </w:rPr>
              <w:t>表</w:t>
            </w:r>
            <w:r>
              <w:rPr>
                <w:b/>
                <w:bCs/>
              </w:rPr>
              <w:t xml:space="preserve">7-1 </w:t>
            </w:r>
            <w:r>
              <w:rPr>
                <w:rFonts w:hint="eastAsia"/>
                <w:b/>
              </w:rPr>
              <w:t>距声源不同距离出的噪声值</w:t>
            </w:r>
            <w:r>
              <w:rPr>
                <w:b/>
              </w:rPr>
              <w:t xml:space="preserve"> </w:t>
            </w:r>
            <w:r>
              <w:rPr>
                <w:b/>
                <w:bCs/>
              </w:rPr>
              <w:t>dB</w:t>
            </w:r>
            <w:r>
              <w:rPr>
                <w:rFonts w:hint="eastAsia"/>
                <w:b/>
              </w:rPr>
              <w:t>（</w:t>
            </w:r>
            <w:r>
              <w:rPr>
                <w:b/>
                <w:bCs/>
              </w:rPr>
              <w:t>A</w:t>
            </w:r>
            <w:r>
              <w:rPr>
                <w:rFonts w:hint="eastAsia"/>
                <w:b/>
              </w:rPr>
              <w:t>）</w:t>
            </w:r>
          </w:p>
          <w:tbl>
            <w:tblPr>
              <w:tblStyle w:val="69"/>
              <w:tblW w:w="823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9"/>
              <w:gridCol w:w="859"/>
              <w:gridCol w:w="850"/>
              <w:gridCol w:w="992"/>
              <w:gridCol w:w="993"/>
              <w:gridCol w:w="1134"/>
              <w:gridCol w:w="15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jc w:val="center"/>
              </w:trPr>
              <w:tc>
                <w:tcPr>
                  <w:tcW w:w="1134" w:type="dxa"/>
                  <w:noWrap w:val="0"/>
                  <w:vAlign w:val="top"/>
                </w:tcPr>
                <w:p>
                  <w:pPr>
                    <w:jc w:val="center"/>
                    <w:rPr>
                      <w:rFonts w:hint="eastAsia" w:ascii="宋体" w:hAnsi="宋体"/>
                      <w:bCs/>
                      <w:szCs w:val="21"/>
                    </w:rPr>
                  </w:pPr>
                  <w:r>
                    <w:rPr>
                      <w:rFonts w:hint="eastAsia" w:ascii="宋体" w:hAnsi="宋体"/>
                      <w:bCs/>
                      <w:szCs w:val="21"/>
                    </w:rPr>
                    <w:t>设备名称</w:t>
                  </w:r>
                </w:p>
              </w:tc>
              <w:tc>
                <w:tcPr>
                  <w:tcW w:w="709" w:type="dxa"/>
                  <w:noWrap w:val="0"/>
                  <w:vAlign w:val="top"/>
                </w:tcPr>
                <w:p>
                  <w:pPr>
                    <w:jc w:val="center"/>
                    <w:rPr>
                      <w:rFonts w:hint="eastAsia" w:ascii="宋体" w:hAnsi="宋体"/>
                      <w:bCs/>
                      <w:szCs w:val="21"/>
                    </w:rPr>
                  </w:pPr>
                  <w:r>
                    <w:rPr>
                      <w:rFonts w:hint="eastAsia" w:ascii="宋体" w:hAnsi="宋体"/>
                      <w:bCs/>
                      <w:szCs w:val="21"/>
                    </w:rPr>
                    <w:t>1m</w:t>
                  </w:r>
                </w:p>
              </w:tc>
              <w:tc>
                <w:tcPr>
                  <w:tcW w:w="859" w:type="dxa"/>
                  <w:noWrap w:val="0"/>
                  <w:vAlign w:val="top"/>
                </w:tcPr>
                <w:p>
                  <w:pPr>
                    <w:jc w:val="center"/>
                    <w:rPr>
                      <w:rFonts w:hint="eastAsia" w:ascii="宋体" w:hAnsi="宋体"/>
                      <w:bCs/>
                      <w:szCs w:val="21"/>
                    </w:rPr>
                  </w:pPr>
                  <w:r>
                    <w:rPr>
                      <w:rFonts w:hint="eastAsia" w:ascii="宋体" w:hAnsi="宋体"/>
                      <w:bCs/>
                      <w:szCs w:val="21"/>
                    </w:rPr>
                    <w:t>5m</w:t>
                  </w:r>
                </w:p>
              </w:tc>
              <w:tc>
                <w:tcPr>
                  <w:tcW w:w="850" w:type="dxa"/>
                  <w:noWrap w:val="0"/>
                  <w:vAlign w:val="top"/>
                </w:tcPr>
                <w:p>
                  <w:pPr>
                    <w:jc w:val="center"/>
                    <w:rPr>
                      <w:rFonts w:hint="eastAsia" w:ascii="宋体" w:hAnsi="宋体"/>
                      <w:bCs/>
                      <w:szCs w:val="21"/>
                    </w:rPr>
                  </w:pPr>
                  <w:r>
                    <w:rPr>
                      <w:rFonts w:hint="eastAsia" w:ascii="宋体" w:hAnsi="宋体"/>
                      <w:bCs/>
                      <w:szCs w:val="21"/>
                    </w:rPr>
                    <w:t>10m</w:t>
                  </w:r>
                </w:p>
              </w:tc>
              <w:tc>
                <w:tcPr>
                  <w:tcW w:w="992" w:type="dxa"/>
                  <w:noWrap w:val="0"/>
                  <w:vAlign w:val="top"/>
                </w:tcPr>
                <w:p>
                  <w:pPr>
                    <w:jc w:val="center"/>
                    <w:rPr>
                      <w:rFonts w:hint="eastAsia" w:ascii="宋体" w:hAnsi="宋体"/>
                      <w:bCs/>
                      <w:szCs w:val="21"/>
                    </w:rPr>
                  </w:pPr>
                  <w:r>
                    <w:rPr>
                      <w:rFonts w:hint="eastAsia" w:ascii="宋体" w:hAnsi="宋体"/>
                      <w:bCs/>
                      <w:szCs w:val="21"/>
                    </w:rPr>
                    <w:t>20m</w:t>
                  </w:r>
                </w:p>
              </w:tc>
              <w:tc>
                <w:tcPr>
                  <w:tcW w:w="993" w:type="dxa"/>
                  <w:noWrap w:val="0"/>
                  <w:vAlign w:val="top"/>
                </w:tcPr>
                <w:p>
                  <w:pPr>
                    <w:jc w:val="center"/>
                    <w:rPr>
                      <w:rFonts w:hint="eastAsia" w:ascii="宋体" w:hAnsi="宋体"/>
                      <w:bCs/>
                      <w:szCs w:val="21"/>
                    </w:rPr>
                  </w:pPr>
                  <w:r>
                    <w:rPr>
                      <w:rFonts w:hint="eastAsia" w:ascii="宋体" w:hAnsi="宋体"/>
                      <w:bCs/>
                      <w:szCs w:val="21"/>
                    </w:rPr>
                    <w:t>40m</w:t>
                  </w:r>
                </w:p>
              </w:tc>
              <w:tc>
                <w:tcPr>
                  <w:tcW w:w="1134" w:type="dxa"/>
                  <w:noWrap w:val="0"/>
                  <w:vAlign w:val="top"/>
                </w:tcPr>
                <w:p>
                  <w:pPr>
                    <w:jc w:val="center"/>
                    <w:rPr>
                      <w:rFonts w:hint="eastAsia" w:ascii="宋体" w:hAnsi="宋体"/>
                      <w:bCs/>
                      <w:szCs w:val="21"/>
                    </w:rPr>
                  </w:pPr>
                  <w:r>
                    <w:rPr>
                      <w:rFonts w:hint="eastAsia" w:ascii="宋体" w:hAnsi="宋体"/>
                      <w:bCs/>
                      <w:szCs w:val="21"/>
                    </w:rPr>
                    <w:t>50m</w:t>
                  </w:r>
                </w:p>
              </w:tc>
              <w:tc>
                <w:tcPr>
                  <w:tcW w:w="1559" w:type="dxa"/>
                  <w:noWrap w:val="0"/>
                  <w:vAlign w:val="top"/>
                </w:tcPr>
                <w:p>
                  <w:pPr>
                    <w:jc w:val="center"/>
                    <w:rPr>
                      <w:rFonts w:hint="eastAsia" w:ascii="宋体" w:hAnsi="宋体"/>
                      <w:bCs/>
                      <w:szCs w:val="21"/>
                    </w:rPr>
                  </w:pPr>
                  <w:r>
                    <w:rPr>
                      <w:rFonts w:hint="eastAsia" w:ascii="宋体" w:hAnsi="宋体"/>
                      <w:bCs/>
                      <w:szCs w:val="21"/>
                    </w:rPr>
                    <w:t>100m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4" w:type="dxa"/>
                  <w:noWrap w:val="0"/>
                  <w:vAlign w:val="top"/>
                </w:tcPr>
                <w:p>
                  <w:pPr>
                    <w:jc w:val="center"/>
                    <w:rPr>
                      <w:rFonts w:hint="eastAsia" w:ascii="宋体" w:hAnsi="宋体"/>
                      <w:bCs/>
                      <w:szCs w:val="21"/>
                    </w:rPr>
                  </w:pPr>
                  <w:r>
                    <w:rPr>
                      <w:rFonts w:hint="eastAsia" w:ascii="宋体" w:hAnsi="宋体"/>
                      <w:bCs/>
                      <w:szCs w:val="21"/>
                    </w:rPr>
                    <w:t>电钻</w:t>
                  </w:r>
                </w:p>
              </w:tc>
              <w:tc>
                <w:tcPr>
                  <w:tcW w:w="709" w:type="dxa"/>
                  <w:noWrap w:val="0"/>
                  <w:vAlign w:val="top"/>
                </w:tcPr>
                <w:p>
                  <w:pPr>
                    <w:jc w:val="center"/>
                    <w:rPr>
                      <w:rFonts w:hint="eastAsia" w:ascii="宋体" w:hAnsi="宋体"/>
                      <w:bCs/>
                      <w:szCs w:val="21"/>
                    </w:rPr>
                  </w:pPr>
                  <w:r>
                    <w:rPr>
                      <w:rFonts w:hint="eastAsia" w:ascii="宋体" w:hAnsi="宋体"/>
                      <w:bCs/>
                      <w:szCs w:val="21"/>
                    </w:rPr>
                    <w:t>90</w:t>
                  </w:r>
                </w:p>
              </w:tc>
              <w:tc>
                <w:tcPr>
                  <w:tcW w:w="859" w:type="dxa"/>
                  <w:noWrap w:val="0"/>
                  <w:vAlign w:val="top"/>
                </w:tcPr>
                <w:p>
                  <w:pPr>
                    <w:jc w:val="center"/>
                    <w:rPr>
                      <w:rFonts w:hint="eastAsia" w:ascii="宋体" w:hAnsi="宋体"/>
                      <w:bCs/>
                      <w:szCs w:val="21"/>
                    </w:rPr>
                  </w:pPr>
                  <w:r>
                    <w:rPr>
                      <w:rFonts w:hint="eastAsia" w:ascii="宋体" w:hAnsi="宋体"/>
                      <w:bCs/>
                      <w:szCs w:val="21"/>
                    </w:rPr>
                    <w:t>76</w:t>
                  </w:r>
                </w:p>
              </w:tc>
              <w:tc>
                <w:tcPr>
                  <w:tcW w:w="850" w:type="dxa"/>
                  <w:noWrap w:val="0"/>
                  <w:vAlign w:val="top"/>
                </w:tcPr>
                <w:p>
                  <w:pPr>
                    <w:jc w:val="center"/>
                    <w:rPr>
                      <w:rFonts w:hint="eastAsia" w:ascii="宋体" w:hAnsi="宋体"/>
                      <w:bCs/>
                      <w:szCs w:val="21"/>
                    </w:rPr>
                  </w:pPr>
                  <w:r>
                    <w:rPr>
                      <w:rFonts w:hint="eastAsia" w:ascii="宋体" w:hAnsi="宋体"/>
                      <w:bCs/>
                      <w:szCs w:val="21"/>
                    </w:rPr>
                    <w:t>70</w:t>
                  </w:r>
                </w:p>
              </w:tc>
              <w:tc>
                <w:tcPr>
                  <w:tcW w:w="992" w:type="dxa"/>
                  <w:noWrap w:val="0"/>
                  <w:vAlign w:val="top"/>
                </w:tcPr>
                <w:p>
                  <w:pPr>
                    <w:jc w:val="center"/>
                    <w:rPr>
                      <w:rFonts w:hint="eastAsia" w:ascii="宋体" w:hAnsi="宋体"/>
                      <w:bCs/>
                      <w:szCs w:val="21"/>
                    </w:rPr>
                  </w:pPr>
                  <w:r>
                    <w:rPr>
                      <w:rFonts w:hint="eastAsia" w:ascii="宋体" w:hAnsi="宋体"/>
                      <w:bCs/>
                      <w:szCs w:val="21"/>
                    </w:rPr>
                    <w:t>64</w:t>
                  </w:r>
                </w:p>
              </w:tc>
              <w:tc>
                <w:tcPr>
                  <w:tcW w:w="993" w:type="dxa"/>
                  <w:noWrap w:val="0"/>
                  <w:vAlign w:val="top"/>
                </w:tcPr>
                <w:p>
                  <w:pPr>
                    <w:jc w:val="center"/>
                    <w:rPr>
                      <w:rFonts w:hint="eastAsia" w:ascii="宋体" w:hAnsi="宋体"/>
                      <w:bCs/>
                      <w:szCs w:val="21"/>
                    </w:rPr>
                  </w:pPr>
                  <w:r>
                    <w:rPr>
                      <w:rFonts w:hint="eastAsia" w:ascii="宋体" w:hAnsi="宋体"/>
                      <w:bCs/>
                      <w:szCs w:val="21"/>
                    </w:rPr>
                    <w:t>58</w:t>
                  </w:r>
                </w:p>
              </w:tc>
              <w:tc>
                <w:tcPr>
                  <w:tcW w:w="1134" w:type="dxa"/>
                  <w:noWrap w:val="0"/>
                  <w:vAlign w:val="top"/>
                </w:tcPr>
                <w:p>
                  <w:pPr>
                    <w:jc w:val="center"/>
                    <w:rPr>
                      <w:rFonts w:hint="eastAsia" w:ascii="宋体" w:hAnsi="宋体"/>
                      <w:bCs/>
                      <w:szCs w:val="21"/>
                    </w:rPr>
                  </w:pPr>
                  <w:r>
                    <w:rPr>
                      <w:rFonts w:hint="eastAsia" w:ascii="宋体" w:hAnsi="宋体"/>
                      <w:bCs/>
                      <w:szCs w:val="21"/>
                    </w:rPr>
                    <w:t>56</w:t>
                  </w:r>
                </w:p>
              </w:tc>
              <w:tc>
                <w:tcPr>
                  <w:tcW w:w="1559" w:type="dxa"/>
                  <w:noWrap w:val="0"/>
                  <w:vAlign w:val="top"/>
                </w:tcPr>
                <w:p>
                  <w:pPr>
                    <w:jc w:val="center"/>
                    <w:rPr>
                      <w:rFonts w:hint="eastAsia" w:ascii="宋体" w:hAnsi="宋体"/>
                      <w:bCs/>
                      <w:szCs w:val="21"/>
                    </w:rPr>
                  </w:pPr>
                  <w:r>
                    <w:rPr>
                      <w:rFonts w:hint="eastAsia" w:ascii="宋体" w:hAnsi="宋体"/>
                      <w:bCs/>
                      <w:szCs w:val="21"/>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4" w:type="dxa"/>
                  <w:noWrap w:val="0"/>
                  <w:vAlign w:val="top"/>
                </w:tcPr>
                <w:p>
                  <w:pPr>
                    <w:jc w:val="center"/>
                    <w:rPr>
                      <w:rFonts w:hint="eastAsia" w:ascii="宋体" w:hAnsi="宋体"/>
                      <w:bCs/>
                      <w:szCs w:val="21"/>
                    </w:rPr>
                  </w:pPr>
                  <w:r>
                    <w:rPr>
                      <w:rFonts w:hint="eastAsia" w:ascii="宋体" w:hAnsi="宋体"/>
                      <w:bCs/>
                      <w:szCs w:val="21"/>
                    </w:rPr>
                    <w:t>装载机</w:t>
                  </w:r>
                </w:p>
              </w:tc>
              <w:tc>
                <w:tcPr>
                  <w:tcW w:w="709" w:type="dxa"/>
                  <w:noWrap w:val="0"/>
                  <w:vAlign w:val="top"/>
                </w:tcPr>
                <w:p>
                  <w:pPr>
                    <w:jc w:val="center"/>
                    <w:rPr>
                      <w:rFonts w:hint="eastAsia" w:ascii="宋体" w:hAnsi="宋体"/>
                      <w:bCs/>
                      <w:szCs w:val="21"/>
                    </w:rPr>
                  </w:pPr>
                  <w:r>
                    <w:rPr>
                      <w:rFonts w:hint="eastAsia" w:ascii="宋体" w:hAnsi="宋体"/>
                      <w:bCs/>
                      <w:szCs w:val="21"/>
                    </w:rPr>
                    <w:t>90</w:t>
                  </w:r>
                </w:p>
              </w:tc>
              <w:tc>
                <w:tcPr>
                  <w:tcW w:w="859" w:type="dxa"/>
                  <w:noWrap w:val="0"/>
                  <w:vAlign w:val="top"/>
                </w:tcPr>
                <w:p>
                  <w:pPr>
                    <w:jc w:val="center"/>
                    <w:rPr>
                      <w:rFonts w:hint="eastAsia" w:ascii="宋体" w:hAnsi="宋体"/>
                      <w:bCs/>
                      <w:szCs w:val="21"/>
                    </w:rPr>
                  </w:pPr>
                  <w:r>
                    <w:rPr>
                      <w:rFonts w:hint="eastAsia" w:ascii="宋体" w:hAnsi="宋体"/>
                      <w:bCs/>
                      <w:szCs w:val="21"/>
                    </w:rPr>
                    <w:t>76</w:t>
                  </w:r>
                </w:p>
              </w:tc>
              <w:tc>
                <w:tcPr>
                  <w:tcW w:w="850" w:type="dxa"/>
                  <w:noWrap w:val="0"/>
                  <w:vAlign w:val="top"/>
                </w:tcPr>
                <w:p>
                  <w:pPr>
                    <w:jc w:val="center"/>
                    <w:rPr>
                      <w:rFonts w:hint="eastAsia" w:ascii="宋体" w:hAnsi="宋体"/>
                      <w:bCs/>
                      <w:szCs w:val="21"/>
                    </w:rPr>
                  </w:pPr>
                  <w:r>
                    <w:rPr>
                      <w:rFonts w:hint="eastAsia" w:ascii="宋体" w:hAnsi="宋体"/>
                      <w:bCs/>
                      <w:szCs w:val="21"/>
                    </w:rPr>
                    <w:t>70</w:t>
                  </w:r>
                </w:p>
              </w:tc>
              <w:tc>
                <w:tcPr>
                  <w:tcW w:w="992" w:type="dxa"/>
                  <w:noWrap w:val="0"/>
                  <w:vAlign w:val="top"/>
                </w:tcPr>
                <w:p>
                  <w:pPr>
                    <w:jc w:val="center"/>
                    <w:rPr>
                      <w:rFonts w:hint="eastAsia" w:ascii="宋体" w:hAnsi="宋体"/>
                      <w:bCs/>
                      <w:szCs w:val="21"/>
                    </w:rPr>
                  </w:pPr>
                  <w:r>
                    <w:rPr>
                      <w:rFonts w:hint="eastAsia" w:ascii="宋体" w:hAnsi="宋体"/>
                      <w:bCs/>
                      <w:szCs w:val="21"/>
                    </w:rPr>
                    <w:t>64</w:t>
                  </w:r>
                </w:p>
              </w:tc>
              <w:tc>
                <w:tcPr>
                  <w:tcW w:w="993" w:type="dxa"/>
                  <w:noWrap w:val="0"/>
                  <w:vAlign w:val="top"/>
                </w:tcPr>
                <w:p>
                  <w:pPr>
                    <w:jc w:val="center"/>
                    <w:rPr>
                      <w:rFonts w:hint="eastAsia" w:ascii="宋体" w:hAnsi="宋体"/>
                      <w:bCs/>
                      <w:szCs w:val="21"/>
                    </w:rPr>
                  </w:pPr>
                  <w:r>
                    <w:rPr>
                      <w:rFonts w:hint="eastAsia" w:ascii="宋体" w:hAnsi="宋体"/>
                      <w:bCs/>
                      <w:szCs w:val="21"/>
                    </w:rPr>
                    <w:t>58</w:t>
                  </w:r>
                </w:p>
              </w:tc>
              <w:tc>
                <w:tcPr>
                  <w:tcW w:w="1134" w:type="dxa"/>
                  <w:noWrap w:val="0"/>
                  <w:vAlign w:val="top"/>
                </w:tcPr>
                <w:p>
                  <w:pPr>
                    <w:jc w:val="center"/>
                    <w:rPr>
                      <w:rFonts w:hint="eastAsia" w:ascii="宋体" w:hAnsi="宋体"/>
                      <w:bCs/>
                      <w:szCs w:val="21"/>
                    </w:rPr>
                  </w:pPr>
                  <w:r>
                    <w:rPr>
                      <w:rFonts w:hint="eastAsia" w:ascii="宋体" w:hAnsi="宋体"/>
                      <w:bCs/>
                      <w:szCs w:val="21"/>
                    </w:rPr>
                    <w:t>56</w:t>
                  </w:r>
                </w:p>
              </w:tc>
              <w:tc>
                <w:tcPr>
                  <w:tcW w:w="1559" w:type="dxa"/>
                  <w:noWrap w:val="0"/>
                  <w:vAlign w:val="top"/>
                </w:tcPr>
                <w:p>
                  <w:pPr>
                    <w:jc w:val="center"/>
                    <w:rPr>
                      <w:rFonts w:hint="eastAsia" w:ascii="宋体" w:hAnsi="宋体"/>
                      <w:bCs/>
                      <w:szCs w:val="21"/>
                    </w:rPr>
                  </w:pPr>
                  <w:r>
                    <w:rPr>
                      <w:rFonts w:hint="eastAsia" w:ascii="宋体" w:hAnsi="宋体"/>
                      <w:bCs/>
                      <w:szCs w:val="21"/>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4" w:type="dxa"/>
                  <w:noWrap w:val="0"/>
                  <w:vAlign w:val="top"/>
                </w:tcPr>
                <w:p>
                  <w:pPr>
                    <w:jc w:val="center"/>
                    <w:rPr>
                      <w:rFonts w:hint="eastAsia" w:ascii="宋体" w:hAnsi="宋体"/>
                      <w:bCs/>
                      <w:szCs w:val="21"/>
                    </w:rPr>
                  </w:pPr>
                  <w:r>
                    <w:rPr>
                      <w:rFonts w:hint="eastAsia" w:ascii="宋体" w:hAnsi="宋体"/>
                      <w:bCs/>
                      <w:szCs w:val="21"/>
                    </w:rPr>
                    <w:t>砂轮机</w:t>
                  </w:r>
                </w:p>
              </w:tc>
              <w:tc>
                <w:tcPr>
                  <w:tcW w:w="709" w:type="dxa"/>
                  <w:noWrap w:val="0"/>
                  <w:vAlign w:val="top"/>
                </w:tcPr>
                <w:p>
                  <w:pPr>
                    <w:jc w:val="center"/>
                    <w:rPr>
                      <w:rFonts w:hint="eastAsia" w:ascii="宋体" w:hAnsi="宋体"/>
                      <w:bCs/>
                      <w:szCs w:val="21"/>
                    </w:rPr>
                  </w:pPr>
                  <w:r>
                    <w:rPr>
                      <w:rFonts w:hint="eastAsia" w:ascii="宋体" w:hAnsi="宋体"/>
                      <w:bCs/>
                      <w:szCs w:val="21"/>
                    </w:rPr>
                    <w:t>92</w:t>
                  </w:r>
                </w:p>
              </w:tc>
              <w:tc>
                <w:tcPr>
                  <w:tcW w:w="859" w:type="dxa"/>
                  <w:noWrap w:val="0"/>
                  <w:vAlign w:val="top"/>
                </w:tcPr>
                <w:p>
                  <w:pPr>
                    <w:jc w:val="center"/>
                    <w:rPr>
                      <w:rFonts w:hint="eastAsia" w:ascii="宋体" w:hAnsi="宋体"/>
                      <w:bCs/>
                      <w:szCs w:val="21"/>
                    </w:rPr>
                  </w:pPr>
                  <w:r>
                    <w:rPr>
                      <w:rFonts w:hint="eastAsia" w:ascii="宋体" w:hAnsi="宋体"/>
                      <w:bCs/>
                      <w:szCs w:val="21"/>
                    </w:rPr>
                    <w:t>78</w:t>
                  </w:r>
                </w:p>
              </w:tc>
              <w:tc>
                <w:tcPr>
                  <w:tcW w:w="850" w:type="dxa"/>
                  <w:noWrap w:val="0"/>
                  <w:vAlign w:val="top"/>
                </w:tcPr>
                <w:p>
                  <w:pPr>
                    <w:jc w:val="center"/>
                    <w:rPr>
                      <w:rFonts w:hint="eastAsia" w:ascii="宋体" w:hAnsi="宋体"/>
                      <w:bCs/>
                      <w:szCs w:val="21"/>
                    </w:rPr>
                  </w:pPr>
                  <w:r>
                    <w:rPr>
                      <w:rFonts w:hint="eastAsia" w:ascii="宋体" w:hAnsi="宋体"/>
                      <w:bCs/>
                      <w:szCs w:val="21"/>
                    </w:rPr>
                    <w:t>72</w:t>
                  </w:r>
                </w:p>
              </w:tc>
              <w:tc>
                <w:tcPr>
                  <w:tcW w:w="992" w:type="dxa"/>
                  <w:noWrap w:val="0"/>
                  <w:vAlign w:val="top"/>
                </w:tcPr>
                <w:p>
                  <w:pPr>
                    <w:jc w:val="center"/>
                    <w:rPr>
                      <w:rFonts w:hint="eastAsia" w:ascii="宋体" w:hAnsi="宋体"/>
                      <w:bCs/>
                      <w:szCs w:val="21"/>
                    </w:rPr>
                  </w:pPr>
                  <w:r>
                    <w:rPr>
                      <w:rFonts w:hint="eastAsia" w:ascii="宋体" w:hAnsi="宋体"/>
                      <w:bCs/>
                      <w:szCs w:val="21"/>
                    </w:rPr>
                    <w:t>66</w:t>
                  </w:r>
                </w:p>
              </w:tc>
              <w:tc>
                <w:tcPr>
                  <w:tcW w:w="993" w:type="dxa"/>
                  <w:noWrap w:val="0"/>
                  <w:vAlign w:val="top"/>
                </w:tcPr>
                <w:p>
                  <w:pPr>
                    <w:jc w:val="center"/>
                    <w:rPr>
                      <w:rFonts w:hint="eastAsia" w:ascii="宋体" w:hAnsi="宋体"/>
                      <w:bCs/>
                      <w:szCs w:val="21"/>
                    </w:rPr>
                  </w:pPr>
                  <w:r>
                    <w:rPr>
                      <w:rFonts w:hint="eastAsia" w:ascii="宋体" w:hAnsi="宋体"/>
                      <w:bCs/>
                      <w:szCs w:val="21"/>
                    </w:rPr>
                    <w:t>60</w:t>
                  </w:r>
                </w:p>
              </w:tc>
              <w:tc>
                <w:tcPr>
                  <w:tcW w:w="1134" w:type="dxa"/>
                  <w:noWrap w:val="0"/>
                  <w:vAlign w:val="top"/>
                </w:tcPr>
                <w:p>
                  <w:pPr>
                    <w:jc w:val="center"/>
                    <w:rPr>
                      <w:rFonts w:hint="eastAsia" w:ascii="宋体" w:hAnsi="宋体"/>
                      <w:bCs/>
                      <w:szCs w:val="21"/>
                    </w:rPr>
                  </w:pPr>
                  <w:r>
                    <w:rPr>
                      <w:rFonts w:hint="eastAsia" w:ascii="宋体" w:hAnsi="宋体"/>
                      <w:bCs/>
                      <w:szCs w:val="21"/>
                    </w:rPr>
                    <w:t>58</w:t>
                  </w:r>
                </w:p>
              </w:tc>
              <w:tc>
                <w:tcPr>
                  <w:tcW w:w="1559" w:type="dxa"/>
                  <w:noWrap w:val="0"/>
                  <w:vAlign w:val="top"/>
                </w:tcPr>
                <w:p>
                  <w:pPr>
                    <w:jc w:val="center"/>
                    <w:rPr>
                      <w:rFonts w:hint="eastAsia" w:ascii="宋体" w:hAnsi="宋体"/>
                      <w:bCs/>
                      <w:szCs w:val="21"/>
                    </w:rPr>
                  </w:pPr>
                  <w:r>
                    <w:rPr>
                      <w:rFonts w:hint="eastAsia" w:ascii="宋体" w:hAnsi="宋体"/>
                      <w:bCs/>
                      <w:szCs w:val="21"/>
                    </w:rPr>
                    <w:t>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4" w:type="dxa"/>
                  <w:noWrap w:val="0"/>
                  <w:vAlign w:val="top"/>
                </w:tcPr>
                <w:p>
                  <w:pPr>
                    <w:jc w:val="center"/>
                    <w:rPr>
                      <w:rFonts w:hint="eastAsia" w:ascii="宋体" w:hAnsi="宋体"/>
                      <w:bCs/>
                      <w:szCs w:val="21"/>
                    </w:rPr>
                  </w:pPr>
                  <w:r>
                    <w:rPr>
                      <w:rFonts w:hint="eastAsia" w:ascii="宋体" w:hAnsi="宋体"/>
                      <w:bCs/>
                      <w:szCs w:val="21"/>
                    </w:rPr>
                    <w:t>切割机</w:t>
                  </w:r>
                </w:p>
              </w:tc>
              <w:tc>
                <w:tcPr>
                  <w:tcW w:w="709" w:type="dxa"/>
                  <w:noWrap w:val="0"/>
                  <w:vAlign w:val="top"/>
                </w:tcPr>
                <w:p>
                  <w:pPr>
                    <w:jc w:val="center"/>
                    <w:rPr>
                      <w:rFonts w:hint="eastAsia" w:ascii="宋体" w:hAnsi="宋体"/>
                      <w:bCs/>
                      <w:szCs w:val="21"/>
                    </w:rPr>
                  </w:pPr>
                  <w:r>
                    <w:rPr>
                      <w:rFonts w:hint="eastAsia" w:ascii="宋体" w:hAnsi="宋体"/>
                      <w:bCs/>
                      <w:szCs w:val="21"/>
                    </w:rPr>
                    <w:t>92</w:t>
                  </w:r>
                </w:p>
              </w:tc>
              <w:tc>
                <w:tcPr>
                  <w:tcW w:w="859" w:type="dxa"/>
                  <w:noWrap w:val="0"/>
                  <w:vAlign w:val="top"/>
                </w:tcPr>
                <w:p>
                  <w:pPr>
                    <w:jc w:val="center"/>
                    <w:rPr>
                      <w:rFonts w:hint="eastAsia" w:ascii="宋体" w:hAnsi="宋体"/>
                      <w:bCs/>
                      <w:szCs w:val="21"/>
                    </w:rPr>
                  </w:pPr>
                  <w:r>
                    <w:rPr>
                      <w:rFonts w:hint="eastAsia" w:ascii="宋体" w:hAnsi="宋体"/>
                      <w:bCs/>
                      <w:szCs w:val="21"/>
                    </w:rPr>
                    <w:t>78</w:t>
                  </w:r>
                </w:p>
              </w:tc>
              <w:tc>
                <w:tcPr>
                  <w:tcW w:w="850" w:type="dxa"/>
                  <w:noWrap w:val="0"/>
                  <w:vAlign w:val="top"/>
                </w:tcPr>
                <w:p>
                  <w:pPr>
                    <w:jc w:val="center"/>
                    <w:rPr>
                      <w:rFonts w:hint="eastAsia" w:ascii="宋体" w:hAnsi="宋体"/>
                      <w:bCs/>
                      <w:szCs w:val="21"/>
                    </w:rPr>
                  </w:pPr>
                  <w:r>
                    <w:rPr>
                      <w:rFonts w:hint="eastAsia" w:ascii="宋体" w:hAnsi="宋体"/>
                      <w:bCs/>
                      <w:szCs w:val="21"/>
                    </w:rPr>
                    <w:t>72</w:t>
                  </w:r>
                </w:p>
              </w:tc>
              <w:tc>
                <w:tcPr>
                  <w:tcW w:w="992" w:type="dxa"/>
                  <w:noWrap w:val="0"/>
                  <w:vAlign w:val="top"/>
                </w:tcPr>
                <w:p>
                  <w:pPr>
                    <w:jc w:val="center"/>
                    <w:rPr>
                      <w:rFonts w:hint="eastAsia" w:ascii="宋体" w:hAnsi="宋体"/>
                      <w:bCs/>
                      <w:szCs w:val="21"/>
                    </w:rPr>
                  </w:pPr>
                  <w:r>
                    <w:rPr>
                      <w:rFonts w:hint="eastAsia" w:ascii="宋体" w:hAnsi="宋体"/>
                      <w:bCs/>
                      <w:szCs w:val="21"/>
                    </w:rPr>
                    <w:t>66</w:t>
                  </w:r>
                </w:p>
              </w:tc>
              <w:tc>
                <w:tcPr>
                  <w:tcW w:w="993" w:type="dxa"/>
                  <w:noWrap w:val="0"/>
                  <w:vAlign w:val="top"/>
                </w:tcPr>
                <w:p>
                  <w:pPr>
                    <w:jc w:val="center"/>
                    <w:rPr>
                      <w:rFonts w:hint="eastAsia" w:ascii="宋体" w:hAnsi="宋体"/>
                      <w:bCs/>
                      <w:szCs w:val="21"/>
                    </w:rPr>
                  </w:pPr>
                  <w:r>
                    <w:rPr>
                      <w:rFonts w:hint="eastAsia" w:ascii="宋体" w:hAnsi="宋体"/>
                      <w:bCs/>
                      <w:szCs w:val="21"/>
                    </w:rPr>
                    <w:t>60</w:t>
                  </w:r>
                </w:p>
              </w:tc>
              <w:tc>
                <w:tcPr>
                  <w:tcW w:w="1134" w:type="dxa"/>
                  <w:noWrap w:val="0"/>
                  <w:vAlign w:val="top"/>
                </w:tcPr>
                <w:p>
                  <w:pPr>
                    <w:jc w:val="center"/>
                    <w:rPr>
                      <w:rFonts w:hint="eastAsia" w:ascii="宋体" w:hAnsi="宋体"/>
                      <w:bCs/>
                      <w:szCs w:val="21"/>
                    </w:rPr>
                  </w:pPr>
                  <w:r>
                    <w:rPr>
                      <w:rFonts w:hint="eastAsia" w:ascii="宋体" w:hAnsi="宋体"/>
                      <w:bCs/>
                      <w:szCs w:val="21"/>
                    </w:rPr>
                    <w:t>58</w:t>
                  </w:r>
                </w:p>
              </w:tc>
              <w:tc>
                <w:tcPr>
                  <w:tcW w:w="1559" w:type="dxa"/>
                  <w:noWrap w:val="0"/>
                  <w:vAlign w:val="top"/>
                </w:tcPr>
                <w:p>
                  <w:pPr>
                    <w:jc w:val="center"/>
                    <w:rPr>
                      <w:rFonts w:hint="eastAsia" w:ascii="宋体" w:hAnsi="宋体"/>
                      <w:bCs/>
                      <w:szCs w:val="21"/>
                    </w:rPr>
                  </w:pPr>
                  <w:r>
                    <w:rPr>
                      <w:rFonts w:hint="eastAsia" w:ascii="宋体" w:hAnsi="宋体"/>
                      <w:bCs/>
                      <w:szCs w:val="21"/>
                    </w:rPr>
                    <w:t>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4" w:type="dxa"/>
                  <w:noWrap w:val="0"/>
                  <w:vAlign w:val="top"/>
                </w:tcPr>
                <w:p>
                  <w:pPr>
                    <w:jc w:val="center"/>
                    <w:rPr>
                      <w:rFonts w:hint="eastAsia" w:ascii="宋体" w:hAnsi="宋体"/>
                      <w:bCs/>
                      <w:szCs w:val="21"/>
                    </w:rPr>
                  </w:pPr>
                  <w:r>
                    <w:rPr>
                      <w:rFonts w:hint="eastAsia" w:ascii="宋体" w:hAnsi="宋体"/>
                      <w:bCs/>
                      <w:szCs w:val="21"/>
                    </w:rPr>
                    <w:t>电焊机</w:t>
                  </w:r>
                </w:p>
              </w:tc>
              <w:tc>
                <w:tcPr>
                  <w:tcW w:w="709" w:type="dxa"/>
                  <w:noWrap w:val="0"/>
                  <w:vAlign w:val="top"/>
                </w:tcPr>
                <w:p>
                  <w:pPr>
                    <w:jc w:val="center"/>
                    <w:rPr>
                      <w:rFonts w:hint="eastAsia" w:ascii="宋体" w:hAnsi="宋体"/>
                      <w:bCs/>
                      <w:szCs w:val="21"/>
                    </w:rPr>
                  </w:pPr>
                  <w:r>
                    <w:rPr>
                      <w:rFonts w:hint="eastAsia" w:ascii="宋体" w:hAnsi="宋体"/>
                      <w:bCs/>
                      <w:szCs w:val="21"/>
                    </w:rPr>
                    <w:t>85</w:t>
                  </w:r>
                </w:p>
              </w:tc>
              <w:tc>
                <w:tcPr>
                  <w:tcW w:w="859" w:type="dxa"/>
                  <w:noWrap w:val="0"/>
                  <w:vAlign w:val="top"/>
                </w:tcPr>
                <w:p>
                  <w:pPr>
                    <w:jc w:val="center"/>
                    <w:rPr>
                      <w:rFonts w:hint="eastAsia" w:ascii="宋体" w:hAnsi="宋体"/>
                      <w:bCs/>
                      <w:szCs w:val="21"/>
                    </w:rPr>
                  </w:pPr>
                  <w:r>
                    <w:rPr>
                      <w:rFonts w:hint="eastAsia" w:ascii="宋体" w:hAnsi="宋体"/>
                      <w:bCs/>
                      <w:szCs w:val="21"/>
                    </w:rPr>
                    <w:t>71</w:t>
                  </w:r>
                </w:p>
              </w:tc>
              <w:tc>
                <w:tcPr>
                  <w:tcW w:w="850" w:type="dxa"/>
                  <w:noWrap w:val="0"/>
                  <w:vAlign w:val="top"/>
                </w:tcPr>
                <w:p>
                  <w:pPr>
                    <w:jc w:val="center"/>
                    <w:rPr>
                      <w:rFonts w:hint="eastAsia" w:ascii="宋体" w:hAnsi="宋体"/>
                      <w:bCs/>
                      <w:szCs w:val="21"/>
                    </w:rPr>
                  </w:pPr>
                  <w:r>
                    <w:rPr>
                      <w:rFonts w:hint="eastAsia" w:ascii="宋体" w:hAnsi="宋体"/>
                      <w:bCs/>
                      <w:szCs w:val="21"/>
                    </w:rPr>
                    <w:t>65</w:t>
                  </w:r>
                </w:p>
              </w:tc>
              <w:tc>
                <w:tcPr>
                  <w:tcW w:w="992" w:type="dxa"/>
                  <w:noWrap w:val="0"/>
                  <w:vAlign w:val="top"/>
                </w:tcPr>
                <w:p>
                  <w:pPr>
                    <w:jc w:val="center"/>
                    <w:rPr>
                      <w:rFonts w:hint="eastAsia" w:ascii="宋体" w:hAnsi="宋体"/>
                      <w:bCs/>
                      <w:szCs w:val="21"/>
                    </w:rPr>
                  </w:pPr>
                  <w:r>
                    <w:rPr>
                      <w:rFonts w:hint="eastAsia" w:ascii="宋体" w:hAnsi="宋体"/>
                      <w:bCs/>
                      <w:szCs w:val="21"/>
                    </w:rPr>
                    <w:t>59</w:t>
                  </w:r>
                </w:p>
              </w:tc>
              <w:tc>
                <w:tcPr>
                  <w:tcW w:w="993" w:type="dxa"/>
                  <w:noWrap w:val="0"/>
                  <w:vAlign w:val="top"/>
                </w:tcPr>
                <w:p>
                  <w:pPr>
                    <w:jc w:val="center"/>
                    <w:rPr>
                      <w:rFonts w:hint="eastAsia" w:ascii="宋体" w:hAnsi="宋体"/>
                      <w:bCs/>
                      <w:szCs w:val="21"/>
                    </w:rPr>
                  </w:pPr>
                  <w:r>
                    <w:rPr>
                      <w:rFonts w:hint="eastAsia" w:ascii="宋体" w:hAnsi="宋体"/>
                      <w:bCs/>
                      <w:szCs w:val="21"/>
                    </w:rPr>
                    <w:t>53</w:t>
                  </w:r>
                </w:p>
              </w:tc>
              <w:tc>
                <w:tcPr>
                  <w:tcW w:w="1134" w:type="dxa"/>
                  <w:noWrap w:val="0"/>
                  <w:vAlign w:val="top"/>
                </w:tcPr>
                <w:p>
                  <w:pPr>
                    <w:jc w:val="center"/>
                    <w:rPr>
                      <w:rFonts w:hint="eastAsia" w:ascii="宋体" w:hAnsi="宋体"/>
                      <w:bCs/>
                      <w:szCs w:val="21"/>
                    </w:rPr>
                  </w:pPr>
                  <w:r>
                    <w:rPr>
                      <w:rFonts w:hint="eastAsia" w:ascii="宋体" w:hAnsi="宋体"/>
                      <w:bCs/>
                      <w:szCs w:val="21"/>
                    </w:rPr>
                    <w:t>51</w:t>
                  </w:r>
                </w:p>
              </w:tc>
              <w:tc>
                <w:tcPr>
                  <w:tcW w:w="1559" w:type="dxa"/>
                  <w:noWrap w:val="0"/>
                  <w:vAlign w:val="top"/>
                </w:tcPr>
                <w:p>
                  <w:pPr>
                    <w:jc w:val="center"/>
                    <w:rPr>
                      <w:rFonts w:hint="eastAsia" w:ascii="宋体" w:hAnsi="宋体"/>
                      <w:bCs/>
                      <w:szCs w:val="21"/>
                    </w:rPr>
                  </w:pPr>
                  <w:r>
                    <w:rPr>
                      <w:rFonts w:hint="eastAsia" w:ascii="宋体" w:hAnsi="宋体"/>
                      <w:bCs/>
                      <w:szCs w:val="21"/>
                    </w:rPr>
                    <w:t>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4" w:type="dxa"/>
                  <w:noWrap w:val="0"/>
                  <w:vAlign w:val="top"/>
                </w:tcPr>
                <w:p>
                  <w:pPr>
                    <w:jc w:val="center"/>
                    <w:rPr>
                      <w:rFonts w:hint="eastAsia" w:ascii="宋体" w:hAnsi="宋体"/>
                      <w:bCs/>
                      <w:szCs w:val="21"/>
                    </w:rPr>
                  </w:pPr>
                  <w:r>
                    <w:rPr>
                      <w:rFonts w:hint="eastAsia" w:ascii="宋体" w:hAnsi="宋体"/>
                      <w:bCs/>
                      <w:szCs w:val="21"/>
                    </w:rPr>
                    <w:t>卡车</w:t>
                  </w:r>
                </w:p>
              </w:tc>
              <w:tc>
                <w:tcPr>
                  <w:tcW w:w="709" w:type="dxa"/>
                  <w:noWrap w:val="0"/>
                  <w:vAlign w:val="top"/>
                </w:tcPr>
                <w:p>
                  <w:pPr>
                    <w:jc w:val="center"/>
                    <w:rPr>
                      <w:rFonts w:hint="eastAsia" w:ascii="宋体" w:hAnsi="宋体"/>
                      <w:bCs/>
                      <w:szCs w:val="21"/>
                    </w:rPr>
                  </w:pPr>
                  <w:r>
                    <w:rPr>
                      <w:rFonts w:hint="eastAsia" w:ascii="宋体" w:hAnsi="宋体"/>
                      <w:bCs/>
                      <w:szCs w:val="21"/>
                    </w:rPr>
                    <w:t>85</w:t>
                  </w:r>
                </w:p>
              </w:tc>
              <w:tc>
                <w:tcPr>
                  <w:tcW w:w="859" w:type="dxa"/>
                  <w:noWrap w:val="0"/>
                  <w:vAlign w:val="top"/>
                </w:tcPr>
                <w:p>
                  <w:pPr>
                    <w:jc w:val="center"/>
                    <w:rPr>
                      <w:rFonts w:hint="eastAsia" w:ascii="宋体" w:hAnsi="宋体"/>
                      <w:bCs/>
                      <w:szCs w:val="21"/>
                    </w:rPr>
                  </w:pPr>
                  <w:r>
                    <w:rPr>
                      <w:rFonts w:hint="eastAsia" w:ascii="宋体" w:hAnsi="宋体"/>
                      <w:bCs/>
                      <w:szCs w:val="21"/>
                    </w:rPr>
                    <w:t>71</w:t>
                  </w:r>
                </w:p>
              </w:tc>
              <w:tc>
                <w:tcPr>
                  <w:tcW w:w="850" w:type="dxa"/>
                  <w:noWrap w:val="0"/>
                  <w:vAlign w:val="top"/>
                </w:tcPr>
                <w:p>
                  <w:pPr>
                    <w:jc w:val="center"/>
                    <w:rPr>
                      <w:rFonts w:hint="eastAsia" w:ascii="宋体" w:hAnsi="宋体"/>
                      <w:bCs/>
                      <w:szCs w:val="21"/>
                    </w:rPr>
                  </w:pPr>
                  <w:r>
                    <w:rPr>
                      <w:rFonts w:hint="eastAsia" w:ascii="宋体" w:hAnsi="宋体"/>
                      <w:bCs/>
                      <w:szCs w:val="21"/>
                    </w:rPr>
                    <w:t>65</w:t>
                  </w:r>
                </w:p>
              </w:tc>
              <w:tc>
                <w:tcPr>
                  <w:tcW w:w="992" w:type="dxa"/>
                  <w:noWrap w:val="0"/>
                  <w:vAlign w:val="top"/>
                </w:tcPr>
                <w:p>
                  <w:pPr>
                    <w:jc w:val="center"/>
                    <w:rPr>
                      <w:rFonts w:hint="eastAsia" w:ascii="宋体" w:hAnsi="宋体"/>
                      <w:bCs/>
                      <w:szCs w:val="21"/>
                    </w:rPr>
                  </w:pPr>
                  <w:r>
                    <w:rPr>
                      <w:rFonts w:hint="eastAsia" w:ascii="宋体" w:hAnsi="宋体"/>
                      <w:bCs/>
                      <w:szCs w:val="21"/>
                    </w:rPr>
                    <w:t>59</w:t>
                  </w:r>
                </w:p>
              </w:tc>
              <w:tc>
                <w:tcPr>
                  <w:tcW w:w="993" w:type="dxa"/>
                  <w:noWrap w:val="0"/>
                  <w:vAlign w:val="top"/>
                </w:tcPr>
                <w:p>
                  <w:pPr>
                    <w:jc w:val="center"/>
                    <w:rPr>
                      <w:rFonts w:hint="eastAsia" w:ascii="宋体" w:hAnsi="宋体"/>
                      <w:bCs/>
                      <w:szCs w:val="21"/>
                    </w:rPr>
                  </w:pPr>
                  <w:r>
                    <w:rPr>
                      <w:rFonts w:hint="eastAsia" w:ascii="宋体" w:hAnsi="宋体"/>
                      <w:bCs/>
                      <w:szCs w:val="21"/>
                    </w:rPr>
                    <w:t>53</w:t>
                  </w:r>
                </w:p>
              </w:tc>
              <w:tc>
                <w:tcPr>
                  <w:tcW w:w="1134" w:type="dxa"/>
                  <w:noWrap w:val="0"/>
                  <w:vAlign w:val="top"/>
                </w:tcPr>
                <w:p>
                  <w:pPr>
                    <w:jc w:val="center"/>
                    <w:rPr>
                      <w:rFonts w:hint="eastAsia" w:ascii="宋体" w:hAnsi="宋体"/>
                      <w:bCs/>
                      <w:szCs w:val="21"/>
                    </w:rPr>
                  </w:pPr>
                  <w:r>
                    <w:rPr>
                      <w:rFonts w:hint="eastAsia" w:ascii="宋体" w:hAnsi="宋体"/>
                      <w:bCs/>
                      <w:szCs w:val="21"/>
                    </w:rPr>
                    <w:t>51</w:t>
                  </w:r>
                </w:p>
              </w:tc>
              <w:tc>
                <w:tcPr>
                  <w:tcW w:w="1559" w:type="dxa"/>
                  <w:noWrap w:val="0"/>
                  <w:vAlign w:val="top"/>
                </w:tcPr>
                <w:p>
                  <w:pPr>
                    <w:jc w:val="center"/>
                    <w:rPr>
                      <w:rFonts w:hint="eastAsia" w:ascii="宋体" w:hAnsi="宋体"/>
                      <w:bCs/>
                      <w:szCs w:val="21"/>
                    </w:rPr>
                  </w:pPr>
                  <w:r>
                    <w:rPr>
                      <w:rFonts w:hint="eastAsia" w:ascii="宋体" w:hAnsi="宋体"/>
                      <w:bCs/>
                      <w:szCs w:val="21"/>
                    </w:rPr>
                    <w:t>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4" w:type="dxa"/>
                  <w:noWrap w:val="0"/>
                  <w:vAlign w:val="top"/>
                </w:tcPr>
                <w:p>
                  <w:pPr>
                    <w:jc w:val="center"/>
                    <w:rPr>
                      <w:rFonts w:hint="eastAsia" w:ascii="宋体" w:hAnsi="宋体"/>
                      <w:bCs/>
                      <w:szCs w:val="21"/>
                    </w:rPr>
                  </w:pPr>
                  <w:r>
                    <w:rPr>
                      <w:rFonts w:hint="eastAsia" w:ascii="宋体" w:hAnsi="宋体"/>
                      <w:bCs/>
                      <w:szCs w:val="21"/>
                    </w:rPr>
                    <w:t>叠加值</w:t>
                  </w:r>
                </w:p>
              </w:tc>
              <w:tc>
                <w:tcPr>
                  <w:tcW w:w="709" w:type="dxa"/>
                  <w:noWrap w:val="0"/>
                  <w:vAlign w:val="top"/>
                </w:tcPr>
                <w:p>
                  <w:pPr>
                    <w:jc w:val="center"/>
                    <w:rPr>
                      <w:rFonts w:hint="eastAsia" w:ascii="宋体" w:hAnsi="宋体"/>
                      <w:bCs/>
                      <w:szCs w:val="21"/>
                    </w:rPr>
                  </w:pPr>
                  <w:r>
                    <w:rPr>
                      <w:rFonts w:hint="eastAsia" w:ascii="宋体" w:hAnsi="宋体"/>
                      <w:bCs/>
                      <w:szCs w:val="21"/>
                    </w:rPr>
                    <w:t>98</w:t>
                  </w:r>
                </w:p>
              </w:tc>
              <w:tc>
                <w:tcPr>
                  <w:tcW w:w="859" w:type="dxa"/>
                  <w:noWrap w:val="0"/>
                  <w:vAlign w:val="top"/>
                </w:tcPr>
                <w:p>
                  <w:pPr>
                    <w:jc w:val="center"/>
                    <w:rPr>
                      <w:rFonts w:hint="eastAsia" w:ascii="宋体" w:hAnsi="宋体"/>
                      <w:bCs/>
                      <w:szCs w:val="21"/>
                    </w:rPr>
                  </w:pPr>
                  <w:r>
                    <w:rPr>
                      <w:rFonts w:hint="eastAsia" w:ascii="宋体" w:hAnsi="宋体"/>
                      <w:bCs/>
                      <w:szCs w:val="21"/>
                    </w:rPr>
                    <w:t>84</w:t>
                  </w:r>
                </w:p>
              </w:tc>
              <w:tc>
                <w:tcPr>
                  <w:tcW w:w="850" w:type="dxa"/>
                  <w:noWrap w:val="0"/>
                  <w:vAlign w:val="top"/>
                </w:tcPr>
                <w:p>
                  <w:pPr>
                    <w:jc w:val="center"/>
                    <w:rPr>
                      <w:rFonts w:hint="eastAsia" w:ascii="宋体" w:hAnsi="宋体"/>
                      <w:bCs/>
                      <w:szCs w:val="21"/>
                    </w:rPr>
                  </w:pPr>
                  <w:r>
                    <w:rPr>
                      <w:rFonts w:hint="eastAsia" w:ascii="宋体" w:hAnsi="宋体"/>
                      <w:bCs/>
                      <w:szCs w:val="21"/>
                    </w:rPr>
                    <w:t>78</w:t>
                  </w:r>
                </w:p>
              </w:tc>
              <w:tc>
                <w:tcPr>
                  <w:tcW w:w="992" w:type="dxa"/>
                  <w:noWrap w:val="0"/>
                  <w:vAlign w:val="top"/>
                </w:tcPr>
                <w:p>
                  <w:pPr>
                    <w:jc w:val="center"/>
                    <w:rPr>
                      <w:rFonts w:hint="eastAsia" w:ascii="宋体" w:hAnsi="宋体"/>
                      <w:bCs/>
                      <w:szCs w:val="21"/>
                    </w:rPr>
                  </w:pPr>
                  <w:r>
                    <w:rPr>
                      <w:rFonts w:hint="eastAsia" w:ascii="宋体" w:hAnsi="宋体"/>
                      <w:bCs/>
                      <w:szCs w:val="21"/>
                    </w:rPr>
                    <w:t>72</w:t>
                  </w:r>
                </w:p>
              </w:tc>
              <w:tc>
                <w:tcPr>
                  <w:tcW w:w="993" w:type="dxa"/>
                  <w:noWrap w:val="0"/>
                  <w:vAlign w:val="top"/>
                </w:tcPr>
                <w:p>
                  <w:pPr>
                    <w:jc w:val="center"/>
                    <w:rPr>
                      <w:rFonts w:hint="eastAsia" w:ascii="宋体" w:hAnsi="宋体"/>
                      <w:bCs/>
                      <w:szCs w:val="21"/>
                    </w:rPr>
                  </w:pPr>
                  <w:r>
                    <w:rPr>
                      <w:rFonts w:hint="eastAsia" w:ascii="宋体" w:hAnsi="宋体"/>
                      <w:bCs/>
                      <w:szCs w:val="21"/>
                    </w:rPr>
                    <w:t>66</w:t>
                  </w:r>
                </w:p>
              </w:tc>
              <w:tc>
                <w:tcPr>
                  <w:tcW w:w="1134" w:type="dxa"/>
                  <w:noWrap w:val="0"/>
                  <w:vAlign w:val="top"/>
                </w:tcPr>
                <w:p>
                  <w:pPr>
                    <w:jc w:val="center"/>
                    <w:rPr>
                      <w:rFonts w:hint="eastAsia" w:ascii="宋体" w:hAnsi="宋体"/>
                      <w:bCs/>
                      <w:szCs w:val="21"/>
                    </w:rPr>
                  </w:pPr>
                  <w:r>
                    <w:rPr>
                      <w:rFonts w:hint="eastAsia" w:ascii="宋体" w:hAnsi="宋体"/>
                      <w:bCs/>
                      <w:szCs w:val="21"/>
                    </w:rPr>
                    <w:t>54</w:t>
                  </w:r>
                </w:p>
              </w:tc>
              <w:tc>
                <w:tcPr>
                  <w:tcW w:w="1559" w:type="dxa"/>
                  <w:noWrap w:val="0"/>
                  <w:vAlign w:val="top"/>
                </w:tcPr>
                <w:p>
                  <w:pPr>
                    <w:jc w:val="center"/>
                    <w:rPr>
                      <w:rFonts w:hint="eastAsia" w:ascii="宋体" w:hAnsi="宋体"/>
                      <w:bCs/>
                      <w:szCs w:val="21"/>
                    </w:rPr>
                  </w:pPr>
                  <w:r>
                    <w:rPr>
                      <w:rFonts w:hint="eastAsia" w:ascii="宋体" w:hAnsi="宋体"/>
                      <w:bCs/>
                      <w:szCs w:val="21"/>
                    </w:rPr>
                    <w:t>58</w:t>
                  </w:r>
                </w:p>
              </w:tc>
            </w:tr>
          </w:tbl>
          <w:p>
            <w:pPr>
              <w:spacing w:line="360" w:lineRule="auto"/>
              <w:ind w:firstLine="480" w:firstLineChars="200"/>
              <w:rPr>
                <w:rFonts w:hint="eastAsia"/>
                <w:sz w:val="24"/>
              </w:rPr>
            </w:pPr>
            <w:r>
              <w:rPr>
                <w:rFonts w:hint="eastAsia"/>
                <w:sz w:val="24"/>
              </w:rPr>
              <w:t>项目不同施工阶段的噪声控制应符合《建筑施工场界环境噪声排放标准》（</w:t>
            </w:r>
            <w:r>
              <w:rPr>
                <w:rFonts w:ascii="TimesNewRomanPSMT" w:hAnsi="TimesNewRomanPSMT" w:cs="TimesNewRomanPSMT"/>
                <w:sz w:val="24"/>
              </w:rPr>
              <w:t>GB12523-2011</w:t>
            </w:r>
            <w:r>
              <w:rPr>
                <w:rFonts w:hint="eastAsia"/>
                <w:sz w:val="24"/>
              </w:rPr>
              <w:t>），详见表</w:t>
            </w:r>
            <w:r>
              <w:rPr>
                <w:rFonts w:ascii="TimesNewRomanPSMT" w:hAnsi="TimesNewRomanPSMT" w:cs="TimesNewRomanPSMT"/>
                <w:sz w:val="24"/>
              </w:rPr>
              <w:t>7-2</w:t>
            </w:r>
            <w:r>
              <w:rPr>
                <w:rFonts w:hint="eastAsia"/>
                <w:sz w:val="24"/>
              </w:rPr>
              <w:t>。</w:t>
            </w:r>
          </w:p>
          <w:p>
            <w:pPr>
              <w:ind w:firstLine="2093" w:firstLineChars="993"/>
              <w:rPr>
                <w:rFonts w:hint="eastAsia"/>
                <w:b/>
                <w:bCs/>
              </w:rPr>
            </w:pPr>
            <w:r>
              <w:rPr>
                <w:rFonts w:hint="eastAsia"/>
                <w:b/>
              </w:rPr>
              <w:t>表</w:t>
            </w:r>
            <w:r>
              <w:rPr>
                <w:b/>
                <w:bCs/>
              </w:rPr>
              <w:t xml:space="preserve">7-2 </w:t>
            </w:r>
            <w:r>
              <w:rPr>
                <w:rFonts w:hint="eastAsia"/>
                <w:b/>
              </w:rPr>
              <w:t>建筑施工场界环境噪声排放标准单位：</w:t>
            </w:r>
            <w:r>
              <w:rPr>
                <w:b/>
                <w:bCs/>
              </w:rPr>
              <w:t>Leq[dB(A)]</w:t>
            </w:r>
          </w:p>
          <w:tbl>
            <w:tblPr>
              <w:tblStyle w:val="69"/>
              <w:tblW w:w="823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397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0" w:type="dxa"/>
                  <w:gridSpan w:val="2"/>
                  <w:noWrap w:val="0"/>
                  <w:vAlign w:val="top"/>
                </w:tcPr>
                <w:p>
                  <w:pPr>
                    <w:ind w:firstLine="420"/>
                    <w:jc w:val="center"/>
                    <w:rPr>
                      <w:rFonts w:hint="eastAsia" w:ascii="宋体" w:hAnsi="宋体"/>
                      <w:bCs/>
                      <w:szCs w:val="21"/>
                    </w:rPr>
                  </w:pPr>
                  <w:r>
                    <w:rPr>
                      <w:rFonts w:hint="eastAsia" w:ascii="宋体" w:hAnsi="宋体"/>
                      <w:bCs/>
                      <w:szCs w:val="21"/>
                    </w:rPr>
                    <w:t>标准值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53" w:type="dxa"/>
                  <w:noWrap w:val="0"/>
                  <w:vAlign w:val="top"/>
                </w:tcPr>
                <w:p>
                  <w:pPr>
                    <w:ind w:firstLine="420"/>
                    <w:jc w:val="center"/>
                    <w:rPr>
                      <w:rFonts w:hint="eastAsia" w:ascii="宋体" w:hAnsi="宋体"/>
                      <w:bCs/>
                      <w:szCs w:val="21"/>
                    </w:rPr>
                  </w:pPr>
                  <w:r>
                    <w:rPr>
                      <w:rFonts w:hint="eastAsia" w:ascii="宋体" w:hAnsi="宋体"/>
                      <w:bCs/>
                      <w:szCs w:val="21"/>
                    </w:rPr>
                    <w:t>昼间</w:t>
                  </w:r>
                </w:p>
              </w:tc>
              <w:tc>
                <w:tcPr>
                  <w:tcW w:w="3977" w:type="dxa"/>
                  <w:noWrap w:val="0"/>
                  <w:vAlign w:val="top"/>
                </w:tcPr>
                <w:p>
                  <w:pPr>
                    <w:ind w:firstLine="420"/>
                    <w:jc w:val="center"/>
                    <w:rPr>
                      <w:rFonts w:hint="eastAsia" w:ascii="宋体" w:hAnsi="宋体"/>
                      <w:bCs/>
                      <w:szCs w:val="21"/>
                    </w:rPr>
                  </w:pPr>
                  <w:r>
                    <w:rPr>
                      <w:rFonts w:hint="eastAsia" w:ascii="宋体" w:hAnsi="宋体"/>
                      <w:bCs/>
                      <w:szCs w:val="21"/>
                    </w:rPr>
                    <w:t>夜间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53" w:type="dxa"/>
                  <w:noWrap w:val="0"/>
                  <w:vAlign w:val="top"/>
                </w:tcPr>
                <w:p>
                  <w:pPr>
                    <w:ind w:firstLine="420"/>
                    <w:jc w:val="center"/>
                    <w:rPr>
                      <w:rFonts w:hint="eastAsia" w:ascii="宋体" w:hAnsi="宋体"/>
                      <w:bCs/>
                      <w:szCs w:val="21"/>
                    </w:rPr>
                  </w:pPr>
                  <w:r>
                    <w:rPr>
                      <w:rFonts w:hint="eastAsia" w:ascii="宋体" w:hAnsi="宋体"/>
                      <w:bCs/>
                      <w:szCs w:val="21"/>
                    </w:rPr>
                    <w:t>70</w:t>
                  </w:r>
                </w:p>
              </w:tc>
              <w:tc>
                <w:tcPr>
                  <w:tcW w:w="3977" w:type="dxa"/>
                  <w:noWrap w:val="0"/>
                  <w:vAlign w:val="top"/>
                </w:tcPr>
                <w:p>
                  <w:pPr>
                    <w:ind w:firstLine="420"/>
                    <w:jc w:val="center"/>
                    <w:rPr>
                      <w:rFonts w:hint="eastAsia" w:ascii="宋体" w:hAnsi="宋体"/>
                      <w:bCs/>
                      <w:szCs w:val="21"/>
                    </w:rPr>
                  </w:pPr>
                  <w:r>
                    <w:rPr>
                      <w:rFonts w:hint="eastAsia" w:ascii="宋体" w:hAnsi="宋体"/>
                      <w:bCs/>
                      <w:szCs w:val="21"/>
                    </w:rPr>
                    <w:t>55</w:t>
                  </w:r>
                </w:p>
              </w:tc>
            </w:tr>
          </w:tbl>
          <w:p>
            <w:pPr>
              <w:spacing w:line="360" w:lineRule="auto"/>
              <w:ind w:firstLine="480" w:firstLineChars="200"/>
              <w:rPr>
                <w:rFonts w:hint="eastAsia"/>
                <w:sz w:val="24"/>
              </w:rPr>
            </w:pPr>
            <w:r>
              <w:rPr>
                <w:rFonts w:hint="eastAsia"/>
                <w:sz w:val="24"/>
              </w:rPr>
              <w:t>表</w:t>
            </w:r>
            <w:r>
              <w:rPr>
                <w:rFonts w:ascii="TimesNewRomanPSMT" w:hAnsi="TimesNewRomanPSMT" w:cs="TimesNewRomanPSMT"/>
                <w:sz w:val="24"/>
              </w:rPr>
              <w:t xml:space="preserve">7-1 </w:t>
            </w:r>
            <w:r>
              <w:rPr>
                <w:rFonts w:hint="eastAsia"/>
                <w:sz w:val="24"/>
              </w:rPr>
              <w:t>主要施工设备噪声的距离衰减情况，通过表</w:t>
            </w:r>
            <w:r>
              <w:rPr>
                <w:rFonts w:ascii="TimesNewRomanPSMT" w:hAnsi="TimesNewRomanPSMT" w:cs="TimesNewRomanPSMT"/>
                <w:sz w:val="24"/>
              </w:rPr>
              <w:t xml:space="preserve">7-1 </w:t>
            </w:r>
            <w:r>
              <w:rPr>
                <w:rFonts w:hint="eastAsia"/>
                <w:sz w:val="24"/>
              </w:rPr>
              <w:t>及表</w:t>
            </w:r>
            <w:r>
              <w:rPr>
                <w:rFonts w:ascii="TimesNewRomanPSMT" w:hAnsi="TimesNewRomanPSMT" w:cs="TimesNewRomanPSMT"/>
                <w:sz w:val="24"/>
              </w:rPr>
              <w:t xml:space="preserve">7-2 </w:t>
            </w:r>
            <w:r>
              <w:rPr>
                <w:rFonts w:hint="eastAsia"/>
                <w:sz w:val="24"/>
              </w:rPr>
              <w:t>可知，施工机械单个作业时噪声级昼间在施工点</w:t>
            </w:r>
            <w:r>
              <w:rPr>
                <w:rFonts w:ascii="TimesNewRomanPSMT" w:hAnsi="TimesNewRomanPSMT" w:cs="TimesNewRomanPSMT"/>
                <w:sz w:val="24"/>
              </w:rPr>
              <w:t xml:space="preserve">10m </w:t>
            </w:r>
            <w:r>
              <w:rPr>
                <w:rFonts w:hint="eastAsia"/>
                <w:sz w:val="24"/>
              </w:rPr>
              <w:t>外，夜间在距施工点</w:t>
            </w:r>
            <w:r>
              <w:rPr>
                <w:rFonts w:ascii="TimesNewRomanPSMT" w:hAnsi="TimesNewRomanPSMT" w:cs="TimesNewRomanPSMT"/>
                <w:sz w:val="24"/>
              </w:rPr>
              <w:t xml:space="preserve">70m </w:t>
            </w:r>
            <w:r>
              <w:rPr>
                <w:rFonts w:hint="eastAsia"/>
                <w:sz w:val="24"/>
              </w:rPr>
              <w:t>外噪声值才符合《建筑施工场界环境噪声排放标准》（</w:t>
            </w:r>
            <w:r>
              <w:rPr>
                <w:rFonts w:ascii="TimesNewRomanPSMT" w:hAnsi="TimesNewRomanPSMT" w:cs="TimesNewRomanPSMT"/>
                <w:sz w:val="24"/>
              </w:rPr>
              <w:t>GB12523-2011</w:t>
            </w:r>
            <w:r>
              <w:rPr>
                <w:rFonts w:hint="eastAsia"/>
                <w:sz w:val="24"/>
              </w:rPr>
              <w:t>）。因此要求施工方合理布局，将高噪声施工设备尽量设置于场地东南侧，夜间</w:t>
            </w:r>
            <w:r>
              <w:rPr>
                <w:rFonts w:ascii="TimesNewRomanPSMT" w:hAnsi="TimesNewRomanPSMT" w:cs="TimesNewRomanPSMT"/>
                <w:sz w:val="24"/>
              </w:rPr>
              <w:t>22:00~</w:t>
            </w:r>
            <w:r>
              <w:rPr>
                <w:rFonts w:hint="eastAsia"/>
                <w:sz w:val="24"/>
              </w:rPr>
              <w:t>次日</w:t>
            </w:r>
            <w:r>
              <w:rPr>
                <w:rFonts w:ascii="TimesNewRomanPSMT" w:hAnsi="TimesNewRomanPSMT" w:cs="TimesNewRomanPSMT"/>
                <w:sz w:val="24"/>
              </w:rPr>
              <w:t xml:space="preserve">6:00 </w:t>
            </w:r>
            <w:r>
              <w:rPr>
                <w:rFonts w:hint="eastAsia"/>
                <w:sz w:val="24"/>
              </w:rPr>
              <w:t>禁止施工，确保场界噪声能够满足《建筑施工场界环境噪声排放标准》（</w:t>
            </w:r>
            <w:r>
              <w:rPr>
                <w:rFonts w:ascii="TimesNewRomanPSMT" w:hAnsi="TimesNewRomanPSMT" w:cs="TimesNewRomanPSMT"/>
                <w:sz w:val="24"/>
              </w:rPr>
              <w:t>GB12523-2011</w:t>
            </w:r>
            <w:r>
              <w:rPr>
                <w:rFonts w:hint="eastAsia"/>
                <w:sz w:val="24"/>
              </w:rPr>
              <w:t>）要求。同时由表</w:t>
            </w:r>
            <w:r>
              <w:rPr>
                <w:rFonts w:ascii="TimesNewRomanPSMT" w:hAnsi="TimesNewRomanPSMT" w:cs="TimesNewRomanPSMT"/>
                <w:sz w:val="24"/>
              </w:rPr>
              <w:t xml:space="preserve">7-1 </w:t>
            </w:r>
            <w:r>
              <w:rPr>
                <w:rFonts w:hint="eastAsia"/>
                <w:sz w:val="24"/>
              </w:rPr>
              <w:t>可知，这类机械噪声在空旷地带的传播距离较远。施工噪声叠加公式为：</w:t>
            </w:r>
          </w:p>
          <w:p>
            <w:pPr>
              <w:spacing w:line="360" w:lineRule="auto"/>
              <w:ind w:firstLine="480" w:firstLineChars="200"/>
              <w:rPr>
                <w:rFonts w:hint="eastAsia"/>
                <w:sz w:val="24"/>
              </w:rPr>
            </w:pPr>
            <w:r>
              <w:rPr>
                <w:sz w:val="24"/>
              </w:rPr>
              <w:drawing>
                <wp:inline distT="0" distB="0" distL="114300" distR="114300">
                  <wp:extent cx="2765425" cy="313690"/>
                  <wp:effectExtent l="0" t="0" r="15875" b="10160"/>
                  <wp:docPr id="4" name="图片 4" descr="说明: QQ截图20160122115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QQ截图20160122115515"/>
                          <pic:cNvPicPr>
                            <a:picLocks noChangeAspect="1"/>
                          </pic:cNvPicPr>
                        </pic:nvPicPr>
                        <pic:blipFill>
                          <a:blip r:embed="rId32"/>
                          <a:stretch>
                            <a:fillRect/>
                          </a:stretch>
                        </pic:blipFill>
                        <pic:spPr>
                          <a:xfrm>
                            <a:off x="0" y="0"/>
                            <a:ext cx="2765425" cy="313690"/>
                          </a:xfrm>
                          <a:prstGeom prst="rect">
                            <a:avLst/>
                          </a:prstGeom>
                          <a:noFill/>
                          <a:ln w="9525">
                            <a:noFill/>
                          </a:ln>
                        </pic:spPr>
                      </pic:pic>
                    </a:graphicData>
                  </a:graphic>
                </wp:inline>
              </w:drawing>
            </w:r>
          </w:p>
          <w:p>
            <w:pPr>
              <w:spacing w:line="360" w:lineRule="auto"/>
              <w:ind w:firstLine="480" w:firstLineChars="200"/>
              <w:rPr>
                <w:rFonts w:hint="eastAsia"/>
                <w:sz w:val="24"/>
              </w:rPr>
            </w:pPr>
            <w:r>
              <w:rPr>
                <w:rFonts w:hint="eastAsia"/>
                <w:sz w:val="24"/>
              </w:rPr>
              <w:t>式中：</w:t>
            </w:r>
          </w:p>
          <w:p>
            <w:pPr>
              <w:spacing w:line="360" w:lineRule="auto"/>
              <w:ind w:firstLine="480" w:firstLineChars="200"/>
              <w:rPr>
                <w:rFonts w:hint="eastAsia"/>
                <w:sz w:val="24"/>
              </w:rPr>
            </w:pPr>
            <w:r>
              <w:rPr>
                <w:rFonts w:hint="eastAsia"/>
                <w:sz w:val="24"/>
              </w:rPr>
              <w:t xml:space="preserve">     </w:t>
            </w:r>
            <w:r>
              <w:rPr>
                <w:rFonts w:hint="eastAsia"/>
                <w:sz w:val="24"/>
              </w:rPr>
              <w:drawing>
                <wp:inline distT="0" distB="0" distL="114300" distR="114300">
                  <wp:extent cx="600075" cy="283210"/>
                  <wp:effectExtent l="0" t="0" r="9525" b="2540"/>
                  <wp:docPr id="6" name="图片 5" descr="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你"/>
                          <pic:cNvPicPr>
                            <a:picLocks noChangeAspect="1"/>
                          </pic:cNvPicPr>
                        </pic:nvPicPr>
                        <pic:blipFill>
                          <a:blip r:embed="rId33"/>
                          <a:stretch>
                            <a:fillRect/>
                          </a:stretch>
                        </pic:blipFill>
                        <pic:spPr>
                          <a:xfrm>
                            <a:off x="0" y="0"/>
                            <a:ext cx="600075" cy="283210"/>
                          </a:xfrm>
                          <a:prstGeom prst="rect">
                            <a:avLst/>
                          </a:prstGeom>
                          <a:noFill/>
                          <a:ln w="9525">
                            <a:noFill/>
                          </a:ln>
                        </pic:spPr>
                      </pic:pic>
                    </a:graphicData>
                  </a:graphic>
                </wp:inline>
              </w:drawing>
            </w:r>
            <w:r>
              <w:rPr>
                <w:rFonts w:hint="eastAsia"/>
                <w:sz w:val="24"/>
              </w:rPr>
              <w:t>预测点昼间或夜间的环境噪声预测值，</w:t>
            </w:r>
            <w:r>
              <w:rPr>
                <w:sz w:val="24"/>
              </w:rPr>
              <w:t>dB</w:t>
            </w:r>
            <w:r>
              <w:rPr>
                <w:rFonts w:hint="eastAsia"/>
                <w:sz w:val="24"/>
              </w:rPr>
              <w:t>（</w:t>
            </w:r>
            <w:r>
              <w:rPr>
                <w:sz w:val="24"/>
              </w:rPr>
              <w:t>A</w:t>
            </w:r>
            <w:r>
              <w:rPr>
                <w:rFonts w:hint="eastAsia"/>
                <w:sz w:val="24"/>
              </w:rPr>
              <w:t>）</w:t>
            </w:r>
          </w:p>
          <w:p>
            <w:pPr>
              <w:spacing w:line="360" w:lineRule="auto"/>
              <w:ind w:firstLine="480" w:firstLineChars="200"/>
              <w:rPr>
                <w:rFonts w:hint="eastAsia"/>
                <w:sz w:val="24"/>
              </w:rPr>
            </w:pPr>
            <w:r>
              <w:rPr>
                <w:rFonts w:hint="eastAsia"/>
                <w:sz w:val="24"/>
              </w:rPr>
              <w:t xml:space="preserve">     </w:t>
            </w:r>
            <w:r>
              <w:rPr>
                <w:rFonts w:hint="eastAsia"/>
                <w:sz w:val="24"/>
              </w:rPr>
              <w:drawing>
                <wp:inline distT="0" distB="0" distL="114300" distR="114300">
                  <wp:extent cx="694690" cy="250190"/>
                  <wp:effectExtent l="0" t="0" r="10160" b="16510"/>
                  <wp:docPr id="8" name="图片 6" descr="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好"/>
                          <pic:cNvPicPr>
                            <a:picLocks noChangeAspect="1"/>
                          </pic:cNvPicPr>
                        </pic:nvPicPr>
                        <pic:blipFill>
                          <a:blip r:embed="rId34"/>
                          <a:stretch>
                            <a:fillRect/>
                          </a:stretch>
                        </pic:blipFill>
                        <pic:spPr>
                          <a:xfrm>
                            <a:off x="0" y="0"/>
                            <a:ext cx="694690" cy="250190"/>
                          </a:xfrm>
                          <a:prstGeom prst="rect">
                            <a:avLst/>
                          </a:prstGeom>
                          <a:noFill/>
                          <a:ln w="9525">
                            <a:noFill/>
                          </a:ln>
                        </pic:spPr>
                      </pic:pic>
                    </a:graphicData>
                  </a:graphic>
                </wp:inline>
              </w:drawing>
            </w:r>
            <w:r>
              <w:rPr>
                <w:rFonts w:hint="eastAsia"/>
                <w:sz w:val="24"/>
              </w:rPr>
              <w:t>预测点预测时的环境噪声背景值，</w:t>
            </w:r>
            <w:r>
              <w:rPr>
                <w:sz w:val="24"/>
              </w:rPr>
              <w:t>dB</w:t>
            </w:r>
            <w:r>
              <w:rPr>
                <w:rFonts w:hint="eastAsia"/>
                <w:sz w:val="24"/>
              </w:rPr>
              <w:t>（</w:t>
            </w:r>
            <w:r>
              <w:rPr>
                <w:sz w:val="24"/>
              </w:rPr>
              <w:t>A</w:t>
            </w:r>
            <w:r>
              <w:rPr>
                <w:rFonts w:hint="eastAsia"/>
                <w:sz w:val="24"/>
              </w:rPr>
              <w:t>）</w:t>
            </w:r>
          </w:p>
          <w:p>
            <w:pPr>
              <w:spacing w:line="360" w:lineRule="auto"/>
              <w:ind w:firstLine="480" w:firstLineChars="200"/>
              <w:rPr>
                <w:rFonts w:hint="eastAsia"/>
                <w:sz w:val="24"/>
              </w:rPr>
            </w:pPr>
            <w:r>
              <w:rPr>
                <w:rFonts w:hint="eastAsia"/>
                <w:sz w:val="24"/>
              </w:rPr>
              <w:t>为了进一步减小项目施工期间噪声对周边居民点的不利影响，施工期间需采取以下的措施：</w:t>
            </w:r>
          </w:p>
          <w:p>
            <w:pPr>
              <w:spacing w:line="360" w:lineRule="auto"/>
              <w:ind w:firstLine="480" w:firstLineChars="200"/>
              <w:rPr>
                <w:sz w:val="24"/>
              </w:rPr>
            </w:pPr>
            <w:r>
              <w:rPr>
                <w:rFonts w:hint="eastAsia" w:ascii="新宋体" w:eastAsia="新宋体" w:cs="新宋体"/>
                <w:sz w:val="24"/>
              </w:rPr>
              <w:t>①</w:t>
            </w:r>
            <w:r>
              <w:rPr>
                <w:rFonts w:hint="eastAsia"/>
                <w:sz w:val="24"/>
              </w:rPr>
              <w:t>建筑施工单位应当采取有效措施，降低施工噪声污染，所排放的建筑施工噪声，应当符合国家规定的建筑施工场界噪声限值。</w:t>
            </w:r>
          </w:p>
          <w:p>
            <w:pPr>
              <w:spacing w:line="360" w:lineRule="auto"/>
              <w:ind w:firstLine="480" w:firstLineChars="200"/>
              <w:rPr>
                <w:sz w:val="24"/>
              </w:rPr>
            </w:pPr>
            <w:r>
              <w:rPr>
                <w:rFonts w:hint="eastAsia" w:ascii="新宋体" w:eastAsia="新宋体" w:cs="新宋体"/>
                <w:sz w:val="24"/>
              </w:rPr>
              <w:t>②</w:t>
            </w:r>
            <w:r>
              <w:rPr>
                <w:rFonts w:hint="eastAsia"/>
                <w:sz w:val="24"/>
              </w:rPr>
              <w:t>在室内装修时，电钻应注意关窗，避免噪声通过门窗发散，尽量缩短使用时间，减少噪声向周围辐射。</w:t>
            </w:r>
          </w:p>
          <w:p>
            <w:pPr>
              <w:spacing w:line="360" w:lineRule="auto"/>
              <w:ind w:firstLine="480" w:firstLineChars="200"/>
              <w:rPr>
                <w:sz w:val="24"/>
              </w:rPr>
            </w:pPr>
            <w:r>
              <w:rPr>
                <w:rFonts w:hint="eastAsia" w:ascii="新宋体" w:eastAsia="新宋体" w:cs="新宋体"/>
                <w:sz w:val="24"/>
              </w:rPr>
              <w:t>③</w:t>
            </w:r>
            <w:r>
              <w:rPr>
                <w:rFonts w:hint="eastAsia"/>
                <w:sz w:val="24"/>
              </w:rPr>
              <w:t>加强施工操作规范，避免人为因素诸如高空抛丢重物砸下造成的突发性噪声影响周围居民的情况发生。</w:t>
            </w:r>
          </w:p>
          <w:p>
            <w:pPr>
              <w:spacing w:line="360" w:lineRule="auto"/>
              <w:ind w:firstLine="480" w:firstLineChars="200"/>
              <w:rPr>
                <w:sz w:val="24"/>
              </w:rPr>
            </w:pPr>
            <w:r>
              <w:rPr>
                <w:rFonts w:hint="eastAsia"/>
                <w:sz w:val="24"/>
              </w:rPr>
              <w:t>④禁止</w:t>
            </w:r>
            <w:r>
              <w:rPr>
                <w:rFonts w:ascii="TimesNewRomanPSMT" w:hAnsi="TimesNewRomanPSMT" w:eastAsia="新宋体" w:cs="TimesNewRomanPSMT"/>
                <w:sz w:val="24"/>
              </w:rPr>
              <w:t xml:space="preserve">22 </w:t>
            </w:r>
            <w:r>
              <w:rPr>
                <w:rFonts w:hint="eastAsia"/>
                <w:sz w:val="24"/>
              </w:rPr>
              <w:t>时至次日</w:t>
            </w:r>
            <w:r>
              <w:rPr>
                <w:rFonts w:ascii="TimesNewRomanPSMT" w:hAnsi="TimesNewRomanPSMT" w:eastAsia="新宋体" w:cs="TimesNewRomanPSMT"/>
                <w:sz w:val="24"/>
              </w:rPr>
              <w:t xml:space="preserve">6 </w:t>
            </w:r>
            <w:r>
              <w:rPr>
                <w:rFonts w:hint="eastAsia"/>
                <w:sz w:val="24"/>
              </w:rPr>
              <w:t>时进行建筑施工作业，但抢修、抢险作业和制作工艺需要连续作业的除外；中高考期间须禁止施工。</w:t>
            </w:r>
          </w:p>
          <w:p>
            <w:pPr>
              <w:spacing w:line="360" w:lineRule="auto"/>
              <w:ind w:firstLine="480" w:firstLineChars="200"/>
              <w:rPr>
                <w:rFonts w:hint="eastAsia"/>
                <w:sz w:val="24"/>
              </w:rPr>
            </w:pPr>
            <w:r>
              <w:rPr>
                <w:rFonts w:hint="eastAsia"/>
                <w:sz w:val="24"/>
              </w:rPr>
              <w:t>综上所述，施工期间通过加强管理，合理安排施工时间，采取有效的防范措施后，施工噪声对周围敏感点的影响较小。</w:t>
            </w:r>
          </w:p>
          <w:p>
            <w:pPr>
              <w:pStyle w:val="4"/>
              <w:tabs>
                <w:tab w:val="left" w:pos="1260"/>
              </w:tabs>
              <w:spacing w:before="0" w:after="0" w:line="360" w:lineRule="auto"/>
              <w:ind w:left="0" w:firstLine="643" w:firstLineChars="200"/>
              <w:textAlignment w:val="center"/>
              <w:rPr>
                <w:rFonts w:hAnsi="宋体" w:eastAsia="宋体"/>
                <w:szCs w:val="24"/>
              </w:rPr>
            </w:pPr>
            <w:r>
              <w:rPr>
                <w:rFonts w:hAnsi="宋体" w:eastAsia="宋体"/>
                <w:szCs w:val="24"/>
              </w:rPr>
              <w:t>四、固体废弃物影响分析</w:t>
            </w:r>
          </w:p>
          <w:p>
            <w:pPr>
              <w:spacing w:line="360" w:lineRule="auto"/>
              <w:ind w:firstLine="480" w:firstLineChars="200"/>
              <w:rPr>
                <w:rFonts w:hint="eastAsia"/>
                <w:sz w:val="24"/>
              </w:rPr>
            </w:pPr>
            <w:r>
              <w:rPr>
                <w:rFonts w:hint="eastAsia"/>
                <w:sz w:val="24"/>
              </w:rPr>
              <w:t>施工期产生的其他固体废弃物主要是建筑废弃材料，尤其是装修废弃材料。其中可再生利用部分回收出售给废品站，不可利用的建筑垃圾委托专门处理城市建筑垃圾的单位运至规定的地点堆放，不随意乱堆乱放，对环境影响小。施工期间工人不在工地上食宿，生活垃圾产生量较小，按每人每天</w:t>
            </w:r>
            <w:r>
              <w:rPr>
                <w:rFonts w:ascii="TimesNewRomanPSMT" w:hAnsi="TimesNewRomanPSMT" w:cs="TimesNewRomanPSMT"/>
                <w:sz w:val="24"/>
              </w:rPr>
              <w:t xml:space="preserve">0.5kg </w:t>
            </w:r>
            <w:r>
              <w:rPr>
                <w:rFonts w:hint="eastAsia"/>
                <w:sz w:val="24"/>
              </w:rPr>
              <w:t>计，则</w:t>
            </w:r>
            <w:r>
              <w:rPr>
                <w:rFonts w:hint="eastAsia" w:ascii="TimesNewRomanPSMT" w:hAnsi="TimesNewRomanPSMT" w:cs="TimesNewRomanPSMT"/>
                <w:sz w:val="24"/>
              </w:rPr>
              <w:t>15</w:t>
            </w:r>
            <w:r>
              <w:rPr>
                <w:rFonts w:hint="eastAsia"/>
                <w:sz w:val="24"/>
              </w:rPr>
              <w:t>名工人产生的生活垃圾量约</w:t>
            </w:r>
            <w:r>
              <w:rPr>
                <w:rFonts w:hint="eastAsia" w:ascii="TimesNewRomanPSMT" w:hAnsi="TimesNewRomanPSMT" w:cs="TimesNewRomanPSMT"/>
                <w:sz w:val="24"/>
              </w:rPr>
              <w:t>7.5</w:t>
            </w:r>
            <w:r>
              <w:rPr>
                <w:rFonts w:ascii="TimesNewRomanPSMT" w:hAnsi="TimesNewRomanPSMT" w:cs="TimesNewRomanPSMT"/>
                <w:sz w:val="24"/>
              </w:rPr>
              <w:t>kg/d</w:t>
            </w:r>
            <w:r>
              <w:rPr>
                <w:rFonts w:hint="eastAsia"/>
                <w:sz w:val="24"/>
              </w:rPr>
              <w:t>。生活垃圾统一收集后委托环卫部门进行清运至乐山市垃圾填埋场，对环境影响小。</w:t>
            </w:r>
          </w:p>
          <w:p>
            <w:pPr>
              <w:pStyle w:val="350"/>
              <w:spacing w:line="360" w:lineRule="auto"/>
              <w:ind w:firstLine="480" w:firstLineChars="200"/>
              <w:jc w:val="both"/>
              <w:rPr>
                <w:color w:val="auto"/>
              </w:rPr>
            </w:pPr>
            <w:r>
              <w:rPr>
                <w:rFonts w:hint="eastAsia"/>
                <w:color w:val="auto"/>
              </w:rPr>
              <w:t>具体可以采取以下措施：</w:t>
            </w:r>
          </w:p>
          <w:p>
            <w:pPr>
              <w:pStyle w:val="350"/>
              <w:spacing w:line="360" w:lineRule="auto"/>
              <w:ind w:firstLine="480" w:firstLineChars="200"/>
              <w:jc w:val="both"/>
              <w:rPr>
                <w:color w:val="auto"/>
              </w:rPr>
            </w:pPr>
            <w:r>
              <w:rPr>
                <w:rFonts w:hint="eastAsia"/>
                <w:color w:val="auto"/>
              </w:rPr>
              <w:t>（1）施工期间产生的垃圾，能回收利用的回用，不能的应进行妥善的堆放，运往指定渣场处置。</w:t>
            </w:r>
            <w:r>
              <w:rPr>
                <w:color w:val="auto"/>
              </w:rPr>
              <w:t xml:space="preserve"> </w:t>
            </w:r>
          </w:p>
          <w:p>
            <w:pPr>
              <w:pStyle w:val="350"/>
              <w:spacing w:line="360" w:lineRule="auto"/>
              <w:ind w:firstLine="480" w:firstLineChars="200"/>
              <w:jc w:val="both"/>
              <w:rPr>
                <w:rFonts w:hint="eastAsia"/>
              </w:rPr>
            </w:pPr>
            <w:r>
              <w:rPr>
                <w:rFonts w:hint="eastAsia"/>
                <w:color w:val="auto"/>
              </w:rPr>
              <w:t>（</w:t>
            </w:r>
            <w:r>
              <w:rPr>
                <w:color w:val="auto"/>
              </w:rPr>
              <w:t>2</w:t>
            </w:r>
            <w:r>
              <w:rPr>
                <w:rFonts w:hint="eastAsia"/>
                <w:color w:val="auto"/>
              </w:rPr>
              <w:t>）</w:t>
            </w:r>
            <w:r>
              <w:rPr>
                <w:rFonts w:hint="eastAsia"/>
              </w:rPr>
              <w:t>施工人员的生活垃圾设垃圾收集装置收集，由当地环卫部门统一定时进行清理运送到乐山市垃圾填埋场。</w:t>
            </w:r>
          </w:p>
          <w:p>
            <w:pPr>
              <w:pStyle w:val="350"/>
              <w:spacing w:line="360" w:lineRule="auto"/>
              <w:ind w:firstLine="480" w:firstLineChars="200"/>
              <w:jc w:val="both"/>
              <w:rPr>
                <w:rFonts w:hint="eastAsia"/>
              </w:rPr>
            </w:pPr>
            <w:r>
              <w:rPr>
                <w:rFonts w:hint="eastAsia"/>
                <w:color w:val="auto"/>
              </w:rPr>
              <w:t>（</w:t>
            </w:r>
            <w:r>
              <w:rPr>
                <w:color w:val="auto"/>
              </w:rPr>
              <w:t>3</w:t>
            </w:r>
            <w:r>
              <w:rPr>
                <w:rFonts w:hint="eastAsia"/>
                <w:color w:val="auto"/>
              </w:rPr>
              <w:t>）</w:t>
            </w:r>
            <w:r>
              <w:rPr>
                <w:rFonts w:hint="eastAsia"/>
              </w:rPr>
              <w:t>建筑垃圾</w:t>
            </w:r>
            <w:r>
              <w:t>运至</w:t>
            </w:r>
            <w:r>
              <w:rPr>
                <w:rFonts w:hint="eastAsia"/>
              </w:rPr>
              <w:t>政府指定</w:t>
            </w:r>
            <w:r>
              <w:t>地点处置。</w:t>
            </w:r>
          </w:p>
          <w:p>
            <w:pPr>
              <w:pStyle w:val="350"/>
              <w:spacing w:line="360" w:lineRule="auto"/>
              <w:ind w:firstLine="480" w:firstLineChars="200"/>
              <w:jc w:val="both"/>
              <w:rPr>
                <w:rFonts w:hint="eastAsia"/>
              </w:rPr>
            </w:pPr>
            <w:r>
              <w:rPr>
                <w:rFonts w:hint="eastAsia"/>
              </w:rPr>
              <w:t>采取以上措施后，施工期间产生的固体废弃物不会对环境产生较大的影响。</w:t>
            </w:r>
          </w:p>
          <w:p>
            <w:pPr>
              <w:spacing w:line="360" w:lineRule="auto"/>
              <w:ind w:firstLine="482" w:firstLineChars="200"/>
              <w:rPr>
                <w:b/>
                <w:bCs/>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2614" w:hRule="atLeast"/>
        </w:trPr>
        <w:tc>
          <w:tcPr>
            <w:tcW w:w="9368" w:type="dxa"/>
            <w:tcBorders>
              <w:top w:val="single" w:color="auto" w:sz="4" w:space="0"/>
              <w:bottom w:val="single" w:color="auto" w:sz="4" w:space="0"/>
            </w:tcBorders>
            <w:noWrap w:val="0"/>
            <w:vAlign w:val="top"/>
          </w:tcPr>
          <w:p>
            <w:pPr>
              <w:spacing w:line="360" w:lineRule="auto"/>
              <w:rPr>
                <w:color w:val="000000"/>
                <w:sz w:val="24"/>
              </w:rPr>
            </w:pPr>
            <w:r>
              <w:rPr>
                <w:b/>
                <w:bCs/>
                <w:color w:val="000000"/>
                <w:sz w:val="24"/>
              </w:rPr>
              <w:t>营运期环境影响分析:</w:t>
            </w:r>
          </w:p>
          <w:p>
            <w:pPr>
              <w:spacing w:line="360" w:lineRule="auto"/>
              <w:ind w:firstLine="482" w:firstLineChars="200"/>
              <w:rPr>
                <w:b/>
                <w:color w:val="000000"/>
                <w:sz w:val="24"/>
              </w:rPr>
            </w:pPr>
            <w:bookmarkStart w:id="4" w:name="_Toc477702084"/>
            <w:r>
              <w:rPr>
                <w:b/>
                <w:color w:val="000000"/>
                <w:sz w:val="24"/>
              </w:rPr>
              <w:t>一、大气环境影响分析</w:t>
            </w:r>
            <w:r>
              <w:rPr>
                <w:rFonts w:hint="eastAsia"/>
                <w:b/>
                <w:color w:val="000000"/>
                <w:sz w:val="24"/>
              </w:rPr>
              <w:t>：</w:t>
            </w:r>
          </w:p>
          <w:p>
            <w:pPr>
              <w:spacing w:line="500" w:lineRule="exact"/>
              <w:ind w:firstLine="480" w:firstLineChars="200"/>
              <w:rPr>
                <w:sz w:val="24"/>
              </w:rPr>
            </w:pPr>
            <w:r>
              <w:rPr>
                <w:rFonts w:hint="eastAsia"/>
                <w:sz w:val="24"/>
              </w:rPr>
              <w:t>1、</w:t>
            </w:r>
            <w:r>
              <w:rPr>
                <w:sz w:val="24"/>
              </w:rPr>
              <w:t xml:space="preserve">评价区域常规气象条件 </w:t>
            </w:r>
          </w:p>
          <w:p>
            <w:pPr>
              <w:spacing w:line="500" w:lineRule="exact"/>
              <w:ind w:firstLine="480" w:firstLineChars="200"/>
              <w:rPr>
                <w:sz w:val="24"/>
              </w:rPr>
            </w:pPr>
            <w:r>
              <w:rPr>
                <w:sz w:val="24"/>
              </w:rPr>
              <w:t xml:space="preserve">乐山市地处属四川盆地，属亚热带湿润季风气候区，四季分明，气候温和，冬无严寒，夏无酷暑。常年多云雾，日照少，湿度大，雨量充沛，年际变化大，具有冬干春旱、夏洪秋涝、旱洪交替的特点。 </w:t>
            </w:r>
          </w:p>
          <w:p>
            <w:pPr>
              <w:spacing w:line="500" w:lineRule="exact"/>
              <w:ind w:firstLine="480" w:firstLineChars="200"/>
              <w:rPr>
                <w:sz w:val="24"/>
              </w:rPr>
            </w:pPr>
            <w:r>
              <w:rPr>
                <w:sz w:val="24"/>
              </w:rPr>
              <w:t xml:space="preserve">根据乐山市气象站多年气象观测资料（1981年～2010年）统计，多年年平均气温17.4℃，历年最高、最低气温分别为39.7℃和-1.9℃，多年平均降雨量1231.5mm，历年一日最大雨量326.8mm，相对湿度79.8%，无霜期333天，平均风速1.2m/s，历年最大风速17.0m/s。受气候类型影响，区内雨量年内分配极不均匀，降雨量多集中在汛期5～9月，约占年降水量的78%。 </w:t>
            </w:r>
          </w:p>
          <w:p>
            <w:pPr>
              <w:jc w:val="center"/>
              <w:rPr>
                <w:sz w:val="23"/>
              </w:rPr>
            </w:pPr>
            <w:r>
              <w:rPr>
                <w:sz w:val="23"/>
              </w:rPr>
              <w:drawing>
                <wp:inline distT="0" distB="0" distL="114300" distR="114300">
                  <wp:extent cx="5273675" cy="7366000"/>
                  <wp:effectExtent l="0" t="0" r="3175" b="6350"/>
                  <wp:docPr id="7" name="图片 7" descr="风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风玫瑰"/>
                          <pic:cNvPicPr>
                            <a:picLocks noChangeAspect="1"/>
                          </pic:cNvPicPr>
                        </pic:nvPicPr>
                        <pic:blipFill>
                          <a:blip r:embed="rId35"/>
                          <a:stretch>
                            <a:fillRect/>
                          </a:stretch>
                        </pic:blipFill>
                        <pic:spPr>
                          <a:xfrm>
                            <a:off x="0" y="0"/>
                            <a:ext cx="5273675" cy="7366000"/>
                          </a:xfrm>
                          <a:prstGeom prst="rect">
                            <a:avLst/>
                          </a:prstGeom>
                          <a:noFill/>
                          <a:ln w="9525">
                            <a:noFill/>
                          </a:ln>
                        </pic:spPr>
                      </pic:pic>
                    </a:graphicData>
                  </a:graphic>
                </wp:inline>
              </w:drawing>
            </w:r>
          </w:p>
          <w:p>
            <w:pPr>
              <w:ind w:firstLine="420"/>
              <w:jc w:val="center"/>
              <w:rPr>
                <w:sz w:val="23"/>
              </w:rPr>
            </w:pPr>
            <w:r>
              <w:rPr>
                <w:rFonts w:eastAsia="黑体"/>
              </w:rPr>
              <w:t xml:space="preserve">图7-1 乐山市全年风向风频玫瑰图 </w:t>
            </w:r>
          </w:p>
          <w:p>
            <w:pPr>
              <w:ind w:firstLine="460"/>
              <w:jc w:val="center"/>
              <w:rPr>
                <w:sz w:val="23"/>
              </w:rPr>
            </w:pPr>
          </w:p>
          <w:p>
            <w:pPr>
              <w:ind w:firstLine="460"/>
              <w:jc w:val="center"/>
              <w:rPr>
                <w:sz w:val="23"/>
              </w:rPr>
            </w:pPr>
          </w:p>
          <w:p>
            <w:pPr>
              <w:ind w:firstLine="460"/>
              <w:jc w:val="center"/>
              <w:rPr>
                <w:sz w:val="23"/>
              </w:rPr>
            </w:pPr>
            <w:r>
              <w:rPr>
                <w:sz w:val="23"/>
              </w:rPr>
              <w:drawing>
                <wp:inline distT="0" distB="0" distL="114300" distR="114300">
                  <wp:extent cx="2463800" cy="2249170"/>
                  <wp:effectExtent l="0" t="0" r="12700" b="17780"/>
                  <wp:docPr id="9" name="图片 8" descr="QQ截图2018122611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QQ截图20181226111957"/>
                          <pic:cNvPicPr>
                            <a:picLocks noChangeAspect="1"/>
                          </pic:cNvPicPr>
                        </pic:nvPicPr>
                        <pic:blipFill>
                          <a:blip r:embed="rId36"/>
                          <a:stretch>
                            <a:fillRect/>
                          </a:stretch>
                        </pic:blipFill>
                        <pic:spPr>
                          <a:xfrm>
                            <a:off x="0" y="0"/>
                            <a:ext cx="2463800" cy="2249170"/>
                          </a:xfrm>
                          <a:prstGeom prst="rect">
                            <a:avLst/>
                          </a:prstGeom>
                          <a:noFill/>
                          <a:ln w="9525">
                            <a:noFill/>
                          </a:ln>
                        </pic:spPr>
                      </pic:pic>
                    </a:graphicData>
                  </a:graphic>
                </wp:inline>
              </w:drawing>
            </w:r>
          </w:p>
          <w:p>
            <w:pPr>
              <w:ind w:firstLine="420"/>
              <w:jc w:val="center"/>
              <w:rPr>
                <w:rFonts w:eastAsia="黑体"/>
              </w:rPr>
            </w:pPr>
            <w:r>
              <w:rPr>
                <w:rFonts w:eastAsia="黑体"/>
              </w:rPr>
              <w:t>图 7-2 乐山市常年风向玫瑰图</w:t>
            </w:r>
          </w:p>
          <w:p>
            <w:pPr>
              <w:spacing w:line="360" w:lineRule="auto"/>
              <w:ind w:firstLine="480" w:firstLineChars="200"/>
              <w:jc w:val="left"/>
              <w:rPr>
                <w:sz w:val="24"/>
              </w:rPr>
            </w:pPr>
            <w:r>
              <w:rPr>
                <w:sz w:val="24"/>
              </w:rPr>
              <w:t>乐山地区四季小时风速均较为接近，各季的小时风速变化趋势不大：最大风速出现在</w:t>
            </w:r>
            <w:r>
              <w:rPr>
                <w:rFonts w:eastAsia="Times New Roman"/>
                <w:sz w:val="24"/>
              </w:rPr>
              <w:t>12:00~17:00</w:t>
            </w:r>
            <w:r>
              <w:rPr>
                <w:sz w:val="24"/>
              </w:rPr>
              <w:t>时，最小值出现在</w:t>
            </w:r>
            <w:r>
              <w:rPr>
                <w:rFonts w:eastAsia="Times New Roman"/>
                <w:sz w:val="24"/>
              </w:rPr>
              <w:t>06:00~09:00</w:t>
            </w:r>
            <w:r>
              <w:rPr>
                <w:sz w:val="24"/>
              </w:rPr>
              <w:t>。</w:t>
            </w:r>
            <w:r>
              <w:rPr>
                <w:rFonts w:eastAsia="Times New Roman"/>
                <w:sz w:val="24"/>
              </w:rPr>
              <w:t>5</w:t>
            </w:r>
            <w:r>
              <w:rPr>
                <w:sz w:val="24"/>
              </w:rPr>
              <w:t>月风速最大，平均风速为</w:t>
            </w:r>
            <w:r>
              <w:rPr>
                <w:rFonts w:eastAsia="Times New Roman"/>
                <w:sz w:val="24"/>
              </w:rPr>
              <w:t>1.24m/s</w:t>
            </w:r>
            <w:r>
              <w:rPr>
                <w:sz w:val="24"/>
              </w:rPr>
              <w:t>，</w:t>
            </w:r>
            <w:r>
              <w:rPr>
                <w:rFonts w:eastAsia="Times New Roman"/>
                <w:sz w:val="24"/>
              </w:rPr>
              <w:t>12</w:t>
            </w:r>
            <w:r>
              <w:rPr>
                <w:sz w:val="24"/>
              </w:rPr>
              <w:t>月前后的风速最小，平均风速为</w:t>
            </w:r>
            <w:r>
              <w:rPr>
                <w:rFonts w:eastAsia="Times New Roman"/>
                <w:sz w:val="24"/>
              </w:rPr>
              <w:t>0.72m/s</w:t>
            </w:r>
            <w:r>
              <w:rPr>
                <w:sz w:val="24"/>
              </w:rPr>
              <w:t>。乐山市全年气温最高值出现在</w:t>
            </w:r>
            <w:r>
              <w:rPr>
                <w:rFonts w:eastAsia="Times New Roman"/>
                <w:sz w:val="24"/>
              </w:rPr>
              <w:t>7~9</w:t>
            </w:r>
            <w:r>
              <w:rPr>
                <w:sz w:val="24"/>
              </w:rPr>
              <w:t>月，全年月平均气温为</w:t>
            </w:r>
            <w:r>
              <w:rPr>
                <w:rFonts w:eastAsia="Times New Roman"/>
                <w:sz w:val="24"/>
              </w:rPr>
              <w:t>18.84</w:t>
            </w:r>
            <w:r>
              <w:rPr>
                <w:sz w:val="24"/>
              </w:rPr>
              <w:t xml:space="preserve">℃。 </w:t>
            </w:r>
          </w:p>
          <w:p>
            <w:pPr>
              <w:spacing w:line="360" w:lineRule="auto"/>
              <w:ind w:firstLine="480" w:firstLineChars="200"/>
              <w:jc w:val="left"/>
              <w:outlineLvl w:val="2"/>
              <w:rPr>
                <w:rFonts w:eastAsia="黑体"/>
                <w:sz w:val="24"/>
              </w:rPr>
            </w:pPr>
            <w:r>
              <w:rPr>
                <w:sz w:val="24"/>
              </w:rPr>
              <w:t>2</w:t>
            </w:r>
            <w:r>
              <w:rPr>
                <w:rFonts w:hint="eastAsia"/>
                <w:sz w:val="24"/>
              </w:rPr>
              <w:t>、</w:t>
            </w:r>
            <w:r>
              <w:rPr>
                <w:rFonts w:eastAsia="黑体"/>
                <w:sz w:val="24"/>
              </w:rPr>
              <w:t xml:space="preserve">预测因子及内容 </w:t>
            </w:r>
          </w:p>
          <w:p>
            <w:pPr>
              <w:spacing w:line="360" w:lineRule="auto"/>
              <w:ind w:firstLine="480" w:firstLineChars="200"/>
              <w:jc w:val="left"/>
              <w:rPr>
                <w:sz w:val="24"/>
              </w:rPr>
            </w:pPr>
            <w:r>
              <w:rPr>
                <w:sz w:val="24"/>
              </w:rPr>
              <w:t>根据本项目污染物排放情况，选择有环境空气质量标准的污染因子作为预测因子，因此确定本项目预测因子为</w:t>
            </w:r>
            <w:r>
              <w:rPr>
                <w:rFonts w:hint="eastAsia"/>
                <w:sz w:val="24"/>
              </w:rPr>
              <w:t>颗粒物</w:t>
            </w:r>
            <w:r>
              <w:rPr>
                <w:sz w:val="24"/>
              </w:rPr>
              <w:t xml:space="preserve">。 </w:t>
            </w:r>
          </w:p>
          <w:p>
            <w:pPr>
              <w:spacing w:line="360" w:lineRule="auto"/>
              <w:ind w:firstLine="480" w:firstLineChars="200"/>
              <w:jc w:val="left"/>
              <w:outlineLvl w:val="2"/>
              <w:rPr>
                <w:rFonts w:eastAsia="黑体"/>
                <w:sz w:val="24"/>
              </w:rPr>
            </w:pPr>
            <w:r>
              <w:rPr>
                <w:rFonts w:eastAsia="黑体"/>
                <w:sz w:val="24"/>
              </w:rPr>
              <w:t>3</w:t>
            </w:r>
            <w:r>
              <w:rPr>
                <w:rFonts w:hint="eastAsia" w:eastAsia="黑体"/>
                <w:sz w:val="24"/>
              </w:rPr>
              <w:t>、</w:t>
            </w:r>
            <w:r>
              <w:rPr>
                <w:rFonts w:eastAsia="黑体"/>
                <w:sz w:val="24"/>
              </w:rPr>
              <w:t xml:space="preserve">估算模式参数 </w:t>
            </w:r>
          </w:p>
          <w:p>
            <w:pPr>
              <w:spacing w:line="360" w:lineRule="auto"/>
              <w:ind w:firstLine="480" w:firstLineChars="200"/>
              <w:rPr>
                <w:sz w:val="24"/>
              </w:rPr>
            </w:pPr>
            <w:r>
              <w:rPr>
                <w:sz w:val="24"/>
              </w:rPr>
              <w:t>根据《环境影响评价技术导则—大气环境》（HJ2.2-2018）附录A推荐模型中估算模式进行预测。</w:t>
            </w:r>
          </w:p>
          <w:p>
            <w:pPr>
              <w:pStyle w:val="622"/>
              <w:spacing w:before="120" w:after="120"/>
              <w:ind w:firstLine="422"/>
              <w:rPr>
                <w:sz w:val="21"/>
              </w:rPr>
            </w:pPr>
            <w:r>
              <w:rPr>
                <w:sz w:val="21"/>
              </w:rPr>
              <w:t>表7-</w:t>
            </w:r>
            <w:r>
              <w:rPr>
                <w:rFonts w:hint="eastAsia"/>
                <w:sz w:val="21"/>
              </w:rPr>
              <w:t>3</w:t>
            </w:r>
            <w:r>
              <w:rPr>
                <w:sz w:val="21"/>
              </w:rPr>
              <w:t xml:space="preserve"> 估算模型参数表</w:t>
            </w:r>
          </w:p>
          <w:tbl>
            <w:tblPr>
              <w:tblStyle w:val="69"/>
              <w:tblW w:w="846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976"/>
              <w:gridCol w:w="2242"/>
              <w:gridCol w:w="224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59" w:hRule="atLeast"/>
                <w:jc w:val="center"/>
              </w:trPr>
              <w:tc>
                <w:tcPr>
                  <w:tcW w:w="6218" w:type="dxa"/>
                  <w:gridSpan w:val="2"/>
                  <w:noWrap w:val="0"/>
                  <w:vAlign w:val="center"/>
                </w:tcPr>
                <w:p>
                  <w:pPr>
                    <w:jc w:val="center"/>
                    <w:rPr>
                      <w:b/>
                      <w:bCs/>
                      <w:szCs w:val="21"/>
                    </w:rPr>
                  </w:pPr>
                  <w:r>
                    <w:rPr>
                      <w:b/>
                      <w:bCs/>
                      <w:szCs w:val="21"/>
                    </w:rPr>
                    <w:t>参数</w:t>
                  </w:r>
                </w:p>
              </w:tc>
              <w:tc>
                <w:tcPr>
                  <w:tcW w:w="2242" w:type="dxa"/>
                  <w:noWrap w:val="0"/>
                  <w:vAlign w:val="center"/>
                </w:tcPr>
                <w:p>
                  <w:pPr>
                    <w:jc w:val="center"/>
                    <w:rPr>
                      <w:b/>
                      <w:bCs/>
                      <w:szCs w:val="21"/>
                    </w:rPr>
                  </w:pPr>
                  <w:r>
                    <w:rPr>
                      <w:b/>
                      <w:bCs/>
                      <w:szCs w:val="21"/>
                    </w:rPr>
                    <w:t>取值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71" w:hRule="atLeast"/>
                <w:jc w:val="center"/>
              </w:trPr>
              <w:tc>
                <w:tcPr>
                  <w:tcW w:w="3976" w:type="dxa"/>
                  <w:vMerge w:val="restart"/>
                  <w:noWrap w:val="0"/>
                  <w:vAlign w:val="center"/>
                </w:tcPr>
                <w:p>
                  <w:pPr>
                    <w:jc w:val="center"/>
                    <w:rPr>
                      <w:szCs w:val="21"/>
                    </w:rPr>
                  </w:pPr>
                  <w:r>
                    <w:rPr>
                      <w:szCs w:val="21"/>
                    </w:rPr>
                    <w:t>城市/农村选项</w:t>
                  </w:r>
                </w:p>
              </w:tc>
              <w:tc>
                <w:tcPr>
                  <w:tcW w:w="2242" w:type="dxa"/>
                  <w:noWrap w:val="0"/>
                  <w:vAlign w:val="center"/>
                </w:tcPr>
                <w:p>
                  <w:pPr>
                    <w:jc w:val="center"/>
                    <w:rPr>
                      <w:szCs w:val="21"/>
                    </w:rPr>
                  </w:pPr>
                  <w:r>
                    <w:rPr>
                      <w:szCs w:val="21"/>
                    </w:rPr>
                    <w:t>城市/农村</w:t>
                  </w:r>
                </w:p>
              </w:tc>
              <w:tc>
                <w:tcPr>
                  <w:tcW w:w="2242" w:type="dxa"/>
                  <w:noWrap w:val="0"/>
                  <w:vAlign w:val="center"/>
                </w:tcPr>
                <w:p>
                  <w:pPr>
                    <w:jc w:val="center"/>
                    <w:rPr>
                      <w:szCs w:val="21"/>
                    </w:rPr>
                  </w:pPr>
                  <w:r>
                    <w:rPr>
                      <w:szCs w:val="21"/>
                    </w:rPr>
                    <w:t>农村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71" w:hRule="atLeast"/>
                <w:jc w:val="center"/>
              </w:trPr>
              <w:tc>
                <w:tcPr>
                  <w:tcW w:w="3976" w:type="dxa"/>
                  <w:vMerge w:val="continue"/>
                  <w:noWrap w:val="0"/>
                  <w:vAlign w:val="center"/>
                </w:tcPr>
                <w:p>
                  <w:pPr>
                    <w:jc w:val="center"/>
                    <w:rPr>
                      <w:szCs w:val="21"/>
                    </w:rPr>
                  </w:pPr>
                </w:p>
              </w:tc>
              <w:tc>
                <w:tcPr>
                  <w:tcW w:w="2242" w:type="dxa"/>
                  <w:noWrap w:val="0"/>
                  <w:vAlign w:val="center"/>
                </w:tcPr>
                <w:p>
                  <w:pPr>
                    <w:jc w:val="center"/>
                    <w:rPr>
                      <w:szCs w:val="21"/>
                    </w:rPr>
                  </w:pPr>
                  <w:r>
                    <w:rPr>
                      <w:szCs w:val="21"/>
                    </w:rPr>
                    <w:t>人口数（城市选项时）</w:t>
                  </w:r>
                </w:p>
              </w:tc>
              <w:tc>
                <w:tcPr>
                  <w:tcW w:w="2242" w:type="dxa"/>
                  <w:noWrap w:val="0"/>
                  <w:vAlign w:val="center"/>
                </w:tcPr>
                <w:p>
                  <w:pPr>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71" w:hRule="atLeast"/>
                <w:jc w:val="center"/>
              </w:trPr>
              <w:tc>
                <w:tcPr>
                  <w:tcW w:w="6218" w:type="dxa"/>
                  <w:gridSpan w:val="2"/>
                  <w:noWrap w:val="0"/>
                  <w:vAlign w:val="center"/>
                </w:tcPr>
                <w:p>
                  <w:pPr>
                    <w:jc w:val="center"/>
                    <w:rPr>
                      <w:szCs w:val="21"/>
                    </w:rPr>
                  </w:pPr>
                  <w:r>
                    <w:rPr>
                      <w:szCs w:val="21"/>
                    </w:rPr>
                    <w:t>最高环境温度/℃</w:t>
                  </w:r>
                </w:p>
              </w:tc>
              <w:tc>
                <w:tcPr>
                  <w:tcW w:w="2242" w:type="dxa"/>
                  <w:noWrap w:val="0"/>
                  <w:vAlign w:val="center"/>
                </w:tcPr>
                <w:p>
                  <w:pPr>
                    <w:jc w:val="center"/>
                    <w:rPr>
                      <w:szCs w:val="21"/>
                    </w:rPr>
                  </w:pPr>
                  <w:r>
                    <w:rPr>
                      <w:szCs w:val="21"/>
                    </w:rPr>
                    <w:t>40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71" w:hRule="atLeast"/>
                <w:jc w:val="center"/>
              </w:trPr>
              <w:tc>
                <w:tcPr>
                  <w:tcW w:w="6218" w:type="dxa"/>
                  <w:gridSpan w:val="2"/>
                  <w:noWrap w:val="0"/>
                  <w:vAlign w:val="center"/>
                </w:tcPr>
                <w:p>
                  <w:pPr>
                    <w:jc w:val="center"/>
                    <w:rPr>
                      <w:szCs w:val="21"/>
                    </w:rPr>
                  </w:pPr>
                  <w:r>
                    <w:rPr>
                      <w:szCs w:val="21"/>
                    </w:rPr>
                    <w:t>最低环境温度/℃</w:t>
                  </w:r>
                </w:p>
              </w:tc>
              <w:tc>
                <w:tcPr>
                  <w:tcW w:w="2242" w:type="dxa"/>
                  <w:noWrap w:val="0"/>
                  <w:vAlign w:val="center"/>
                </w:tcPr>
                <w:p>
                  <w:pPr>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71" w:hRule="atLeast"/>
                <w:jc w:val="center"/>
              </w:trPr>
              <w:tc>
                <w:tcPr>
                  <w:tcW w:w="6218" w:type="dxa"/>
                  <w:gridSpan w:val="2"/>
                  <w:noWrap w:val="0"/>
                  <w:vAlign w:val="center"/>
                </w:tcPr>
                <w:p>
                  <w:pPr>
                    <w:jc w:val="center"/>
                    <w:rPr>
                      <w:szCs w:val="21"/>
                    </w:rPr>
                  </w:pPr>
                  <w:r>
                    <w:rPr>
                      <w:szCs w:val="21"/>
                    </w:rPr>
                    <w:t>土地利用类型</w:t>
                  </w:r>
                </w:p>
              </w:tc>
              <w:tc>
                <w:tcPr>
                  <w:tcW w:w="2242" w:type="dxa"/>
                  <w:noWrap w:val="0"/>
                  <w:vAlign w:val="center"/>
                </w:tcPr>
                <w:p>
                  <w:pPr>
                    <w:jc w:val="center"/>
                    <w:rPr>
                      <w:rFonts w:hint="eastAsia"/>
                      <w:szCs w:val="21"/>
                    </w:rPr>
                  </w:pPr>
                  <w:r>
                    <w:rPr>
                      <w:rFonts w:hint="eastAsia"/>
                      <w:szCs w:val="21"/>
                    </w:rPr>
                    <w:t>建设用地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71" w:hRule="atLeast"/>
                <w:jc w:val="center"/>
              </w:trPr>
              <w:tc>
                <w:tcPr>
                  <w:tcW w:w="6218" w:type="dxa"/>
                  <w:gridSpan w:val="2"/>
                  <w:noWrap w:val="0"/>
                  <w:vAlign w:val="center"/>
                </w:tcPr>
                <w:p>
                  <w:pPr>
                    <w:jc w:val="center"/>
                    <w:rPr>
                      <w:szCs w:val="21"/>
                    </w:rPr>
                  </w:pPr>
                  <w:r>
                    <w:rPr>
                      <w:szCs w:val="21"/>
                    </w:rPr>
                    <w:t>区域湿度条件</w:t>
                  </w:r>
                </w:p>
              </w:tc>
              <w:tc>
                <w:tcPr>
                  <w:tcW w:w="2242" w:type="dxa"/>
                  <w:noWrap w:val="0"/>
                  <w:vAlign w:val="center"/>
                </w:tcPr>
                <w:p>
                  <w:pPr>
                    <w:jc w:val="center"/>
                    <w:rPr>
                      <w:szCs w:val="21"/>
                    </w:rPr>
                  </w:pPr>
                  <w:r>
                    <w:rPr>
                      <w:szCs w:val="21"/>
                    </w:rPr>
                    <w:t>潮湿</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71" w:hRule="atLeast"/>
                <w:jc w:val="center"/>
              </w:trPr>
              <w:tc>
                <w:tcPr>
                  <w:tcW w:w="3976" w:type="dxa"/>
                  <w:vMerge w:val="restart"/>
                  <w:noWrap w:val="0"/>
                  <w:vAlign w:val="center"/>
                </w:tcPr>
                <w:p>
                  <w:pPr>
                    <w:jc w:val="center"/>
                    <w:rPr>
                      <w:szCs w:val="21"/>
                    </w:rPr>
                  </w:pPr>
                  <w:r>
                    <w:rPr>
                      <w:szCs w:val="21"/>
                    </w:rPr>
                    <w:t>是否考虑地形</w:t>
                  </w:r>
                </w:p>
              </w:tc>
              <w:tc>
                <w:tcPr>
                  <w:tcW w:w="2242" w:type="dxa"/>
                  <w:noWrap w:val="0"/>
                  <w:vAlign w:val="center"/>
                </w:tcPr>
                <w:p>
                  <w:pPr>
                    <w:jc w:val="center"/>
                    <w:rPr>
                      <w:szCs w:val="21"/>
                    </w:rPr>
                  </w:pPr>
                  <w:r>
                    <w:rPr>
                      <w:szCs w:val="21"/>
                    </w:rPr>
                    <w:t>考虑地形</w:t>
                  </w:r>
                </w:p>
              </w:tc>
              <w:tc>
                <w:tcPr>
                  <w:tcW w:w="2242" w:type="dxa"/>
                  <w:noWrap w:val="0"/>
                  <w:vAlign w:val="center"/>
                </w:tcPr>
                <w:p>
                  <w:pPr>
                    <w:jc w:val="center"/>
                    <w:rPr>
                      <w:szCs w:val="21"/>
                    </w:rPr>
                  </w:pPr>
                  <w:r>
                    <w:rPr>
                      <w:szCs w:val="21"/>
                    </w:rPr>
                    <w:t>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71" w:hRule="atLeast"/>
                <w:jc w:val="center"/>
              </w:trPr>
              <w:tc>
                <w:tcPr>
                  <w:tcW w:w="3976" w:type="dxa"/>
                  <w:vMerge w:val="continue"/>
                  <w:noWrap w:val="0"/>
                  <w:vAlign w:val="center"/>
                </w:tcPr>
                <w:p>
                  <w:pPr>
                    <w:jc w:val="center"/>
                    <w:rPr>
                      <w:szCs w:val="21"/>
                    </w:rPr>
                  </w:pPr>
                </w:p>
              </w:tc>
              <w:tc>
                <w:tcPr>
                  <w:tcW w:w="2242" w:type="dxa"/>
                  <w:noWrap w:val="0"/>
                  <w:vAlign w:val="center"/>
                </w:tcPr>
                <w:p>
                  <w:pPr>
                    <w:jc w:val="center"/>
                    <w:rPr>
                      <w:szCs w:val="21"/>
                    </w:rPr>
                  </w:pPr>
                  <w:r>
                    <w:rPr>
                      <w:szCs w:val="21"/>
                    </w:rPr>
                    <w:t>地形数据分辨率/m</w:t>
                  </w:r>
                </w:p>
              </w:tc>
              <w:tc>
                <w:tcPr>
                  <w:tcW w:w="2242" w:type="dxa"/>
                  <w:noWrap w:val="0"/>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71" w:hRule="atLeast"/>
                <w:jc w:val="center"/>
              </w:trPr>
              <w:tc>
                <w:tcPr>
                  <w:tcW w:w="3976" w:type="dxa"/>
                  <w:noWrap w:val="0"/>
                  <w:vAlign w:val="center"/>
                </w:tcPr>
                <w:p>
                  <w:pPr>
                    <w:jc w:val="center"/>
                    <w:rPr>
                      <w:szCs w:val="21"/>
                    </w:rPr>
                  </w:pPr>
                  <w:r>
                    <w:rPr>
                      <w:szCs w:val="21"/>
                    </w:rPr>
                    <w:t>是否考虑岸线熏烟</w:t>
                  </w:r>
                </w:p>
              </w:tc>
              <w:tc>
                <w:tcPr>
                  <w:tcW w:w="2242" w:type="dxa"/>
                  <w:noWrap w:val="0"/>
                  <w:vAlign w:val="center"/>
                </w:tcPr>
                <w:p>
                  <w:pPr>
                    <w:jc w:val="center"/>
                    <w:rPr>
                      <w:szCs w:val="21"/>
                    </w:rPr>
                  </w:pPr>
                  <w:r>
                    <w:rPr>
                      <w:szCs w:val="21"/>
                    </w:rPr>
                    <w:t>考虑岸线熏烟</w:t>
                  </w:r>
                </w:p>
              </w:tc>
              <w:tc>
                <w:tcPr>
                  <w:tcW w:w="2242" w:type="dxa"/>
                  <w:noWrap w:val="0"/>
                  <w:vAlign w:val="center"/>
                </w:tcPr>
                <w:p>
                  <w:pPr>
                    <w:jc w:val="center"/>
                    <w:rPr>
                      <w:szCs w:val="21"/>
                    </w:rPr>
                  </w:pPr>
                  <w:r>
                    <w:rPr>
                      <w:szCs w:val="21"/>
                    </w:rPr>
                    <w:t>否</w:t>
                  </w:r>
                </w:p>
              </w:tc>
            </w:tr>
          </w:tbl>
          <w:p>
            <w:pPr>
              <w:topLinePunct/>
              <w:adjustRightInd w:val="0"/>
              <w:snapToGrid w:val="0"/>
              <w:spacing w:line="360" w:lineRule="auto"/>
              <w:ind w:firstLine="482" w:firstLineChars="200"/>
              <w:jc w:val="left"/>
              <w:rPr>
                <w:rFonts w:hint="eastAsia"/>
                <w:b/>
                <w:snapToGrid w:val="0"/>
                <w:kern w:val="0"/>
                <w:sz w:val="24"/>
              </w:rPr>
            </w:pPr>
          </w:p>
          <w:p>
            <w:pPr>
              <w:spacing w:line="480" w:lineRule="exact"/>
              <w:ind w:firstLine="422" w:firstLineChars="176"/>
              <w:jc w:val="left"/>
              <w:rPr>
                <w:sz w:val="24"/>
              </w:rPr>
            </w:pPr>
            <w:r>
              <w:rPr>
                <w:sz w:val="24"/>
              </w:rPr>
              <w:t>依据《环境影响评价技术导则-大气环境》(HJ2.2-2018)中5.3节工作等级的确定方法，结合项目工程分析结果，选择正常排放的主要污染物及排放参数，采用附录A推荐模型中的AERSCREEN模式计算项目污染源的最大环境影响，然后按评价工作分级判据进行分级。</w:t>
            </w:r>
          </w:p>
          <w:p>
            <w:pPr>
              <w:spacing w:line="480" w:lineRule="exact"/>
              <w:ind w:firstLine="422" w:firstLineChars="176"/>
              <w:jc w:val="left"/>
              <w:rPr>
                <w:sz w:val="24"/>
              </w:rPr>
            </w:pPr>
            <w:r>
              <w:rPr>
                <w:rFonts w:hint="eastAsia"/>
                <w:sz w:val="24"/>
              </w:rPr>
              <w:t>（1）</w:t>
            </w:r>
            <w:r>
              <w:rPr>
                <w:sz w:val="24"/>
              </w:rPr>
              <w:t>P</w:t>
            </w:r>
            <w:r>
              <w:rPr>
                <w:sz w:val="24"/>
                <w:vertAlign w:val="subscript"/>
              </w:rPr>
              <w:t>max</w:t>
            </w:r>
            <w:r>
              <w:rPr>
                <w:sz w:val="24"/>
              </w:rPr>
              <w:t>及D</w:t>
            </w:r>
            <w:r>
              <w:rPr>
                <w:sz w:val="24"/>
                <w:vertAlign w:val="subscript"/>
              </w:rPr>
              <w:t>10%</w:t>
            </w:r>
            <w:r>
              <w:rPr>
                <w:sz w:val="24"/>
              </w:rPr>
              <w:t>的确定</w:t>
            </w:r>
          </w:p>
          <w:p>
            <w:pPr>
              <w:spacing w:line="480" w:lineRule="exact"/>
              <w:ind w:firstLine="422" w:firstLineChars="176"/>
              <w:jc w:val="left"/>
              <w:rPr>
                <w:sz w:val="24"/>
              </w:rPr>
            </w:pPr>
            <w:r>
              <w:rPr>
                <w:sz w:val="24"/>
              </w:rPr>
              <w:t>依据《环境影响评价技术导则 大气环境》(HJ2.2-20</w:t>
            </w:r>
            <w:r>
              <w:rPr>
                <w:rFonts w:hint="eastAsia"/>
                <w:sz w:val="24"/>
              </w:rPr>
              <w:t>1</w:t>
            </w:r>
            <w:r>
              <w:rPr>
                <w:sz w:val="24"/>
              </w:rPr>
              <w:t>8)中最大地面浓度占标率P</w:t>
            </w:r>
            <w:r>
              <w:rPr>
                <w:i/>
                <w:sz w:val="24"/>
              </w:rPr>
              <w:t>i</w:t>
            </w:r>
            <w:r>
              <w:rPr>
                <w:sz w:val="24"/>
              </w:rPr>
              <w:t>定义如下：</w:t>
            </w:r>
          </w:p>
          <w:p>
            <w:pPr>
              <w:spacing w:line="276" w:lineRule="auto"/>
              <w:ind w:firstLine="422" w:firstLineChars="176"/>
              <w:jc w:val="center"/>
              <w:rPr>
                <w:sz w:val="24"/>
              </w:rPr>
            </w:pPr>
            <m:oMath>
              <m:sSub>
                <m:sSubPr>
                  <m:ctrlPr>
                    <w:rPr>
                      <w:rFonts w:ascii="Cambria Math" w:hAnsi="Cambria Math"/>
                      <w:sz w:val="24"/>
                    </w:rPr>
                  </m:ctrlPr>
                </m:sSubPr>
                <m:e>
                  <m:r>
                    <w:rPr>
                      <w:rFonts w:ascii="Cambria Math" w:hAnsi="Cambria Math"/>
                      <w:sz w:val="24"/>
                    </w:rPr>
                    <m:t>P</m:t>
                  </m:r>
                </m:e>
                <m:sub>
                  <m:r>
                    <w:rPr>
                      <w:rFonts w:ascii="Cambria Math" w:hAnsi="Cambria Math"/>
                      <w:sz w:val="24"/>
                    </w:rPr>
                    <m:t>i</m:t>
                  </m:r>
                </m:sub>
              </m:sSub>
              <m:r>
                <m:rPr>
                  <m:sty m:val="p"/>
                </m:rPr>
                <w:rPr>
                  <w:rFonts w:ascii="Cambria Math" w:hAnsi="Cambria Math"/>
                  <w:sz w:val="24"/>
                </w:rPr>
                <m:t>=</m:t>
              </m:r>
              <m:f>
                <m:fPr>
                  <m:ctrlPr>
                    <w:rPr>
                      <w:rFonts w:ascii="Cambria Math" w:hAnsi="Cambria Math"/>
                      <w:sz w:val="24"/>
                    </w:rPr>
                  </m:ctrlPr>
                </m:fPr>
                <m:num>
                  <m:sSub>
                    <m:sSubPr>
                      <m:ctrlPr>
                        <w:rPr>
                          <w:rFonts w:ascii="Cambria Math" w:hAnsi="Cambria Math"/>
                          <w:i/>
                          <w:sz w:val="24"/>
                        </w:rPr>
                      </m:ctrlPr>
                    </m:sSubPr>
                    <m:e>
                      <m:r>
                        <w:rPr>
                          <w:rFonts w:ascii="Cambria Math" w:hAnsi="Cambria Math"/>
                          <w:sz w:val="24"/>
                        </w:rPr>
                        <m:t>C</m:t>
                      </m:r>
                    </m:e>
                    <m:sub>
                      <m:r>
                        <w:rPr>
                          <w:rFonts w:ascii="Cambria Math" w:hAnsi="Cambria Math"/>
                          <w:sz w:val="24"/>
                        </w:rPr>
                        <m:t>i</m:t>
                      </m:r>
                    </m:sub>
                  </m:sSub>
                  <m:ctrlPr>
                    <w:rPr>
                      <w:rFonts w:ascii="Cambria Math" w:hAnsi="Cambria Math"/>
                      <w:i/>
                      <w:sz w:val="24"/>
                    </w:rPr>
                  </m:ctrlPr>
                </m:num>
                <m:den>
                  <m:sSub>
                    <m:sSubPr>
                      <m:ctrlPr>
                        <w:rPr>
                          <w:rFonts w:ascii="Cambria Math" w:hAnsi="Cambria Math"/>
                          <w:i/>
                          <w:sz w:val="24"/>
                        </w:rPr>
                      </m:ctrlPr>
                    </m:sSubPr>
                    <m:e>
                      <m:r>
                        <w:rPr>
                          <w:rFonts w:ascii="Cambria Math" w:hAnsi="Cambria Math"/>
                          <w:sz w:val="24"/>
                        </w:rPr>
                        <m:t>C</m:t>
                      </m:r>
                    </m:e>
                    <m:sub>
                      <m:r>
                        <w:rPr>
                          <w:rFonts w:ascii="Cambria Math" w:hAnsi="Cambria Math"/>
                          <w:sz w:val="24"/>
                        </w:rPr>
                        <m:t>0i</m:t>
                      </m:r>
                    </m:sub>
                  </m:sSub>
                  <m:ctrlPr>
                    <w:rPr>
                      <w:rFonts w:ascii="Cambria Math" w:hAnsi="Cambria Math"/>
                      <w:i/>
                      <w:sz w:val="24"/>
                    </w:rPr>
                  </m:ctrlPr>
                </m:den>
              </m:f>
              <m:r>
                <w:rPr>
                  <w:rFonts w:ascii="Cambria Math" w:hAnsi="Cambria Math"/>
                  <w:sz w:val="24"/>
                </w:rPr>
                <m:t>×100%</m:t>
              </m:r>
            </m:oMath>
          </w:p>
          <w:p>
            <w:pPr>
              <w:spacing w:line="480" w:lineRule="exact"/>
              <w:ind w:firstLine="422" w:firstLineChars="176"/>
              <w:jc w:val="left"/>
              <w:rPr>
                <w:sz w:val="24"/>
              </w:rPr>
            </w:pPr>
            <m:oMath>
              <m:sSub>
                <m:sSubPr>
                  <m:ctrlPr>
                    <w:rPr>
                      <w:rFonts w:ascii="Cambria Math" w:hAnsi="Cambria Math"/>
                      <w:sz w:val="24"/>
                    </w:rPr>
                  </m:ctrlPr>
                </m:sSubPr>
                <m:e>
                  <m:r>
                    <w:rPr>
                      <w:rFonts w:ascii="Cambria Math" w:hAnsi="Cambria Math"/>
                      <w:sz w:val="24"/>
                    </w:rPr>
                    <m:t>P</m:t>
                  </m:r>
                </m:e>
                <m:sub>
                  <m:r>
                    <w:rPr>
                      <w:rFonts w:ascii="Cambria Math" w:hAnsi="Cambria Math"/>
                      <w:sz w:val="24"/>
                    </w:rPr>
                    <m:t>i</m:t>
                  </m:r>
                </m:sub>
              </m:sSub>
            </m:oMath>
            <w:r>
              <w:rPr>
                <w:sz w:val="24"/>
              </w:rPr>
              <w:t xml:space="preserve"> ——第i个污染物的最大地面空气质量浓度 占标率，%；</w:t>
            </w:r>
          </w:p>
          <w:p>
            <w:pPr>
              <w:spacing w:line="480" w:lineRule="exact"/>
              <w:ind w:firstLine="422" w:firstLineChars="176"/>
              <w:jc w:val="left"/>
              <w:rPr>
                <w:sz w:val="24"/>
              </w:rPr>
            </w:pPr>
            <m:oMath>
              <m:sSub>
                <m:sSubPr>
                  <m:ctrlPr>
                    <w:rPr>
                      <w:rFonts w:ascii="Cambria Math" w:hAnsi="Cambria Math"/>
                      <w:i/>
                      <w:sz w:val="24"/>
                    </w:rPr>
                  </m:ctrlPr>
                </m:sSubPr>
                <m:e>
                  <m:r>
                    <w:rPr>
                      <w:rFonts w:ascii="Cambria Math" w:hAnsi="Cambria Math"/>
                      <w:sz w:val="24"/>
                    </w:rPr>
                    <m:t>C</m:t>
                  </m:r>
                </m:e>
                <m:sub>
                  <m:r>
                    <w:rPr>
                      <w:rFonts w:ascii="Cambria Math" w:hAnsi="Cambria Math"/>
                      <w:sz w:val="24"/>
                    </w:rPr>
                    <m:t>i</m:t>
                  </m:r>
                </m:sub>
              </m:sSub>
            </m:oMath>
            <w:r>
              <w:rPr>
                <w:sz w:val="24"/>
              </w:rPr>
              <w:t>——采用估算模型计算出的第i个污染物的最大1h地面空气质量浓度，μg/m</w:t>
            </w:r>
            <w:r>
              <w:rPr>
                <w:sz w:val="24"/>
                <w:vertAlign w:val="superscript"/>
              </w:rPr>
              <w:t>3</w:t>
            </w:r>
            <w:r>
              <w:rPr>
                <w:sz w:val="24"/>
              </w:rPr>
              <w:t>；</w:t>
            </w:r>
          </w:p>
          <w:p>
            <w:pPr>
              <w:spacing w:line="480" w:lineRule="exact"/>
              <w:ind w:firstLine="422" w:firstLineChars="176"/>
              <w:jc w:val="left"/>
              <w:rPr>
                <w:sz w:val="24"/>
              </w:rPr>
            </w:pPr>
            <m:oMath>
              <m:sSub>
                <m:sSubPr>
                  <m:ctrlPr>
                    <w:rPr>
                      <w:rFonts w:ascii="Cambria Math" w:hAnsi="Cambria Math"/>
                      <w:i/>
                      <w:sz w:val="24"/>
                    </w:rPr>
                  </m:ctrlPr>
                </m:sSubPr>
                <m:e>
                  <m:r>
                    <w:rPr>
                      <w:rFonts w:ascii="Cambria Math" w:hAnsi="Cambria Math"/>
                      <w:sz w:val="24"/>
                    </w:rPr>
                    <m:t>C</m:t>
                  </m:r>
                </m:e>
                <m:sub>
                  <m:r>
                    <w:rPr>
                      <w:rFonts w:ascii="Cambria Math" w:hAnsi="Cambria Math"/>
                      <w:sz w:val="24"/>
                    </w:rPr>
                    <m:t>0i</m:t>
                  </m:r>
                </m:sub>
              </m:sSub>
            </m:oMath>
            <w:r>
              <w:rPr>
                <w:sz w:val="24"/>
              </w:rPr>
              <w:t>——第i个污染物的环境空气质量浓度标准，μg/m</w:t>
            </w:r>
            <w:r>
              <w:rPr>
                <w:sz w:val="24"/>
                <w:vertAlign w:val="superscript"/>
              </w:rPr>
              <w:t>3</w:t>
            </w:r>
            <w:r>
              <w:rPr>
                <w:sz w:val="24"/>
              </w:rPr>
              <w:t>。</w:t>
            </w:r>
          </w:p>
          <w:p>
            <w:pPr>
              <w:spacing w:line="480" w:lineRule="exact"/>
              <w:ind w:firstLine="422" w:firstLineChars="176"/>
              <w:jc w:val="left"/>
              <w:rPr>
                <w:sz w:val="24"/>
              </w:rPr>
            </w:pPr>
            <w:r>
              <w:rPr>
                <w:rFonts w:hint="eastAsia"/>
                <w:sz w:val="24"/>
              </w:rPr>
              <w:t>（2）</w:t>
            </w:r>
            <w:r>
              <w:rPr>
                <w:sz w:val="24"/>
              </w:rPr>
              <w:t>评价等级判别表</w:t>
            </w:r>
          </w:p>
          <w:p>
            <w:pPr>
              <w:spacing w:line="480" w:lineRule="exact"/>
              <w:ind w:firstLine="422" w:firstLineChars="176"/>
              <w:jc w:val="left"/>
              <w:rPr>
                <w:sz w:val="24"/>
              </w:rPr>
            </w:pPr>
            <w:r>
              <w:rPr>
                <w:sz w:val="24"/>
              </w:rPr>
              <w:t>评价等级按下表的分级判据进行划分</w:t>
            </w:r>
          </w:p>
          <w:p>
            <w:pPr>
              <w:tabs>
                <w:tab w:val="left" w:pos="3805"/>
              </w:tabs>
              <w:adjustRightInd w:val="0"/>
              <w:snapToGrid w:val="0"/>
              <w:spacing w:line="360" w:lineRule="auto"/>
              <w:ind w:firstLine="3373" w:firstLineChars="1400"/>
              <w:rPr>
                <w:b/>
                <w:sz w:val="24"/>
              </w:rPr>
            </w:pPr>
            <w:r>
              <w:rPr>
                <w:b/>
                <w:sz w:val="24"/>
              </w:rPr>
              <w:t>表</w:t>
            </w:r>
            <w:r>
              <w:rPr>
                <w:rFonts w:hint="eastAsia"/>
                <w:b/>
                <w:sz w:val="24"/>
              </w:rPr>
              <w:t>7</w:t>
            </w:r>
            <w:r>
              <w:rPr>
                <w:b/>
                <w:sz w:val="24"/>
              </w:rPr>
              <w:t>-</w:t>
            </w:r>
            <w:r>
              <w:rPr>
                <w:rFonts w:hint="eastAsia"/>
                <w:b/>
                <w:sz w:val="24"/>
              </w:rPr>
              <w:t>4</w:t>
            </w:r>
            <w:r>
              <w:rPr>
                <w:b/>
                <w:sz w:val="24"/>
              </w:rPr>
              <w:t xml:space="preserve"> 评价等级判别表</w:t>
            </w:r>
          </w:p>
          <w:tbl>
            <w:tblPr>
              <w:tblStyle w:val="6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4643" w:type="dxa"/>
                  <w:noWrap w:val="0"/>
                  <w:vAlign w:val="center"/>
                </w:tcPr>
                <w:p>
                  <w:pPr>
                    <w:jc w:val="center"/>
                    <w:rPr>
                      <w:sz w:val="24"/>
                    </w:rPr>
                  </w:pPr>
                  <w:r>
                    <w:rPr>
                      <w:sz w:val="24"/>
                    </w:rPr>
                    <w:t>评价工作等级</w:t>
                  </w:r>
                </w:p>
              </w:tc>
              <w:tc>
                <w:tcPr>
                  <w:tcW w:w="4643" w:type="dxa"/>
                  <w:noWrap w:val="0"/>
                  <w:vAlign w:val="center"/>
                </w:tcPr>
                <w:p>
                  <w:pPr>
                    <w:jc w:val="center"/>
                    <w:rPr>
                      <w:sz w:val="24"/>
                    </w:rPr>
                  </w:pPr>
                  <w:r>
                    <w:rPr>
                      <w:sz w:val="24"/>
                    </w:rP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4643" w:type="dxa"/>
                  <w:noWrap w:val="0"/>
                  <w:vAlign w:val="center"/>
                </w:tcPr>
                <w:p>
                  <w:pPr>
                    <w:jc w:val="center"/>
                    <w:rPr>
                      <w:sz w:val="24"/>
                    </w:rPr>
                  </w:pPr>
                  <w:r>
                    <w:rPr>
                      <w:sz w:val="24"/>
                    </w:rPr>
                    <w:t>一级评价</w:t>
                  </w:r>
                </w:p>
              </w:tc>
              <w:tc>
                <w:tcPr>
                  <w:tcW w:w="4643" w:type="dxa"/>
                  <w:noWrap w:val="0"/>
                  <w:vAlign w:val="center"/>
                </w:tcPr>
                <w:p>
                  <w:pPr>
                    <w:jc w:val="center"/>
                    <w:rPr>
                      <w:sz w:val="24"/>
                    </w:rPr>
                  </w:pPr>
                  <w:r>
                    <w:rPr>
                      <w:sz w:val="24"/>
                    </w:rPr>
                    <w:t>Pmax</w:t>
                  </w:r>
                  <w:r>
                    <w:rPr>
                      <w:rFonts w:hint="eastAsia" w:ascii="宋体" w:hAnsi="宋体" w:cs="宋体"/>
                      <w:sz w:val="24"/>
                    </w:rPr>
                    <w:t>≧</w:t>
                  </w:r>
                  <w:r>
                    <w:rPr>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4643" w:type="dxa"/>
                  <w:noWrap w:val="0"/>
                  <w:vAlign w:val="center"/>
                </w:tcPr>
                <w:p>
                  <w:pPr>
                    <w:jc w:val="center"/>
                    <w:rPr>
                      <w:sz w:val="24"/>
                    </w:rPr>
                  </w:pPr>
                  <w:r>
                    <w:rPr>
                      <w:sz w:val="24"/>
                    </w:rPr>
                    <w:t>二级评价</w:t>
                  </w:r>
                </w:p>
              </w:tc>
              <w:tc>
                <w:tcPr>
                  <w:tcW w:w="4643" w:type="dxa"/>
                  <w:noWrap w:val="0"/>
                  <w:vAlign w:val="center"/>
                </w:tcPr>
                <w:p>
                  <w:pPr>
                    <w:jc w:val="center"/>
                    <w:rPr>
                      <w:sz w:val="24"/>
                    </w:rPr>
                  </w:pPr>
                  <w:r>
                    <w:rPr>
                      <w:sz w:val="24"/>
                    </w:rPr>
                    <w:t>1%</w:t>
                  </w:r>
                  <w:r>
                    <w:rPr>
                      <w:rFonts w:hint="eastAsia" w:ascii="宋体" w:hAnsi="宋体" w:cs="宋体"/>
                      <w:sz w:val="24"/>
                    </w:rPr>
                    <w:t>≦</w:t>
                  </w:r>
                  <w:r>
                    <w:rPr>
                      <w:sz w:val="24"/>
                    </w:rPr>
                    <w:t>Pmax&lt;10%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4643" w:type="dxa"/>
                  <w:noWrap w:val="0"/>
                  <w:vAlign w:val="center"/>
                </w:tcPr>
                <w:p>
                  <w:pPr>
                    <w:jc w:val="center"/>
                    <w:rPr>
                      <w:sz w:val="24"/>
                    </w:rPr>
                  </w:pPr>
                  <w:r>
                    <w:rPr>
                      <w:sz w:val="24"/>
                    </w:rPr>
                    <w:t>三级评价</w:t>
                  </w:r>
                </w:p>
              </w:tc>
              <w:tc>
                <w:tcPr>
                  <w:tcW w:w="4643" w:type="dxa"/>
                  <w:noWrap w:val="0"/>
                  <w:vAlign w:val="center"/>
                </w:tcPr>
                <w:p>
                  <w:pPr>
                    <w:jc w:val="center"/>
                    <w:rPr>
                      <w:sz w:val="24"/>
                    </w:rPr>
                  </w:pPr>
                  <w:r>
                    <w:rPr>
                      <w:sz w:val="24"/>
                    </w:rPr>
                    <w:t>Pmax&lt;1%</w:t>
                  </w:r>
                </w:p>
              </w:tc>
            </w:tr>
          </w:tbl>
          <w:p>
            <w:pPr>
              <w:spacing w:line="480" w:lineRule="exact"/>
              <w:ind w:firstLine="422" w:firstLineChars="176"/>
              <w:jc w:val="left"/>
              <w:rPr>
                <w:sz w:val="24"/>
              </w:rPr>
            </w:pPr>
            <w:r>
              <w:rPr>
                <w:rFonts w:hint="eastAsia"/>
                <w:sz w:val="24"/>
              </w:rPr>
              <w:t>（3）</w:t>
            </w:r>
            <w:r>
              <w:rPr>
                <w:sz w:val="24"/>
              </w:rPr>
              <w:t>污染物评价标准</w:t>
            </w:r>
          </w:p>
          <w:p>
            <w:pPr>
              <w:spacing w:line="480" w:lineRule="exact"/>
              <w:ind w:firstLine="422" w:firstLineChars="176"/>
              <w:jc w:val="left"/>
              <w:rPr>
                <w:sz w:val="24"/>
              </w:rPr>
            </w:pPr>
            <w:r>
              <w:rPr>
                <w:sz w:val="24"/>
              </w:rPr>
              <w:t>污染物评价标准和来源见下表。</w:t>
            </w:r>
          </w:p>
          <w:p>
            <w:pPr>
              <w:tabs>
                <w:tab w:val="left" w:pos="3805"/>
              </w:tabs>
              <w:adjustRightInd w:val="0"/>
              <w:snapToGrid w:val="0"/>
              <w:spacing w:line="360" w:lineRule="auto"/>
              <w:ind w:firstLine="3373" w:firstLineChars="1400"/>
              <w:rPr>
                <w:b/>
                <w:sz w:val="24"/>
              </w:rPr>
            </w:pPr>
            <w:r>
              <w:rPr>
                <w:b/>
                <w:sz w:val="24"/>
              </w:rPr>
              <w:t>表</w:t>
            </w:r>
            <w:r>
              <w:rPr>
                <w:rFonts w:hint="eastAsia"/>
                <w:b/>
                <w:sz w:val="24"/>
              </w:rPr>
              <w:t>7</w:t>
            </w:r>
            <w:r>
              <w:rPr>
                <w:b/>
                <w:sz w:val="24"/>
              </w:rPr>
              <w:t>-</w:t>
            </w:r>
            <w:r>
              <w:rPr>
                <w:rFonts w:hint="eastAsia"/>
                <w:b/>
                <w:sz w:val="24"/>
              </w:rPr>
              <w:t>5</w:t>
            </w:r>
            <w:r>
              <w:rPr>
                <w:b/>
                <w:sz w:val="24"/>
              </w:rPr>
              <w:t xml:space="preserve"> 污染物评价标准</w:t>
            </w:r>
          </w:p>
          <w:tbl>
            <w:tblPr>
              <w:tblStyle w:val="69"/>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835"/>
              <w:gridCol w:w="2035"/>
              <w:gridCol w:w="1833"/>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noWrap w:val="0"/>
                  <w:vAlign w:val="center"/>
                </w:tcPr>
                <w:p>
                  <w:pPr>
                    <w:jc w:val="center"/>
                  </w:pPr>
                  <w:r>
                    <w:t>污染物名称</w:t>
                  </w:r>
                </w:p>
              </w:tc>
              <w:tc>
                <w:tcPr>
                  <w:tcW w:w="1835" w:type="dxa"/>
                  <w:noWrap w:val="0"/>
                  <w:vAlign w:val="center"/>
                </w:tcPr>
                <w:p>
                  <w:pPr>
                    <w:jc w:val="center"/>
                    <w:rPr>
                      <w:sz w:val="24"/>
                    </w:rPr>
                  </w:pPr>
                  <w:r>
                    <w:rPr>
                      <w:sz w:val="24"/>
                    </w:rPr>
                    <w:t>功能区</w:t>
                  </w:r>
                </w:p>
              </w:tc>
              <w:tc>
                <w:tcPr>
                  <w:tcW w:w="2035" w:type="dxa"/>
                  <w:noWrap w:val="0"/>
                  <w:vAlign w:val="center"/>
                </w:tcPr>
                <w:p>
                  <w:pPr>
                    <w:jc w:val="center"/>
                    <w:rPr>
                      <w:sz w:val="24"/>
                    </w:rPr>
                  </w:pPr>
                  <w:r>
                    <w:rPr>
                      <w:sz w:val="24"/>
                    </w:rPr>
                    <w:t>取值时间</w:t>
                  </w:r>
                </w:p>
              </w:tc>
              <w:tc>
                <w:tcPr>
                  <w:tcW w:w="1833" w:type="dxa"/>
                  <w:noWrap w:val="0"/>
                  <w:vAlign w:val="center"/>
                </w:tcPr>
                <w:p>
                  <w:pPr>
                    <w:jc w:val="center"/>
                    <w:rPr>
                      <w:sz w:val="24"/>
                    </w:rPr>
                  </w:pPr>
                  <w:bookmarkStart w:id="5" w:name="OLE_LINK4"/>
                  <w:bookmarkStart w:id="6" w:name="OLE_LINK5"/>
                  <w:r>
                    <w:rPr>
                      <w:sz w:val="24"/>
                    </w:rPr>
                    <w:t>标准值</w:t>
                  </w:r>
                  <w:bookmarkEnd w:id="5"/>
                  <w:bookmarkEnd w:id="6"/>
                </w:p>
                <w:p>
                  <w:pPr>
                    <w:jc w:val="center"/>
                    <w:rPr>
                      <w:sz w:val="24"/>
                    </w:rPr>
                  </w:pPr>
                  <w:bookmarkStart w:id="7" w:name="OLE_LINK14"/>
                  <w:bookmarkStart w:id="8" w:name="OLE_LINK15"/>
                  <w:r>
                    <w:rPr>
                      <w:sz w:val="24"/>
                    </w:rPr>
                    <w:t>(μg/m</w:t>
                  </w:r>
                  <w:r>
                    <w:rPr>
                      <w:sz w:val="24"/>
                      <w:vertAlign w:val="superscript"/>
                    </w:rPr>
                    <w:t>3</w:t>
                  </w:r>
                  <w:r>
                    <w:rPr>
                      <w:sz w:val="24"/>
                    </w:rPr>
                    <w:t>)</w:t>
                  </w:r>
                  <w:bookmarkEnd w:id="7"/>
                  <w:bookmarkEnd w:id="8"/>
                </w:p>
              </w:tc>
              <w:tc>
                <w:tcPr>
                  <w:tcW w:w="2035" w:type="dxa"/>
                  <w:noWrap w:val="0"/>
                  <w:vAlign w:val="center"/>
                </w:tcPr>
                <w:p>
                  <w:pPr>
                    <w:jc w:val="center"/>
                    <w:rPr>
                      <w:sz w:val="24"/>
                    </w:rPr>
                  </w:pPr>
                  <w:r>
                    <w:rPr>
                      <w:sz w:val="24"/>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82" w:type="dxa"/>
                  <w:noWrap w:val="0"/>
                  <w:vAlign w:val="center"/>
                </w:tcPr>
                <w:p>
                  <w:pPr>
                    <w:jc w:val="center"/>
                  </w:pPr>
                  <w:r>
                    <w:t>SO2</w:t>
                  </w:r>
                </w:p>
              </w:tc>
              <w:tc>
                <w:tcPr>
                  <w:tcW w:w="1835" w:type="dxa"/>
                  <w:noWrap w:val="0"/>
                  <w:vAlign w:val="center"/>
                </w:tcPr>
                <w:p>
                  <w:pPr>
                    <w:jc w:val="center"/>
                  </w:pPr>
                  <w:r>
                    <w:t>二类限区</w:t>
                  </w:r>
                </w:p>
              </w:tc>
              <w:tc>
                <w:tcPr>
                  <w:tcW w:w="2035" w:type="dxa"/>
                  <w:noWrap w:val="0"/>
                  <w:vAlign w:val="center"/>
                </w:tcPr>
                <w:p>
                  <w:pPr>
                    <w:jc w:val="center"/>
                  </w:pPr>
                  <w:r>
                    <w:t>一小时</w:t>
                  </w:r>
                </w:p>
              </w:tc>
              <w:tc>
                <w:tcPr>
                  <w:tcW w:w="1833" w:type="dxa"/>
                  <w:noWrap w:val="0"/>
                  <w:vAlign w:val="center"/>
                </w:tcPr>
                <w:p>
                  <w:pPr>
                    <w:jc w:val="center"/>
                  </w:pPr>
                  <w:r>
                    <w:t>500.0</w:t>
                  </w:r>
                </w:p>
              </w:tc>
              <w:tc>
                <w:tcPr>
                  <w:tcW w:w="2035" w:type="dxa"/>
                  <w:noWrap w:val="0"/>
                  <w:vAlign w:val="center"/>
                </w:tcPr>
                <w:p>
                  <w:pPr>
                    <w:jc w:val="center"/>
                  </w:pPr>
                  <w:r>
                    <w:t>GB 3095-2012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82" w:type="dxa"/>
                  <w:noWrap w:val="0"/>
                  <w:vAlign w:val="center"/>
                </w:tcPr>
                <w:p>
                  <w:pPr>
                    <w:jc w:val="center"/>
                  </w:pPr>
                  <w:r>
                    <w:t>NO2</w:t>
                  </w:r>
                </w:p>
              </w:tc>
              <w:tc>
                <w:tcPr>
                  <w:tcW w:w="1835" w:type="dxa"/>
                  <w:noWrap w:val="0"/>
                  <w:vAlign w:val="center"/>
                </w:tcPr>
                <w:p>
                  <w:pPr>
                    <w:jc w:val="center"/>
                  </w:pPr>
                  <w:r>
                    <w:t>二类限区</w:t>
                  </w:r>
                </w:p>
              </w:tc>
              <w:tc>
                <w:tcPr>
                  <w:tcW w:w="2035" w:type="dxa"/>
                  <w:noWrap w:val="0"/>
                  <w:vAlign w:val="center"/>
                </w:tcPr>
                <w:p>
                  <w:pPr>
                    <w:jc w:val="center"/>
                  </w:pPr>
                  <w:r>
                    <w:t>一小时</w:t>
                  </w:r>
                </w:p>
              </w:tc>
              <w:tc>
                <w:tcPr>
                  <w:tcW w:w="1833" w:type="dxa"/>
                  <w:noWrap w:val="0"/>
                  <w:vAlign w:val="center"/>
                </w:tcPr>
                <w:p>
                  <w:pPr>
                    <w:jc w:val="center"/>
                  </w:pPr>
                  <w:r>
                    <w:t>200.0</w:t>
                  </w:r>
                </w:p>
              </w:tc>
              <w:tc>
                <w:tcPr>
                  <w:tcW w:w="2035" w:type="dxa"/>
                  <w:noWrap w:val="0"/>
                  <w:vAlign w:val="center"/>
                </w:tcPr>
                <w:p>
                  <w:pPr>
                    <w:jc w:val="center"/>
                  </w:pPr>
                  <w:r>
                    <w:t>GB 3095-2012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82" w:type="dxa"/>
                  <w:noWrap w:val="0"/>
                  <w:vAlign w:val="center"/>
                </w:tcPr>
                <w:p>
                  <w:pPr>
                    <w:jc w:val="center"/>
                  </w:pPr>
                  <w:r>
                    <w:t>TSP</w:t>
                  </w:r>
                </w:p>
              </w:tc>
              <w:tc>
                <w:tcPr>
                  <w:tcW w:w="1835" w:type="dxa"/>
                  <w:noWrap w:val="0"/>
                  <w:vAlign w:val="center"/>
                </w:tcPr>
                <w:p>
                  <w:pPr>
                    <w:jc w:val="center"/>
                  </w:pPr>
                  <w:r>
                    <w:t>二类限区</w:t>
                  </w:r>
                </w:p>
              </w:tc>
              <w:tc>
                <w:tcPr>
                  <w:tcW w:w="2035" w:type="dxa"/>
                  <w:noWrap w:val="0"/>
                  <w:vAlign w:val="center"/>
                </w:tcPr>
                <w:p>
                  <w:pPr>
                    <w:jc w:val="center"/>
                  </w:pPr>
                  <w:r>
                    <w:t>日均</w:t>
                  </w:r>
                </w:p>
              </w:tc>
              <w:tc>
                <w:tcPr>
                  <w:tcW w:w="1833" w:type="dxa"/>
                  <w:noWrap w:val="0"/>
                  <w:vAlign w:val="center"/>
                </w:tcPr>
                <w:p>
                  <w:pPr>
                    <w:jc w:val="center"/>
                  </w:pPr>
                  <w:r>
                    <w:t>300.0</w:t>
                  </w:r>
                </w:p>
              </w:tc>
              <w:tc>
                <w:tcPr>
                  <w:tcW w:w="2035" w:type="dxa"/>
                  <w:noWrap w:val="0"/>
                  <w:vAlign w:val="center"/>
                </w:tcPr>
                <w:p>
                  <w:pPr>
                    <w:jc w:val="center"/>
                  </w:pPr>
                  <w:r>
                    <w:t>GB 3095-2012</w:t>
                  </w:r>
                </w:p>
              </w:tc>
            </w:tr>
          </w:tbl>
          <w:p>
            <w:pPr>
              <w:pStyle w:val="2"/>
              <w:jc w:val="left"/>
              <w:rPr>
                <w:b/>
                <w:bCs/>
                <w:sz w:val="24"/>
              </w:rPr>
            </w:pPr>
            <w:r>
              <w:rPr>
                <w:b/>
                <w:bCs/>
                <w:sz w:val="24"/>
              </w:rPr>
              <w:t>污染源参数</w:t>
            </w:r>
          </w:p>
          <w:p>
            <w:pPr>
              <w:spacing w:line="480" w:lineRule="exact"/>
              <w:ind w:firstLine="422" w:firstLineChars="176"/>
              <w:jc w:val="left"/>
              <w:rPr>
                <w:sz w:val="24"/>
              </w:rPr>
            </w:pPr>
            <w:r>
              <w:rPr>
                <w:sz w:val="24"/>
              </w:rPr>
              <w:t>主要废气污染源排放参数见下表：</w:t>
            </w:r>
          </w:p>
          <w:p>
            <w:pPr>
              <w:tabs>
                <w:tab w:val="left" w:pos="3805"/>
              </w:tabs>
              <w:adjustRightInd w:val="0"/>
              <w:snapToGrid w:val="0"/>
              <w:spacing w:line="360" w:lineRule="auto"/>
              <w:ind w:firstLine="2168" w:firstLineChars="900"/>
              <w:rPr>
                <w:b/>
                <w:sz w:val="24"/>
              </w:rPr>
            </w:pPr>
            <w:r>
              <w:rPr>
                <w:b/>
                <w:sz w:val="24"/>
              </w:rPr>
              <w:t>表7-</w:t>
            </w:r>
            <w:r>
              <w:rPr>
                <w:rFonts w:hint="eastAsia"/>
                <w:b/>
                <w:sz w:val="24"/>
              </w:rPr>
              <w:t>6</w:t>
            </w:r>
            <w:r>
              <w:rPr>
                <w:b/>
                <w:sz w:val="24"/>
              </w:rPr>
              <w:t xml:space="preserve">  主要废气污染源参数一览表</w:t>
            </w:r>
            <w:r>
              <w:rPr>
                <w:rFonts w:hint="eastAsia"/>
                <w:b/>
                <w:sz w:val="24"/>
              </w:rPr>
              <w:t>（</w:t>
            </w:r>
            <w:r>
              <w:rPr>
                <w:b/>
                <w:sz w:val="24"/>
              </w:rPr>
              <w:t>点源</w:t>
            </w:r>
            <w:r>
              <w:rPr>
                <w:rFonts w:hint="eastAsia"/>
                <w:b/>
                <w:sz w:val="24"/>
              </w:rPr>
              <w:t>）</w:t>
            </w:r>
          </w:p>
          <w:tbl>
            <w:tblPr>
              <w:tblStyle w:val="69"/>
              <w:tblW w:w="9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
              <w:gridCol w:w="602"/>
              <w:gridCol w:w="627"/>
              <w:gridCol w:w="1029"/>
              <w:gridCol w:w="840"/>
              <w:gridCol w:w="1110"/>
              <w:gridCol w:w="1286"/>
              <w:gridCol w:w="1022"/>
              <w:gridCol w:w="88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867" w:type="dxa"/>
                  <w:vMerge w:val="restart"/>
                  <w:noWrap w:val="0"/>
                  <w:vAlign w:val="center"/>
                </w:tcPr>
                <w:p>
                  <w:pPr>
                    <w:jc w:val="center"/>
                  </w:pPr>
                  <w:r>
                    <w:t>污染源名称</w:t>
                  </w:r>
                </w:p>
              </w:tc>
              <w:tc>
                <w:tcPr>
                  <w:tcW w:w="1229" w:type="dxa"/>
                  <w:gridSpan w:val="2"/>
                  <w:noWrap w:val="0"/>
                  <w:vAlign w:val="center"/>
                </w:tcPr>
                <w:p>
                  <w:pPr>
                    <w:snapToGrid w:val="0"/>
                    <w:jc w:val="center"/>
                    <w:rPr>
                      <w:szCs w:val="21"/>
                    </w:rPr>
                  </w:pPr>
                  <w:r>
                    <w:rPr>
                      <w:szCs w:val="21"/>
                    </w:rPr>
                    <w:t>坐标(</w:t>
                  </w:r>
                  <w:r>
                    <w:rPr>
                      <w:szCs w:val="21"/>
                      <w:vertAlign w:val="superscript"/>
                    </w:rPr>
                    <w:t>o</w:t>
                  </w:r>
                  <w:r>
                    <w:rPr>
                      <w:szCs w:val="21"/>
                    </w:rPr>
                    <w:t>)</w:t>
                  </w:r>
                </w:p>
              </w:tc>
              <w:tc>
                <w:tcPr>
                  <w:tcW w:w="1029" w:type="dxa"/>
                  <w:vMerge w:val="restart"/>
                  <w:noWrap w:val="0"/>
                  <w:vAlign w:val="center"/>
                </w:tcPr>
                <w:p>
                  <w:pPr>
                    <w:snapToGrid w:val="0"/>
                    <w:jc w:val="center"/>
                    <w:rPr>
                      <w:szCs w:val="21"/>
                    </w:rPr>
                  </w:pPr>
                  <w:r>
                    <w:rPr>
                      <w:szCs w:val="21"/>
                    </w:rPr>
                    <w:t>坐标(</w:t>
                  </w:r>
                  <w:r>
                    <w:rPr>
                      <w:szCs w:val="21"/>
                      <w:vertAlign w:val="superscript"/>
                    </w:rPr>
                    <w:t>o</w:t>
                  </w:r>
                  <w:r>
                    <w:rPr>
                      <w:szCs w:val="21"/>
                    </w:rPr>
                    <w:t>)</w:t>
                  </w:r>
                </w:p>
              </w:tc>
              <w:tc>
                <w:tcPr>
                  <w:tcW w:w="3236" w:type="dxa"/>
                  <w:gridSpan w:val="3"/>
                  <w:noWrap w:val="0"/>
                  <w:vAlign w:val="center"/>
                </w:tcPr>
                <w:p>
                  <w:pPr>
                    <w:snapToGrid w:val="0"/>
                    <w:jc w:val="center"/>
                    <w:rPr>
                      <w:szCs w:val="21"/>
                    </w:rPr>
                  </w:pPr>
                  <w:r>
                    <w:rPr>
                      <w:szCs w:val="21"/>
                    </w:rPr>
                    <w:t>排气筒参数</w:t>
                  </w:r>
                </w:p>
              </w:tc>
              <w:tc>
                <w:tcPr>
                  <w:tcW w:w="1022" w:type="dxa"/>
                  <w:vMerge w:val="restart"/>
                  <w:noWrap w:val="0"/>
                  <w:vAlign w:val="center"/>
                </w:tcPr>
                <w:p>
                  <w:pPr>
                    <w:snapToGrid w:val="0"/>
                    <w:jc w:val="center"/>
                    <w:rPr>
                      <w:szCs w:val="21"/>
                    </w:rPr>
                  </w:pPr>
                  <w:r>
                    <w:rPr>
                      <w:szCs w:val="21"/>
                    </w:rPr>
                    <w:t>污染物名称</w:t>
                  </w:r>
                </w:p>
              </w:tc>
              <w:tc>
                <w:tcPr>
                  <w:tcW w:w="881" w:type="dxa"/>
                  <w:vMerge w:val="restart"/>
                  <w:noWrap w:val="0"/>
                  <w:vAlign w:val="center"/>
                </w:tcPr>
                <w:p>
                  <w:pPr>
                    <w:snapToGrid w:val="0"/>
                    <w:jc w:val="center"/>
                    <w:rPr>
                      <w:szCs w:val="21"/>
                    </w:rPr>
                  </w:pPr>
                  <w:r>
                    <w:rPr>
                      <w:szCs w:val="21"/>
                    </w:rPr>
                    <w:t>排放速率</w:t>
                  </w:r>
                </w:p>
              </w:tc>
              <w:tc>
                <w:tcPr>
                  <w:tcW w:w="878" w:type="dxa"/>
                  <w:vMerge w:val="restart"/>
                  <w:noWrap w:val="0"/>
                  <w:vAlign w:val="center"/>
                </w:tcPr>
                <w:p>
                  <w:pPr>
                    <w:snapToGrid w:val="0"/>
                    <w:jc w:val="center"/>
                    <w:rPr>
                      <w:szCs w:val="21"/>
                    </w:rPr>
                  </w:pPr>
                  <w:r>
                    <w:rPr>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867" w:type="dxa"/>
                  <w:vMerge w:val="continue"/>
                  <w:noWrap w:val="0"/>
                  <w:vAlign w:val="center"/>
                </w:tcPr>
                <w:p>
                  <w:pPr>
                    <w:snapToGrid w:val="0"/>
                    <w:jc w:val="center"/>
                    <w:rPr>
                      <w:szCs w:val="21"/>
                    </w:rPr>
                  </w:pPr>
                </w:p>
              </w:tc>
              <w:tc>
                <w:tcPr>
                  <w:tcW w:w="602" w:type="dxa"/>
                  <w:noWrap w:val="0"/>
                  <w:vAlign w:val="center"/>
                </w:tcPr>
                <w:p>
                  <w:pPr>
                    <w:snapToGrid w:val="0"/>
                    <w:jc w:val="center"/>
                    <w:rPr>
                      <w:szCs w:val="21"/>
                    </w:rPr>
                  </w:pPr>
                  <w:r>
                    <w:rPr>
                      <w:rFonts w:hint="eastAsia"/>
                      <w:szCs w:val="21"/>
                    </w:rPr>
                    <w:t>经度</w:t>
                  </w:r>
                </w:p>
              </w:tc>
              <w:tc>
                <w:tcPr>
                  <w:tcW w:w="627" w:type="dxa"/>
                  <w:noWrap w:val="0"/>
                  <w:vAlign w:val="center"/>
                </w:tcPr>
                <w:p>
                  <w:pPr>
                    <w:snapToGrid w:val="0"/>
                    <w:jc w:val="center"/>
                    <w:rPr>
                      <w:szCs w:val="21"/>
                    </w:rPr>
                  </w:pPr>
                  <w:r>
                    <w:rPr>
                      <w:rFonts w:hint="eastAsia"/>
                      <w:szCs w:val="21"/>
                    </w:rPr>
                    <w:t>经度</w:t>
                  </w:r>
                </w:p>
              </w:tc>
              <w:tc>
                <w:tcPr>
                  <w:tcW w:w="1029" w:type="dxa"/>
                  <w:vMerge w:val="continue"/>
                  <w:noWrap w:val="0"/>
                  <w:vAlign w:val="center"/>
                </w:tcPr>
                <w:p>
                  <w:pPr>
                    <w:snapToGrid w:val="0"/>
                    <w:jc w:val="center"/>
                    <w:rPr>
                      <w:szCs w:val="21"/>
                    </w:rPr>
                  </w:pPr>
                </w:p>
              </w:tc>
              <w:tc>
                <w:tcPr>
                  <w:tcW w:w="840" w:type="dxa"/>
                  <w:noWrap w:val="0"/>
                  <w:vAlign w:val="center"/>
                </w:tcPr>
                <w:p>
                  <w:pPr>
                    <w:snapToGrid w:val="0"/>
                    <w:jc w:val="center"/>
                    <w:rPr>
                      <w:szCs w:val="21"/>
                    </w:rPr>
                  </w:pPr>
                  <w:r>
                    <w:rPr>
                      <w:szCs w:val="21"/>
                    </w:rPr>
                    <w:t>高度</w:t>
                  </w:r>
                </w:p>
                <w:p>
                  <w:pPr>
                    <w:snapToGrid w:val="0"/>
                    <w:jc w:val="center"/>
                    <w:rPr>
                      <w:szCs w:val="21"/>
                    </w:rPr>
                  </w:pPr>
                  <w:r>
                    <w:rPr>
                      <w:szCs w:val="21"/>
                    </w:rPr>
                    <w:t>(m)</w:t>
                  </w:r>
                </w:p>
              </w:tc>
              <w:tc>
                <w:tcPr>
                  <w:tcW w:w="1110" w:type="dxa"/>
                  <w:noWrap w:val="0"/>
                  <w:vAlign w:val="center"/>
                </w:tcPr>
                <w:p>
                  <w:pPr>
                    <w:snapToGrid w:val="0"/>
                    <w:jc w:val="center"/>
                    <w:rPr>
                      <w:szCs w:val="21"/>
                    </w:rPr>
                  </w:pPr>
                  <w:r>
                    <w:rPr>
                      <w:szCs w:val="21"/>
                    </w:rPr>
                    <w:t>内径</w:t>
                  </w:r>
                </w:p>
                <w:p>
                  <w:pPr>
                    <w:snapToGrid w:val="0"/>
                    <w:jc w:val="center"/>
                    <w:rPr>
                      <w:szCs w:val="21"/>
                    </w:rPr>
                  </w:pPr>
                  <w:r>
                    <w:rPr>
                      <w:szCs w:val="21"/>
                    </w:rPr>
                    <w:t>(m)</w:t>
                  </w:r>
                </w:p>
              </w:tc>
              <w:tc>
                <w:tcPr>
                  <w:tcW w:w="1286" w:type="dxa"/>
                  <w:noWrap w:val="0"/>
                  <w:vAlign w:val="center"/>
                </w:tcPr>
                <w:p>
                  <w:pPr>
                    <w:snapToGrid w:val="0"/>
                    <w:jc w:val="center"/>
                    <w:rPr>
                      <w:szCs w:val="21"/>
                    </w:rPr>
                  </w:pPr>
                  <w:r>
                    <w:rPr>
                      <w:szCs w:val="21"/>
                    </w:rPr>
                    <w:t>温度</w:t>
                  </w:r>
                </w:p>
                <w:p>
                  <w:pPr>
                    <w:snapToGrid w:val="0"/>
                    <w:jc w:val="center"/>
                    <w:rPr>
                      <w:szCs w:val="21"/>
                    </w:rPr>
                  </w:pPr>
                  <w:r>
                    <w:rPr>
                      <w:szCs w:val="21"/>
                    </w:rPr>
                    <w:t>(</w:t>
                  </w:r>
                  <w:r>
                    <w:rPr>
                      <w:rFonts w:hint="eastAsia" w:ascii="宋体" w:hAnsi="宋体" w:cs="宋体"/>
                      <w:szCs w:val="21"/>
                    </w:rPr>
                    <w:t>℃</w:t>
                  </w:r>
                  <w:r>
                    <w:rPr>
                      <w:szCs w:val="21"/>
                    </w:rPr>
                    <w:t>)</w:t>
                  </w:r>
                </w:p>
              </w:tc>
              <w:tc>
                <w:tcPr>
                  <w:tcW w:w="1022" w:type="dxa"/>
                  <w:vMerge w:val="continue"/>
                  <w:noWrap w:val="0"/>
                  <w:vAlign w:val="center"/>
                </w:tcPr>
                <w:p>
                  <w:pPr>
                    <w:snapToGrid w:val="0"/>
                    <w:jc w:val="center"/>
                    <w:rPr>
                      <w:szCs w:val="21"/>
                    </w:rPr>
                  </w:pPr>
                </w:p>
              </w:tc>
              <w:tc>
                <w:tcPr>
                  <w:tcW w:w="881" w:type="dxa"/>
                  <w:vMerge w:val="continue"/>
                  <w:noWrap w:val="0"/>
                  <w:vAlign w:val="center"/>
                </w:tcPr>
                <w:p>
                  <w:pPr>
                    <w:snapToGrid w:val="0"/>
                    <w:jc w:val="center"/>
                    <w:rPr>
                      <w:szCs w:val="21"/>
                    </w:rPr>
                  </w:pPr>
                </w:p>
              </w:tc>
              <w:tc>
                <w:tcPr>
                  <w:tcW w:w="878" w:type="dxa"/>
                  <w:vMerge w:val="continue"/>
                  <w:noWrap w:val="0"/>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0" w:hRule="atLeast"/>
              </w:trPr>
              <w:tc>
                <w:tcPr>
                  <w:tcW w:w="867" w:type="dxa"/>
                  <w:noWrap w:val="0"/>
                  <w:vAlign w:val="center"/>
                </w:tcPr>
                <w:p>
                  <w:pPr>
                    <w:jc w:val="center"/>
                  </w:pPr>
                  <w:r>
                    <w:rPr>
                      <w:rFonts w:hint="eastAsia"/>
                      <w:lang w:val="en-US" w:eastAsia="zh-CN"/>
                    </w:rPr>
                    <w:t>1</w:t>
                  </w:r>
                  <w:r>
                    <w:rPr>
                      <w:rFonts w:hint="eastAsia"/>
                    </w:rPr>
                    <w:t>#</w:t>
                  </w:r>
                </w:p>
              </w:tc>
              <w:tc>
                <w:tcPr>
                  <w:tcW w:w="602" w:type="dxa"/>
                  <w:noWrap w:val="0"/>
                  <w:vAlign w:val="center"/>
                </w:tcPr>
                <w:p>
                  <w:pPr>
                    <w:jc w:val="center"/>
                  </w:pPr>
                  <w:r>
                    <w:t>103.</w:t>
                  </w:r>
                  <w:r>
                    <w:rPr>
                      <w:rFonts w:hint="eastAsia"/>
                    </w:rPr>
                    <w:t>7311</w:t>
                  </w:r>
                </w:p>
              </w:tc>
              <w:tc>
                <w:tcPr>
                  <w:tcW w:w="627" w:type="dxa"/>
                  <w:noWrap w:val="0"/>
                  <w:vAlign w:val="center"/>
                </w:tcPr>
                <w:p>
                  <w:pPr>
                    <w:jc w:val="center"/>
                  </w:pPr>
                  <w:r>
                    <w:t>2</w:t>
                  </w:r>
                  <w:r>
                    <w:rPr>
                      <w:rFonts w:hint="eastAsia"/>
                    </w:rPr>
                    <w:t>9</w:t>
                  </w:r>
                  <w:r>
                    <w:t>.</w:t>
                  </w:r>
                  <w:r>
                    <w:rPr>
                      <w:rFonts w:hint="eastAsia"/>
                    </w:rPr>
                    <w:t>6768</w:t>
                  </w:r>
                </w:p>
              </w:tc>
              <w:tc>
                <w:tcPr>
                  <w:tcW w:w="1029" w:type="dxa"/>
                  <w:noWrap w:val="0"/>
                  <w:vAlign w:val="center"/>
                </w:tcPr>
                <w:p>
                  <w:pPr>
                    <w:jc w:val="center"/>
                    <w:rPr>
                      <w:rFonts w:eastAsia="Times New Roman"/>
                    </w:rPr>
                  </w:pPr>
                  <w:r>
                    <w:rPr>
                      <w:rFonts w:hint="eastAsia"/>
                    </w:rPr>
                    <w:t>441.0</w:t>
                  </w:r>
                </w:p>
              </w:tc>
              <w:tc>
                <w:tcPr>
                  <w:tcW w:w="840" w:type="dxa"/>
                  <w:noWrap w:val="0"/>
                  <w:vAlign w:val="center"/>
                </w:tcPr>
                <w:p>
                  <w:pPr>
                    <w:jc w:val="center"/>
                  </w:pPr>
                  <w:r>
                    <w:rPr>
                      <w:rFonts w:hint="eastAsia"/>
                    </w:rPr>
                    <w:t>15</w:t>
                  </w:r>
                </w:p>
              </w:tc>
              <w:tc>
                <w:tcPr>
                  <w:tcW w:w="1110" w:type="dxa"/>
                  <w:noWrap w:val="0"/>
                  <w:vAlign w:val="center"/>
                </w:tcPr>
                <w:p>
                  <w:pPr>
                    <w:jc w:val="center"/>
                  </w:pPr>
                  <w:r>
                    <w:rPr>
                      <w:rFonts w:hint="eastAsia"/>
                    </w:rPr>
                    <w:t>0.5</w:t>
                  </w:r>
                </w:p>
              </w:tc>
              <w:tc>
                <w:tcPr>
                  <w:tcW w:w="1286" w:type="dxa"/>
                  <w:noWrap w:val="0"/>
                  <w:vAlign w:val="center"/>
                </w:tcPr>
                <w:p>
                  <w:pPr>
                    <w:jc w:val="center"/>
                  </w:pPr>
                  <w:r>
                    <w:rPr>
                      <w:rFonts w:hint="eastAsia"/>
                    </w:rPr>
                    <w:t>60</w:t>
                  </w:r>
                </w:p>
              </w:tc>
              <w:tc>
                <w:tcPr>
                  <w:tcW w:w="1022" w:type="dxa"/>
                  <w:noWrap w:val="0"/>
                  <w:vAlign w:val="center"/>
                </w:tcPr>
                <w:p>
                  <w:pPr>
                    <w:jc w:val="center"/>
                    <w:rPr>
                      <w:rFonts w:eastAsia="Times New Roman"/>
                    </w:rPr>
                  </w:pPr>
                  <w:r>
                    <w:rPr>
                      <w:rFonts w:hint="eastAsia"/>
                    </w:rPr>
                    <w:t>TSP</w:t>
                  </w:r>
                </w:p>
              </w:tc>
              <w:tc>
                <w:tcPr>
                  <w:tcW w:w="881" w:type="dxa"/>
                  <w:noWrap w:val="0"/>
                  <w:vAlign w:val="center"/>
                </w:tcPr>
                <w:p>
                  <w:pPr>
                    <w:jc w:val="center"/>
                    <w:rPr>
                      <w:rFonts w:eastAsia="Times New Roman"/>
                    </w:rPr>
                  </w:pPr>
                  <w:r>
                    <w:rPr>
                      <w:rFonts w:hint="eastAsia"/>
                    </w:rPr>
                    <w:t>0.018</w:t>
                  </w:r>
                </w:p>
              </w:tc>
              <w:tc>
                <w:tcPr>
                  <w:tcW w:w="878" w:type="dxa"/>
                  <w:noWrap w:val="0"/>
                  <w:vAlign w:val="center"/>
                </w:tcPr>
                <w:p>
                  <w:pPr>
                    <w:jc w:val="center"/>
                  </w:pPr>
                  <w:r>
                    <w:t>kg/h</w:t>
                  </w:r>
                </w:p>
              </w:tc>
            </w:tr>
          </w:tbl>
          <w:p>
            <w:pPr>
              <w:pStyle w:val="2"/>
              <w:ind w:firstLine="723" w:firstLineChars="300"/>
              <w:jc w:val="left"/>
              <w:rPr>
                <w:b/>
                <w:bCs/>
                <w:sz w:val="24"/>
              </w:rPr>
            </w:pPr>
            <w:r>
              <w:rPr>
                <w:b/>
                <w:bCs/>
                <w:sz w:val="24"/>
              </w:rPr>
              <w:t>评级工作等级确定</w:t>
            </w:r>
          </w:p>
          <w:p>
            <w:pPr>
              <w:spacing w:line="480" w:lineRule="exact"/>
              <w:ind w:firstLine="422" w:firstLineChars="176"/>
              <w:jc w:val="left"/>
              <w:rPr>
                <w:sz w:val="24"/>
              </w:rPr>
            </w:pPr>
            <w:r>
              <w:rPr>
                <w:sz w:val="24"/>
              </w:rPr>
              <w:t>本项目所有污染源的正常排放的污染物的P</w:t>
            </w:r>
            <w:r>
              <w:rPr>
                <w:sz w:val="24"/>
                <w:vertAlign w:val="subscript"/>
              </w:rPr>
              <w:t>max</w:t>
            </w:r>
            <w:r>
              <w:rPr>
                <w:sz w:val="24"/>
              </w:rPr>
              <w:t>和D</w:t>
            </w:r>
            <w:r>
              <w:rPr>
                <w:sz w:val="24"/>
                <w:vertAlign w:val="subscript"/>
              </w:rPr>
              <w:t>10%</w:t>
            </w:r>
            <w:r>
              <w:rPr>
                <w:sz w:val="24"/>
              </w:rPr>
              <w:t>预测结果如下：</w:t>
            </w:r>
          </w:p>
          <w:p>
            <w:pPr>
              <w:tabs>
                <w:tab w:val="left" w:pos="3805"/>
              </w:tabs>
              <w:adjustRightInd w:val="0"/>
              <w:snapToGrid w:val="0"/>
              <w:spacing w:line="360" w:lineRule="auto"/>
              <w:ind w:firstLine="2168" w:firstLineChars="900"/>
              <w:rPr>
                <w:b/>
                <w:sz w:val="24"/>
              </w:rPr>
            </w:pPr>
            <w:r>
              <w:rPr>
                <w:b/>
                <w:sz w:val="24"/>
              </w:rPr>
              <w:t>表7-</w:t>
            </w:r>
            <w:r>
              <w:rPr>
                <w:rFonts w:hint="eastAsia"/>
                <w:b/>
                <w:sz w:val="24"/>
              </w:rPr>
              <w:t>7</w:t>
            </w:r>
            <w:r>
              <w:rPr>
                <w:b/>
                <w:sz w:val="24"/>
              </w:rPr>
              <w:t xml:space="preserve">    Pmax和D10%预测和计算结果一览表</w:t>
            </w:r>
          </w:p>
          <w:tbl>
            <w:tblPr>
              <w:tblStyle w:val="69"/>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572"/>
              <w:gridCol w:w="1571"/>
              <w:gridCol w:w="1569"/>
              <w:gridCol w:w="1571"/>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1570" w:type="dxa"/>
                  <w:noWrap w:val="0"/>
                  <w:vAlign w:val="center"/>
                </w:tcPr>
                <w:p>
                  <w:pPr>
                    <w:jc w:val="center"/>
                  </w:pPr>
                  <w:r>
                    <w:t>污染源名称</w:t>
                  </w:r>
                </w:p>
              </w:tc>
              <w:tc>
                <w:tcPr>
                  <w:tcW w:w="1572" w:type="dxa"/>
                  <w:noWrap w:val="0"/>
                  <w:vAlign w:val="center"/>
                </w:tcPr>
                <w:p>
                  <w:pPr>
                    <w:jc w:val="center"/>
                    <w:rPr>
                      <w:szCs w:val="21"/>
                    </w:rPr>
                  </w:pPr>
                  <w:r>
                    <w:rPr>
                      <w:szCs w:val="21"/>
                    </w:rPr>
                    <w:t>评价因子</w:t>
                  </w:r>
                </w:p>
              </w:tc>
              <w:tc>
                <w:tcPr>
                  <w:tcW w:w="1571" w:type="dxa"/>
                  <w:noWrap w:val="0"/>
                  <w:vAlign w:val="center"/>
                </w:tcPr>
                <w:p>
                  <w:pPr>
                    <w:jc w:val="center"/>
                    <w:rPr>
                      <w:szCs w:val="21"/>
                    </w:rPr>
                  </w:pPr>
                  <w:r>
                    <w:rPr>
                      <w:szCs w:val="21"/>
                    </w:rPr>
                    <w:t>评价标准</w:t>
                  </w:r>
                  <w:r>
                    <w:rPr>
                      <w:rFonts w:hint="eastAsia"/>
                      <w:szCs w:val="21"/>
                    </w:rPr>
                    <w:t>(</w:t>
                  </w:r>
                  <w:r>
                    <w:rPr>
                      <w:szCs w:val="21"/>
                    </w:rPr>
                    <w:t>μg/m</w:t>
                  </w:r>
                  <w:r>
                    <w:rPr>
                      <w:szCs w:val="21"/>
                      <w:vertAlign w:val="superscript"/>
                    </w:rPr>
                    <w:t>3</w:t>
                  </w:r>
                  <w:r>
                    <w:rPr>
                      <w:rFonts w:hint="eastAsia"/>
                      <w:szCs w:val="21"/>
                    </w:rPr>
                    <w:t>)</w:t>
                  </w:r>
                </w:p>
              </w:tc>
              <w:tc>
                <w:tcPr>
                  <w:tcW w:w="1569" w:type="dxa"/>
                  <w:noWrap w:val="0"/>
                  <w:vAlign w:val="center"/>
                </w:tcPr>
                <w:p>
                  <w:pPr>
                    <w:jc w:val="center"/>
                    <w:rPr>
                      <w:szCs w:val="21"/>
                    </w:rPr>
                  </w:pPr>
                  <w:r>
                    <w:rPr>
                      <w:szCs w:val="21"/>
                    </w:rPr>
                    <w:t>C</w:t>
                  </w:r>
                  <w:r>
                    <w:rPr>
                      <w:rFonts w:hint="eastAsia"/>
                      <w:szCs w:val="21"/>
                      <w:vertAlign w:val="subscript"/>
                    </w:rPr>
                    <w:t>max</w:t>
                  </w:r>
                </w:p>
                <w:p>
                  <w:pPr>
                    <w:jc w:val="center"/>
                    <w:rPr>
                      <w:szCs w:val="21"/>
                    </w:rPr>
                  </w:pPr>
                  <w:r>
                    <w:rPr>
                      <w:szCs w:val="21"/>
                    </w:rPr>
                    <w:t>(μg/m</w:t>
                  </w:r>
                  <w:r>
                    <w:rPr>
                      <w:szCs w:val="21"/>
                      <w:vertAlign w:val="superscript"/>
                    </w:rPr>
                    <w:t>3</w:t>
                  </w:r>
                  <w:r>
                    <w:rPr>
                      <w:szCs w:val="21"/>
                    </w:rPr>
                    <w:t>)</w:t>
                  </w:r>
                </w:p>
              </w:tc>
              <w:tc>
                <w:tcPr>
                  <w:tcW w:w="1571" w:type="dxa"/>
                  <w:noWrap w:val="0"/>
                  <w:vAlign w:val="center"/>
                </w:tcPr>
                <w:p>
                  <w:pPr>
                    <w:jc w:val="center"/>
                    <w:rPr>
                      <w:szCs w:val="21"/>
                    </w:rPr>
                  </w:pPr>
                  <w:r>
                    <w:rPr>
                      <w:szCs w:val="21"/>
                    </w:rPr>
                    <w:t>P</w:t>
                  </w:r>
                  <w:r>
                    <w:rPr>
                      <w:rFonts w:hint="eastAsia"/>
                      <w:szCs w:val="21"/>
                      <w:vertAlign w:val="subscript"/>
                    </w:rPr>
                    <w:t>max</w:t>
                  </w:r>
                </w:p>
                <w:p>
                  <w:pPr>
                    <w:jc w:val="center"/>
                    <w:rPr>
                      <w:szCs w:val="21"/>
                    </w:rPr>
                  </w:pPr>
                  <w:r>
                    <w:rPr>
                      <w:szCs w:val="21"/>
                    </w:rPr>
                    <w:t>(%)</w:t>
                  </w:r>
                </w:p>
              </w:tc>
              <w:tc>
                <w:tcPr>
                  <w:tcW w:w="1567" w:type="dxa"/>
                  <w:noWrap w:val="0"/>
                  <w:vAlign w:val="center"/>
                </w:tcPr>
                <w:p>
                  <w:pPr>
                    <w:jc w:val="center"/>
                    <w:rPr>
                      <w:szCs w:val="21"/>
                    </w:rPr>
                  </w:pPr>
                  <w:r>
                    <w:rPr>
                      <w:szCs w:val="21"/>
                    </w:rPr>
                    <w:t>D</w:t>
                  </w:r>
                  <w:r>
                    <w:rPr>
                      <w:szCs w:val="21"/>
                      <w:vertAlign w:val="subscript"/>
                    </w:rPr>
                    <w:t>10%</w:t>
                  </w:r>
                </w:p>
                <w:p>
                  <w:pPr>
                    <w:jc w:val="center"/>
                    <w:rPr>
                      <w:szCs w:val="21"/>
                    </w:rPr>
                  </w:pPr>
                  <w:r>
                    <w:rPr>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570" w:type="dxa"/>
                  <w:noWrap w:val="0"/>
                  <w:vAlign w:val="center"/>
                </w:tcPr>
                <w:p>
                  <w:pPr>
                    <w:jc w:val="center"/>
                  </w:pPr>
                  <w:r>
                    <w:t>点源</w:t>
                  </w:r>
                </w:p>
              </w:tc>
              <w:tc>
                <w:tcPr>
                  <w:tcW w:w="1572" w:type="dxa"/>
                  <w:noWrap w:val="0"/>
                  <w:vAlign w:val="center"/>
                </w:tcPr>
                <w:p>
                  <w:pPr>
                    <w:jc w:val="center"/>
                  </w:pPr>
                  <w:r>
                    <w:t>TSP</w:t>
                  </w:r>
                </w:p>
              </w:tc>
              <w:tc>
                <w:tcPr>
                  <w:tcW w:w="1571" w:type="dxa"/>
                  <w:noWrap w:val="0"/>
                  <w:vAlign w:val="center"/>
                </w:tcPr>
                <w:p>
                  <w:pPr>
                    <w:jc w:val="center"/>
                  </w:pPr>
                  <w:r>
                    <w:t>900.0</w:t>
                  </w:r>
                </w:p>
              </w:tc>
              <w:tc>
                <w:tcPr>
                  <w:tcW w:w="1569" w:type="dxa"/>
                  <w:noWrap w:val="0"/>
                  <w:vAlign w:val="center"/>
                </w:tcPr>
                <w:p>
                  <w:pPr>
                    <w:jc w:val="center"/>
                  </w:pPr>
                  <w:r>
                    <w:rPr>
                      <w:rFonts w:hint="eastAsia"/>
                    </w:rPr>
                    <w:t>6.3</w:t>
                  </w:r>
                </w:p>
              </w:tc>
              <w:tc>
                <w:tcPr>
                  <w:tcW w:w="1571" w:type="dxa"/>
                  <w:noWrap w:val="0"/>
                  <w:vAlign w:val="center"/>
                </w:tcPr>
                <w:p>
                  <w:pPr>
                    <w:jc w:val="center"/>
                  </w:pPr>
                  <w:r>
                    <w:rPr>
                      <w:rFonts w:hint="eastAsia"/>
                    </w:rPr>
                    <w:t>0.7</w:t>
                  </w:r>
                </w:p>
              </w:tc>
              <w:tc>
                <w:tcPr>
                  <w:tcW w:w="1567" w:type="dxa"/>
                  <w:noWrap w:val="0"/>
                  <w:vAlign w:val="center"/>
                </w:tcPr>
                <w:p>
                  <w:pPr>
                    <w:jc w:val="center"/>
                  </w:pPr>
                  <w:r>
                    <w:t>/</w:t>
                  </w:r>
                </w:p>
              </w:tc>
            </w:tr>
          </w:tbl>
          <w:p>
            <w:pPr>
              <w:spacing w:line="480" w:lineRule="exact"/>
              <w:ind w:firstLine="422" w:firstLineChars="176"/>
              <w:rPr>
                <w:sz w:val="24"/>
              </w:rPr>
            </w:pPr>
            <w:r>
              <w:rPr>
                <w:sz w:val="24"/>
              </w:rPr>
              <w:t>根据《环境影响评价技术导则 大气环境》(HJ2.2-20</w:t>
            </w:r>
            <w:r>
              <w:rPr>
                <w:rFonts w:hint="eastAsia"/>
                <w:sz w:val="24"/>
              </w:rPr>
              <w:t>1</w:t>
            </w:r>
            <w:r>
              <w:rPr>
                <w:sz w:val="24"/>
              </w:rPr>
              <w:t>8)分级判据，确定</w:t>
            </w:r>
            <w:r>
              <w:rPr>
                <w:rFonts w:hint="eastAsia"/>
                <w:sz w:val="24"/>
              </w:rPr>
              <w:t>本项目</w:t>
            </w:r>
            <w:r>
              <w:rPr>
                <w:sz w:val="24"/>
              </w:rPr>
              <w:t>大气环境影响评价工作等级为</w:t>
            </w:r>
            <w:r>
              <w:rPr>
                <w:rFonts w:hint="eastAsia"/>
                <w:sz w:val="24"/>
              </w:rPr>
              <w:t>三</w:t>
            </w:r>
            <w:r>
              <w:rPr>
                <w:sz w:val="24"/>
              </w:rPr>
              <w:t>级。</w:t>
            </w:r>
          </w:p>
          <w:p>
            <w:pPr>
              <w:spacing w:line="480" w:lineRule="exact"/>
              <w:ind w:firstLine="422" w:firstLineChars="176"/>
              <w:rPr>
                <w:rFonts w:hint="eastAsia" w:eastAsia="宋体"/>
                <w:sz w:val="24"/>
                <w:lang w:eastAsia="zh-CN"/>
              </w:rPr>
            </w:pPr>
            <w:r>
              <w:rPr>
                <w:rFonts w:hint="eastAsia"/>
                <w:sz w:val="24"/>
                <w:lang w:eastAsia="zh-CN"/>
              </w:rPr>
              <w:t>项目废气污染物经处理设施处理后达标排放，对周边大气环境影响较小。</w:t>
            </w:r>
          </w:p>
          <w:p>
            <w:pPr>
              <w:spacing w:line="360" w:lineRule="auto"/>
              <w:ind w:firstLine="462" w:firstLineChars="177"/>
              <w:rPr>
                <w:b/>
                <w:color w:val="000000"/>
                <w:spacing w:val="10"/>
                <w:sz w:val="24"/>
              </w:rPr>
            </w:pPr>
            <w:bookmarkStart w:id="9" w:name="_Toc364763647"/>
            <w:bookmarkStart w:id="10" w:name="_Toc364331276"/>
            <w:r>
              <w:rPr>
                <w:b/>
                <w:color w:val="000000"/>
                <w:spacing w:val="10"/>
                <w:sz w:val="24"/>
              </w:rPr>
              <w:t>二、水环境影响分析</w:t>
            </w:r>
            <w:r>
              <w:rPr>
                <w:rFonts w:hint="eastAsia"/>
                <w:b/>
                <w:color w:val="000000"/>
                <w:spacing w:val="10"/>
                <w:sz w:val="24"/>
              </w:rPr>
              <w:t>：</w:t>
            </w:r>
          </w:p>
          <w:p>
            <w:pPr>
              <w:spacing w:line="360" w:lineRule="auto"/>
              <w:ind w:firstLine="480" w:firstLineChars="200"/>
              <w:rPr>
                <w:rFonts w:eastAsia="Times New Roman"/>
                <w:color w:val="000000"/>
                <w:sz w:val="24"/>
              </w:rPr>
            </w:pPr>
            <w:r>
              <w:rPr>
                <w:color w:val="000000"/>
                <w:sz w:val="24"/>
              </w:rPr>
              <w:t>本项目</w:t>
            </w:r>
            <w:r>
              <w:rPr>
                <w:rFonts w:hint="eastAsia"/>
                <w:color w:val="000000"/>
                <w:sz w:val="24"/>
              </w:rPr>
              <w:t>外排污水</w:t>
            </w:r>
            <w:r>
              <w:rPr>
                <w:color w:val="000000"/>
                <w:sz w:val="24"/>
              </w:rPr>
              <w:t>主要为生活污水。</w:t>
            </w:r>
            <w:r>
              <w:rPr>
                <w:rFonts w:hint="eastAsia"/>
                <w:color w:val="000000"/>
                <w:sz w:val="24"/>
              </w:rPr>
              <w:t>磨削机和水磨机用水进入沉淀水池循环使用不外排。项目地表水评级等级为三级B</w:t>
            </w:r>
          </w:p>
          <w:p>
            <w:pPr>
              <w:pStyle w:val="15"/>
              <w:ind w:firstLine="480"/>
              <w:rPr>
                <w:b w:val="0"/>
                <w:sz w:val="24"/>
              </w:rPr>
            </w:pPr>
            <w:r>
              <w:rPr>
                <w:rFonts w:hint="eastAsia"/>
                <w:b w:val="0"/>
                <w:sz w:val="24"/>
              </w:rPr>
              <w:t>项目建设有2个1</w:t>
            </w:r>
            <w:r>
              <w:rPr>
                <w:b w:val="0"/>
                <w:sz w:val="24"/>
              </w:rPr>
              <w:t>0</w:t>
            </w:r>
            <w:r>
              <w:rPr>
                <w:rFonts w:hint="eastAsia"/>
                <w:b w:val="0"/>
                <w:sz w:val="24"/>
              </w:rPr>
              <w:t>m³循环水池，磨削机和水磨机废水进入循环水池沉淀后，循环使用，不外排。</w:t>
            </w:r>
          </w:p>
          <w:p>
            <w:pPr>
              <w:tabs>
                <w:tab w:val="left" w:pos="735"/>
              </w:tabs>
              <w:spacing w:line="360" w:lineRule="auto"/>
              <w:ind w:firstLine="480" w:firstLineChars="200"/>
              <w:textAlignment w:val="center"/>
              <w:rPr>
                <w:sz w:val="24"/>
              </w:rPr>
            </w:pPr>
            <w:r>
              <w:rPr>
                <w:rFonts w:hint="eastAsia"/>
                <w:sz w:val="24"/>
              </w:rPr>
              <w:t>生活污水经污水预处理池（5m³化粪池）处理后综合利用，不外排。本项目设置有一食堂，食堂废水产生量为</w:t>
            </w:r>
            <w:r>
              <w:rPr>
                <w:sz w:val="24"/>
              </w:rPr>
              <w:t>1.35</w:t>
            </w:r>
            <w:r>
              <w:rPr>
                <w:rFonts w:hint="eastAsia"/>
                <w:sz w:val="24"/>
              </w:rPr>
              <w:t>m</w:t>
            </w:r>
            <w:r>
              <w:rPr>
                <w:rFonts w:hint="eastAsia"/>
                <w:sz w:val="24"/>
                <w:vertAlign w:val="superscript"/>
              </w:rPr>
              <w:t>3</w:t>
            </w:r>
            <w:r>
              <w:rPr>
                <w:rFonts w:hint="eastAsia"/>
                <w:sz w:val="24"/>
              </w:rPr>
              <w:t>/d（</w:t>
            </w:r>
            <w:r>
              <w:rPr>
                <w:sz w:val="24"/>
              </w:rPr>
              <w:t>270</w:t>
            </w:r>
            <w:r>
              <w:rPr>
                <w:rFonts w:hint="eastAsia"/>
                <w:sz w:val="24"/>
              </w:rPr>
              <w:t>t/a），经隔油池（2m³）后与生活废水一同处理后综合利用。根据调查，项目周边有大量山林地，可消纳项目产生的生活废水，项目生活废水用作农肥可行。</w:t>
            </w:r>
          </w:p>
          <w:p>
            <w:pPr>
              <w:tabs>
                <w:tab w:val="left" w:pos="735"/>
              </w:tabs>
              <w:spacing w:line="360" w:lineRule="auto"/>
              <w:ind w:firstLine="480"/>
              <w:textAlignment w:val="center"/>
              <w:rPr>
                <w:rFonts w:hint="eastAsia"/>
                <w:sz w:val="24"/>
              </w:rPr>
            </w:pPr>
            <w:r>
              <w:rPr>
                <w:rFonts w:hint="eastAsia"/>
                <w:sz w:val="24"/>
              </w:rPr>
              <w:t>综上，项目运营期废水不会对周边水环境造成较大影响。</w:t>
            </w:r>
          </w:p>
          <w:bookmarkEnd w:id="9"/>
          <w:bookmarkEnd w:id="10"/>
          <w:p>
            <w:pPr>
              <w:numPr>
                <w:ilvl w:val="0"/>
                <w:numId w:val="5"/>
              </w:numPr>
              <w:spacing w:line="360" w:lineRule="auto"/>
              <w:ind w:firstLine="482" w:firstLineChars="200"/>
              <w:rPr>
                <w:rFonts w:hint="eastAsia"/>
                <w:b/>
                <w:bCs/>
                <w:sz w:val="24"/>
              </w:rPr>
            </w:pPr>
            <w:r>
              <w:rPr>
                <w:b/>
                <w:bCs/>
                <w:sz w:val="24"/>
              </w:rPr>
              <w:t>噪声影响分析</w:t>
            </w:r>
            <w:r>
              <w:rPr>
                <w:rFonts w:hint="eastAsia"/>
                <w:b/>
                <w:bCs/>
                <w:sz w:val="24"/>
              </w:rPr>
              <w:t>:</w:t>
            </w:r>
          </w:p>
          <w:p>
            <w:pPr>
              <w:spacing w:line="360" w:lineRule="auto"/>
              <w:ind w:firstLine="480" w:firstLineChars="200"/>
              <w:rPr>
                <w:sz w:val="24"/>
              </w:rPr>
            </w:pPr>
            <w:r>
              <w:rPr>
                <w:sz w:val="24"/>
              </w:rPr>
              <w:t>（1）主要噪声源</w:t>
            </w:r>
          </w:p>
          <w:p>
            <w:pPr>
              <w:spacing w:line="480" w:lineRule="exact"/>
              <w:ind w:firstLine="480" w:firstLineChars="200"/>
              <w:rPr>
                <w:sz w:val="24"/>
              </w:rPr>
            </w:pPr>
            <w:r>
              <w:rPr>
                <w:bCs/>
                <w:sz w:val="24"/>
              </w:rPr>
              <w:t>项目生产过程中产生噪声主要为</w:t>
            </w:r>
            <w:r>
              <w:rPr>
                <w:rFonts w:hint="eastAsia"/>
                <w:bCs/>
                <w:sz w:val="24"/>
                <w:lang w:eastAsia="zh-CN"/>
              </w:rPr>
              <w:t>空气锤、打磨机等</w:t>
            </w:r>
            <w:r>
              <w:rPr>
                <w:bCs/>
                <w:sz w:val="24"/>
              </w:rPr>
              <w:t>设备噪声，</w:t>
            </w:r>
            <w:r>
              <w:rPr>
                <w:sz w:val="24"/>
              </w:rPr>
              <w:t>噪声级在70-</w:t>
            </w:r>
            <w:r>
              <w:rPr>
                <w:rFonts w:hint="eastAsia"/>
                <w:sz w:val="24"/>
                <w:lang w:val="en-US" w:eastAsia="zh-CN"/>
              </w:rPr>
              <w:t>90</w:t>
            </w:r>
            <w:r>
              <w:rPr>
                <w:sz w:val="24"/>
              </w:rPr>
              <w:t>dB(A)左右。具体见表5-5。</w:t>
            </w:r>
          </w:p>
          <w:p>
            <w:pPr>
              <w:spacing w:line="480" w:lineRule="exact"/>
              <w:ind w:firstLine="480" w:firstLineChars="200"/>
              <w:rPr>
                <w:sz w:val="24"/>
              </w:rPr>
            </w:pPr>
            <w:r>
              <w:rPr>
                <w:sz w:val="24"/>
              </w:rPr>
              <w:t>（2）预测方法与模式</w:t>
            </w:r>
          </w:p>
          <w:p>
            <w:pPr>
              <w:spacing w:line="480" w:lineRule="exact"/>
              <w:ind w:firstLine="480" w:firstLineChars="200"/>
              <w:rPr>
                <w:sz w:val="24"/>
              </w:rPr>
            </w:pPr>
            <w:r>
              <w:rPr>
                <w:sz w:val="24"/>
              </w:rPr>
              <w:t>采用《环境影响评价技术导则（声环境）》（HJ/T2.4-2009）推荐的噪声传播衰减方法进行预测，计算中考虑了距离衰减，建构筑物等围护结构的隔声和建筑物屏蔽效应，以及空气的吸收衰减。预测模式如下：</w:t>
            </w:r>
          </w:p>
          <w:p>
            <w:pPr>
              <w:spacing w:line="480" w:lineRule="exact"/>
              <w:jc w:val="center"/>
              <w:rPr>
                <w:sz w:val="24"/>
              </w:rPr>
            </w:pPr>
            <w:r>
              <w:rPr>
                <w:sz w:val="24"/>
              </w:rPr>
              <w:t>LA（r）=L</w:t>
            </w:r>
            <w:r>
              <w:rPr>
                <w:sz w:val="24"/>
                <w:vertAlign w:val="subscript"/>
              </w:rPr>
              <w:t>aref</w:t>
            </w:r>
            <w:r>
              <w:rPr>
                <w:sz w:val="24"/>
              </w:rPr>
              <w:t>(r</w:t>
            </w:r>
            <w:r>
              <w:rPr>
                <w:sz w:val="24"/>
                <w:vertAlign w:val="subscript"/>
              </w:rPr>
              <w:t>0</w:t>
            </w:r>
            <w:r>
              <w:rPr>
                <w:sz w:val="24"/>
              </w:rPr>
              <w:t>)－(A</w:t>
            </w:r>
            <w:r>
              <w:rPr>
                <w:sz w:val="24"/>
                <w:vertAlign w:val="subscript"/>
              </w:rPr>
              <w:t>div</w:t>
            </w:r>
            <w:r>
              <w:rPr>
                <w:sz w:val="24"/>
              </w:rPr>
              <w:t>＋A</w:t>
            </w:r>
            <w:r>
              <w:rPr>
                <w:sz w:val="24"/>
                <w:vertAlign w:val="subscript"/>
              </w:rPr>
              <w:t>bar</w:t>
            </w:r>
            <w:r>
              <w:rPr>
                <w:sz w:val="24"/>
              </w:rPr>
              <w:t>＋A</w:t>
            </w:r>
            <w:r>
              <w:rPr>
                <w:sz w:val="24"/>
                <w:vertAlign w:val="subscript"/>
              </w:rPr>
              <w:t>atm</w:t>
            </w:r>
            <w:r>
              <w:rPr>
                <w:sz w:val="24"/>
              </w:rPr>
              <w:t>)</w:t>
            </w:r>
          </w:p>
          <w:p>
            <w:pPr>
              <w:spacing w:line="480" w:lineRule="exact"/>
              <w:ind w:firstLine="480" w:firstLineChars="200"/>
              <w:rPr>
                <w:sz w:val="24"/>
              </w:rPr>
            </w:pPr>
            <w:r>
              <w:rPr>
                <w:sz w:val="24"/>
              </w:rPr>
              <w:t>式中： LA (r) ——距声源程r 处的A声级；</w:t>
            </w:r>
          </w:p>
          <w:p>
            <w:pPr>
              <w:spacing w:line="480" w:lineRule="exact"/>
              <w:ind w:firstLine="480" w:firstLineChars="200"/>
              <w:rPr>
                <w:sz w:val="24"/>
              </w:rPr>
            </w:pPr>
            <w:r>
              <w:rPr>
                <w:sz w:val="24"/>
              </w:rPr>
              <w:t xml:space="preserve">       L</w:t>
            </w:r>
            <w:r>
              <w:rPr>
                <w:sz w:val="24"/>
                <w:vertAlign w:val="subscript"/>
              </w:rPr>
              <w:t>aref</w:t>
            </w:r>
            <w:r>
              <w:rPr>
                <w:sz w:val="24"/>
              </w:rPr>
              <w:t>(r</w:t>
            </w:r>
            <w:r>
              <w:rPr>
                <w:sz w:val="24"/>
                <w:vertAlign w:val="subscript"/>
              </w:rPr>
              <w:t>0</w:t>
            </w:r>
            <w:r>
              <w:rPr>
                <w:sz w:val="24"/>
              </w:rPr>
              <w:t>)——参考位置r</w:t>
            </w:r>
            <w:r>
              <w:rPr>
                <w:sz w:val="24"/>
                <w:vertAlign w:val="subscript"/>
              </w:rPr>
              <w:t>0</w:t>
            </w:r>
            <w:r>
              <w:rPr>
                <w:sz w:val="24"/>
              </w:rPr>
              <w:t>处的A 声级；</w:t>
            </w:r>
          </w:p>
          <w:p>
            <w:pPr>
              <w:spacing w:line="480" w:lineRule="exact"/>
              <w:ind w:firstLine="480" w:firstLineChars="200"/>
              <w:rPr>
                <w:sz w:val="24"/>
              </w:rPr>
            </w:pPr>
            <w:r>
              <w:rPr>
                <w:sz w:val="24"/>
              </w:rPr>
              <w:t xml:space="preserve">       A</w:t>
            </w:r>
            <w:r>
              <w:rPr>
                <w:sz w:val="24"/>
                <w:vertAlign w:val="subscript"/>
              </w:rPr>
              <w:t>div</w:t>
            </w:r>
            <w:r>
              <w:rPr>
                <w:sz w:val="24"/>
              </w:rPr>
              <w:t>——传播距离引起的衰减量，dB（A）</w:t>
            </w:r>
          </w:p>
          <w:p>
            <w:pPr>
              <w:spacing w:line="440" w:lineRule="exact"/>
              <w:jc w:val="center"/>
              <w:rPr>
                <w:sz w:val="24"/>
              </w:rPr>
            </w:pPr>
            <w:r>
              <w:rPr>
                <w:sz w:val="24"/>
              </w:rPr>
              <w:t>A</w:t>
            </w:r>
            <w:r>
              <w:rPr>
                <w:sz w:val="24"/>
                <w:vertAlign w:val="subscript"/>
              </w:rPr>
              <w:t>div</w:t>
            </w:r>
            <w:r>
              <w:rPr>
                <w:sz w:val="24"/>
              </w:rPr>
              <w:t>=201g(r/ r</w:t>
            </w:r>
            <w:r>
              <w:rPr>
                <w:sz w:val="24"/>
                <w:vertAlign w:val="subscript"/>
              </w:rPr>
              <w:t>0</w:t>
            </w:r>
            <w:r>
              <w:rPr>
                <w:sz w:val="24"/>
              </w:rPr>
              <w:t>)</w:t>
            </w:r>
          </w:p>
          <w:p>
            <w:pPr>
              <w:spacing w:line="440" w:lineRule="exact"/>
              <w:ind w:firstLine="480" w:firstLineChars="200"/>
              <w:rPr>
                <w:sz w:val="24"/>
              </w:rPr>
            </w:pPr>
            <w:r>
              <w:rPr>
                <w:sz w:val="24"/>
              </w:rPr>
              <w:t>式中：r ――预测点距声源的距离，m；</w:t>
            </w:r>
          </w:p>
          <w:p>
            <w:pPr>
              <w:spacing w:line="440" w:lineRule="exact"/>
              <w:ind w:firstLine="1200" w:firstLineChars="500"/>
              <w:rPr>
                <w:sz w:val="24"/>
              </w:rPr>
            </w:pPr>
            <w:r>
              <w:rPr>
                <w:sz w:val="24"/>
              </w:rPr>
              <w:t>r</w:t>
            </w:r>
            <w:r>
              <w:rPr>
                <w:sz w:val="24"/>
                <w:vertAlign w:val="subscript"/>
              </w:rPr>
              <w:t>0</w:t>
            </w:r>
            <w:r>
              <w:rPr>
                <w:sz w:val="24"/>
              </w:rPr>
              <w:t xml:space="preserve"> ――参考位置距声源的距离，m；</w:t>
            </w:r>
          </w:p>
          <w:p>
            <w:pPr>
              <w:spacing w:line="440" w:lineRule="exact"/>
              <w:ind w:firstLine="1200" w:firstLineChars="500"/>
              <w:rPr>
                <w:sz w:val="24"/>
              </w:rPr>
            </w:pPr>
            <w:r>
              <w:rPr>
                <w:sz w:val="24"/>
              </w:rPr>
              <w:t>A</w:t>
            </w:r>
            <w:r>
              <w:rPr>
                <w:sz w:val="24"/>
                <w:vertAlign w:val="subscript"/>
              </w:rPr>
              <w:t>bar</w:t>
            </w:r>
            <w:r>
              <w:rPr>
                <w:sz w:val="24"/>
              </w:rPr>
              <w:t xml:space="preserve"> ――声屏引起的A声级衰减量；</w:t>
            </w:r>
          </w:p>
          <w:p>
            <w:pPr>
              <w:spacing w:line="440" w:lineRule="exact"/>
              <w:jc w:val="center"/>
              <w:rPr>
                <w:sz w:val="24"/>
              </w:rPr>
            </w:pPr>
            <w:r>
              <w:rPr>
                <w:sz w:val="24"/>
              </w:rPr>
              <w:t>A</w:t>
            </w:r>
            <w:r>
              <w:rPr>
                <w:sz w:val="24"/>
                <w:vertAlign w:val="subscript"/>
              </w:rPr>
              <w:t>bar</w:t>
            </w:r>
            <w:r>
              <w:rPr>
                <w:sz w:val="24"/>
              </w:rPr>
              <w:t>=-101g[1/(13+20N</w:t>
            </w:r>
            <w:r>
              <w:rPr>
                <w:sz w:val="24"/>
                <w:vertAlign w:val="subscript"/>
              </w:rPr>
              <w:t>1</w:t>
            </w:r>
            <w:r>
              <w:rPr>
                <w:sz w:val="24"/>
              </w:rPr>
              <w:t>)+1/(13+20N</w:t>
            </w:r>
            <w:r>
              <w:rPr>
                <w:sz w:val="24"/>
                <w:vertAlign w:val="subscript"/>
              </w:rPr>
              <w:t>2</w:t>
            </w:r>
            <w:r>
              <w:rPr>
                <w:sz w:val="24"/>
              </w:rPr>
              <w:t>)+1/(13+20N</w:t>
            </w:r>
            <w:r>
              <w:rPr>
                <w:sz w:val="24"/>
                <w:vertAlign w:val="subscript"/>
              </w:rPr>
              <w:t>3</w:t>
            </w:r>
            <w:r>
              <w:rPr>
                <w:sz w:val="24"/>
              </w:rPr>
              <w:t>)]</w:t>
            </w:r>
          </w:p>
          <w:p>
            <w:pPr>
              <w:spacing w:line="440" w:lineRule="exact"/>
              <w:ind w:firstLine="480" w:firstLineChars="200"/>
              <w:rPr>
                <w:sz w:val="24"/>
              </w:rPr>
            </w:pPr>
            <w:r>
              <w:rPr>
                <w:sz w:val="24"/>
              </w:rPr>
              <w:t>式中：N</w:t>
            </w:r>
            <w:r>
              <w:rPr>
                <w:sz w:val="24"/>
                <w:vertAlign w:val="subscript"/>
              </w:rPr>
              <w:t>1、</w:t>
            </w:r>
            <w:r>
              <w:rPr>
                <w:sz w:val="24"/>
              </w:rPr>
              <w:t xml:space="preserve"> N</w:t>
            </w:r>
            <w:r>
              <w:rPr>
                <w:sz w:val="24"/>
                <w:vertAlign w:val="subscript"/>
              </w:rPr>
              <w:t>2、</w:t>
            </w:r>
            <w:r>
              <w:rPr>
                <w:sz w:val="24"/>
              </w:rPr>
              <w:t xml:space="preserve"> N</w:t>
            </w:r>
            <w:r>
              <w:rPr>
                <w:sz w:val="24"/>
                <w:vertAlign w:val="subscript"/>
              </w:rPr>
              <w:t>3</w:t>
            </w:r>
            <w:r>
              <w:rPr>
                <w:sz w:val="24"/>
              </w:rPr>
              <w:t>――三个传播途径的菲涅尔数。</w:t>
            </w:r>
          </w:p>
          <w:p>
            <w:pPr>
              <w:spacing w:line="440" w:lineRule="exact"/>
              <w:ind w:firstLine="1200" w:firstLineChars="500"/>
              <w:rPr>
                <w:sz w:val="24"/>
              </w:rPr>
            </w:pPr>
            <w:r>
              <w:rPr>
                <w:sz w:val="24"/>
              </w:rPr>
              <w:t>N=2δ/λ</w:t>
            </w:r>
          </w:p>
          <w:p>
            <w:pPr>
              <w:spacing w:line="440" w:lineRule="exact"/>
              <w:ind w:firstLine="1200" w:firstLineChars="500"/>
              <w:rPr>
                <w:sz w:val="24"/>
              </w:rPr>
            </w:pPr>
            <w:r>
              <w:rPr>
                <w:sz w:val="24"/>
              </w:rPr>
              <w:t>δ——声程差；</w:t>
            </w:r>
          </w:p>
          <w:p>
            <w:pPr>
              <w:spacing w:line="440" w:lineRule="exact"/>
              <w:ind w:firstLine="1200" w:firstLineChars="500"/>
              <w:rPr>
                <w:sz w:val="24"/>
              </w:rPr>
            </w:pPr>
            <w:r>
              <w:rPr>
                <w:sz w:val="24"/>
              </w:rPr>
              <w:t>λ――声波波长；</w:t>
            </w:r>
          </w:p>
          <w:p>
            <w:pPr>
              <w:spacing w:line="440" w:lineRule="exact"/>
              <w:ind w:firstLine="1200" w:firstLineChars="500"/>
              <w:rPr>
                <w:sz w:val="24"/>
              </w:rPr>
            </w:pPr>
            <w:r>
              <w:rPr>
                <w:sz w:val="24"/>
              </w:rPr>
              <w:t>A</w:t>
            </w:r>
            <w:r>
              <w:rPr>
                <w:sz w:val="24"/>
                <w:vertAlign w:val="subscript"/>
              </w:rPr>
              <w:t>atm</w:t>
            </w:r>
            <w:r>
              <w:rPr>
                <w:sz w:val="24"/>
              </w:rPr>
              <w:t>――空气吸收衰减量；</w:t>
            </w:r>
          </w:p>
          <w:p>
            <w:pPr>
              <w:spacing w:line="440" w:lineRule="exact"/>
              <w:ind w:firstLine="1200" w:firstLineChars="500"/>
              <w:rPr>
                <w:sz w:val="24"/>
              </w:rPr>
            </w:pPr>
            <w:r>
              <w:rPr>
                <w:sz w:val="24"/>
              </w:rPr>
              <w:t>A</w:t>
            </w:r>
            <w:r>
              <w:rPr>
                <w:sz w:val="24"/>
                <w:vertAlign w:val="subscript"/>
              </w:rPr>
              <w:t>atm</w:t>
            </w:r>
            <w:r>
              <w:rPr>
                <w:sz w:val="24"/>
              </w:rPr>
              <w:t>=a(r－r</w:t>
            </w:r>
            <w:r>
              <w:rPr>
                <w:sz w:val="24"/>
                <w:vertAlign w:val="subscript"/>
              </w:rPr>
              <w:t>0</w:t>
            </w:r>
            <w:r>
              <w:rPr>
                <w:sz w:val="24"/>
              </w:rPr>
              <w:t>)/100</w:t>
            </w:r>
          </w:p>
          <w:p>
            <w:pPr>
              <w:spacing w:line="440" w:lineRule="exact"/>
              <w:ind w:firstLine="1200" w:firstLineChars="500"/>
              <w:rPr>
                <w:sz w:val="24"/>
              </w:rPr>
            </w:pPr>
            <w:r>
              <w:rPr>
                <w:sz w:val="24"/>
              </w:rPr>
              <w:t>a―― 每80m空气吸收系数，dB（A）/80m；</w:t>
            </w:r>
          </w:p>
          <w:p>
            <w:pPr>
              <w:spacing w:line="440" w:lineRule="exact"/>
              <w:ind w:firstLine="480" w:firstLineChars="200"/>
              <w:rPr>
                <w:sz w:val="24"/>
              </w:rPr>
            </w:pPr>
            <w:r>
              <w:rPr>
                <w:sz w:val="24"/>
              </w:rPr>
              <w:t>各测点声压级按下列公式进行叠加：</w:t>
            </w:r>
          </w:p>
          <w:p>
            <w:pPr>
              <w:spacing w:line="440" w:lineRule="exact"/>
              <w:jc w:val="center"/>
              <w:rPr>
                <w:sz w:val="24"/>
              </w:rPr>
            </w:pPr>
            <w:r>
              <w:rPr>
                <w:sz w:val="24"/>
              </w:rPr>
              <w:t>L</w:t>
            </w:r>
            <w:r>
              <w:rPr>
                <w:sz w:val="24"/>
                <w:vertAlign w:val="subscript"/>
              </w:rPr>
              <w:t>a</w:t>
            </w:r>
            <w:r>
              <w:rPr>
                <w:sz w:val="24"/>
              </w:rPr>
              <w:t>=101g(∑10</w:t>
            </w:r>
            <w:r>
              <w:rPr>
                <w:sz w:val="24"/>
                <w:vertAlign w:val="superscript"/>
              </w:rPr>
              <w:t>0.1Li</w:t>
            </w:r>
            <w:r>
              <w:rPr>
                <w:sz w:val="24"/>
              </w:rPr>
              <w:t>+10</w:t>
            </w:r>
            <w:r>
              <w:rPr>
                <w:sz w:val="24"/>
                <w:vertAlign w:val="superscript"/>
              </w:rPr>
              <w:t>0.1Lb</w:t>
            </w:r>
            <w:r>
              <w:rPr>
                <w:sz w:val="24"/>
              </w:rPr>
              <w:t>)</w:t>
            </w:r>
          </w:p>
          <w:p>
            <w:pPr>
              <w:spacing w:line="440" w:lineRule="exact"/>
              <w:ind w:firstLine="480" w:firstLineChars="200"/>
              <w:rPr>
                <w:sz w:val="24"/>
              </w:rPr>
            </w:pPr>
            <w:r>
              <w:rPr>
                <w:sz w:val="24"/>
              </w:rPr>
              <w:t>式中：  L</w:t>
            </w:r>
            <w:r>
              <w:rPr>
                <w:sz w:val="24"/>
                <w:vertAlign w:val="subscript"/>
              </w:rPr>
              <w:t>a</w:t>
            </w:r>
            <w:r>
              <w:rPr>
                <w:sz w:val="24"/>
              </w:rPr>
              <w:t>――测点总的A声级，dB（A）</w:t>
            </w:r>
          </w:p>
          <w:p>
            <w:pPr>
              <w:spacing w:line="440" w:lineRule="exact"/>
              <w:ind w:firstLine="480" w:firstLineChars="200"/>
              <w:rPr>
                <w:sz w:val="24"/>
              </w:rPr>
            </w:pPr>
            <w:r>
              <w:rPr>
                <w:sz w:val="24"/>
              </w:rPr>
              <w:t xml:space="preserve">        L</w:t>
            </w:r>
            <w:r>
              <w:rPr>
                <w:sz w:val="24"/>
                <w:vertAlign w:val="subscript"/>
              </w:rPr>
              <w:t>i</w:t>
            </w:r>
            <w:r>
              <w:rPr>
                <w:sz w:val="24"/>
              </w:rPr>
              <w:t xml:space="preserve"> ――第i个声源到预测点的声压级，dB（A）；</w:t>
            </w:r>
          </w:p>
          <w:p>
            <w:pPr>
              <w:spacing w:line="440" w:lineRule="exact"/>
              <w:ind w:firstLine="480" w:firstLineChars="200"/>
              <w:rPr>
                <w:sz w:val="24"/>
              </w:rPr>
            </w:pPr>
            <w:r>
              <w:rPr>
                <w:sz w:val="24"/>
              </w:rPr>
              <w:t xml:space="preserve">        L</w:t>
            </w:r>
            <w:r>
              <w:rPr>
                <w:sz w:val="24"/>
                <w:vertAlign w:val="subscript"/>
              </w:rPr>
              <w:t>b</w:t>
            </w:r>
            <w:r>
              <w:rPr>
                <w:sz w:val="24"/>
              </w:rPr>
              <w:t>――</w:t>
            </w:r>
            <w:r>
              <w:rPr>
                <w:sz w:val="24"/>
                <w:vertAlign w:val="subscript"/>
              </w:rPr>
              <w:t xml:space="preserve"> </w:t>
            </w:r>
            <w:r>
              <w:rPr>
                <w:sz w:val="24"/>
              </w:rPr>
              <w:t>环境噪声本底值；</w:t>
            </w:r>
          </w:p>
          <w:p>
            <w:pPr>
              <w:spacing w:line="440" w:lineRule="exact"/>
              <w:ind w:firstLine="480" w:firstLineChars="200"/>
              <w:rPr>
                <w:sz w:val="24"/>
              </w:rPr>
            </w:pPr>
            <w:r>
              <w:rPr>
                <w:sz w:val="24"/>
              </w:rPr>
              <w:t xml:space="preserve">        n――声源个数。</w:t>
            </w:r>
          </w:p>
          <w:p>
            <w:pPr>
              <w:spacing w:line="480" w:lineRule="exact"/>
              <w:ind w:left="482"/>
              <w:rPr>
                <w:b/>
                <w:sz w:val="24"/>
              </w:rPr>
            </w:pPr>
            <w:r>
              <w:rPr>
                <w:b/>
                <w:sz w:val="24"/>
              </w:rPr>
              <w:t>噪声预测结果：</w:t>
            </w:r>
          </w:p>
          <w:p>
            <w:pPr>
              <w:spacing w:line="500" w:lineRule="exact"/>
              <w:ind w:right="480"/>
              <w:jc w:val="center"/>
              <w:rPr>
                <w:b/>
                <w:sz w:val="24"/>
              </w:rPr>
            </w:pPr>
            <w:r>
              <w:rPr>
                <w:b/>
                <w:sz w:val="24"/>
              </w:rPr>
              <w:t>表7-8  本工程各主要噪声源对各厂界</w:t>
            </w:r>
            <w:r>
              <w:rPr>
                <w:rFonts w:hint="eastAsia"/>
                <w:b/>
                <w:sz w:val="24"/>
              </w:rPr>
              <w:t>及敏感点</w:t>
            </w:r>
            <w:r>
              <w:rPr>
                <w:b/>
                <w:sz w:val="24"/>
              </w:rPr>
              <w:t xml:space="preserve">噪声贡献值    </w:t>
            </w:r>
          </w:p>
          <w:tbl>
            <w:tblPr>
              <w:tblStyle w:val="69"/>
              <w:tblW w:w="913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50"/>
              <w:gridCol w:w="1346"/>
              <w:gridCol w:w="1570"/>
              <w:gridCol w:w="1345"/>
              <w:gridCol w:w="1317"/>
              <w:gridCol w:w="1404"/>
              <w:gridCol w:w="14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750" w:type="dxa"/>
                  <w:vMerge w:val="restart"/>
                  <w:noWrap w:val="0"/>
                  <w:vAlign w:val="center"/>
                </w:tcPr>
                <w:p>
                  <w:pPr>
                    <w:widowControl/>
                    <w:spacing w:line="240" w:lineRule="exact"/>
                    <w:jc w:val="center"/>
                    <w:rPr>
                      <w:bCs/>
                      <w:kern w:val="0"/>
                      <w:szCs w:val="21"/>
                    </w:rPr>
                  </w:pPr>
                  <w:r>
                    <w:rPr>
                      <w:bCs/>
                      <w:kern w:val="0"/>
                      <w:szCs w:val="21"/>
                    </w:rPr>
                    <w:t>序号</w:t>
                  </w:r>
                </w:p>
              </w:tc>
              <w:tc>
                <w:tcPr>
                  <w:tcW w:w="1346" w:type="dxa"/>
                  <w:vMerge w:val="restart"/>
                  <w:noWrap w:val="0"/>
                  <w:vAlign w:val="center"/>
                </w:tcPr>
                <w:p>
                  <w:pPr>
                    <w:widowControl/>
                    <w:spacing w:line="240" w:lineRule="exact"/>
                    <w:jc w:val="center"/>
                    <w:rPr>
                      <w:bCs/>
                      <w:kern w:val="0"/>
                      <w:szCs w:val="21"/>
                    </w:rPr>
                  </w:pPr>
                  <w:r>
                    <w:rPr>
                      <w:bCs/>
                      <w:kern w:val="0"/>
                      <w:szCs w:val="21"/>
                    </w:rPr>
                    <w:t>噪声源</w:t>
                  </w:r>
                </w:p>
              </w:tc>
              <w:tc>
                <w:tcPr>
                  <w:tcW w:w="1570" w:type="dxa"/>
                  <w:vMerge w:val="restart"/>
                  <w:noWrap w:val="0"/>
                  <w:vAlign w:val="center"/>
                </w:tcPr>
                <w:p>
                  <w:pPr>
                    <w:widowControl/>
                    <w:spacing w:line="240" w:lineRule="exact"/>
                    <w:jc w:val="center"/>
                    <w:rPr>
                      <w:bCs/>
                      <w:kern w:val="0"/>
                      <w:szCs w:val="21"/>
                    </w:rPr>
                  </w:pPr>
                  <w:r>
                    <w:rPr>
                      <w:bCs/>
                      <w:kern w:val="0"/>
                      <w:szCs w:val="21"/>
                    </w:rPr>
                    <w:t>治理后声源噪声级</w:t>
                  </w:r>
                </w:p>
              </w:tc>
              <w:tc>
                <w:tcPr>
                  <w:tcW w:w="5471" w:type="dxa"/>
                  <w:gridSpan w:val="4"/>
                  <w:tcBorders>
                    <w:right w:val="single" w:color="auto" w:sz="4" w:space="0"/>
                  </w:tcBorders>
                  <w:noWrap w:val="0"/>
                  <w:vAlign w:val="center"/>
                </w:tcPr>
                <w:p>
                  <w:pPr>
                    <w:widowControl/>
                    <w:spacing w:line="240" w:lineRule="exact"/>
                    <w:jc w:val="center"/>
                    <w:rPr>
                      <w:bCs/>
                      <w:kern w:val="0"/>
                      <w:szCs w:val="21"/>
                    </w:rPr>
                  </w:pPr>
                  <w:r>
                    <w:rPr>
                      <w:bCs/>
                      <w:kern w:val="0"/>
                      <w:szCs w:val="21"/>
                    </w:rPr>
                    <w:t>贡献值(dB（A）)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750" w:type="dxa"/>
                  <w:vMerge w:val="continue"/>
                  <w:noWrap w:val="0"/>
                  <w:vAlign w:val="center"/>
                </w:tcPr>
                <w:p>
                  <w:pPr>
                    <w:widowControl/>
                    <w:spacing w:line="240" w:lineRule="exact"/>
                    <w:jc w:val="left"/>
                    <w:rPr>
                      <w:bCs/>
                      <w:kern w:val="0"/>
                      <w:szCs w:val="21"/>
                    </w:rPr>
                  </w:pPr>
                </w:p>
              </w:tc>
              <w:tc>
                <w:tcPr>
                  <w:tcW w:w="1346" w:type="dxa"/>
                  <w:vMerge w:val="continue"/>
                  <w:noWrap w:val="0"/>
                  <w:vAlign w:val="center"/>
                </w:tcPr>
                <w:p>
                  <w:pPr>
                    <w:widowControl/>
                    <w:spacing w:line="240" w:lineRule="exact"/>
                    <w:jc w:val="left"/>
                    <w:rPr>
                      <w:bCs/>
                      <w:kern w:val="0"/>
                      <w:szCs w:val="21"/>
                    </w:rPr>
                  </w:pPr>
                </w:p>
              </w:tc>
              <w:tc>
                <w:tcPr>
                  <w:tcW w:w="1570" w:type="dxa"/>
                  <w:vMerge w:val="continue"/>
                  <w:noWrap w:val="0"/>
                  <w:vAlign w:val="center"/>
                </w:tcPr>
                <w:p>
                  <w:pPr>
                    <w:widowControl/>
                    <w:spacing w:line="240" w:lineRule="exact"/>
                    <w:jc w:val="left"/>
                    <w:rPr>
                      <w:bCs/>
                      <w:kern w:val="0"/>
                      <w:szCs w:val="21"/>
                    </w:rPr>
                  </w:pPr>
                </w:p>
              </w:tc>
              <w:tc>
                <w:tcPr>
                  <w:tcW w:w="1345" w:type="dxa"/>
                  <w:noWrap w:val="0"/>
                  <w:vAlign w:val="center"/>
                </w:tcPr>
                <w:p>
                  <w:pPr>
                    <w:widowControl/>
                    <w:spacing w:line="240" w:lineRule="exact"/>
                    <w:jc w:val="center"/>
                    <w:rPr>
                      <w:bCs/>
                      <w:kern w:val="0"/>
                      <w:szCs w:val="21"/>
                    </w:rPr>
                  </w:pPr>
                  <w:r>
                    <w:rPr>
                      <w:rFonts w:hint="eastAsia"/>
                      <w:sz w:val="21"/>
                      <w:szCs w:val="21"/>
                    </w:rPr>
                    <w:t>西</w:t>
                  </w:r>
                  <w:r>
                    <w:rPr>
                      <w:rFonts w:hint="eastAsia"/>
                      <w:bCs/>
                      <w:kern w:val="0"/>
                      <w:szCs w:val="21"/>
                    </w:rPr>
                    <w:t>面</w:t>
                  </w:r>
                  <w:r>
                    <w:rPr>
                      <w:bCs/>
                      <w:kern w:val="0"/>
                      <w:szCs w:val="21"/>
                    </w:rPr>
                    <w:t>厂界</w:t>
                  </w:r>
                </w:p>
              </w:tc>
              <w:tc>
                <w:tcPr>
                  <w:tcW w:w="1317" w:type="dxa"/>
                  <w:noWrap w:val="0"/>
                  <w:vAlign w:val="center"/>
                </w:tcPr>
                <w:p>
                  <w:pPr>
                    <w:widowControl/>
                    <w:spacing w:line="240" w:lineRule="exact"/>
                    <w:jc w:val="center"/>
                    <w:rPr>
                      <w:bCs/>
                      <w:kern w:val="0"/>
                      <w:szCs w:val="21"/>
                    </w:rPr>
                  </w:pPr>
                  <w:r>
                    <w:rPr>
                      <w:rFonts w:hint="eastAsia"/>
                      <w:bCs/>
                      <w:kern w:val="0"/>
                      <w:szCs w:val="21"/>
                      <w:lang w:eastAsia="zh-CN"/>
                    </w:rPr>
                    <w:t>南</w:t>
                  </w:r>
                  <w:r>
                    <w:rPr>
                      <w:rFonts w:hint="eastAsia"/>
                      <w:bCs/>
                      <w:kern w:val="0"/>
                      <w:szCs w:val="21"/>
                    </w:rPr>
                    <w:t>面</w:t>
                  </w:r>
                  <w:r>
                    <w:rPr>
                      <w:bCs/>
                      <w:kern w:val="0"/>
                      <w:szCs w:val="21"/>
                    </w:rPr>
                    <w:t>厂界</w:t>
                  </w:r>
                </w:p>
              </w:tc>
              <w:tc>
                <w:tcPr>
                  <w:tcW w:w="1404" w:type="dxa"/>
                  <w:noWrap w:val="0"/>
                  <w:vAlign w:val="center"/>
                </w:tcPr>
                <w:p>
                  <w:pPr>
                    <w:widowControl/>
                    <w:spacing w:line="240" w:lineRule="exact"/>
                    <w:jc w:val="center"/>
                    <w:rPr>
                      <w:bCs/>
                      <w:kern w:val="0"/>
                      <w:szCs w:val="21"/>
                    </w:rPr>
                  </w:pPr>
                  <w:r>
                    <w:rPr>
                      <w:rFonts w:hint="eastAsia"/>
                      <w:bCs/>
                      <w:kern w:val="0"/>
                      <w:szCs w:val="21"/>
                      <w:lang w:eastAsia="zh-CN"/>
                    </w:rPr>
                    <w:t>东</w:t>
                  </w:r>
                  <w:r>
                    <w:rPr>
                      <w:rFonts w:hint="eastAsia"/>
                      <w:bCs/>
                      <w:kern w:val="0"/>
                      <w:szCs w:val="21"/>
                    </w:rPr>
                    <w:t>面</w:t>
                  </w:r>
                  <w:r>
                    <w:rPr>
                      <w:bCs/>
                      <w:kern w:val="0"/>
                      <w:szCs w:val="21"/>
                    </w:rPr>
                    <w:t>厂界</w:t>
                  </w:r>
                </w:p>
              </w:tc>
              <w:tc>
                <w:tcPr>
                  <w:tcW w:w="1405" w:type="dxa"/>
                  <w:tcBorders>
                    <w:right w:val="single" w:color="auto" w:sz="4" w:space="0"/>
                  </w:tcBorders>
                  <w:noWrap w:val="0"/>
                  <w:vAlign w:val="center"/>
                </w:tcPr>
                <w:p>
                  <w:pPr>
                    <w:jc w:val="center"/>
                    <w:rPr>
                      <w:szCs w:val="21"/>
                    </w:rPr>
                  </w:pPr>
                  <w:r>
                    <w:rPr>
                      <w:rFonts w:hint="eastAsia"/>
                      <w:szCs w:val="21"/>
                    </w:rPr>
                    <w:t>北面</w:t>
                  </w:r>
                  <w:r>
                    <w:rPr>
                      <w:rFonts w:hint="eastAsia"/>
                      <w:szCs w:val="21"/>
                      <w:lang w:eastAsia="zh-CN"/>
                    </w:rPr>
                    <w:t>厂界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90" w:hRule="atLeast"/>
              </w:trPr>
              <w:tc>
                <w:tcPr>
                  <w:tcW w:w="750" w:type="dxa"/>
                  <w:noWrap w:val="0"/>
                  <w:vAlign w:val="center"/>
                </w:tcPr>
                <w:p>
                  <w:pPr>
                    <w:widowControl/>
                    <w:spacing w:line="240" w:lineRule="exact"/>
                    <w:jc w:val="center"/>
                    <w:rPr>
                      <w:rFonts w:hint="eastAsia"/>
                      <w:kern w:val="0"/>
                      <w:szCs w:val="21"/>
                    </w:rPr>
                  </w:pPr>
                  <w:r>
                    <w:rPr>
                      <w:rFonts w:hint="eastAsia"/>
                      <w:kern w:val="0"/>
                      <w:szCs w:val="21"/>
                    </w:rPr>
                    <w:t>1</w:t>
                  </w:r>
                </w:p>
              </w:tc>
              <w:tc>
                <w:tcPr>
                  <w:tcW w:w="1346" w:type="dxa"/>
                  <w:noWrap w:val="0"/>
                  <w:vAlign w:val="center"/>
                </w:tcPr>
                <w:p>
                  <w:pPr>
                    <w:pStyle w:val="87"/>
                    <w:rPr>
                      <w:rFonts w:hint="eastAsia"/>
                      <w:kern w:val="0"/>
                      <w:szCs w:val="21"/>
                    </w:rPr>
                  </w:pPr>
                  <w:r>
                    <w:rPr>
                      <w:rFonts w:hint="eastAsia"/>
                      <w:sz w:val="21"/>
                      <w:szCs w:val="21"/>
                    </w:rPr>
                    <w:t>空气锤</w:t>
                  </w:r>
                </w:p>
              </w:tc>
              <w:tc>
                <w:tcPr>
                  <w:tcW w:w="1570"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80</w:t>
                  </w:r>
                </w:p>
              </w:tc>
              <w:tc>
                <w:tcPr>
                  <w:tcW w:w="1345"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43.7</w:t>
                  </w:r>
                </w:p>
              </w:tc>
              <w:tc>
                <w:tcPr>
                  <w:tcW w:w="1317"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53.9</w:t>
                  </w:r>
                </w:p>
              </w:tc>
              <w:tc>
                <w:tcPr>
                  <w:tcW w:w="1404"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47.9</w:t>
                  </w:r>
                </w:p>
              </w:tc>
              <w:tc>
                <w:tcPr>
                  <w:tcW w:w="1405"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41.9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750" w:type="dxa"/>
                  <w:noWrap w:val="0"/>
                  <w:vAlign w:val="center"/>
                </w:tcPr>
                <w:p>
                  <w:pPr>
                    <w:widowControl/>
                    <w:spacing w:line="240" w:lineRule="exact"/>
                    <w:jc w:val="center"/>
                    <w:rPr>
                      <w:rFonts w:hint="eastAsia"/>
                      <w:kern w:val="0"/>
                      <w:szCs w:val="21"/>
                    </w:rPr>
                  </w:pPr>
                  <w:r>
                    <w:rPr>
                      <w:rFonts w:hint="eastAsia"/>
                      <w:kern w:val="0"/>
                      <w:szCs w:val="21"/>
                    </w:rPr>
                    <w:t>2</w:t>
                  </w:r>
                </w:p>
              </w:tc>
              <w:tc>
                <w:tcPr>
                  <w:tcW w:w="1346" w:type="dxa"/>
                  <w:noWrap w:val="0"/>
                  <w:vAlign w:val="center"/>
                </w:tcPr>
                <w:p>
                  <w:pPr>
                    <w:pStyle w:val="87"/>
                    <w:rPr>
                      <w:kern w:val="0"/>
                      <w:szCs w:val="21"/>
                    </w:rPr>
                  </w:pPr>
                  <w:r>
                    <w:rPr>
                      <w:rFonts w:hint="eastAsia"/>
                      <w:sz w:val="21"/>
                      <w:szCs w:val="21"/>
                    </w:rPr>
                    <w:t>高频炉</w:t>
                  </w:r>
                </w:p>
              </w:tc>
              <w:tc>
                <w:tcPr>
                  <w:tcW w:w="1570"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75</w:t>
                  </w:r>
                </w:p>
              </w:tc>
              <w:tc>
                <w:tcPr>
                  <w:tcW w:w="1345"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38.2</w:t>
                  </w:r>
                </w:p>
              </w:tc>
              <w:tc>
                <w:tcPr>
                  <w:tcW w:w="1317"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48.9</w:t>
                  </w:r>
                </w:p>
              </w:tc>
              <w:tc>
                <w:tcPr>
                  <w:tcW w:w="1404"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44.1</w:t>
                  </w:r>
                </w:p>
              </w:tc>
              <w:tc>
                <w:tcPr>
                  <w:tcW w:w="1405"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36.9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750" w:type="dxa"/>
                  <w:noWrap w:val="0"/>
                  <w:vAlign w:val="center"/>
                </w:tcPr>
                <w:p>
                  <w:pPr>
                    <w:widowControl/>
                    <w:spacing w:line="240" w:lineRule="exact"/>
                    <w:jc w:val="center"/>
                    <w:rPr>
                      <w:rFonts w:hint="eastAsia" w:eastAsia="宋体"/>
                      <w:kern w:val="0"/>
                      <w:szCs w:val="21"/>
                      <w:lang w:val="en-US" w:eastAsia="zh-CN"/>
                    </w:rPr>
                  </w:pPr>
                  <w:r>
                    <w:rPr>
                      <w:rFonts w:hint="eastAsia"/>
                      <w:kern w:val="0"/>
                      <w:szCs w:val="21"/>
                      <w:lang w:val="en-US" w:eastAsia="zh-CN"/>
                    </w:rPr>
                    <w:t>3</w:t>
                  </w:r>
                </w:p>
              </w:tc>
              <w:tc>
                <w:tcPr>
                  <w:tcW w:w="1346" w:type="dxa"/>
                  <w:noWrap w:val="0"/>
                  <w:vAlign w:val="center"/>
                </w:tcPr>
                <w:p>
                  <w:pPr>
                    <w:pStyle w:val="87"/>
                    <w:rPr>
                      <w:rFonts w:hint="eastAsia"/>
                      <w:kern w:val="0"/>
                      <w:szCs w:val="21"/>
                    </w:rPr>
                  </w:pPr>
                  <w:r>
                    <w:rPr>
                      <w:rFonts w:hint="eastAsia"/>
                      <w:sz w:val="21"/>
                      <w:szCs w:val="21"/>
                    </w:rPr>
                    <w:t>打磨机</w:t>
                  </w:r>
                </w:p>
              </w:tc>
              <w:tc>
                <w:tcPr>
                  <w:tcW w:w="1570"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70</w:t>
                  </w:r>
                </w:p>
              </w:tc>
              <w:tc>
                <w:tcPr>
                  <w:tcW w:w="1345"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33.7</w:t>
                  </w:r>
                </w:p>
              </w:tc>
              <w:tc>
                <w:tcPr>
                  <w:tcW w:w="1317"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43.9</w:t>
                  </w:r>
                </w:p>
              </w:tc>
              <w:tc>
                <w:tcPr>
                  <w:tcW w:w="1404"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37.9</w:t>
                  </w:r>
                </w:p>
              </w:tc>
              <w:tc>
                <w:tcPr>
                  <w:tcW w:w="1405"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31.9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750" w:type="dxa"/>
                  <w:noWrap w:val="0"/>
                  <w:vAlign w:val="center"/>
                </w:tcPr>
                <w:p>
                  <w:pPr>
                    <w:widowControl/>
                    <w:spacing w:line="240" w:lineRule="exact"/>
                    <w:jc w:val="center"/>
                    <w:rPr>
                      <w:rFonts w:hint="eastAsia" w:eastAsia="宋体"/>
                      <w:kern w:val="0"/>
                      <w:szCs w:val="21"/>
                      <w:lang w:val="en-US" w:eastAsia="zh-CN"/>
                    </w:rPr>
                  </w:pPr>
                  <w:r>
                    <w:rPr>
                      <w:rFonts w:hint="eastAsia"/>
                      <w:kern w:val="0"/>
                      <w:szCs w:val="21"/>
                      <w:lang w:val="en-US" w:eastAsia="zh-CN"/>
                    </w:rPr>
                    <w:t>4</w:t>
                  </w:r>
                </w:p>
              </w:tc>
              <w:tc>
                <w:tcPr>
                  <w:tcW w:w="1346" w:type="dxa"/>
                  <w:noWrap w:val="0"/>
                  <w:vAlign w:val="center"/>
                </w:tcPr>
                <w:p>
                  <w:pPr>
                    <w:pStyle w:val="87"/>
                    <w:rPr>
                      <w:rFonts w:hint="eastAsia"/>
                      <w:kern w:val="0"/>
                      <w:szCs w:val="21"/>
                    </w:rPr>
                  </w:pPr>
                  <w:r>
                    <w:rPr>
                      <w:rFonts w:hint="eastAsia"/>
                      <w:sz w:val="21"/>
                      <w:szCs w:val="21"/>
                    </w:rPr>
                    <w:t>台钻</w:t>
                  </w:r>
                </w:p>
              </w:tc>
              <w:tc>
                <w:tcPr>
                  <w:tcW w:w="1570"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70</w:t>
                  </w:r>
                </w:p>
              </w:tc>
              <w:tc>
                <w:tcPr>
                  <w:tcW w:w="1345"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33.9</w:t>
                  </w:r>
                </w:p>
              </w:tc>
              <w:tc>
                <w:tcPr>
                  <w:tcW w:w="1317"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40.5</w:t>
                  </w:r>
                </w:p>
              </w:tc>
              <w:tc>
                <w:tcPr>
                  <w:tcW w:w="1404"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43.9</w:t>
                  </w:r>
                </w:p>
              </w:tc>
              <w:tc>
                <w:tcPr>
                  <w:tcW w:w="1405"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33.9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750" w:type="dxa"/>
                  <w:noWrap w:val="0"/>
                  <w:vAlign w:val="center"/>
                </w:tcPr>
                <w:p>
                  <w:pPr>
                    <w:widowControl/>
                    <w:spacing w:line="240" w:lineRule="exact"/>
                    <w:jc w:val="center"/>
                    <w:rPr>
                      <w:rFonts w:hint="eastAsia" w:eastAsia="宋体"/>
                      <w:kern w:val="0"/>
                      <w:szCs w:val="21"/>
                      <w:lang w:val="en-US" w:eastAsia="zh-CN"/>
                    </w:rPr>
                  </w:pPr>
                  <w:r>
                    <w:rPr>
                      <w:rFonts w:hint="eastAsia"/>
                      <w:kern w:val="0"/>
                      <w:szCs w:val="21"/>
                      <w:lang w:val="en-US" w:eastAsia="zh-CN"/>
                    </w:rPr>
                    <w:t>5</w:t>
                  </w:r>
                </w:p>
              </w:tc>
              <w:tc>
                <w:tcPr>
                  <w:tcW w:w="1346" w:type="dxa"/>
                  <w:noWrap w:val="0"/>
                  <w:vAlign w:val="center"/>
                </w:tcPr>
                <w:p>
                  <w:pPr>
                    <w:pStyle w:val="87"/>
                    <w:rPr>
                      <w:rFonts w:hint="eastAsia"/>
                      <w:kern w:val="0"/>
                      <w:szCs w:val="21"/>
                    </w:rPr>
                  </w:pPr>
                  <w:r>
                    <w:rPr>
                      <w:rFonts w:hint="eastAsia"/>
                      <w:sz w:val="21"/>
                      <w:szCs w:val="21"/>
                    </w:rPr>
                    <w:t>冲床</w:t>
                  </w:r>
                </w:p>
              </w:tc>
              <w:tc>
                <w:tcPr>
                  <w:tcW w:w="1570"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75</w:t>
                  </w:r>
                </w:p>
              </w:tc>
              <w:tc>
                <w:tcPr>
                  <w:tcW w:w="1345"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38.7</w:t>
                  </w:r>
                </w:p>
              </w:tc>
              <w:tc>
                <w:tcPr>
                  <w:tcW w:w="1317"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42.9</w:t>
                  </w:r>
                </w:p>
              </w:tc>
              <w:tc>
                <w:tcPr>
                  <w:tcW w:w="1404"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48.5</w:t>
                  </w:r>
                </w:p>
              </w:tc>
              <w:tc>
                <w:tcPr>
                  <w:tcW w:w="1405"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36.9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50" w:hRule="atLeast"/>
              </w:trPr>
              <w:tc>
                <w:tcPr>
                  <w:tcW w:w="3666" w:type="dxa"/>
                  <w:gridSpan w:val="3"/>
                  <w:noWrap w:val="0"/>
                  <w:vAlign w:val="center"/>
                </w:tcPr>
                <w:p>
                  <w:pPr>
                    <w:widowControl/>
                    <w:spacing w:line="240" w:lineRule="exact"/>
                    <w:jc w:val="center"/>
                    <w:rPr>
                      <w:kern w:val="0"/>
                      <w:szCs w:val="21"/>
                    </w:rPr>
                  </w:pPr>
                  <w:r>
                    <w:rPr>
                      <w:kern w:val="0"/>
                      <w:szCs w:val="21"/>
                    </w:rPr>
                    <w:t>叠加后噪声源</w:t>
                  </w:r>
                </w:p>
                <w:p>
                  <w:pPr>
                    <w:spacing w:line="240" w:lineRule="exact"/>
                    <w:jc w:val="center"/>
                    <w:rPr>
                      <w:kern w:val="0"/>
                      <w:szCs w:val="21"/>
                    </w:rPr>
                  </w:pPr>
                  <w:r>
                    <w:rPr>
                      <w:kern w:val="0"/>
                      <w:szCs w:val="21"/>
                    </w:rPr>
                    <w:t>对厂界噪声的贡献值</w:t>
                  </w:r>
                </w:p>
              </w:tc>
              <w:tc>
                <w:tcPr>
                  <w:tcW w:w="1345"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46.3</w:t>
                  </w:r>
                </w:p>
              </w:tc>
              <w:tc>
                <w:tcPr>
                  <w:tcW w:w="1317"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55.8</w:t>
                  </w:r>
                </w:p>
              </w:tc>
              <w:tc>
                <w:tcPr>
                  <w:tcW w:w="1404"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52.7</w:t>
                  </w:r>
                </w:p>
              </w:tc>
              <w:tc>
                <w:tcPr>
                  <w:tcW w:w="1405" w:type="dxa"/>
                  <w:noWrap w:val="0"/>
                  <w:vAlign w:val="center"/>
                </w:tcPr>
                <w:p>
                  <w:pPr>
                    <w:widowControl/>
                    <w:spacing w:line="240" w:lineRule="exact"/>
                    <w:jc w:val="center"/>
                    <w:rPr>
                      <w:rFonts w:hint="default" w:eastAsia="宋体"/>
                      <w:kern w:val="0"/>
                      <w:szCs w:val="21"/>
                      <w:lang w:val="en-US" w:eastAsia="zh-CN"/>
                    </w:rPr>
                  </w:pPr>
                  <w:r>
                    <w:rPr>
                      <w:rFonts w:hint="eastAsia"/>
                      <w:kern w:val="0"/>
                      <w:szCs w:val="21"/>
                      <w:lang w:val="en-US" w:eastAsia="zh-CN"/>
                    </w:rPr>
                    <w:t>44.7</w:t>
                  </w:r>
                </w:p>
              </w:tc>
            </w:tr>
          </w:tbl>
          <w:p>
            <w:pPr>
              <w:spacing w:line="480" w:lineRule="exact"/>
              <w:ind w:firstLine="480" w:firstLineChars="200"/>
              <w:rPr>
                <w:sz w:val="24"/>
              </w:rPr>
            </w:pPr>
            <w:r>
              <w:rPr>
                <w:sz w:val="24"/>
              </w:rPr>
              <w:t>考虑隔声衰减及空气、距离衰减作用，各声源对厂界的噪声贡献值见下表7-</w:t>
            </w:r>
            <w:r>
              <w:rPr>
                <w:rFonts w:hint="eastAsia"/>
                <w:sz w:val="24"/>
              </w:rPr>
              <w:t>9</w:t>
            </w:r>
            <w:r>
              <w:rPr>
                <w:sz w:val="24"/>
              </w:rPr>
              <w:t>。</w:t>
            </w:r>
          </w:p>
          <w:p>
            <w:pPr>
              <w:spacing w:before="156" w:beforeLines="50" w:line="360" w:lineRule="auto"/>
              <w:ind w:firstLine="3072" w:firstLineChars="1275"/>
              <w:rPr>
                <w:b/>
                <w:sz w:val="24"/>
              </w:rPr>
            </w:pPr>
            <w:r>
              <w:rPr>
                <w:b/>
                <w:sz w:val="24"/>
              </w:rPr>
              <w:t xml:space="preserve">表7-9   </w:t>
            </w:r>
            <w:r>
              <w:rPr>
                <w:rFonts w:hint="eastAsia"/>
                <w:b/>
                <w:sz w:val="24"/>
              </w:rPr>
              <w:t>厂界</w:t>
            </w:r>
            <w:r>
              <w:rPr>
                <w:b/>
                <w:sz w:val="24"/>
              </w:rPr>
              <w:t>噪声预测结果</w:t>
            </w:r>
          </w:p>
          <w:tbl>
            <w:tblPr>
              <w:tblStyle w:val="69"/>
              <w:tblW w:w="9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181"/>
              <w:gridCol w:w="1412"/>
              <w:gridCol w:w="1523"/>
              <w:gridCol w:w="1661"/>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exact"/>
              </w:trPr>
              <w:tc>
                <w:tcPr>
                  <w:tcW w:w="1565" w:type="dxa"/>
                  <w:vMerge w:val="restart"/>
                  <w:noWrap w:val="0"/>
                  <w:vAlign w:val="center"/>
                </w:tcPr>
                <w:p>
                  <w:pPr>
                    <w:jc w:val="center"/>
                    <w:rPr>
                      <w:spacing w:val="-2"/>
                      <w:szCs w:val="21"/>
                    </w:rPr>
                  </w:pPr>
                  <w:r>
                    <w:rPr>
                      <w:spacing w:val="-2"/>
                      <w:szCs w:val="21"/>
                    </w:rPr>
                    <w:t>预测点</w:t>
                  </w:r>
                </w:p>
              </w:tc>
              <w:tc>
                <w:tcPr>
                  <w:tcW w:w="2593" w:type="dxa"/>
                  <w:gridSpan w:val="2"/>
                  <w:noWrap w:val="0"/>
                  <w:vAlign w:val="center"/>
                </w:tcPr>
                <w:p>
                  <w:pPr>
                    <w:jc w:val="center"/>
                    <w:rPr>
                      <w:spacing w:val="-2"/>
                      <w:szCs w:val="21"/>
                    </w:rPr>
                  </w:pPr>
                  <w:r>
                    <w:rPr>
                      <w:spacing w:val="-2"/>
                      <w:szCs w:val="21"/>
                    </w:rPr>
                    <w:t>本底值</w:t>
                  </w:r>
                </w:p>
              </w:tc>
              <w:tc>
                <w:tcPr>
                  <w:tcW w:w="1523" w:type="dxa"/>
                  <w:vMerge w:val="restart"/>
                  <w:noWrap w:val="0"/>
                  <w:vAlign w:val="center"/>
                </w:tcPr>
                <w:p>
                  <w:pPr>
                    <w:jc w:val="center"/>
                    <w:rPr>
                      <w:spacing w:val="-2"/>
                      <w:szCs w:val="21"/>
                    </w:rPr>
                  </w:pPr>
                  <w:r>
                    <w:rPr>
                      <w:spacing w:val="-2"/>
                      <w:szCs w:val="21"/>
                    </w:rPr>
                    <w:t>贡献值</w:t>
                  </w:r>
                </w:p>
              </w:tc>
              <w:tc>
                <w:tcPr>
                  <w:tcW w:w="3461" w:type="dxa"/>
                  <w:gridSpan w:val="2"/>
                  <w:noWrap w:val="0"/>
                  <w:vAlign w:val="center"/>
                </w:tcPr>
                <w:p>
                  <w:pPr>
                    <w:jc w:val="center"/>
                    <w:rPr>
                      <w:spacing w:val="-2"/>
                      <w:szCs w:val="21"/>
                    </w:rPr>
                  </w:pPr>
                  <w:r>
                    <w:rPr>
                      <w:spacing w:val="-2"/>
                      <w:szCs w:val="21"/>
                    </w:rPr>
                    <w:t>叠加值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exact"/>
              </w:trPr>
              <w:tc>
                <w:tcPr>
                  <w:tcW w:w="1565" w:type="dxa"/>
                  <w:vMerge w:val="continue"/>
                  <w:noWrap w:val="0"/>
                  <w:vAlign w:val="center"/>
                </w:tcPr>
                <w:p>
                  <w:pPr>
                    <w:jc w:val="center"/>
                    <w:rPr>
                      <w:spacing w:val="-2"/>
                      <w:szCs w:val="21"/>
                    </w:rPr>
                  </w:pPr>
                </w:p>
              </w:tc>
              <w:tc>
                <w:tcPr>
                  <w:tcW w:w="1181" w:type="dxa"/>
                  <w:noWrap w:val="0"/>
                  <w:vAlign w:val="center"/>
                </w:tcPr>
                <w:p>
                  <w:pPr>
                    <w:jc w:val="center"/>
                    <w:rPr>
                      <w:spacing w:val="-2"/>
                      <w:szCs w:val="21"/>
                    </w:rPr>
                  </w:pPr>
                  <w:r>
                    <w:rPr>
                      <w:spacing w:val="-2"/>
                      <w:szCs w:val="21"/>
                    </w:rPr>
                    <w:t>昼间</w:t>
                  </w:r>
                </w:p>
              </w:tc>
              <w:tc>
                <w:tcPr>
                  <w:tcW w:w="1412" w:type="dxa"/>
                  <w:noWrap w:val="0"/>
                  <w:vAlign w:val="center"/>
                </w:tcPr>
                <w:p>
                  <w:pPr>
                    <w:jc w:val="center"/>
                    <w:rPr>
                      <w:spacing w:val="-2"/>
                      <w:szCs w:val="21"/>
                    </w:rPr>
                  </w:pPr>
                  <w:r>
                    <w:rPr>
                      <w:spacing w:val="-2"/>
                      <w:szCs w:val="21"/>
                    </w:rPr>
                    <w:t>夜间</w:t>
                  </w:r>
                </w:p>
              </w:tc>
              <w:tc>
                <w:tcPr>
                  <w:tcW w:w="1523" w:type="dxa"/>
                  <w:vMerge w:val="continue"/>
                  <w:noWrap w:val="0"/>
                  <w:vAlign w:val="center"/>
                </w:tcPr>
                <w:p>
                  <w:pPr>
                    <w:jc w:val="center"/>
                    <w:rPr>
                      <w:spacing w:val="-2"/>
                      <w:szCs w:val="21"/>
                    </w:rPr>
                  </w:pPr>
                </w:p>
              </w:tc>
              <w:tc>
                <w:tcPr>
                  <w:tcW w:w="1661" w:type="dxa"/>
                  <w:noWrap w:val="0"/>
                  <w:vAlign w:val="center"/>
                </w:tcPr>
                <w:p>
                  <w:pPr>
                    <w:jc w:val="center"/>
                    <w:rPr>
                      <w:spacing w:val="-2"/>
                      <w:szCs w:val="21"/>
                    </w:rPr>
                  </w:pPr>
                  <w:r>
                    <w:rPr>
                      <w:spacing w:val="-2"/>
                      <w:szCs w:val="21"/>
                    </w:rPr>
                    <w:t>昼间</w:t>
                  </w:r>
                </w:p>
              </w:tc>
              <w:tc>
                <w:tcPr>
                  <w:tcW w:w="1800" w:type="dxa"/>
                  <w:noWrap w:val="0"/>
                  <w:vAlign w:val="center"/>
                </w:tcPr>
                <w:p>
                  <w:pPr>
                    <w:jc w:val="center"/>
                    <w:rPr>
                      <w:spacing w:val="-2"/>
                      <w:szCs w:val="21"/>
                    </w:rPr>
                  </w:pPr>
                  <w:r>
                    <w:rPr>
                      <w:spacing w:val="-2"/>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exact"/>
              </w:trPr>
              <w:tc>
                <w:tcPr>
                  <w:tcW w:w="1565" w:type="dxa"/>
                  <w:noWrap w:val="0"/>
                  <w:vAlign w:val="center"/>
                </w:tcPr>
                <w:p>
                  <w:pPr>
                    <w:widowControl/>
                    <w:spacing w:line="240" w:lineRule="exact"/>
                    <w:jc w:val="center"/>
                    <w:rPr>
                      <w:bCs/>
                      <w:kern w:val="0"/>
                      <w:szCs w:val="21"/>
                    </w:rPr>
                  </w:pPr>
                  <w:r>
                    <w:rPr>
                      <w:rFonts w:hint="eastAsia"/>
                      <w:bCs/>
                      <w:kern w:val="0"/>
                      <w:szCs w:val="21"/>
                      <w:lang w:eastAsia="zh-CN"/>
                    </w:rPr>
                    <w:t>西</w:t>
                  </w:r>
                  <w:r>
                    <w:rPr>
                      <w:rFonts w:hint="eastAsia"/>
                      <w:bCs/>
                      <w:kern w:val="0"/>
                      <w:szCs w:val="21"/>
                    </w:rPr>
                    <w:t>面</w:t>
                  </w:r>
                  <w:r>
                    <w:rPr>
                      <w:bCs/>
                      <w:kern w:val="0"/>
                      <w:szCs w:val="21"/>
                    </w:rPr>
                    <w:t>厂界</w:t>
                  </w:r>
                </w:p>
              </w:tc>
              <w:tc>
                <w:tcPr>
                  <w:tcW w:w="1181" w:type="dxa"/>
                  <w:noWrap w:val="0"/>
                  <w:vAlign w:val="center"/>
                </w:tcPr>
                <w:p>
                  <w:pPr>
                    <w:pStyle w:val="50"/>
                    <w:adjustRightInd w:val="0"/>
                    <w:spacing w:before="0" w:beforeAutospacing="0" w:after="0" w:afterAutospacing="0"/>
                    <w:jc w:val="center"/>
                    <w:rPr>
                      <w:rFonts w:hint="eastAsia"/>
                      <w:spacing w:val="-2"/>
                      <w:szCs w:val="21"/>
                    </w:rPr>
                  </w:pPr>
                  <w:r>
                    <w:rPr>
                      <w:rFonts w:hint="eastAsia" w:ascii="Times New Roman" w:hAnsi="Times New Roman"/>
                      <w:sz w:val="21"/>
                      <w:szCs w:val="21"/>
                    </w:rPr>
                    <w:t>58.1</w:t>
                  </w:r>
                </w:p>
              </w:tc>
              <w:tc>
                <w:tcPr>
                  <w:tcW w:w="1412" w:type="dxa"/>
                  <w:noWrap w:val="0"/>
                  <w:vAlign w:val="center"/>
                </w:tcPr>
                <w:p>
                  <w:pPr>
                    <w:pStyle w:val="50"/>
                    <w:adjustRightInd w:val="0"/>
                    <w:spacing w:before="0" w:beforeAutospacing="0" w:after="0" w:afterAutospacing="0"/>
                    <w:jc w:val="center"/>
                    <w:rPr>
                      <w:rFonts w:hint="eastAsia"/>
                      <w:spacing w:val="-2"/>
                      <w:szCs w:val="21"/>
                    </w:rPr>
                  </w:pPr>
                  <w:r>
                    <w:rPr>
                      <w:rFonts w:hint="eastAsia" w:ascii="Times New Roman" w:hAnsi="Times New Roman"/>
                      <w:sz w:val="21"/>
                      <w:szCs w:val="21"/>
                    </w:rPr>
                    <w:t>45.7</w:t>
                  </w:r>
                </w:p>
              </w:tc>
              <w:tc>
                <w:tcPr>
                  <w:tcW w:w="1523" w:type="dxa"/>
                  <w:noWrap w:val="0"/>
                  <w:vAlign w:val="center"/>
                </w:tcPr>
                <w:p>
                  <w:pPr>
                    <w:jc w:val="center"/>
                    <w:rPr>
                      <w:rFonts w:hint="default" w:eastAsia="宋体"/>
                      <w:spacing w:val="-2"/>
                      <w:szCs w:val="21"/>
                      <w:lang w:val="en-US" w:eastAsia="zh-CN"/>
                    </w:rPr>
                  </w:pPr>
                  <w:r>
                    <w:rPr>
                      <w:rFonts w:hint="eastAsia"/>
                      <w:spacing w:val="-2"/>
                      <w:szCs w:val="21"/>
                      <w:lang w:val="en-US" w:eastAsia="zh-CN"/>
                    </w:rPr>
                    <w:t>46.3</w:t>
                  </w:r>
                </w:p>
              </w:tc>
              <w:tc>
                <w:tcPr>
                  <w:tcW w:w="1661" w:type="dxa"/>
                  <w:noWrap w:val="0"/>
                  <w:vAlign w:val="center"/>
                </w:tcPr>
                <w:p>
                  <w:pPr>
                    <w:jc w:val="center"/>
                    <w:rPr>
                      <w:rFonts w:hint="default" w:eastAsia="宋体"/>
                      <w:spacing w:val="-2"/>
                      <w:szCs w:val="21"/>
                      <w:lang w:val="en-US" w:eastAsia="zh-CN"/>
                    </w:rPr>
                  </w:pPr>
                  <w:r>
                    <w:rPr>
                      <w:rFonts w:hint="eastAsia"/>
                      <w:spacing w:val="-2"/>
                      <w:szCs w:val="21"/>
                      <w:lang w:val="en-US" w:eastAsia="zh-CN"/>
                    </w:rPr>
                    <w:t>58.3</w:t>
                  </w:r>
                </w:p>
              </w:tc>
              <w:tc>
                <w:tcPr>
                  <w:tcW w:w="1800" w:type="dxa"/>
                  <w:noWrap w:val="0"/>
                  <w:vAlign w:val="center"/>
                </w:tcPr>
                <w:p>
                  <w:pPr>
                    <w:jc w:val="center"/>
                    <w:rPr>
                      <w:rFonts w:hint="eastAsia" w:eastAsia="宋体"/>
                      <w:spacing w:val="-2"/>
                      <w:szCs w:val="21"/>
                      <w:lang w:eastAsia="zh-CN"/>
                    </w:rPr>
                  </w:pPr>
                  <w:r>
                    <w:rPr>
                      <w:rFonts w:hint="eastAsia"/>
                      <w:spacing w:val="-2"/>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exact"/>
              </w:trPr>
              <w:tc>
                <w:tcPr>
                  <w:tcW w:w="1565" w:type="dxa"/>
                  <w:noWrap w:val="0"/>
                  <w:vAlign w:val="center"/>
                </w:tcPr>
                <w:p>
                  <w:pPr>
                    <w:widowControl/>
                    <w:spacing w:line="240" w:lineRule="exact"/>
                    <w:jc w:val="center"/>
                    <w:rPr>
                      <w:bCs/>
                      <w:kern w:val="0"/>
                      <w:szCs w:val="21"/>
                    </w:rPr>
                  </w:pPr>
                  <w:r>
                    <w:rPr>
                      <w:rFonts w:hint="eastAsia"/>
                      <w:bCs/>
                      <w:kern w:val="0"/>
                      <w:szCs w:val="21"/>
                      <w:lang w:eastAsia="zh-CN"/>
                    </w:rPr>
                    <w:t>南</w:t>
                  </w:r>
                  <w:r>
                    <w:rPr>
                      <w:rFonts w:hint="eastAsia"/>
                      <w:bCs/>
                      <w:kern w:val="0"/>
                      <w:szCs w:val="21"/>
                    </w:rPr>
                    <w:t>面</w:t>
                  </w:r>
                  <w:r>
                    <w:rPr>
                      <w:bCs/>
                      <w:kern w:val="0"/>
                      <w:szCs w:val="21"/>
                    </w:rPr>
                    <w:t>厂界</w:t>
                  </w:r>
                </w:p>
              </w:tc>
              <w:tc>
                <w:tcPr>
                  <w:tcW w:w="1181" w:type="dxa"/>
                  <w:noWrap w:val="0"/>
                  <w:vAlign w:val="center"/>
                </w:tcPr>
                <w:p>
                  <w:pPr>
                    <w:pStyle w:val="50"/>
                    <w:adjustRightInd w:val="0"/>
                    <w:spacing w:before="0" w:beforeAutospacing="0" w:after="0" w:afterAutospacing="0"/>
                    <w:jc w:val="center"/>
                    <w:rPr>
                      <w:rFonts w:hint="eastAsia"/>
                      <w:spacing w:val="-2"/>
                      <w:szCs w:val="21"/>
                    </w:rPr>
                  </w:pPr>
                  <w:r>
                    <w:rPr>
                      <w:rFonts w:hint="eastAsia" w:ascii="Times New Roman" w:hAnsi="Times New Roman"/>
                      <w:sz w:val="21"/>
                      <w:szCs w:val="21"/>
                    </w:rPr>
                    <w:t>43.6</w:t>
                  </w:r>
                </w:p>
              </w:tc>
              <w:tc>
                <w:tcPr>
                  <w:tcW w:w="1412" w:type="dxa"/>
                  <w:noWrap w:val="0"/>
                  <w:vAlign w:val="center"/>
                </w:tcPr>
                <w:p>
                  <w:pPr>
                    <w:pStyle w:val="50"/>
                    <w:adjustRightInd w:val="0"/>
                    <w:spacing w:before="0" w:beforeAutospacing="0" w:after="0" w:afterAutospacing="0"/>
                    <w:jc w:val="center"/>
                    <w:rPr>
                      <w:rFonts w:hint="eastAsia"/>
                      <w:spacing w:val="-2"/>
                      <w:szCs w:val="21"/>
                    </w:rPr>
                  </w:pPr>
                  <w:r>
                    <w:rPr>
                      <w:rFonts w:hint="eastAsia" w:ascii="Times New Roman" w:hAnsi="Times New Roman"/>
                      <w:sz w:val="21"/>
                      <w:szCs w:val="21"/>
                    </w:rPr>
                    <w:t>42.8</w:t>
                  </w:r>
                </w:p>
              </w:tc>
              <w:tc>
                <w:tcPr>
                  <w:tcW w:w="1523" w:type="dxa"/>
                  <w:noWrap w:val="0"/>
                  <w:vAlign w:val="center"/>
                </w:tcPr>
                <w:p>
                  <w:pPr>
                    <w:jc w:val="center"/>
                    <w:rPr>
                      <w:rFonts w:hint="default" w:eastAsia="宋体"/>
                      <w:spacing w:val="-2"/>
                      <w:szCs w:val="21"/>
                      <w:lang w:val="en-US" w:eastAsia="zh-CN"/>
                    </w:rPr>
                  </w:pPr>
                  <w:r>
                    <w:rPr>
                      <w:rFonts w:hint="eastAsia"/>
                      <w:spacing w:val="-2"/>
                      <w:szCs w:val="21"/>
                      <w:lang w:val="en-US" w:eastAsia="zh-CN"/>
                    </w:rPr>
                    <w:t>55.8</w:t>
                  </w:r>
                </w:p>
              </w:tc>
              <w:tc>
                <w:tcPr>
                  <w:tcW w:w="1661" w:type="dxa"/>
                  <w:noWrap w:val="0"/>
                  <w:vAlign w:val="center"/>
                </w:tcPr>
                <w:p>
                  <w:pPr>
                    <w:jc w:val="center"/>
                    <w:rPr>
                      <w:rFonts w:hint="default" w:eastAsia="宋体"/>
                      <w:spacing w:val="-2"/>
                      <w:szCs w:val="21"/>
                      <w:lang w:val="en-US" w:eastAsia="zh-CN"/>
                    </w:rPr>
                  </w:pPr>
                  <w:r>
                    <w:rPr>
                      <w:rFonts w:hint="eastAsia"/>
                      <w:spacing w:val="-2"/>
                      <w:szCs w:val="21"/>
                      <w:lang w:val="en-US" w:eastAsia="zh-CN"/>
                    </w:rPr>
                    <w:t>56.1</w:t>
                  </w:r>
                </w:p>
              </w:tc>
              <w:tc>
                <w:tcPr>
                  <w:tcW w:w="1800" w:type="dxa"/>
                  <w:noWrap w:val="0"/>
                  <w:vAlign w:val="center"/>
                </w:tcPr>
                <w:p>
                  <w:pPr>
                    <w:jc w:val="center"/>
                    <w:rPr>
                      <w:rFonts w:hint="eastAsia" w:eastAsia="宋体"/>
                      <w:spacing w:val="-2"/>
                      <w:szCs w:val="21"/>
                      <w:lang w:eastAsia="zh-CN"/>
                    </w:rPr>
                  </w:pPr>
                  <w:r>
                    <w:rPr>
                      <w:rFonts w:hint="eastAsia"/>
                      <w:spacing w:val="-2"/>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exact"/>
              </w:trPr>
              <w:tc>
                <w:tcPr>
                  <w:tcW w:w="1565" w:type="dxa"/>
                  <w:noWrap w:val="0"/>
                  <w:vAlign w:val="center"/>
                </w:tcPr>
                <w:p>
                  <w:pPr>
                    <w:widowControl/>
                    <w:spacing w:line="240" w:lineRule="exact"/>
                    <w:jc w:val="center"/>
                    <w:rPr>
                      <w:bCs/>
                      <w:kern w:val="0"/>
                      <w:szCs w:val="21"/>
                    </w:rPr>
                  </w:pPr>
                  <w:r>
                    <w:rPr>
                      <w:rFonts w:hint="eastAsia"/>
                      <w:bCs/>
                      <w:kern w:val="0"/>
                      <w:szCs w:val="21"/>
                      <w:lang w:eastAsia="zh-CN"/>
                    </w:rPr>
                    <w:t>东</w:t>
                  </w:r>
                  <w:r>
                    <w:rPr>
                      <w:rFonts w:hint="eastAsia"/>
                      <w:bCs/>
                      <w:kern w:val="0"/>
                      <w:szCs w:val="21"/>
                    </w:rPr>
                    <w:t>面</w:t>
                  </w:r>
                  <w:r>
                    <w:rPr>
                      <w:bCs/>
                      <w:kern w:val="0"/>
                      <w:szCs w:val="21"/>
                    </w:rPr>
                    <w:t>厂界</w:t>
                  </w:r>
                </w:p>
              </w:tc>
              <w:tc>
                <w:tcPr>
                  <w:tcW w:w="1181" w:type="dxa"/>
                  <w:noWrap w:val="0"/>
                  <w:vAlign w:val="center"/>
                </w:tcPr>
                <w:p>
                  <w:pPr>
                    <w:pStyle w:val="50"/>
                    <w:adjustRightInd w:val="0"/>
                    <w:spacing w:before="0" w:beforeAutospacing="0" w:after="0" w:afterAutospacing="0"/>
                    <w:jc w:val="center"/>
                    <w:rPr>
                      <w:rFonts w:hint="eastAsia"/>
                      <w:spacing w:val="-2"/>
                      <w:szCs w:val="21"/>
                    </w:rPr>
                  </w:pPr>
                  <w:r>
                    <w:rPr>
                      <w:rFonts w:hint="eastAsia" w:ascii="Times New Roman" w:hAnsi="Times New Roman"/>
                      <w:sz w:val="21"/>
                      <w:szCs w:val="21"/>
                    </w:rPr>
                    <w:t>45.2</w:t>
                  </w:r>
                </w:p>
              </w:tc>
              <w:tc>
                <w:tcPr>
                  <w:tcW w:w="1412" w:type="dxa"/>
                  <w:noWrap w:val="0"/>
                  <w:vAlign w:val="center"/>
                </w:tcPr>
                <w:p>
                  <w:pPr>
                    <w:pStyle w:val="50"/>
                    <w:adjustRightInd w:val="0"/>
                    <w:spacing w:before="0" w:beforeAutospacing="0" w:after="0" w:afterAutospacing="0"/>
                    <w:jc w:val="center"/>
                    <w:rPr>
                      <w:rFonts w:hint="eastAsia"/>
                      <w:spacing w:val="-2"/>
                      <w:szCs w:val="21"/>
                    </w:rPr>
                  </w:pPr>
                  <w:r>
                    <w:rPr>
                      <w:rFonts w:hint="eastAsia" w:ascii="Times New Roman" w:hAnsi="Times New Roman"/>
                      <w:sz w:val="21"/>
                      <w:szCs w:val="21"/>
                    </w:rPr>
                    <w:t>42.3</w:t>
                  </w:r>
                </w:p>
              </w:tc>
              <w:tc>
                <w:tcPr>
                  <w:tcW w:w="1523" w:type="dxa"/>
                  <w:noWrap w:val="0"/>
                  <w:vAlign w:val="center"/>
                </w:tcPr>
                <w:p>
                  <w:pPr>
                    <w:jc w:val="center"/>
                    <w:rPr>
                      <w:rFonts w:hint="default" w:eastAsia="宋体"/>
                      <w:spacing w:val="-2"/>
                      <w:szCs w:val="21"/>
                      <w:lang w:val="en-US" w:eastAsia="zh-CN"/>
                    </w:rPr>
                  </w:pPr>
                  <w:r>
                    <w:rPr>
                      <w:rFonts w:hint="eastAsia"/>
                      <w:spacing w:val="-2"/>
                      <w:szCs w:val="21"/>
                      <w:lang w:val="en-US" w:eastAsia="zh-CN"/>
                    </w:rPr>
                    <w:t>52.7</w:t>
                  </w:r>
                </w:p>
              </w:tc>
              <w:tc>
                <w:tcPr>
                  <w:tcW w:w="1661" w:type="dxa"/>
                  <w:noWrap w:val="0"/>
                  <w:vAlign w:val="center"/>
                </w:tcPr>
                <w:p>
                  <w:pPr>
                    <w:jc w:val="center"/>
                    <w:rPr>
                      <w:rFonts w:hint="default" w:eastAsia="宋体"/>
                      <w:spacing w:val="-2"/>
                      <w:szCs w:val="21"/>
                      <w:lang w:val="en-US" w:eastAsia="zh-CN"/>
                    </w:rPr>
                  </w:pPr>
                  <w:r>
                    <w:rPr>
                      <w:rFonts w:hint="eastAsia"/>
                      <w:spacing w:val="-2"/>
                      <w:szCs w:val="21"/>
                      <w:lang w:val="en-US" w:eastAsia="zh-CN"/>
                    </w:rPr>
                    <w:t>53.4</w:t>
                  </w:r>
                </w:p>
              </w:tc>
              <w:tc>
                <w:tcPr>
                  <w:tcW w:w="1800" w:type="dxa"/>
                  <w:noWrap w:val="0"/>
                  <w:vAlign w:val="center"/>
                </w:tcPr>
                <w:p>
                  <w:pPr>
                    <w:jc w:val="center"/>
                    <w:rPr>
                      <w:rFonts w:hint="eastAsia" w:eastAsia="宋体"/>
                      <w:spacing w:val="-2"/>
                      <w:szCs w:val="21"/>
                      <w:lang w:eastAsia="zh-CN"/>
                    </w:rPr>
                  </w:pPr>
                  <w:r>
                    <w:rPr>
                      <w:rFonts w:hint="eastAsia"/>
                      <w:spacing w:val="-2"/>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exact"/>
              </w:trPr>
              <w:tc>
                <w:tcPr>
                  <w:tcW w:w="1565" w:type="dxa"/>
                  <w:noWrap w:val="0"/>
                  <w:vAlign w:val="center"/>
                </w:tcPr>
                <w:p>
                  <w:pPr>
                    <w:widowControl/>
                    <w:spacing w:line="240" w:lineRule="exact"/>
                    <w:jc w:val="center"/>
                    <w:rPr>
                      <w:rFonts w:hint="eastAsia" w:eastAsia="宋体"/>
                      <w:bCs/>
                      <w:kern w:val="0"/>
                      <w:szCs w:val="21"/>
                      <w:lang w:eastAsia="zh-CN"/>
                    </w:rPr>
                  </w:pPr>
                  <w:r>
                    <w:rPr>
                      <w:rFonts w:hint="eastAsia"/>
                      <w:bCs/>
                      <w:kern w:val="0"/>
                      <w:szCs w:val="21"/>
                      <w:lang w:eastAsia="zh-CN"/>
                    </w:rPr>
                    <w:t>北面厂界</w:t>
                  </w:r>
                </w:p>
              </w:tc>
              <w:tc>
                <w:tcPr>
                  <w:tcW w:w="1181" w:type="dxa"/>
                  <w:noWrap w:val="0"/>
                  <w:vAlign w:val="center"/>
                </w:tcPr>
                <w:p>
                  <w:pPr>
                    <w:pStyle w:val="50"/>
                    <w:adjustRightInd w:val="0"/>
                    <w:spacing w:before="0" w:beforeAutospacing="0" w:after="0" w:afterAutospacing="0"/>
                    <w:jc w:val="center"/>
                    <w:rPr>
                      <w:rFonts w:hint="eastAsia"/>
                      <w:spacing w:val="-2"/>
                      <w:szCs w:val="21"/>
                    </w:rPr>
                  </w:pPr>
                  <w:r>
                    <w:rPr>
                      <w:rFonts w:hint="eastAsia" w:ascii="Times New Roman" w:hAnsi="Times New Roman"/>
                      <w:sz w:val="21"/>
                      <w:szCs w:val="21"/>
                    </w:rPr>
                    <w:t>51.6</w:t>
                  </w:r>
                </w:p>
              </w:tc>
              <w:tc>
                <w:tcPr>
                  <w:tcW w:w="1412" w:type="dxa"/>
                  <w:noWrap w:val="0"/>
                  <w:vAlign w:val="center"/>
                </w:tcPr>
                <w:p>
                  <w:pPr>
                    <w:pStyle w:val="50"/>
                    <w:adjustRightInd w:val="0"/>
                    <w:spacing w:before="0" w:beforeAutospacing="0" w:after="0" w:afterAutospacing="0"/>
                    <w:jc w:val="center"/>
                    <w:rPr>
                      <w:rFonts w:hint="eastAsia"/>
                      <w:spacing w:val="-2"/>
                      <w:szCs w:val="21"/>
                    </w:rPr>
                  </w:pPr>
                  <w:r>
                    <w:rPr>
                      <w:rFonts w:hint="eastAsia" w:ascii="Times New Roman" w:hAnsi="Times New Roman"/>
                      <w:sz w:val="21"/>
                      <w:szCs w:val="21"/>
                    </w:rPr>
                    <w:t>45.5</w:t>
                  </w:r>
                </w:p>
              </w:tc>
              <w:tc>
                <w:tcPr>
                  <w:tcW w:w="1523" w:type="dxa"/>
                  <w:noWrap w:val="0"/>
                  <w:vAlign w:val="center"/>
                </w:tcPr>
                <w:p>
                  <w:pPr>
                    <w:jc w:val="center"/>
                    <w:rPr>
                      <w:rFonts w:hint="default" w:eastAsia="宋体"/>
                      <w:spacing w:val="-2"/>
                      <w:szCs w:val="21"/>
                      <w:lang w:val="en-US" w:eastAsia="zh-CN"/>
                    </w:rPr>
                  </w:pPr>
                  <w:r>
                    <w:rPr>
                      <w:rFonts w:hint="eastAsia"/>
                      <w:spacing w:val="-2"/>
                      <w:szCs w:val="21"/>
                      <w:lang w:val="en-US" w:eastAsia="zh-CN"/>
                    </w:rPr>
                    <w:t>44.7</w:t>
                  </w:r>
                </w:p>
              </w:tc>
              <w:tc>
                <w:tcPr>
                  <w:tcW w:w="1661" w:type="dxa"/>
                  <w:noWrap w:val="0"/>
                  <w:vAlign w:val="center"/>
                </w:tcPr>
                <w:p>
                  <w:pPr>
                    <w:jc w:val="center"/>
                    <w:rPr>
                      <w:rFonts w:hint="default" w:eastAsia="宋体"/>
                      <w:spacing w:val="-2"/>
                      <w:szCs w:val="21"/>
                      <w:lang w:val="en-US" w:eastAsia="zh-CN"/>
                    </w:rPr>
                  </w:pPr>
                  <w:r>
                    <w:rPr>
                      <w:rFonts w:hint="eastAsia"/>
                      <w:spacing w:val="-2"/>
                      <w:szCs w:val="21"/>
                      <w:lang w:val="en-US" w:eastAsia="zh-CN"/>
                    </w:rPr>
                    <w:t>52.4</w:t>
                  </w:r>
                </w:p>
              </w:tc>
              <w:tc>
                <w:tcPr>
                  <w:tcW w:w="1800" w:type="dxa"/>
                  <w:noWrap w:val="0"/>
                  <w:vAlign w:val="center"/>
                </w:tcPr>
                <w:p>
                  <w:pPr>
                    <w:jc w:val="center"/>
                    <w:rPr>
                      <w:rFonts w:hint="eastAsia" w:eastAsia="宋体"/>
                      <w:spacing w:val="-2"/>
                      <w:szCs w:val="21"/>
                      <w:lang w:val="en-US" w:eastAsia="zh-CN"/>
                    </w:rPr>
                  </w:pPr>
                  <w:r>
                    <w:rPr>
                      <w:rFonts w:hint="eastAsia"/>
                      <w:spacing w:val="-2"/>
                      <w:szCs w:val="21"/>
                      <w:lang w:val="en-US" w:eastAsia="zh-CN"/>
                    </w:rPr>
                    <w:t>-</w:t>
                  </w:r>
                </w:p>
              </w:tc>
            </w:tr>
          </w:tbl>
          <w:p>
            <w:pPr>
              <w:tabs>
                <w:tab w:val="left" w:pos="9166"/>
                <w:tab w:val="left" w:pos="9870"/>
              </w:tabs>
              <w:spacing w:line="360" w:lineRule="auto"/>
              <w:ind w:firstLine="480" w:firstLineChars="200"/>
              <w:rPr>
                <w:rFonts w:hint="eastAsia" w:hAnsi="宋体"/>
                <w:sz w:val="24"/>
                <w:lang w:eastAsia="zh-CN"/>
              </w:rPr>
            </w:pPr>
          </w:p>
          <w:p>
            <w:pPr>
              <w:tabs>
                <w:tab w:val="left" w:pos="9166"/>
                <w:tab w:val="left" w:pos="9870"/>
              </w:tabs>
              <w:spacing w:line="360" w:lineRule="auto"/>
              <w:ind w:firstLine="480" w:firstLineChars="200"/>
              <w:rPr>
                <w:sz w:val="24"/>
              </w:rPr>
            </w:pPr>
            <w:r>
              <w:rPr>
                <w:rFonts w:hint="eastAsia" w:hAnsi="宋体"/>
                <w:sz w:val="24"/>
                <w:lang w:eastAsia="zh-CN"/>
              </w:rPr>
              <w:t>根据预测结果显示，项目运营期各厂界能够达到</w:t>
            </w:r>
            <w:r>
              <w:rPr>
                <w:sz w:val="24"/>
              </w:rPr>
              <w:t>《工业企业厂界环境噪声排放标准》（GB12348-2008）2类标准：昼间≤6</w:t>
            </w:r>
            <w:r>
              <w:rPr>
                <w:rFonts w:hint="eastAsia"/>
                <w:sz w:val="24"/>
              </w:rPr>
              <w:t>5</w:t>
            </w:r>
            <w:r>
              <w:rPr>
                <w:spacing w:val="-2"/>
                <w:sz w:val="24"/>
              </w:rPr>
              <w:t>dB(A)，夜间</w:t>
            </w:r>
            <w:r>
              <w:rPr>
                <w:sz w:val="24"/>
              </w:rPr>
              <w:t>≤5</w:t>
            </w:r>
            <w:r>
              <w:rPr>
                <w:rFonts w:hint="eastAsia"/>
                <w:sz w:val="24"/>
              </w:rPr>
              <w:t>5</w:t>
            </w:r>
            <w:r>
              <w:rPr>
                <w:spacing w:val="-2"/>
                <w:sz w:val="24"/>
              </w:rPr>
              <w:t>dB(A)</w:t>
            </w:r>
            <w:r>
              <w:rPr>
                <w:sz w:val="24"/>
              </w:rPr>
              <w:t>，项目噪声不会对周边环境产生明显影响。</w:t>
            </w:r>
            <w:r>
              <w:rPr>
                <w:rFonts w:hAnsi="宋体"/>
                <w:sz w:val="24"/>
              </w:rPr>
              <w:t>为进一步减少噪声对周围环境的影响，</w:t>
            </w:r>
            <w:r>
              <w:rPr>
                <w:rFonts w:hint="eastAsia" w:hAnsi="宋体"/>
                <w:sz w:val="24"/>
              </w:rPr>
              <w:t>应</w:t>
            </w:r>
            <w:r>
              <w:rPr>
                <w:rFonts w:hAnsi="宋体"/>
                <w:sz w:val="24"/>
              </w:rPr>
              <w:t>采取以下具体的降噪措施：</w:t>
            </w:r>
          </w:p>
          <w:p>
            <w:pPr>
              <w:numPr>
                <w:ilvl w:val="0"/>
                <w:numId w:val="6"/>
              </w:numPr>
              <w:spacing w:line="360" w:lineRule="auto"/>
              <w:rPr>
                <w:sz w:val="24"/>
              </w:rPr>
            </w:pPr>
            <w:r>
              <w:rPr>
                <w:sz w:val="24"/>
              </w:rPr>
              <w:t>合理布局，重视总平面布置</w:t>
            </w:r>
          </w:p>
          <w:p>
            <w:pPr>
              <w:spacing w:line="360" w:lineRule="auto"/>
              <w:ind w:firstLine="480"/>
              <w:rPr>
                <w:sz w:val="24"/>
              </w:rPr>
            </w:pPr>
            <w:r>
              <w:rPr>
                <w:sz w:val="24"/>
              </w:rPr>
              <w:t>尽量将高噪声设备布置在</w:t>
            </w:r>
            <w:r>
              <w:rPr>
                <w:rFonts w:hint="eastAsia"/>
                <w:sz w:val="24"/>
              </w:rPr>
              <w:t>展示区中部</w:t>
            </w:r>
            <w:r>
              <w:rPr>
                <w:sz w:val="24"/>
              </w:rPr>
              <w:t>，远离</w:t>
            </w:r>
            <w:r>
              <w:rPr>
                <w:rFonts w:hint="eastAsia"/>
                <w:sz w:val="24"/>
              </w:rPr>
              <w:t>边</w:t>
            </w:r>
            <w:r>
              <w:rPr>
                <w:sz w:val="24"/>
              </w:rPr>
              <w:t>界的同时选择距离项目附近敏感点最远的位置；对强噪声的</w:t>
            </w:r>
            <w:r>
              <w:rPr>
                <w:rFonts w:hint="eastAsia"/>
                <w:sz w:val="24"/>
              </w:rPr>
              <w:t>设备</w:t>
            </w:r>
            <w:r>
              <w:rPr>
                <w:sz w:val="24"/>
              </w:rPr>
              <w:t>，考虑利用建筑物、构筑物来阻隔声波的传播，减少对周围环境的影响。</w:t>
            </w:r>
          </w:p>
          <w:p>
            <w:pPr>
              <w:spacing w:line="360" w:lineRule="auto"/>
              <w:ind w:firstLine="480"/>
              <w:rPr>
                <w:sz w:val="24"/>
              </w:rPr>
            </w:pPr>
            <w:r>
              <w:rPr>
                <w:rFonts w:hint="eastAsia" w:ascii="宋体" w:hAnsi="宋体" w:cs="宋体"/>
                <w:sz w:val="24"/>
              </w:rPr>
              <w:t>②</w:t>
            </w:r>
            <w:r>
              <w:rPr>
                <w:sz w:val="24"/>
              </w:rPr>
              <w:t>防治措施</w:t>
            </w:r>
          </w:p>
          <w:p>
            <w:pPr>
              <w:spacing w:line="360" w:lineRule="auto"/>
              <w:ind w:firstLine="480"/>
              <w:rPr>
                <w:sz w:val="24"/>
              </w:rPr>
            </w:pPr>
            <w:r>
              <w:rPr>
                <w:sz w:val="24"/>
              </w:rPr>
              <w:t>A、在设备选型方面，在满足工艺</w:t>
            </w:r>
            <w:r>
              <w:rPr>
                <w:rFonts w:hint="eastAsia"/>
                <w:sz w:val="24"/>
              </w:rPr>
              <w:t>制作</w:t>
            </w:r>
            <w:r>
              <w:rPr>
                <w:sz w:val="24"/>
              </w:rPr>
              <w:t>的前提下，选用精度高、质量好、噪声低的设备；对于某些设备运行时由振动产生的噪声，应对设备基础进行隔振、减振，以此减少噪声。</w:t>
            </w:r>
          </w:p>
          <w:p>
            <w:pPr>
              <w:spacing w:line="360" w:lineRule="auto"/>
              <w:ind w:firstLine="480"/>
              <w:rPr>
                <w:sz w:val="24"/>
              </w:rPr>
            </w:pPr>
            <w:r>
              <w:rPr>
                <w:sz w:val="24"/>
              </w:rPr>
              <w:t>B、重视</w:t>
            </w:r>
            <w:r>
              <w:rPr>
                <w:rFonts w:hint="eastAsia"/>
                <w:sz w:val="24"/>
              </w:rPr>
              <w:t>制作展示区</w:t>
            </w:r>
            <w:r>
              <w:rPr>
                <w:sz w:val="24"/>
              </w:rPr>
              <w:t>的使用状况，尽量采用密闭形式，少开门窗，防止噪声对外传播，其中靠</w:t>
            </w:r>
            <w:r>
              <w:rPr>
                <w:rFonts w:hint="eastAsia"/>
                <w:sz w:val="24"/>
              </w:rPr>
              <w:t>边</w:t>
            </w:r>
            <w:r>
              <w:rPr>
                <w:sz w:val="24"/>
              </w:rPr>
              <w:t>界的厂房其一侧墙壁应避免打开门窗；使用隔声材料进行降噪，并在其表面铺覆一层吸声材料，可进一步削减噪声强度。</w:t>
            </w:r>
          </w:p>
          <w:p>
            <w:pPr>
              <w:spacing w:line="360" w:lineRule="auto"/>
              <w:ind w:firstLine="480"/>
              <w:rPr>
                <w:sz w:val="24"/>
              </w:rPr>
            </w:pPr>
            <w:r>
              <w:rPr>
                <w:rFonts w:hint="eastAsia" w:ascii="宋体" w:hAnsi="宋体" w:cs="宋体"/>
                <w:sz w:val="24"/>
              </w:rPr>
              <w:t>③</w:t>
            </w:r>
            <w:r>
              <w:rPr>
                <w:sz w:val="24"/>
              </w:rPr>
              <w:t>加强管理建立设备定期维护、保养的管理制度，以防止设备故障形成的非生产噪声，同时确保环保措施发挥最有效的功能；加强职工环保意识教育，提倡文明，防止人为噪声；对于流动声源（汽车），应强化行车管理制度，严禁鸣号，进</w:t>
            </w:r>
            <w:r>
              <w:rPr>
                <w:rFonts w:hint="eastAsia"/>
                <w:sz w:val="24"/>
              </w:rPr>
              <w:t>场</w:t>
            </w:r>
            <w:r>
              <w:rPr>
                <w:sz w:val="24"/>
              </w:rPr>
              <w:t>区低速行使，最大限度减少流动噪声源。</w:t>
            </w:r>
          </w:p>
          <w:p>
            <w:pPr>
              <w:autoSpaceDE w:val="0"/>
              <w:autoSpaceDN w:val="0"/>
              <w:adjustRightInd w:val="0"/>
              <w:spacing w:line="360" w:lineRule="auto"/>
              <w:ind w:firstLine="491" w:firstLineChars="205"/>
              <w:rPr>
                <w:sz w:val="24"/>
              </w:rPr>
            </w:pPr>
            <w:r>
              <w:rPr>
                <w:rFonts w:hint="eastAsia"/>
                <w:sz w:val="24"/>
              </w:rPr>
              <w:t>在实行以上措施后，可以大大减轻噪声对周围环境的影响，预计项目营运期区域声环境质量可维持在现有水平上，噪声对周围环境影响不大。</w:t>
            </w:r>
          </w:p>
          <w:p>
            <w:pPr>
              <w:spacing w:line="360" w:lineRule="auto"/>
              <w:ind w:firstLine="482" w:firstLineChars="200"/>
              <w:rPr>
                <w:b/>
                <w:bCs/>
                <w:color w:val="000000"/>
                <w:sz w:val="24"/>
              </w:rPr>
            </w:pPr>
            <w:r>
              <w:rPr>
                <w:b/>
                <w:bCs/>
                <w:color w:val="000000"/>
                <w:sz w:val="24"/>
              </w:rPr>
              <w:t>四、固体废物影响分析</w:t>
            </w:r>
            <w:r>
              <w:rPr>
                <w:rFonts w:hint="eastAsia"/>
                <w:b/>
                <w:bCs/>
                <w:color w:val="000000"/>
                <w:sz w:val="24"/>
              </w:rPr>
              <w:t>：</w:t>
            </w:r>
          </w:p>
          <w:p>
            <w:pPr>
              <w:spacing w:line="360" w:lineRule="auto"/>
              <w:ind w:firstLine="480" w:firstLineChars="200"/>
              <w:rPr>
                <w:sz w:val="24"/>
              </w:rPr>
            </w:pPr>
            <w:r>
              <w:rPr>
                <w:rFonts w:hint="eastAsia"/>
                <w:sz w:val="24"/>
              </w:rPr>
              <w:t>项目营运期主要的固体废弃物是除尘器收集粉尘、生活垃圾、污水预处理池污泥、沉淀池固废、不合格产品、油浸淬火废渣、废矿物油。</w:t>
            </w:r>
          </w:p>
          <w:p>
            <w:pPr>
              <w:pStyle w:val="104"/>
              <w:spacing w:line="360" w:lineRule="auto"/>
              <w:ind w:firstLine="480" w:firstLineChars="200"/>
              <w:jc w:val="both"/>
              <w:rPr>
                <w:rFonts w:hint="eastAsia" w:ascii="宋体" w:hAnsi="宋体"/>
                <w:b w:val="0"/>
                <w:bCs/>
                <w:sz w:val="24"/>
                <w:lang w:val="en-US" w:eastAsia="zh-CN"/>
              </w:rPr>
            </w:pPr>
            <w:r>
              <w:rPr>
                <w:rFonts w:hint="eastAsia" w:ascii="宋体" w:hAnsi="宋体"/>
                <w:b w:val="0"/>
                <w:sz w:val="24"/>
                <w:lang w:val="en-US" w:eastAsia="zh-CN"/>
              </w:rPr>
              <w:t>除尘器收集粉尘</w:t>
            </w:r>
            <w:r>
              <w:rPr>
                <w:rFonts w:hint="eastAsia" w:ascii="宋体" w:hAnsi="宋体"/>
                <w:b w:val="0"/>
                <w:bCs/>
                <w:sz w:val="24"/>
                <w:lang w:val="en-US" w:eastAsia="zh-CN"/>
              </w:rPr>
              <w:t>经收集后</w:t>
            </w:r>
            <w:r>
              <w:rPr>
                <w:rFonts w:hint="eastAsia"/>
                <w:b w:val="0"/>
                <w:sz w:val="24"/>
                <w:lang w:val="en-US" w:eastAsia="zh-CN"/>
              </w:rPr>
              <w:t>交由当地环卫部门统一清运至垃圾填埋场处置；</w:t>
            </w:r>
            <w:r>
              <w:rPr>
                <w:rFonts w:hint="eastAsia" w:ascii="宋体" w:hAnsi="宋体"/>
                <w:b w:val="0"/>
                <w:sz w:val="24"/>
                <w:lang w:val="en-US" w:eastAsia="zh-CN"/>
              </w:rPr>
              <w:t>生活垃圾</w:t>
            </w:r>
            <w:r>
              <w:rPr>
                <w:rFonts w:hint="eastAsia"/>
                <w:b w:val="0"/>
                <w:sz w:val="24"/>
                <w:lang w:val="en-US" w:eastAsia="zh-CN"/>
              </w:rPr>
              <w:t>经收集后交由当地环卫部门统一清运至垃圾填埋场处置；</w:t>
            </w:r>
            <w:r>
              <w:rPr>
                <w:rFonts w:hint="eastAsia" w:ascii="宋体" w:hAnsi="宋体"/>
                <w:b w:val="0"/>
                <w:sz w:val="24"/>
                <w:lang w:val="en-US" w:eastAsia="zh-CN"/>
              </w:rPr>
              <w:t>污水预处理池污泥</w:t>
            </w:r>
            <w:r>
              <w:rPr>
                <w:rFonts w:hint="eastAsia"/>
                <w:b w:val="0"/>
                <w:sz w:val="24"/>
                <w:lang w:val="en-US" w:eastAsia="zh-CN"/>
              </w:rPr>
              <w:t>定期清掏用作农肥；</w:t>
            </w:r>
            <w:r>
              <w:rPr>
                <w:rFonts w:hint="eastAsia" w:ascii="宋体" w:hAnsi="宋体"/>
                <w:b w:val="0"/>
                <w:sz w:val="24"/>
                <w:lang w:val="en-US" w:eastAsia="zh-CN"/>
              </w:rPr>
              <w:t>不合格产品统一收集后出售给相关回收单位综合利用；油浸淬火废渣循环水池污泥经收集后交当地环卫部门统一清运至垃圾填埋场处置；淬火油渣</w:t>
            </w:r>
            <w:r>
              <w:rPr>
                <w:rFonts w:hint="eastAsia" w:ascii="宋体" w:hAnsi="宋体"/>
                <w:b w:val="0"/>
                <w:bCs/>
                <w:sz w:val="24"/>
                <w:lang w:val="en-US" w:eastAsia="zh-CN"/>
              </w:rPr>
              <w:t>收集后</w:t>
            </w:r>
            <w:r>
              <w:rPr>
                <w:rFonts w:hint="eastAsia"/>
                <w:b w:val="0"/>
                <w:sz w:val="24"/>
                <w:lang w:val="en-US" w:eastAsia="zh-CN"/>
              </w:rPr>
              <w:t>交由当地环卫部门统一清运至垃圾填埋场处置；循环水池污泥</w:t>
            </w:r>
            <w:r>
              <w:rPr>
                <w:rFonts w:hint="eastAsia" w:ascii="宋体" w:hAnsi="宋体"/>
                <w:b w:val="0"/>
                <w:sz w:val="24"/>
                <w:lang w:val="en-US" w:eastAsia="zh-CN"/>
              </w:rPr>
              <w:t>、废矿物油</w:t>
            </w:r>
            <w:r>
              <w:rPr>
                <w:rFonts w:hint="eastAsia"/>
                <w:b w:val="0"/>
                <w:sz w:val="24"/>
                <w:lang w:val="en-US" w:eastAsia="zh-CN"/>
              </w:rPr>
              <w:t>收集至危废暂存间后交由资质单位处理。</w:t>
            </w:r>
          </w:p>
          <w:p>
            <w:pPr>
              <w:pStyle w:val="343"/>
              <w:spacing w:line="360" w:lineRule="auto"/>
            </w:pPr>
            <w:r>
              <w:t>因此，该建设单位产生的固体废物经处理后不会对环境造成影响。</w:t>
            </w:r>
          </w:p>
          <w:p>
            <w:pPr>
              <w:spacing w:line="360" w:lineRule="auto"/>
              <w:ind w:firstLine="482"/>
              <w:rPr>
                <w:rFonts w:hint="eastAsia"/>
                <w:b/>
                <w:sz w:val="24"/>
              </w:rPr>
            </w:pPr>
            <w:r>
              <w:rPr>
                <w:rFonts w:hint="eastAsia"/>
                <w:b/>
                <w:sz w:val="24"/>
              </w:rPr>
              <w:t>五、项目地下水环境影响分析</w:t>
            </w:r>
          </w:p>
          <w:p>
            <w:pPr>
              <w:spacing w:line="360" w:lineRule="auto"/>
              <w:ind w:firstLine="480" w:firstLineChars="200"/>
              <w:rPr>
                <w:sz w:val="24"/>
              </w:rPr>
            </w:pPr>
            <w:r>
              <w:rPr>
                <w:sz w:val="24"/>
              </w:rPr>
              <w:t>项目对地下水环境可能存在的污染主要来自</w:t>
            </w:r>
            <w:r>
              <w:rPr>
                <w:rFonts w:hint="eastAsia"/>
                <w:sz w:val="24"/>
              </w:rPr>
              <w:t>厂区废矿物油、循环池废水</w:t>
            </w:r>
            <w:r>
              <w:rPr>
                <w:sz w:val="24"/>
              </w:rPr>
              <w:t>的泄漏。项目</w:t>
            </w:r>
            <w:r>
              <w:rPr>
                <w:rFonts w:hint="eastAsia"/>
                <w:sz w:val="24"/>
              </w:rPr>
              <w:t>厂区</w:t>
            </w:r>
            <w:r>
              <w:rPr>
                <w:sz w:val="24"/>
              </w:rPr>
              <w:t>污水管网和各类水池均按要求进行了防渗处理，并定期巡检，正常工况下，</w:t>
            </w:r>
            <w:r>
              <w:rPr>
                <w:rFonts w:hint="eastAsia"/>
                <w:sz w:val="24"/>
              </w:rPr>
              <w:t>污染物</w:t>
            </w:r>
            <w:r>
              <w:rPr>
                <w:sz w:val="24"/>
              </w:rPr>
              <w:t>不会进入到地下水体中，不会造成地下水污染影响。</w:t>
            </w:r>
          </w:p>
          <w:p>
            <w:pPr>
              <w:spacing w:line="360" w:lineRule="auto"/>
              <w:ind w:firstLine="480" w:firstLineChars="200"/>
              <w:rPr>
                <w:rFonts w:hint="eastAsia"/>
                <w:sz w:val="24"/>
              </w:rPr>
            </w:pPr>
            <w:r>
              <w:rPr>
                <w:sz w:val="24"/>
              </w:rPr>
              <w:t>在非正常工况下，区域水池出现泄漏（假定该区域防渗层发生破损情况下），</w:t>
            </w:r>
            <w:r>
              <w:rPr>
                <w:rFonts w:hint="eastAsia"/>
                <w:sz w:val="24"/>
              </w:rPr>
              <w:t>生产废水、生活污水等</w:t>
            </w:r>
            <w:r>
              <w:rPr>
                <w:sz w:val="24"/>
              </w:rPr>
              <w:t>会进入地下水体中</w:t>
            </w:r>
            <w:r>
              <w:rPr>
                <w:rFonts w:hint="eastAsia"/>
                <w:sz w:val="24"/>
              </w:rPr>
              <w:t>，可能</w:t>
            </w:r>
            <w:r>
              <w:rPr>
                <w:sz w:val="24"/>
              </w:rPr>
              <w:t>造成地下水环境污染。该部分污水主要含CODCr，可生化性好，易降解。</w:t>
            </w:r>
            <w:r>
              <w:rPr>
                <w:rFonts w:hint="eastAsia"/>
                <w:sz w:val="24"/>
              </w:rPr>
              <w:t>根据分析，可知项目废水在正常排放情景下，形成的污染超标带极小，不会对下游水质造成影响，更不会对排污口下游的环境敏感目标</w:t>
            </w:r>
            <w:r>
              <w:rPr>
                <w:sz w:val="24"/>
              </w:rPr>
              <w:t>造成影</w:t>
            </w:r>
            <w:r>
              <w:rPr>
                <w:rFonts w:hint="eastAsia"/>
                <w:sz w:val="24"/>
              </w:rPr>
              <w:t>响。</w:t>
            </w:r>
          </w:p>
          <w:p>
            <w:pPr>
              <w:spacing w:line="360" w:lineRule="auto"/>
              <w:ind w:firstLine="480" w:firstLineChars="200"/>
              <w:rPr>
                <w:rFonts w:hint="eastAsia"/>
                <w:sz w:val="24"/>
              </w:rPr>
            </w:pPr>
            <w:r>
              <w:rPr>
                <w:sz w:val="24"/>
              </w:rPr>
              <w:t>因此，</w:t>
            </w:r>
            <w:r>
              <w:rPr>
                <w:rFonts w:hint="eastAsia"/>
                <w:sz w:val="24"/>
              </w:rPr>
              <w:t>综合说来项目在生产过程中外排废水</w:t>
            </w:r>
            <w:r>
              <w:rPr>
                <w:sz w:val="24"/>
              </w:rPr>
              <w:t>不会造成地下水的污染性影响，不会造成区域的地下水水质超标，影响较小。</w:t>
            </w:r>
          </w:p>
          <w:p>
            <w:pPr>
              <w:spacing w:line="360" w:lineRule="auto"/>
              <w:ind w:firstLine="480" w:firstLineChars="200"/>
              <w:rPr>
                <w:rFonts w:hint="eastAsia"/>
                <w:sz w:val="24"/>
              </w:rPr>
            </w:pPr>
            <w:r>
              <w:rPr>
                <w:rFonts w:hint="eastAsia"/>
                <w:sz w:val="24"/>
              </w:rPr>
              <w:t>通过以上分析，可知项目在生产过程中外排废水不会对区域地下水环境造成污染性影响。</w:t>
            </w:r>
          </w:p>
          <w:p>
            <w:pPr>
              <w:adjustRightInd w:val="0"/>
              <w:snapToGrid w:val="0"/>
              <w:spacing w:line="360" w:lineRule="auto"/>
              <w:ind w:firstLine="482" w:firstLineChars="200"/>
              <w:rPr>
                <w:rFonts w:hint="eastAsia"/>
                <w:b/>
                <w:sz w:val="24"/>
              </w:rPr>
            </w:pPr>
            <w:r>
              <w:rPr>
                <w:rFonts w:hint="eastAsia"/>
                <w:b/>
                <w:sz w:val="24"/>
              </w:rPr>
              <w:t>六、土壤环境影响分析</w:t>
            </w:r>
          </w:p>
          <w:p>
            <w:pPr>
              <w:spacing w:line="360" w:lineRule="auto"/>
              <w:ind w:firstLine="480" w:firstLineChars="200"/>
              <w:jc w:val="left"/>
              <w:textAlignment w:val="center"/>
              <w:rPr>
                <w:rFonts w:hint="eastAsia"/>
                <w:sz w:val="24"/>
              </w:rPr>
            </w:pPr>
            <w:r>
              <w:rPr>
                <w:rFonts w:hint="eastAsia"/>
                <w:sz w:val="24"/>
              </w:rPr>
              <w:t>本项目位于乐山市市中区悦来乡龙岩村二组3</w:t>
            </w:r>
            <w:r>
              <w:rPr>
                <w:sz w:val="24"/>
              </w:rPr>
              <w:t>98</w:t>
            </w:r>
            <w:r>
              <w:rPr>
                <w:rFonts w:hint="eastAsia"/>
                <w:sz w:val="24"/>
              </w:rPr>
              <w:t>号（原中铁五局</w:t>
            </w:r>
            <w:r>
              <w:rPr>
                <w:rFonts w:hint="eastAsia"/>
                <w:sz w:val="24"/>
                <w:lang w:eastAsia="zh-CN"/>
              </w:rPr>
              <w:t>拌和站</w:t>
            </w:r>
            <w:r>
              <w:rPr>
                <w:rFonts w:hint="eastAsia"/>
                <w:sz w:val="24"/>
              </w:rPr>
              <w:t>占地），占地约</w:t>
            </w:r>
            <w:r>
              <w:rPr>
                <w:rFonts w:hint="eastAsia"/>
                <w:sz w:val="24"/>
                <w:lang w:val="en-US" w:eastAsia="zh-CN"/>
              </w:rPr>
              <w:t>20</w:t>
            </w:r>
            <w:r>
              <w:rPr>
                <w:rFonts w:hint="eastAsia"/>
                <w:sz w:val="24"/>
                <w:lang w:eastAsia="zh-CN"/>
              </w:rPr>
              <w:t>亩</w:t>
            </w:r>
            <w:r>
              <w:rPr>
                <w:rFonts w:hint="eastAsia"/>
                <w:sz w:val="24"/>
              </w:rPr>
              <w:t>。周边土地类型为山林地，周边50m范围内无耕地、园地、牧草地、饮用水水源等土壤敏感点目标分布，敏感程度为</w:t>
            </w:r>
            <w:r>
              <w:rPr>
                <w:rFonts w:hint="eastAsia"/>
                <w:sz w:val="24"/>
                <w:lang w:eastAsia="zh-CN"/>
              </w:rPr>
              <w:t>不</w:t>
            </w:r>
            <w:r>
              <w:rPr>
                <w:rFonts w:hint="eastAsia"/>
                <w:sz w:val="24"/>
              </w:rPr>
              <w:t>敏感。根据《环境影响评价技术导则 土壤环境HJ964-2018》污染影响型评价工作等级划分，项目可不开展土壤环境影响评价工作。</w:t>
            </w:r>
          </w:p>
          <w:p>
            <w:pPr>
              <w:tabs>
                <w:tab w:val="left" w:pos="3805"/>
              </w:tabs>
              <w:adjustRightInd w:val="0"/>
              <w:snapToGrid w:val="0"/>
              <w:spacing w:line="360" w:lineRule="auto"/>
              <w:ind w:firstLine="2168" w:firstLineChars="900"/>
              <w:rPr>
                <w:rFonts w:hint="eastAsia"/>
                <w:b/>
                <w:sz w:val="24"/>
              </w:rPr>
            </w:pPr>
            <w:r>
              <w:rPr>
                <w:rFonts w:hint="eastAsia"/>
                <w:b/>
                <w:sz w:val="24"/>
              </w:rPr>
              <w:t>表</w:t>
            </w:r>
            <w:r>
              <w:rPr>
                <w:rFonts w:hint="eastAsia"/>
                <w:b/>
                <w:sz w:val="24"/>
                <w:lang w:val="en-US" w:eastAsia="zh-CN"/>
              </w:rPr>
              <w:t xml:space="preserve">7-10 </w:t>
            </w:r>
            <w:r>
              <w:rPr>
                <w:rFonts w:hint="eastAsia"/>
                <w:b/>
                <w:sz w:val="24"/>
              </w:rPr>
              <w:t>建设项目</w:t>
            </w:r>
            <w:r>
              <w:rPr>
                <w:rFonts w:hint="eastAsia"/>
                <w:b/>
                <w:sz w:val="24"/>
                <w:lang w:val="en-US" w:eastAsia="zh-CN"/>
              </w:rPr>
              <w:t>土壤</w:t>
            </w:r>
            <w:r>
              <w:rPr>
                <w:rFonts w:hint="eastAsia"/>
                <w:b/>
                <w:sz w:val="24"/>
              </w:rPr>
              <w:t>环境影响评价自查表</w:t>
            </w:r>
          </w:p>
          <w:tbl>
            <w:tblPr>
              <w:tblStyle w:val="623"/>
              <w:tblW w:w="10522" w:type="dxa"/>
              <w:tblInd w:w="0" w:type="dxa"/>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
            <w:tblGrid>
              <w:gridCol w:w="992"/>
              <w:gridCol w:w="1706"/>
              <w:gridCol w:w="1"/>
              <w:gridCol w:w="1481"/>
              <w:gridCol w:w="669"/>
              <w:gridCol w:w="1560"/>
              <w:gridCol w:w="590"/>
              <w:gridCol w:w="781"/>
              <w:gridCol w:w="1372"/>
              <w:gridCol w:w="1"/>
              <w:gridCol w:w="1368"/>
              <w:gridCol w:w="1"/>
            </w:tblGrid>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trHeight w:val="241" w:hRule="atLeast"/>
              </w:trPr>
              <w:tc>
                <w:tcPr>
                  <w:tcW w:w="2699" w:type="dxa"/>
                  <w:gridSpan w:val="3"/>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cs="Times New Roman"/>
                      <w:color w:val="000000"/>
                    </w:rPr>
                  </w:pPr>
                  <w:r>
                    <w:rPr>
                      <w:rFonts w:hint="eastAsia" w:cs="Times New Roman"/>
                      <w:color w:val="000000"/>
                    </w:rPr>
                    <w:t>工作内容</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完成情况</w:t>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备注</w:t>
                  </w: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41" w:hRule="atLeast"/>
              </w:trPr>
              <w:tc>
                <w:tcPr>
                  <w:tcW w:w="992" w:type="dxa"/>
                  <w:vMerge w:val="restart"/>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影响识别</w:t>
                  </w: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影响类型</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r>
                    <w:rPr>
                      <w:rFonts w:hint="eastAsia" w:cs="Times New Roman"/>
                      <w:color w:val="000000"/>
                      <w:lang w:val="en-US" w:eastAsia="zh-CN"/>
                    </w:rPr>
                    <w:t>污染影响型☑；生态影响型□；两种兼有□</w:t>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41" w:hRule="atLeast"/>
              </w:trPr>
              <w:tc>
                <w:tcPr>
                  <w:tcW w:w="99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土地利用类型</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建设用地☑；农用地□；未利用地□</w:t>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土地利用类型图</w:t>
                  </w: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60" w:hRule="atLeast"/>
              </w:trPr>
              <w:tc>
                <w:tcPr>
                  <w:tcW w:w="992" w:type="dxa"/>
                  <w:vMerge w:val="continue"/>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cs="Times New Roman"/>
                      <w:color w:val="000000"/>
                    </w:rPr>
                  </w:pP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占地规模</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（1.3）hm2</w:t>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496" w:hRule="atLeast"/>
              </w:trPr>
              <w:tc>
                <w:tcPr>
                  <w:tcW w:w="99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敏感目标信息</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敏感目标（）、方位（）、距离（）</w:t>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ind w:right="412" w:rightChars="196"/>
                    <w:jc w:val="right"/>
                    <w:textAlignment w:val="auto"/>
                    <w:rPr>
                      <w:rFonts w:hint="eastAsia" w:cs="Times New Roman"/>
                      <w:color w:val="000000"/>
                      <w:lang w:val="en-US" w:eastAsia="zh-CN"/>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41" w:hRule="atLeast"/>
              </w:trPr>
              <w:tc>
                <w:tcPr>
                  <w:tcW w:w="992" w:type="dxa"/>
                  <w:vMerge w:val="continue"/>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cs="Times New Roman"/>
                      <w:color w:val="000000"/>
                    </w:rPr>
                  </w:pP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影响途径</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r>
                    <w:rPr>
                      <w:rFonts w:hint="eastAsia" w:cs="Times New Roman"/>
                      <w:color w:val="000000"/>
                      <w:lang w:val="en-US" w:eastAsia="zh-CN"/>
                    </w:rPr>
                    <w:t>大气沉降□；地面漫流☑；垂直入渗□；地下水位□；其它□</w:t>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eastAsia="仿宋" w:cs="Times New Roman"/>
                      <w:color w:val="000000"/>
                      <w:lang w:val="en-US" w:eastAsia="zh-CN"/>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41" w:hRule="atLeast"/>
              </w:trPr>
              <w:tc>
                <w:tcPr>
                  <w:tcW w:w="992" w:type="dxa"/>
                  <w:vMerge w:val="continue"/>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cs="Times New Roman"/>
                      <w:color w:val="000000"/>
                    </w:rPr>
                  </w:pP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全部污染物</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cs="Times New Roman"/>
                      <w:color w:val="000000"/>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41" w:hRule="atLeast"/>
              </w:trPr>
              <w:tc>
                <w:tcPr>
                  <w:tcW w:w="99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特征因子</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cs="Times New Roman"/>
                      <w:color w:val="000000"/>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41" w:hRule="atLeast"/>
              </w:trPr>
              <w:tc>
                <w:tcPr>
                  <w:tcW w:w="99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所属土壤环境影响评价项目类别</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fldChar w:fldCharType="begin"/>
                  </w:r>
                  <w:r>
                    <w:rPr>
                      <w:rFonts w:hint="eastAsia" w:cs="Times New Roman"/>
                      <w:color w:val="000000"/>
                      <w:lang w:val="en-US" w:eastAsia="zh-CN"/>
                    </w:rPr>
                    <w:instrText xml:space="preserve"> = 1 \* ROMAN \* MERGEFORMAT </w:instrText>
                  </w:r>
                  <w:r>
                    <w:rPr>
                      <w:rFonts w:hint="eastAsia" w:cs="Times New Roman"/>
                      <w:color w:val="000000"/>
                      <w:lang w:val="en-US" w:eastAsia="zh-CN"/>
                    </w:rPr>
                    <w:fldChar w:fldCharType="separate"/>
                  </w:r>
                  <w:r>
                    <w:rPr>
                      <w:rFonts w:hint="eastAsia" w:cs="Times New Roman"/>
                      <w:color w:val="000000"/>
                      <w:lang w:val="en-US" w:eastAsia="zh-CN"/>
                    </w:rPr>
                    <w:t>I</w:t>
                  </w:r>
                  <w:r>
                    <w:rPr>
                      <w:rFonts w:hint="eastAsia" w:cs="Times New Roman"/>
                      <w:color w:val="000000"/>
                      <w:lang w:val="en-US" w:eastAsia="zh-CN"/>
                    </w:rPr>
                    <w:fldChar w:fldCharType="end"/>
                  </w:r>
                  <w:r>
                    <w:rPr>
                      <w:rFonts w:hint="eastAsia" w:cs="Times New Roman"/>
                      <w:color w:val="000000"/>
                      <w:lang w:val="en-US" w:eastAsia="zh-CN"/>
                    </w:rPr>
                    <w:t>类□；</w:t>
                  </w:r>
                  <w:r>
                    <w:rPr>
                      <w:rFonts w:hint="eastAsia" w:cs="Times New Roman"/>
                      <w:color w:val="000000"/>
                      <w:lang w:val="en-US" w:eastAsia="zh-CN"/>
                    </w:rPr>
                    <w:fldChar w:fldCharType="begin"/>
                  </w:r>
                  <w:r>
                    <w:rPr>
                      <w:rFonts w:hint="eastAsia" w:cs="Times New Roman"/>
                      <w:color w:val="000000"/>
                      <w:lang w:val="en-US" w:eastAsia="zh-CN"/>
                    </w:rPr>
                    <w:instrText xml:space="preserve"> = 2 \* ROMAN \* MERGEFORMAT </w:instrText>
                  </w:r>
                  <w:r>
                    <w:rPr>
                      <w:rFonts w:hint="eastAsia" w:cs="Times New Roman"/>
                      <w:color w:val="000000"/>
                      <w:lang w:val="en-US" w:eastAsia="zh-CN"/>
                    </w:rPr>
                    <w:fldChar w:fldCharType="separate"/>
                  </w:r>
                  <w:r>
                    <w:rPr>
                      <w:rFonts w:hint="eastAsia" w:cs="Times New Roman"/>
                      <w:color w:val="000000"/>
                      <w:lang w:val="en-US" w:eastAsia="zh-CN"/>
                    </w:rPr>
                    <w:t>II</w:t>
                  </w:r>
                  <w:r>
                    <w:rPr>
                      <w:rFonts w:hint="eastAsia" w:cs="Times New Roman"/>
                      <w:color w:val="000000"/>
                      <w:lang w:val="en-US" w:eastAsia="zh-CN"/>
                    </w:rPr>
                    <w:fldChar w:fldCharType="end"/>
                  </w:r>
                  <w:r>
                    <w:rPr>
                      <w:rFonts w:hint="eastAsia" w:cs="Times New Roman"/>
                      <w:color w:val="000000"/>
                      <w:lang w:val="en-US" w:eastAsia="zh-CN"/>
                    </w:rPr>
                    <w:t>类□；</w:t>
                  </w:r>
                  <w:r>
                    <w:rPr>
                      <w:rFonts w:hint="eastAsia" w:cs="Times New Roman"/>
                      <w:color w:val="000000"/>
                      <w:lang w:val="en-US" w:eastAsia="zh-CN"/>
                    </w:rPr>
                    <w:fldChar w:fldCharType="begin"/>
                  </w:r>
                  <w:r>
                    <w:rPr>
                      <w:rFonts w:hint="eastAsia" w:cs="Times New Roman"/>
                      <w:color w:val="000000"/>
                      <w:lang w:val="en-US" w:eastAsia="zh-CN"/>
                    </w:rPr>
                    <w:instrText xml:space="preserve"> = 3 \* ROMAN \* MERGEFORMAT </w:instrText>
                  </w:r>
                  <w:r>
                    <w:rPr>
                      <w:rFonts w:hint="eastAsia" w:cs="Times New Roman"/>
                      <w:color w:val="000000"/>
                      <w:lang w:val="en-US" w:eastAsia="zh-CN"/>
                    </w:rPr>
                    <w:fldChar w:fldCharType="separate"/>
                  </w:r>
                  <w:r>
                    <w:rPr>
                      <w:rFonts w:hint="eastAsia" w:cs="Times New Roman"/>
                      <w:color w:val="000000"/>
                      <w:lang w:val="en-US" w:eastAsia="zh-CN"/>
                    </w:rPr>
                    <w:t>III</w:t>
                  </w:r>
                  <w:r>
                    <w:rPr>
                      <w:rFonts w:hint="eastAsia" w:cs="Times New Roman"/>
                      <w:color w:val="000000"/>
                      <w:lang w:val="en-US" w:eastAsia="zh-CN"/>
                    </w:rPr>
                    <w:fldChar w:fldCharType="end"/>
                  </w:r>
                  <w:r>
                    <w:rPr>
                      <w:rFonts w:hint="eastAsia" w:cs="Times New Roman"/>
                      <w:color w:val="000000"/>
                      <w:lang w:val="en-US" w:eastAsia="zh-CN"/>
                    </w:rPr>
                    <w:t>类☑；</w:t>
                  </w:r>
                  <w:r>
                    <w:rPr>
                      <w:rFonts w:hint="eastAsia" w:cs="Times New Roman"/>
                      <w:color w:val="000000"/>
                      <w:lang w:val="en-US" w:eastAsia="zh-CN"/>
                    </w:rPr>
                    <w:fldChar w:fldCharType="begin"/>
                  </w:r>
                  <w:r>
                    <w:rPr>
                      <w:rFonts w:hint="eastAsia" w:cs="Times New Roman"/>
                      <w:color w:val="000000"/>
                      <w:lang w:val="en-US" w:eastAsia="zh-CN"/>
                    </w:rPr>
                    <w:instrText xml:space="preserve"> = 4 \* ROMAN \* MERGEFORMAT </w:instrText>
                  </w:r>
                  <w:r>
                    <w:rPr>
                      <w:rFonts w:hint="eastAsia" w:cs="Times New Roman"/>
                      <w:color w:val="000000"/>
                      <w:lang w:val="en-US" w:eastAsia="zh-CN"/>
                    </w:rPr>
                    <w:fldChar w:fldCharType="separate"/>
                  </w:r>
                  <w:r>
                    <w:rPr>
                      <w:rFonts w:hint="eastAsia" w:cs="Times New Roman"/>
                      <w:color w:val="000000"/>
                      <w:lang w:val="en-US" w:eastAsia="zh-CN"/>
                    </w:rPr>
                    <w:t>IV</w:t>
                  </w:r>
                  <w:r>
                    <w:rPr>
                      <w:rFonts w:hint="eastAsia" w:cs="Times New Roman"/>
                      <w:color w:val="000000"/>
                      <w:lang w:val="en-US" w:eastAsia="zh-CN"/>
                    </w:rPr>
                    <w:fldChar w:fldCharType="end"/>
                  </w:r>
                  <w:r>
                    <w:rPr>
                      <w:rFonts w:hint="eastAsia" w:cs="Times New Roman"/>
                      <w:color w:val="000000"/>
                      <w:lang w:val="en-US" w:eastAsia="zh-CN"/>
                    </w:rPr>
                    <w:t>类□</w:t>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eastAsia="仿宋" w:cs="Times New Roman"/>
                      <w:color w:val="000000"/>
                      <w:lang w:val="en-US" w:eastAsia="zh-CN"/>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41" w:hRule="atLeast"/>
              </w:trPr>
              <w:tc>
                <w:tcPr>
                  <w:tcW w:w="99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敏感程度</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r>
                    <w:rPr>
                      <w:rFonts w:hint="eastAsia" w:cs="Times New Roman"/>
                      <w:color w:val="000000"/>
                      <w:lang w:val="en-US" w:eastAsia="zh-CN"/>
                    </w:rPr>
                    <w:t>敏感</w:t>
                  </w:r>
                  <w:r>
                    <w:rPr>
                      <w:rFonts w:hint="eastAsia" w:cs="Times New Roman"/>
                      <w:color w:val="000000"/>
                      <w:lang w:val="en-US" w:eastAsia="zh-CN"/>
                    </w:rPr>
                    <w:sym w:font="Wingdings 2" w:char="00A3"/>
                  </w:r>
                  <w:r>
                    <w:rPr>
                      <w:rFonts w:hint="eastAsia" w:cs="Times New Roman"/>
                      <w:color w:val="000000"/>
                      <w:lang w:val="en-US" w:eastAsia="zh-CN"/>
                    </w:rPr>
                    <w:t>；较敏感□；不敏感</w:t>
                  </w:r>
                  <w:r>
                    <w:rPr>
                      <w:rFonts w:hint="eastAsia" w:cs="Times New Roman"/>
                      <w:color w:val="000000"/>
                      <w:lang w:val="en-US" w:eastAsia="zh-CN"/>
                    </w:rPr>
                    <w:sym w:font="Wingdings 2" w:char="0052"/>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eastAsia="仿宋" w:cs="Times New Roman"/>
                      <w:color w:val="000000"/>
                      <w:lang w:val="en-US" w:eastAsia="zh-CN"/>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trHeight w:val="241" w:hRule="atLeast"/>
              </w:trPr>
              <w:tc>
                <w:tcPr>
                  <w:tcW w:w="2699" w:type="dxa"/>
                  <w:gridSpan w:val="3"/>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评价工作等级</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r>
                    <w:rPr>
                      <w:rFonts w:hint="eastAsia" w:cs="Times New Roman"/>
                      <w:color w:val="000000"/>
                      <w:lang w:val="en-US" w:eastAsia="zh-CN"/>
                    </w:rPr>
                    <w:t>一级□；二级□；三级□</w:t>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eastAsia="仿宋" w:cs="Times New Roman"/>
                      <w:color w:val="000000"/>
                      <w:lang w:val="en-US" w:eastAsia="zh-CN"/>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41" w:hRule="atLeast"/>
              </w:trPr>
              <w:tc>
                <w:tcPr>
                  <w:tcW w:w="992" w:type="dxa"/>
                  <w:vMerge w:val="restart"/>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现状调查内容</w:t>
                  </w: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资料搜集</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a）□；b）□；c）□；d）□</w:t>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r>
                    <w:rPr>
                      <w:rFonts w:hint="eastAsia" w:cs="Times New Roman"/>
                      <w:color w:val="000000"/>
                      <w:lang w:val="en-US" w:eastAsia="zh-CN"/>
                    </w:rPr>
                    <w:t>同附录C</w:t>
                  </w: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72" w:hRule="atLeast"/>
              </w:trPr>
              <w:tc>
                <w:tcPr>
                  <w:tcW w:w="99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理化特性</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489" w:hRule="atLeast"/>
              </w:trPr>
              <w:tc>
                <w:tcPr>
                  <w:tcW w:w="99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706" w:type="dxa"/>
                  <w:vMerge w:val="restart"/>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现状监测点位</w:t>
                  </w:r>
                </w:p>
              </w:tc>
              <w:tc>
                <w:tcPr>
                  <w:tcW w:w="1482"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c>
                <w:tcPr>
                  <w:tcW w:w="222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占地范围内</w:t>
                  </w:r>
                </w:p>
              </w:tc>
              <w:tc>
                <w:tcPr>
                  <w:tcW w:w="1371"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占地范围外</w:t>
                  </w:r>
                </w:p>
              </w:tc>
              <w:tc>
                <w:tcPr>
                  <w:tcW w:w="1372"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r>
                    <w:rPr>
                      <w:rFonts w:hint="eastAsia" w:cs="Times New Roman"/>
                      <w:color w:val="000000"/>
                      <w:lang w:val="en-US" w:eastAsia="zh-CN"/>
                    </w:rPr>
                    <w:t>深度</w:t>
                  </w:r>
                </w:p>
              </w:tc>
              <w:tc>
                <w:tcPr>
                  <w:tcW w:w="1369" w:type="dxa"/>
                  <w:gridSpan w:val="2"/>
                  <w:vMerge w:val="restart"/>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点位布置图</w:t>
                  </w: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489" w:hRule="atLeast"/>
              </w:trPr>
              <w:tc>
                <w:tcPr>
                  <w:tcW w:w="99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706" w:type="dxa"/>
                  <w:vMerge w:val="continue"/>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rPr>
                  </w:pPr>
                </w:p>
              </w:tc>
              <w:tc>
                <w:tcPr>
                  <w:tcW w:w="1482"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表层样点数</w:t>
                  </w:r>
                </w:p>
              </w:tc>
              <w:tc>
                <w:tcPr>
                  <w:tcW w:w="222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p>
              </w:tc>
              <w:tc>
                <w:tcPr>
                  <w:tcW w:w="1371"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p>
              </w:tc>
              <w:tc>
                <w:tcPr>
                  <w:tcW w:w="1372"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c>
                <w:tcPr>
                  <w:tcW w:w="1369" w:type="dxa"/>
                  <w:gridSpan w:val="2"/>
                  <w:vMerge w:val="continue"/>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411" w:hRule="atLeast"/>
              </w:trPr>
              <w:tc>
                <w:tcPr>
                  <w:tcW w:w="99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70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482"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柱状样点数</w:t>
                  </w:r>
                </w:p>
              </w:tc>
              <w:tc>
                <w:tcPr>
                  <w:tcW w:w="222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c>
                <w:tcPr>
                  <w:tcW w:w="1371"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c>
                <w:tcPr>
                  <w:tcW w:w="1372"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c>
                <w:tcPr>
                  <w:tcW w:w="1369" w:type="dxa"/>
                  <w:gridSpan w:val="2"/>
                  <w:vMerge w:val="continue"/>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cs="Times New Roman"/>
                      <w:color w:val="000000"/>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41" w:hRule="atLeast"/>
              </w:trPr>
              <w:tc>
                <w:tcPr>
                  <w:tcW w:w="99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现状监测因子</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r>
                    <w:rPr>
                      <w:rFonts w:hint="eastAsia" w:cs="Times New Roman"/>
                    </w:rPr>
                    <w:t>pH</w:t>
                  </w:r>
                  <w:r>
                    <w:rPr>
                      <w:rFonts w:hint="eastAsia" w:cs="Times New Roman"/>
                      <w:lang w:eastAsia="zh-CN"/>
                    </w:rPr>
                    <w:t>、</w:t>
                  </w:r>
                  <w:r>
                    <w:rPr>
                      <w:rFonts w:hint="eastAsia" w:cs="Times New Roman"/>
                    </w:rPr>
                    <w:t>As、Cd、Cu、Pb、Hg、N</w:t>
                  </w:r>
                  <w:r>
                    <w:rPr>
                      <w:rFonts w:hint="eastAsia" w:cs="Times New Roman"/>
                      <w:lang w:eastAsia="zh-CN"/>
                    </w:rPr>
                    <w:t>、</w:t>
                  </w:r>
                  <w:r>
                    <w:rPr>
                      <w:rFonts w:hint="eastAsia" w:cs="Times New Roman"/>
                    </w:rPr>
                    <w:t>无机物（Cr6+、氰化物）、有机物</w:t>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cs="Times New Roman"/>
                      <w:color w:val="000000"/>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00" w:hRule="atLeast"/>
              </w:trPr>
              <w:tc>
                <w:tcPr>
                  <w:tcW w:w="992" w:type="dxa"/>
                  <w:vMerge w:val="restart"/>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现状评价</w:t>
                  </w: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评价因子</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cs="Times New Roman"/>
                      <w:color w:val="000000"/>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41" w:hRule="atLeast"/>
              </w:trPr>
              <w:tc>
                <w:tcPr>
                  <w:tcW w:w="99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评价标准</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GB 15618□;GB 36600☑;表D.1□;表D.2□;其它□</w:t>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41" w:hRule="atLeast"/>
              </w:trPr>
              <w:tc>
                <w:tcPr>
                  <w:tcW w:w="99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lang w:val="en-US" w:eastAsia="zh-CN"/>
                    </w:rPr>
                  </w:pPr>
                  <w:r>
                    <w:rPr>
                      <w:rFonts w:hint="eastAsia" w:cs="Times New Roman"/>
                      <w:lang w:val="en-US" w:eastAsia="zh-CN"/>
                    </w:rPr>
                    <w:t>现状评价结论</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lang w:val="en-US" w:eastAsia="zh-CN"/>
                    </w:rPr>
                  </w:pP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41" w:hRule="atLeast"/>
              </w:trPr>
              <w:tc>
                <w:tcPr>
                  <w:tcW w:w="992"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rFonts w:hint="default" w:eastAsia="宋体"/>
                      <w:color w:val="000000"/>
                      <w:kern w:val="2"/>
                      <w:sz w:val="18"/>
                      <w:szCs w:val="18"/>
                      <w:lang w:val="en-US" w:eastAsia="zh-CN"/>
                    </w:rPr>
                  </w:pPr>
                  <w:r>
                    <w:rPr>
                      <w:rFonts w:hint="eastAsia"/>
                      <w:color w:val="000000"/>
                      <w:kern w:val="2"/>
                      <w:sz w:val="18"/>
                      <w:szCs w:val="18"/>
                      <w:lang w:val="en-US" w:eastAsia="zh-CN"/>
                    </w:rPr>
                    <w:t>影响预测</w:t>
                  </w: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预测因子</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41" w:hRule="atLeast"/>
              </w:trPr>
              <w:tc>
                <w:tcPr>
                  <w:tcW w:w="99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预测分析内容</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r>
                    <w:rPr>
                      <w:rFonts w:hint="eastAsia" w:cs="Times New Roman"/>
                      <w:color w:val="000000"/>
                      <w:lang w:val="en-US" w:eastAsia="zh-CN"/>
                    </w:rPr>
                    <w:t>影响范围（）</w:t>
                  </w:r>
                </w:p>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影响程度（）</w:t>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41" w:hRule="atLeast"/>
              </w:trPr>
              <w:tc>
                <w:tcPr>
                  <w:tcW w:w="99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预测结论</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r>
                    <w:rPr>
                      <w:rFonts w:hint="eastAsia" w:cs="Times New Roman"/>
                      <w:color w:val="000000"/>
                      <w:lang w:val="en-US" w:eastAsia="zh-CN"/>
                    </w:rPr>
                    <w:t>达标结论：a）□；b）□；c）□</w:t>
                  </w:r>
                </w:p>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不达标结论：a）□;b)□</w:t>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ascii="仿宋" w:hAnsi="仿宋" w:eastAsia="仿宋" w:cs="Times New Roman"/>
                      <w:color w:val="000000"/>
                      <w:lang w:val="en-US" w:eastAsia="zh-CN"/>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394" w:hRule="atLeast"/>
              </w:trPr>
              <w:tc>
                <w:tcPr>
                  <w:tcW w:w="992" w:type="dxa"/>
                  <w:vMerge w:val="restart"/>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防治措施</w:t>
                  </w: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防控措施</w:t>
                  </w: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土壤环境质量现状保障□；源头控制□；过程防控□；其它（）</w:t>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191" w:hRule="atLeast"/>
              </w:trPr>
              <w:tc>
                <w:tcPr>
                  <w:tcW w:w="99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706" w:type="dxa"/>
                  <w:vMerge w:val="restart"/>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eastAsia="宋体" w:cs="Times New Roman"/>
                      <w:color w:val="000000"/>
                      <w:lang w:val="en-US" w:eastAsia="zh-CN"/>
                    </w:rPr>
                  </w:pPr>
                  <w:r>
                    <w:rPr>
                      <w:rFonts w:hint="eastAsia" w:cs="Times New Roman"/>
                      <w:color w:val="000000"/>
                      <w:lang w:val="en-US" w:eastAsia="zh-CN"/>
                    </w:rPr>
                    <w:t>跟踪监测</w:t>
                  </w:r>
                </w:p>
              </w:tc>
              <w:tc>
                <w:tcPr>
                  <w:tcW w:w="2151" w:type="dxa"/>
                  <w:gridSpan w:val="3"/>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监测点位</w:t>
                  </w:r>
                </w:p>
              </w:tc>
              <w:tc>
                <w:tcPr>
                  <w:tcW w:w="2150"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监测指标</w:t>
                  </w:r>
                </w:p>
              </w:tc>
              <w:tc>
                <w:tcPr>
                  <w:tcW w:w="2153"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default" w:cs="Times New Roman"/>
                      <w:color w:val="000000"/>
                      <w:lang w:val="en-US" w:eastAsia="zh-CN"/>
                    </w:rPr>
                  </w:pPr>
                  <w:r>
                    <w:rPr>
                      <w:rFonts w:hint="eastAsia" w:cs="Times New Roman"/>
                      <w:color w:val="000000"/>
                      <w:lang w:val="en-US" w:eastAsia="zh-CN"/>
                    </w:rPr>
                    <w:t>监测频次</w:t>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191" w:hRule="atLeast"/>
              </w:trPr>
              <w:tc>
                <w:tcPr>
                  <w:tcW w:w="992" w:type="dxa"/>
                  <w:vMerge w:val="continue"/>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pPr>
                </w:p>
              </w:tc>
              <w:tc>
                <w:tcPr>
                  <w:tcW w:w="1706" w:type="dxa"/>
                  <w:vMerge w:val="continue"/>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pPr>
                </w:p>
              </w:tc>
              <w:tc>
                <w:tcPr>
                  <w:tcW w:w="2151" w:type="dxa"/>
                  <w:gridSpan w:val="3"/>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c>
                <w:tcPr>
                  <w:tcW w:w="2150"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c>
                <w:tcPr>
                  <w:tcW w:w="2153"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hint="eastAsia" w:cs="Times New Roman"/>
                      <w:color w:val="000000"/>
                      <w:lang w:val="en-US" w:eastAsia="zh-CN"/>
                    </w:rPr>
                  </w:pP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gridAfter w:val="1"/>
                <w:wAfter w:w="1" w:type="dxa"/>
                <w:trHeight w:val="241" w:hRule="atLeast"/>
              </w:trPr>
              <w:tc>
                <w:tcPr>
                  <w:tcW w:w="99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color w:val="000000"/>
                      <w:kern w:val="2"/>
                      <w:sz w:val="18"/>
                      <w:szCs w:val="18"/>
                    </w:rPr>
                  </w:pPr>
                </w:p>
              </w:tc>
              <w:tc>
                <w:tcPr>
                  <w:tcW w:w="1706" w:type="dxa"/>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cs="Times New Roman"/>
                      <w:color w:val="000000"/>
                    </w:rPr>
                  </w:pPr>
                </w:p>
              </w:tc>
              <w:tc>
                <w:tcPr>
                  <w:tcW w:w="6454" w:type="dxa"/>
                  <w:gridSpan w:val="7"/>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cs="Times New Roman"/>
                      <w:color w:val="000000"/>
                    </w:rPr>
                  </w:pP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textAlignment w:val="auto"/>
                    <w:rPr>
                      <w:rFonts w:cs="Times New Roman"/>
                      <w:color w:val="000000"/>
                    </w:rPr>
                  </w:pPr>
                </w:p>
              </w:tc>
            </w:tr>
            <w:tr>
              <w:tblPrEx>
                <w:tblBorders>
                  <w:top w:val="single" w:color="auto" w:sz="4" w:space="0"/>
                  <w:left w:val="single" w:color="auto" w:sz="4" w:space="0"/>
                  <w:bottom w:val="single" w:color="auto" w:sz="4" w:space="0"/>
                  <w:right w:val="single" w:color="auto" w:sz="12" w:space="0"/>
                  <w:insideH w:val="single" w:color="auto" w:sz="6" w:space="0"/>
                  <w:insideV w:val="none" w:color="auto" w:sz="0" w:space="0"/>
                </w:tblBorders>
                <w:tblLayout w:type="fixed"/>
                <w:tblCellMar>
                  <w:top w:w="0" w:type="dxa"/>
                  <w:left w:w="28" w:type="dxa"/>
                  <w:bottom w:w="0" w:type="dxa"/>
                  <w:right w:w="28" w:type="dxa"/>
                </w:tblCellMar>
              </w:tblPrEx>
              <w:trPr>
                <w:trHeight w:val="411" w:hRule="atLeast"/>
              </w:trPr>
              <w:tc>
                <w:tcPr>
                  <w:tcW w:w="9153" w:type="dxa"/>
                  <w:gridSpan w:val="10"/>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jc w:val="left"/>
                    <w:textAlignment w:val="auto"/>
                    <w:rPr>
                      <w:rFonts w:hint="eastAsia" w:cs="Times New Roman"/>
                      <w:color w:val="000000"/>
                      <w:lang w:val="en-US" w:eastAsia="zh-CN"/>
                    </w:rPr>
                  </w:pPr>
                  <w:r>
                    <w:rPr>
                      <w:rFonts w:hint="eastAsia" w:cs="Times New Roman"/>
                      <w:color w:val="000000"/>
                    </w:rPr>
                    <w:t>注</w:t>
                  </w:r>
                  <w:r>
                    <w:rPr>
                      <w:rFonts w:hint="eastAsia" w:cs="Times New Roman"/>
                      <w:color w:val="000000"/>
                      <w:lang w:val="en-US" w:eastAsia="zh-CN"/>
                    </w:rPr>
                    <w:t>1</w:t>
                  </w:r>
                  <w:r>
                    <w:rPr>
                      <w:rFonts w:hint="eastAsia" w:cs="Times New Roman"/>
                      <w:color w:val="000000"/>
                    </w:rPr>
                    <w:t>：“</w:t>
                  </w:r>
                  <w:r>
                    <w:rPr>
                      <w:rFonts w:hint="eastAsia" w:ascii="仿宋" w:hAnsi="仿宋" w:eastAsia="仿宋" w:cs="Times New Roman"/>
                      <w:color w:val="000000"/>
                    </w:rPr>
                    <w:t>□</w:t>
                  </w:r>
                  <w:r>
                    <w:rPr>
                      <w:rFonts w:hint="eastAsia" w:cs="Times New Roman"/>
                      <w:color w:val="000000"/>
                    </w:rPr>
                    <w:t>”</w:t>
                  </w:r>
                  <w:r>
                    <w:rPr>
                      <w:rFonts w:cs="Times New Roman"/>
                      <w:color w:val="000000"/>
                    </w:rPr>
                    <w:t> </w:t>
                  </w:r>
                  <w:r>
                    <w:rPr>
                      <w:rFonts w:hint="eastAsia" w:cs="Times New Roman"/>
                      <w:color w:val="000000"/>
                    </w:rPr>
                    <w:t>为勾选项</w:t>
                  </w:r>
                  <w:r>
                    <w:rPr>
                      <w:rFonts w:cs="Times New Roman"/>
                      <w:color w:val="000000"/>
                    </w:rPr>
                    <w:t> </w:t>
                  </w:r>
                  <w:r>
                    <w:rPr>
                      <w:rFonts w:hint="eastAsia" w:cs="Times New Roman"/>
                      <w:color w:val="000000"/>
                    </w:rPr>
                    <w:t>，填“√”</w:t>
                  </w:r>
                  <w:r>
                    <w:rPr>
                      <w:rFonts w:cs="Times New Roman"/>
                      <w:color w:val="000000"/>
                    </w:rPr>
                    <w:t> </w:t>
                  </w:r>
                  <w:r>
                    <w:rPr>
                      <w:rFonts w:hint="eastAsia" w:cs="Times New Roman"/>
                      <w:color w:val="000000"/>
                    </w:rPr>
                    <w:t>；</w:t>
                  </w:r>
                  <w:r>
                    <w:rPr>
                      <w:rFonts w:cs="Times New Roman"/>
                      <w:color w:val="000000"/>
                    </w:rPr>
                    <w:t>“</w:t>
                  </w:r>
                  <w:r>
                    <w:rPr>
                      <w:rFonts w:hint="eastAsia" w:cs="Times New Roman"/>
                      <w:color w:val="000000"/>
                    </w:rPr>
                    <w:t>（</w:t>
                  </w:r>
                  <w:r>
                    <w:rPr>
                      <w:rFonts w:cs="Times New Roman"/>
                      <w:color w:val="000000"/>
                    </w:rPr>
                    <w:t xml:space="preserve">   </w:t>
                  </w:r>
                  <w:r>
                    <w:rPr>
                      <w:rFonts w:hint="eastAsia" w:cs="Times New Roman"/>
                      <w:color w:val="000000"/>
                    </w:rPr>
                    <w:t>）</w:t>
                  </w:r>
                  <w:r>
                    <w:rPr>
                      <w:rFonts w:cs="Times New Roman"/>
                      <w:color w:val="000000"/>
                    </w:rPr>
                    <w:t xml:space="preserve">” </w:t>
                  </w:r>
                  <w:r>
                    <w:rPr>
                      <w:rFonts w:hint="eastAsia" w:cs="Times New Roman"/>
                      <w:color w:val="000000"/>
                    </w:rPr>
                    <w:t>为内容填写项</w:t>
                  </w:r>
                  <w:r>
                    <w:rPr>
                      <w:rFonts w:hint="eastAsia" w:cs="Times New Roman"/>
                      <w:color w:val="000000"/>
                      <w:lang w:eastAsia="zh-CN"/>
                    </w:rPr>
                    <w:t>；“</w:t>
                  </w:r>
                  <w:r>
                    <w:rPr>
                      <w:rFonts w:hint="eastAsia" w:cs="Times New Roman"/>
                      <w:color w:val="000000"/>
                      <w:lang w:val="en-US" w:eastAsia="zh-CN"/>
                    </w:rPr>
                    <w:t>备注</w:t>
                  </w:r>
                  <w:r>
                    <w:rPr>
                      <w:rFonts w:hint="eastAsia" w:cs="Times New Roman"/>
                      <w:color w:val="000000"/>
                      <w:lang w:eastAsia="zh-CN"/>
                    </w:rPr>
                    <w:t>”</w:t>
                  </w:r>
                  <w:r>
                    <w:rPr>
                      <w:rFonts w:hint="eastAsia" w:cs="Times New Roman"/>
                      <w:color w:val="000000"/>
                      <w:lang w:val="en-US" w:eastAsia="zh-CN"/>
                    </w:rPr>
                    <w:t>为其它补充内容。</w:t>
                  </w:r>
                </w:p>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jc w:val="left"/>
                    <w:textAlignment w:val="auto"/>
                    <w:rPr>
                      <w:rFonts w:hint="default" w:cs="Times New Roman"/>
                      <w:color w:val="000000"/>
                      <w:lang w:val="en-US" w:eastAsia="zh-CN"/>
                    </w:rPr>
                  </w:pPr>
                  <w:r>
                    <w:rPr>
                      <w:rFonts w:hint="eastAsia" w:cs="Times New Roman"/>
                      <w:color w:val="000000"/>
                      <w:lang w:val="en-US" w:eastAsia="zh-CN"/>
                    </w:rPr>
                    <w:t>注2：需要分别看展土壤环境影响评价工作的，分别填写自查表。</w:t>
                  </w:r>
                </w:p>
              </w:tc>
              <w:tc>
                <w:tcPr>
                  <w:tcW w:w="1369" w:type="dxa"/>
                  <w:gridSpan w:val="2"/>
                  <w:tcBorders>
                    <w:tl2br w:val="nil"/>
                    <w:tr2bl w:val="nil"/>
                  </w:tcBorders>
                  <w:noWrap w:val="0"/>
                  <w:vAlign w:val="center"/>
                </w:tcPr>
                <w:p>
                  <w:pPr>
                    <w:pStyle w:val="94"/>
                    <w:keepNext w:val="0"/>
                    <w:keepLines w:val="0"/>
                    <w:pageBreakBefore w:val="0"/>
                    <w:widowControl/>
                    <w:tabs>
                      <w:tab w:val="left" w:pos="-2848"/>
                    </w:tabs>
                    <w:kinsoku/>
                    <w:wordWrap/>
                    <w:overflowPunct/>
                    <w:topLinePunct w:val="0"/>
                    <w:autoSpaceDE/>
                    <w:autoSpaceDN/>
                    <w:bidi w:val="0"/>
                    <w:adjustRightInd w:val="0"/>
                    <w:snapToGrid w:val="0"/>
                    <w:spacing w:beforeLines="0" w:afterLines="0" w:line="240" w:lineRule="auto"/>
                    <w:jc w:val="left"/>
                    <w:textAlignment w:val="auto"/>
                    <w:rPr>
                      <w:rFonts w:hint="eastAsia" w:cs="Times New Roman"/>
                      <w:color w:val="000000"/>
                    </w:rPr>
                  </w:pPr>
                </w:p>
              </w:tc>
            </w:tr>
          </w:tbl>
          <w:p>
            <w:pPr>
              <w:spacing w:line="360" w:lineRule="auto"/>
              <w:ind w:firstLine="480" w:firstLineChars="200"/>
              <w:jc w:val="left"/>
              <w:textAlignment w:val="center"/>
              <w:rPr>
                <w:sz w:val="24"/>
              </w:rPr>
            </w:pPr>
          </w:p>
          <w:p>
            <w:pPr>
              <w:adjustRightInd w:val="0"/>
              <w:snapToGrid w:val="0"/>
              <w:spacing w:line="360" w:lineRule="auto"/>
              <w:ind w:firstLine="482" w:firstLineChars="200"/>
              <w:rPr>
                <w:b/>
                <w:sz w:val="24"/>
              </w:rPr>
            </w:pPr>
            <w:r>
              <w:rPr>
                <w:rFonts w:hint="eastAsia"/>
                <w:b/>
                <w:sz w:val="24"/>
              </w:rPr>
              <w:t>七、环境风险</w:t>
            </w:r>
          </w:p>
          <w:p>
            <w:pPr>
              <w:spacing w:line="360" w:lineRule="auto"/>
              <w:ind w:firstLine="480" w:firstLineChars="200"/>
              <w:rPr>
                <w:rFonts w:hint="eastAsia"/>
                <w:sz w:val="24"/>
              </w:rPr>
            </w:pPr>
            <w:r>
              <w:rPr>
                <w:sz w:val="24"/>
              </w:rPr>
              <w:t>环境风险评价是环境影响评价领域中的一个重要组成部分，伴随着人们对环境危险及其灾害的认识日益增强和环境影响评价工作的深入开展，人们已经逐渐从正常事件转移到对偶然事件发生可能性的环境影响进行风险研究。环境风险评价的目的是分析和预测建设项目存在的潜在危险、有害因素，建设项目在建设和运行期间可能发生的突发性事件或事故，引起有毒有害和易燃易爆等物质的泄漏，所造成的人身安全与环境影响和损害程度，提出合理可行的防范、应急与减缓措施，以使建设项目事故率、损失和环境影响达到可接受的水平</w:t>
            </w:r>
            <w:r>
              <w:rPr>
                <w:rFonts w:hint="eastAsia"/>
                <w:sz w:val="24"/>
              </w:rPr>
              <w:t>。</w:t>
            </w:r>
          </w:p>
          <w:p>
            <w:pPr>
              <w:spacing w:line="360" w:lineRule="auto"/>
              <w:ind w:firstLine="480" w:firstLineChars="200"/>
              <w:rPr>
                <w:rFonts w:hint="eastAsia"/>
                <w:sz w:val="24"/>
              </w:rPr>
            </w:pPr>
            <w:r>
              <w:rPr>
                <w:rFonts w:hint="eastAsia"/>
                <w:sz w:val="24"/>
              </w:rPr>
              <w:t>1、评价依据</w:t>
            </w:r>
          </w:p>
          <w:p>
            <w:pPr>
              <w:spacing w:line="360" w:lineRule="auto"/>
              <w:ind w:firstLine="480" w:firstLineChars="200"/>
              <w:rPr>
                <w:rFonts w:hint="eastAsia"/>
                <w:sz w:val="24"/>
              </w:rPr>
            </w:pPr>
            <w:r>
              <w:rPr>
                <w:rFonts w:hint="eastAsia"/>
                <w:sz w:val="24"/>
              </w:rPr>
              <w:t>（1）风险调查</w:t>
            </w:r>
          </w:p>
          <w:p>
            <w:pPr>
              <w:spacing w:line="360" w:lineRule="auto"/>
              <w:ind w:firstLine="480" w:firstLineChars="200"/>
              <w:rPr>
                <w:sz w:val="24"/>
              </w:rPr>
            </w:pPr>
            <w:r>
              <w:rPr>
                <w:sz w:val="24"/>
              </w:rPr>
              <w:t>依据《建设项目风险评价技术导则》（HJT169-2018）--附录 B重点关注的危险物质及临界量，第“</w:t>
            </w:r>
            <w:r>
              <w:rPr>
                <w:rFonts w:hint="eastAsia"/>
                <w:sz w:val="24"/>
              </w:rPr>
              <w:t>169甲醇</w:t>
            </w:r>
            <w:r>
              <w:rPr>
                <w:sz w:val="24"/>
              </w:rPr>
              <w:t>（</w:t>
            </w:r>
            <w:r>
              <w:rPr>
                <w:rFonts w:hint="eastAsia"/>
                <w:sz w:val="24"/>
              </w:rPr>
              <w:t>67-56-1</w:t>
            </w:r>
            <w:r>
              <w:rPr>
                <w:sz w:val="24"/>
              </w:rPr>
              <w:t>）”，临界量为</w:t>
            </w:r>
            <w:r>
              <w:rPr>
                <w:rFonts w:hint="eastAsia"/>
                <w:sz w:val="24"/>
              </w:rPr>
              <w:t>10</w:t>
            </w:r>
            <w:r>
              <w:rPr>
                <w:sz w:val="24"/>
              </w:rPr>
              <w:t>t，本项目在生产过程中</w:t>
            </w:r>
            <w:r>
              <w:rPr>
                <w:rFonts w:hint="eastAsia"/>
                <w:sz w:val="24"/>
              </w:rPr>
              <w:t>需使用生物醇油，其主要成分为甲醇</w:t>
            </w:r>
            <w:r>
              <w:rPr>
                <w:sz w:val="24"/>
              </w:rPr>
              <w:t>。最大储量为</w:t>
            </w:r>
            <w:r>
              <w:rPr>
                <w:rFonts w:hint="eastAsia"/>
                <w:sz w:val="24"/>
              </w:rPr>
              <w:t>0.5</w:t>
            </w:r>
            <w:r>
              <w:rPr>
                <w:sz w:val="24"/>
              </w:rPr>
              <w:t>t。</w:t>
            </w:r>
          </w:p>
          <w:p>
            <w:pPr>
              <w:spacing w:before="120" w:beforeLines="50" w:line="360" w:lineRule="auto"/>
              <w:ind w:firstLine="3072" w:firstLineChars="1275"/>
              <w:rPr>
                <w:b/>
                <w:sz w:val="24"/>
              </w:rPr>
            </w:pPr>
            <w:r>
              <w:rPr>
                <w:b/>
                <w:sz w:val="24"/>
              </w:rPr>
              <w:t>表  7-</w:t>
            </w:r>
            <w:r>
              <w:rPr>
                <w:rFonts w:hint="eastAsia"/>
                <w:b/>
                <w:sz w:val="24"/>
                <w:lang w:val="en-US" w:eastAsia="zh-CN"/>
              </w:rPr>
              <w:t>11</w:t>
            </w:r>
            <w:r>
              <w:rPr>
                <w:rFonts w:hint="eastAsia"/>
                <w:b/>
                <w:sz w:val="24"/>
              </w:rPr>
              <w:t xml:space="preserve"> </w:t>
            </w:r>
            <w:r>
              <w:rPr>
                <w:b/>
                <w:sz w:val="24"/>
              </w:rPr>
              <w:t>突发环境事件风险物质及临界量</w:t>
            </w:r>
          </w:p>
          <w:tbl>
            <w:tblPr>
              <w:tblStyle w:val="69"/>
              <w:tblW w:w="9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286"/>
              <w:gridCol w:w="1299"/>
              <w:gridCol w:w="1605"/>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5" w:type="dxa"/>
                  <w:noWrap w:val="0"/>
                  <w:vAlign w:val="top"/>
                </w:tcPr>
                <w:p>
                  <w:pPr>
                    <w:spacing w:line="360" w:lineRule="auto"/>
                    <w:rPr>
                      <w:rFonts w:hint="eastAsia"/>
                      <w:szCs w:val="21"/>
                      <w:lang w:val="ru-RU"/>
                    </w:rPr>
                  </w:pPr>
                  <w:r>
                    <w:rPr>
                      <w:rFonts w:hint="eastAsia"/>
                      <w:szCs w:val="21"/>
                      <w:lang w:val="ru-RU"/>
                    </w:rPr>
                    <w:t>序号</w:t>
                  </w:r>
                </w:p>
              </w:tc>
              <w:tc>
                <w:tcPr>
                  <w:tcW w:w="2286" w:type="dxa"/>
                  <w:noWrap w:val="0"/>
                  <w:vAlign w:val="top"/>
                </w:tcPr>
                <w:p>
                  <w:pPr>
                    <w:spacing w:line="360" w:lineRule="auto"/>
                    <w:rPr>
                      <w:rFonts w:hint="eastAsia"/>
                      <w:szCs w:val="21"/>
                      <w:lang w:val="ru-RU"/>
                    </w:rPr>
                  </w:pPr>
                  <w:r>
                    <w:rPr>
                      <w:rFonts w:hint="eastAsia"/>
                      <w:szCs w:val="21"/>
                      <w:lang w:val="ru-RU"/>
                    </w:rPr>
                    <w:t>物质名称</w:t>
                  </w:r>
                </w:p>
              </w:tc>
              <w:tc>
                <w:tcPr>
                  <w:tcW w:w="1299" w:type="dxa"/>
                  <w:noWrap w:val="0"/>
                  <w:vAlign w:val="top"/>
                </w:tcPr>
                <w:p>
                  <w:pPr>
                    <w:spacing w:line="360" w:lineRule="auto"/>
                    <w:rPr>
                      <w:rFonts w:hint="eastAsia"/>
                      <w:szCs w:val="21"/>
                      <w:lang w:val="ru-RU"/>
                    </w:rPr>
                  </w:pPr>
                  <w:r>
                    <w:rPr>
                      <w:rFonts w:hint="eastAsia"/>
                      <w:szCs w:val="21"/>
                      <w:lang w:val="ru-RU"/>
                    </w:rPr>
                    <w:t>CAS号</w:t>
                  </w:r>
                </w:p>
              </w:tc>
              <w:tc>
                <w:tcPr>
                  <w:tcW w:w="1605" w:type="dxa"/>
                  <w:noWrap w:val="0"/>
                  <w:vAlign w:val="top"/>
                </w:tcPr>
                <w:p>
                  <w:pPr>
                    <w:spacing w:line="360" w:lineRule="auto"/>
                    <w:rPr>
                      <w:rFonts w:hint="eastAsia"/>
                      <w:szCs w:val="21"/>
                      <w:lang w:val="ru-RU"/>
                    </w:rPr>
                  </w:pPr>
                  <w:r>
                    <w:rPr>
                      <w:rFonts w:hint="eastAsia"/>
                      <w:szCs w:val="21"/>
                      <w:lang w:val="ru-RU"/>
                    </w:rPr>
                    <w:t>临界量/t</w:t>
                  </w:r>
                </w:p>
              </w:tc>
              <w:tc>
                <w:tcPr>
                  <w:tcW w:w="1667" w:type="dxa"/>
                  <w:noWrap w:val="0"/>
                  <w:vAlign w:val="top"/>
                </w:tcPr>
                <w:p>
                  <w:pPr>
                    <w:spacing w:line="360" w:lineRule="auto"/>
                    <w:rPr>
                      <w:rFonts w:hint="eastAsia" w:eastAsia="Times New Roman"/>
                      <w:szCs w:val="21"/>
                      <w:lang w:val="ru-RU"/>
                    </w:rPr>
                  </w:pPr>
                  <w:r>
                    <w:rPr>
                      <w:rFonts w:hint="eastAsia"/>
                      <w:szCs w:val="21"/>
                      <w:lang w:val="ru-RU"/>
                    </w:rPr>
                    <w:t>最大储量/t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5" w:type="dxa"/>
                  <w:noWrap w:val="0"/>
                  <w:vAlign w:val="top"/>
                </w:tcPr>
                <w:p>
                  <w:pPr>
                    <w:spacing w:line="360" w:lineRule="auto"/>
                    <w:rPr>
                      <w:rFonts w:eastAsia="Times New Roman"/>
                      <w:szCs w:val="21"/>
                    </w:rPr>
                  </w:pPr>
                  <w:r>
                    <w:rPr>
                      <w:rFonts w:hint="eastAsia"/>
                      <w:szCs w:val="21"/>
                    </w:rPr>
                    <w:t>169</w:t>
                  </w:r>
                </w:p>
              </w:tc>
              <w:tc>
                <w:tcPr>
                  <w:tcW w:w="2286" w:type="dxa"/>
                  <w:noWrap w:val="0"/>
                  <w:vAlign w:val="top"/>
                </w:tcPr>
                <w:p>
                  <w:pPr>
                    <w:pStyle w:val="624"/>
                    <w:autoSpaceDE w:val="0"/>
                    <w:autoSpaceDN w:val="0"/>
                    <w:adjustRightInd w:val="0"/>
                    <w:spacing w:before="0" w:after="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甲醇</w:t>
                  </w:r>
                </w:p>
              </w:tc>
              <w:tc>
                <w:tcPr>
                  <w:tcW w:w="1299" w:type="dxa"/>
                  <w:noWrap w:val="0"/>
                  <w:vAlign w:val="top"/>
                </w:tcPr>
                <w:p>
                  <w:pPr>
                    <w:spacing w:line="360" w:lineRule="auto"/>
                    <w:rPr>
                      <w:rFonts w:eastAsia="Times New Roman"/>
                      <w:szCs w:val="21"/>
                    </w:rPr>
                  </w:pPr>
                  <w:r>
                    <w:rPr>
                      <w:rFonts w:hint="eastAsia"/>
                      <w:szCs w:val="21"/>
                    </w:rPr>
                    <w:t>67-56-1</w:t>
                  </w:r>
                </w:p>
              </w:tc>
              <w:tc>
                <w:tcPr>
                  <w:tcW w:w="1605" w:type="dxa"/>
                  <w:noWrap w:val="0"/>
                  <w:vAlign w:val="top"/>
                </w:tcPr>
                <w:p>
                  <w:pPr>
                    <w:spacing w:line="360" w:lineRule="auto"/>
                    <w:rPr>
                      <w:rFonts w:eastAsia="Times New Roman"/>
                      <w:szCs w:val="21"/>
                    </w:rPr>
                  </w:pPr>
                  <w:r>
                    <w:rPr>
                      <w:rFonts w:hint="eastAsia"/>
                      <w:szCs w:val="21"/>
                    </w:rPr>
                    <w:t>10</w:t>
                  </w:r>
                </w:p>
              </w:tc>
              <w:tc>
                <w:tcPr>
                  <w:tcW w:w="1667" w:type="dxa"/>
                  <w:noWrap w:val="0"/>
                  <w:vAlign w:val="top"/>
                </w:tcPr>
                <w:p>
                  <w:pPr>
                    <w:spacing w:line="360" w:lineRule="auto"/>
                    <w:rPr>
                      <w:szCs w:val="21"/>
                    </w:rPr>
                  </w:pPr>
                  <w:r>
                    <w:rPr>
                      <w:rFonts w:hint="eastAsia"/>
                      <w:szCs w:val="21"/>
                    </w:rPr>
                    <w:t>0.5</w:t>
                  </w:r>
                </w:p>
              </w:tc>
            </w:tr>
          </w:tbl>
          <w:p>
            <w:pPr>
              <w:spacing w:line="360" w:lineRule="auto"/>
              <w:ind w:firstLine="480" w:firstLineChars="200"/>
              <w:rPr>
                <w:sz w:val="24"/>
              </w:rPr>
            </w:pPr>
            <w:r>
              <w:rPr>
                <w:sz w:val="24"/>
              </w:rPr>
              <w:t>从表 7-1</w:t>
            </w:r>
            <w:r>
              <w:rPr>
                <w:rFonts w:hint="eastAsia"/>
                <w:sz w:val="24"/>
              </w:rPr>
              <w:t>1</w:t>
            </w:r>
            <w:r>
              <w:rPr>
                <w:sz w:val="24"/>
              </w:rPr>
              <w:t>可以看出，本项目使用危险化学品存储量均较小，不构成重大危险源。</w:t>
            </w:r>
          </w:p>
          <w:p>
            <w:pPr>
              <w:spacing w:line="360" w:lineRule="auto"/>
              <w:ind w:firstLine="480" w:firstLineChars="200"/>
              <w:rPr>
                <w:rFonts w:hint="eastAsia"/>
                <w:sz w:val="24"/>
                <w:lang w:val="ru-RU"/>
              </w:rPr>
            </w:pPr>
            <w:r>
              <w:rPr>
                <w:rFonts w:hint="eastAsia"/>
                <w:sz w:val="24"/>
                <w:lang w:val="ru-RU"/>
              </w:rPr>
              <w:t>（2）风险潜势判断</w:t>
            </w:r>
          </w:p>
          <w:p>
            <w:pPr>
              <w:spacing w:line="360" w:lineRule="auto"/>
              <w:ind w:firstLine="480" w:firstLineChars="200"/>
              <w:rPr>
                <w:sz w:val="24"/>
              </w:rPr>
            </w:pPr>
            <w:r>
              <w:rPr>
                <w:sz w:val="24"/>
              </w:rPr>
              <w:t>根据《建设项目风险评价技术导则》（HJT169-2018）：当只涉及一种危险物质时，计算该物质的总量与其临界量比值，即为 Q；当存在多种危险物质时，则按下式计算物质总量与其临界量比值（Q）：</w:t>
            </w:r>
          </w:p>
          <w:p>
            <w:pPr>
              <w:spacing w:line="360" w:lineRule="auto"/>
              <w:ind w:firstLine="480" w:firstLineChars="200"/>
              <w:jc w:val="center"/>
              <w:rPr>
                <w:rFonts w:hint="eastAsia"/>
                <w:sz w:val="24"/>
              </w:rPr>
            </w:pPr>
            <w:r>
              <w:rPr>
                <w:rFonts w:hint="eastAsia"/>
                <w:sz w:val="24"/>
              </w:rPr>
              <w:drawing>
                <wp:inline distT="0" distB="0" distL="114300" distR="114300">
                  <wp:extent cx="1724025" cy="457200"/>
                  <wp:effectExtent l="0" t="0" r="9525" b="0"/>
                  <wp:docPr id="13" name="图片 16" descr="风险Q计算公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 descr="风险Q计算公式"/>
                          <pic:cNvPicPr>
                            <a:picLocks noChangeAspect="1"/>
                          </pic:cNvPicPr>
                        </pic:nvPicPr>
                        <pic:blipFill>
                          <a:blip r:embed="rId37"/>
                          <a:stretch>
                            <a:fillRect/>
                          </a:stretch>
                        </pic:blipFill>
                        <pic:spPr>
                          <a:xfrm>
                            <a:off x="0" y="0"/>
                            <a:ext cx="1724025" cy="457200"/>
                          </a:xfrm>
                          <a:prstGeom prst="rect">
                            <a:avLst/>
                          </a:prstGeom>
                          <a:noFill/>
                          <a:ln w="9525">
                            <a:noFill/>
                          </a:ln>
                        </pic:spPr>
                      </pic:pic>
                    </a:graphicData>
                  </a:graphic>
                </wp:inline>
              </w:drawing>
            </w:r>
          </w:p>
          <w:p>
            <w:pPr>
              <w:pStyle w:val="624"/>
              <w:widowControl w:val="0"/>
              <w:autoSpaceDE w:val="0"/>
              <w:autoSpaceDN w:val="0"/>
              <w:adjustRightInd w:val="0"/>
              <w:spacing w:before="0" w:after="0" w:line="360" w:lineRule="auto"/>
              <w:jc w:val="center"/>
              <w:rPr>
                <w:rFonts w:ascii="宋体" w:hAnsi="宋体" w:cs="宋体"/>
                <w:color w:val="000000"/>
                <w:sz w:val="24"/>
                <w:lang w:eastAsia="zh-CN"/>
              </w:rPr>
            </w:pPr>
            <w:r>
              <w:rPr>
                <w:rFonts w:ascii="宋体" w:hAnsi="宋体" w:cs="宋体"/>
                <w:color w:val="000000"/>
                <w:sz w:val="24"/>
                <w:lang w:eastAsia="zh-CN"/>
              </w:rPr>
              <w:t>式中：</w:t>
            </w:r>
            <w:r>
              <w:rPr>
                <w:rFonts w:ascii="QQHLLD+TimesNewRomanPSMT"/>
                <w:color w:val="000000"/>
                <w:sz w:val="24"/>
                <w:lang w:eastAsia="zh-CN"/>
              </w:rPr>
              <w:t>q1</w:t>
            </w:r>
            <w:r>
              <w:rPr>
                <w:rFonts w:ascii="宋体" w:hAnsi="宋体" w:cs="宋体"/>
                <w:color w:val="000000"/>
                <w:sz w:val="24"/>
                <w:lang w:eastAsia="zh-CN"/>
              </w:rPr>
              <w:t>，</w:t>
            </w:r>
            <w:r>
              <w:rPr>
                <w:rFonts w:ascii="QQHLLD+TimesNewRomanPSMT"/>
                <w:color w:val="000000"/>
                <w:sz w:val="24"/>
                <w:lang w:eastAsia="zh-CN"/>
              </w:rPr>
              <w:t>q2</w:t>
            </w:r>
            <w:r>
              <w:rPr>
                <w:rFonts w:ascii="宋体" w:hAnsi="宋体" w:cs="宋体"/>
                <w:color w:val="000000"/>
                <w:sz w:val="24"/>
                <w:lang w:eastAsia="zh-CN"/>
              </w:rPr>
              <w:t>，</w:t>
            </w:r>
            <w:r>
              <w:rPr>
                <w:rFonts w:ascii="QQHLLD+TimesNewRomanPSMT" w:hAnsi="QQHLLD+TimesNewRomanPSMT" w:cs="QQHLLD+TimesNewRomanPSMT"/>
                <w:color w:val="000000"/>
                <w:sz w:val="24"/>
                <w:lang w:eastAsia="zh-CN"/>
              </w:rPr>
              <w:t>qn——</w:t>
            </w:r>
            <w:r>
              <w:rPr>
                <w:rFonts w:ascii="宋体" w:hAnsi="宋体" w:cs="宋体"/>
                <w:color w:val="000000"/>
                <w:sz w:val="24"/>
                <w:lang w:eastAsia="zh-CN"/>
              </w:rPr>
              <w:t>每种危险物质的最大存在总量，</w:t>
            </w:r>
            <w:r>
              <w:rPr>
                <w:rFonts w:ascii="QQHLLD+TimesNewRomanPSMT"/>
                <w:color w:val="000000"/>
                <w:sz w:val="24"/>
                <w:lang w:eastAsia="zh-CN"/>
              </w:rPr>
              <w:t>t</w:t>
            </w:r>
            <w:r>
              <w:rPr>
                <w:rFonts w:ascii="宋体" w:hAnsi="宋体" w:cs="宋体"/>
                <w:color w:val="000000"/>
                <w:sz w:val="24"/>
                <w:lang w:eastAsia="zh-CN"/>
              </w:rPr>
              <w:t>；</w:t>
            </w:r>
          </w:p>
          <w:p>
            <w:pPr>
              <w:pStyle w:val="624"/>
              <w:widowControl w:val="0"/>
              <w:autoSpaceDE w:val="0"/>
              <w:autoSpaceDN w:val="0"/>
              <w:adjustRightInd w:val="0"/>
              <w:spacing w:before="0" w:after="0" w:line="360" w:lineRule="auto"/>
              <w:ind w:left="720"/>
              <w:jc w:val="center"/>
              <w:rPr>
                <w:rFonts w:ascii="宋体" w:hAnsi="宋体" w:cs="宋体"/>
                <w:color w:val="000000"/>
                <w:sz w:val="24"/>
                <w:lang w:eastAsia="zh-CN"/>
              </w:rPr>
            </w:pPr>
            <w:r>
              <w:rPr>
                <w:rFonts w:ascii="QQHLLD+TimesNewRomanPSMT"/>
                <w:color w:val="000000"/>
                <w:sz w:val="24"/>
                <w:lang w:eastAsia="zh-CN"/>
              </w:rPr>
              <w:t>Q1</w:t>
            </w:r>
            <w:r>
              <w:rPr>
                <w:rFonts w:ascii="宋体" w:hAnsi="宋体" w:cs="宋体"/>
                <w:color w:val="000000"/>
                <w:sz w:val="24"/>
                <w:lang w:eastAsia="zh-CN"/>
              </w:rPr>
              <w:t>，</w:t>
            </w:r>
            <w:r>
              <w:rPr>
                <w:rFonts w:ascii="QQHLLD+TimesNewRomanPSMT"/>
                <w:color w:val="000000"/>
                <w:sz w:val="24"/>
                <w:lang w:eastAsia="zh-CN"/>
              </w:rPr>
              <w:t>Q2</w:t>
            </w:r>
            <w:r>
              <w:rPr>
                <w:rFonts w:ascii="宋体" w:hAnsi="宋体" w:cs="宋体"/>
                <w:color w:val="000000"/>
                <w:sz w:val="24"/>
                <w:lang w:eastAsia="zh-CN"/>
              </w:rPr>
              <w:t>，</w:t>
            </w:r>
            <w:r>
              <w:rPr>
                <w:rFonts w:ascii="QQHLLD+TimesNewRomanPSMT" w:hAnsi="QQHLLD+TimesNewRomanPSMT" w:cs="QQHLLD+TimesNewRomanPSMT"/>
                <w:color w:val="000000"/>
                <w:sz w:val="24"/>
                <w:lang w:eastAsia="zh-CN"/>
              </w:rPr>
              <w:t>Qn——</w:t>
            </w:r>
            <w:r>
              <w:rPr>
                <w:rFonts w:ascii="宋体" w:hAnsi="宋体" w:cs="宋体"/>
                <w:color w:val="000000"/>
                <w:sz w:val="24"/>
                <w:lang w:eastAsia="zh-CN"/>
              </w:rPr>
              <w:t>每种危险物质的临界量，</w:t>
            </w:r>
            <w:r>
              <w:rPr>
                <w:rFonts w:ascii="QQHLLD+TimesNewRomanPSMT"/>
                <w:color w:val="000000"/>
                <w:sz w:val="24"/>
                <w:lang w:eastAsia="zh-CN"/>
              </w:rPr>
              <w:t>t</w:t>
            </w:r>
            <w:r>
              <w:rPr>
                <w:rFonts w:ascii="宋体" w:hAnsi="宋体" w:cs="宋体"/>
                <w:color w:val="000000"/>
                <w:sz w:val="24"/>
                <w:lang w:eastAsia="zh-CN"/>
              </w:rPr>
              <w:t>；</w:t>
            </w:r>
          </w:p>
          <w:p>
            <w:pPr>
              <w:pStyle w:val="624"/>
              <w:widowControl w:val="0"/>
              <w:autoSpaceDE w:val="0"/>
              <w:autoSpaceDN w:val="0"/>
              <w:adjustRightInd w:val="0"/>
              <w:spacing w:before="0" w:after="0" w:line="360" w:lineRule="auto"/>
              <w:jc w:val="center"/>
              <w:rPr>
                <w:rFonts w:ascii="宋体" w:hAnsi="宋体" w:cs="宋体"/>
                <w:color w:val="000000"/>
                <w:sz w:val="24"/>
                <w:lang w:eastAsia="zh-CN"/>
              </w:rPr>
            </w:pPr>
            <w:r>
              <w:rPr>
                <w:rFonts w:ascii="宋体" w:hAnsi="宋体" w:cs="宋体"/>
                <w:color w:val="000000"/>
                <w:sz w:val="24"/>
                <w:lang w:eastAsia="zh-CN"/>
              </w:rPr>
              <w:t xml:space="preserve">当 </w:t>
            </w:r>
            <w:r>
              <w:rPr>
                <w:rFonts w:ascii="QQHLLD+TimesNewRomanPSMT"/>
                <w:color w:val="000000"/>
                <w:sz w:val="24"/>
                <w:lang w:eastAsia="zh-CN"/>
              </w:rPr>
              <w:t>Q</w:t>
            </w:r>
            <w:r>
              <w:rPr>
                <w:rFonts w:ascii="宋体" w:hAnsi="宋体" w:cs="宋体"/>
                <w:color w:val="000000"/>
                <w:sz w:val="24"/>
                <w:lang w:eastAsia="zh-CN"/>
              </w:rPr>
              <w:t>＜</w:t>
            </w:r>
            <w:r>
              <w:rPr>
                <w:rFonts w:ascii="QQHLLD+TimesNewRomanPSMT"/>
                <w:color w:val="000000"/>
                <w:sz w:val="24"/>
                <w:lang w:eastAsia="zh-CN"/>
              </w:rPr>
              <w:t>1</w:t>
            </w:r>
            <w:r>
              <w:rPr>
                <w:rFonts w:ascii="宋体" w:hAnsi="宋体" w:cs="宋体"/>
                <w:color w:val="000000"/>
                <w:sz w:val="24"/>
                <w:lang w:eastAsia="zh-CN"/>
              </w:rPr>
              <w:t xml:space="preserve">时，该项目的风险潜势为 </w:t>
            </w:r>
            <w:r>
              <w:rPr>
                <w:rFonts w:ascii="QQHLLD+TimesNewRomanPSMT"/>
                <w:color w:val="000000"/>
                <w:sz w:val="24"/>
                <w:lang w:eastAsia="zh-CN"/>
              </w:rPr>
              <w:t>I</w:t>
            </w:r>
            <w:r>
              <w:rPr>
                <w:rFonts w:ascii="宋体" w:hAnsi="宋体" w:cs="宋体"/>
                <w:color w:val="000000"/>
                <w:sz w:val="24"/>
                <w:lang w:eastAsia="zh-CN"/>
              </w:rPr>
              <w:t>。</w:t>
            </w:r>
          </w:p>
          <w:p>
            <w:pPr>
              <w:spacing w:line="360" w:lineRule="auto"/>
              <w:ind w:firstLine="480" w:firstLineChars="200"/>
              <w:rPr>
                <w:sz w:val="24"/>
              </w:rPr>
            </w:pPr>
            <w:r>
              <w:rPr>
                <w:sz w:val="24"/>
              </w:rPr>
              <w:t>本项目运营过程中只涉及</w:t>
            </w:r>
            <w:r>
              <w:rPr>
                <w:rFonts w:hint="eastAsia"/>
                <w:sz w:val="24"/>
              </w:rPr>
              <w:t>甲醇</w:t>
            </w:r>
            <w:r>
              <w:rPr>
                <w:sz w:val="24"/>
              </w:rPr>
              <w:t>一种风险物质，最大存在总量为</w:t>
            </w:r>
            <w:r>
              <w:rPr>
                <w:rFonts w:hint="eastAsia"/>
                <w:sz w:val="24"/>
              </w:rPr>
              <w:t>0.5</w:t>
            </w:r>
            <w:r>
              <w:rPr>
                <w:sz w:val="24"/>
              </w:rPr>
              <w:t>t，</w:t>
            </w:r>
            <w:r>
              <w:rPr>
                <w:rFonts w:hint="eastAsia"/>
                <w:sz w:val="24"/>
              </w:rPr>
              <w:t>甲醇</w:t>
            </w:r>
            <w:r>
              <w:rPr>
                <w:sz w:val="24"/>
              </w:rPr>
              <w:t xml:space="preserve">临界量为 </w:t>
            </w:r>
            <w:r>
              <w:rPr>
                <w:rFonts w:hint="eastAsia"/>
                <w:sz w:val="24"/>
              </w:rPr>
              <w:t>0.5</w:t>
            </w:r>
            <w:r>
              <w:rPr>
                <w:sz w:val="24"/>
              </w:rPr>
              <w:t>t。即 Q=</w:t>
            </w:r>
            <w:r>
              <w:rPr>
                <w:rFonts w:hint="eastAsia"/>
                <w:sz w:val="24"/>
              </w:rPr>
              <w:t>0.5</w:t>
            </w:r>
            <w:r>
              <w:rPr>
                <w:sz w:val="24"/>
              </w:rPr>
              <w:t>/</w:t>
            </w:r>
            <w:r>
              <w:rPr>
                <w:rFonts w:hint="eastAsia"/>
                <w:sz w:val="24"/>
              </w:rPr>
              <w:t>10</w:t>
            </w:r>
            <w:r>
              <w:rPr>
                <w:sz w:val="24"/>
              </w:rPr>
              <w:t>=0.0</w:t>
            </w:r>
            <w:r>
              <w:rPr>
                <w:rFonts w:hint="eastAsia"/>
                <w:sz w:val="24"/>
              </w:rPr>
              <w:t>5</w:t>
            </w:r>
            <w:r>
              <w:rPr>
                <w:sz w:val="24"/>
              </w:rPr>
              <w:t>&lt;1，因此，本项目风险潜势为 I。</w:t>
            </w:r>
          </w:p>
          <w:p>
            <w:pPr>
              <w:pStyle w:val="106"/>
              <w:spacing w:line="360" w:lineRule="auto"/>
              <w:ind w:firstLine="480"/>
              <w:rPr>
                <w:rFonts w:hint="eastAsia" w:cs="Times New Roman"/>
                <w:lang w:val="ru-RU"/>
              </w:rPr>
            </w:pPr>
            <w:r>
              <w:rPr>
                <w:rFonts w:hint="eastAsia" w:cs="Times New Roman"/>
                <w:lang w:val="ru-RU"/>
              </w:rPr>
              <w:t>（3）评价等级确定</w:t>
            </w:r>
          </w:p>
          <w:p>
            <w:pPr>
              <w:spacing w:line="360" w:lineRule="auto"/>
              <w:ind w:firstLine="480" w:firstLineChars="200"/>
              <w:rPr>
                <w:sz w:val="24"/>
              </w:rPr>
            </w:pPr>
            <w:r>
              <w:rPr>
                <w:sz w:val="24"/>
              </w:rPr>
              <w:t>根据《建设项目环境风险评价技术导则》（HJ169-2018）的要求，环境风险评价工作级别划分依据见表 7-1</w:t>
            </w:r>
            <w:r>
              <w:rPr>
                <w:rFonts w:hint="eastAsia"/>
                <w:sz w:val="24"/>
                <w:lang w:val="en-US" w:eastAsia="zh-CN"/>
              </w:rPr>
              <w:t>2</w:t>
            </w:r>
            <w:r>
              <w:rPr>
                <w:sz w:val="24"/>
              </w:rPr>
              <w:t>。</w:t>
            </w:r>
          </w:p>
          <w:p>
            <w:pPr>
              <w:spacing w:before="120" w:beforeLines="50" w:line="360" w:lineRule="auto"/>
              <w:ind w:firstLine="3072" w:firstLineChars="1275"/>
              <w:rPr>
                <w:b/>
                <w:sz w:val="24"/>
              </w:rPr>
            </w:pPr>
            <w:r>
              <w:rPr>
                <w:b/>
                <w:sz w:val="24"/>
              </w:rPr>
              <w:t>表 7-1</w:t>
            </w:r>
            <w:r>
              <w:rPr>
                <w:rFonts w:hint="eastAsia"/>
                <w:b/>
                <w:sz w:val="24"/>
                <w:lang w:val="en-US" w:eastAsia="zh-CN"/>
              </w:rPr>
              <w:t>2</w:t>
            </w:r>
            <w:r>
              <w:rPr>
                <w:rFonts w:hint="eastAsia"/>
                <w:b/>
                <w:sz w:val="24"/>
              </w:rPr>
              <w:t xml:space="preserve">  </w:t>
            </w:r>
            <w:r>
              <w:rPr>
                <w:b/>
                <w:sz w:val="24"/>
              </w:rPr>
              <w:t>评价工作级别划分</w:t>
            </w:r>
          </w:p>
          <w:tbl>
            <w:tblPr>
              <w:tblStyle w:val="69"/>
              <w:tblW w:w="91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1829"/>
              <w:gridCol w:w="1828"/>
              <w:gridCol w:w="1829"/>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8" w:type="dxa"/>
                  <w:noWrap w:val="0"/>
                  <w:vAlign w:val="top"/>
                </w:tcPr>
                <w:p>
                  <w:pPr>
                    <w:pStyle w:val="106"/>
                    <w:widowControl w:val="0"/>
                    <w:spacing w:line="360" w:lineRule="auto"/>
                    <w:ind w:firstLine="0" w:firstLineChars="0"/>
                    <w:rPr>
                      <w:rFonts w:hint="eastAsia" w:cs="Times New Roman"/>
                      <w:sz w:val="21"/>
                      <w:szCs w:val="21"/>
                      <w:lang w:val="ru-RU"/>
                    </w:rPr>
                  </w:pPr>
                  <w:r>
                    <w:rPr>
                      <w:rFonts w:hint="eastAsia" w:cs="Times New Roman"/>
                      <w:sz w:val="21"/>
                      <w:szCs w:val="21"/>
                      <w:lang w:val="ru-RU"/>
                    </w:rPr>
                    <w:t>环境风险潜势</w:t>
                  </w:r>
                </w:p>
              </w:tc>
              <w:tc>
                <w:tcPr>
                  <w:tcW w:w="1829" w:type="dxa"/>
                  <w:noWrap w:val="0"/>
                  <w:vAlign w:val="top"/>
                </w:tcPr>
                <w:p>
                  <w:pPr>
                    <w:pStyle w:val="625"/>
                    <w:widowControl w:val="0"/>
                    <w:autoSpaceDE w:val="0"/>
                    <w:autoSpaceDN w:val="0"/>
                    <w:adjustRightInd w:val="0"/>
                    <w:spacing w:before="0" w:after="0" w:line="218" w:lineRule="exact"/>
                    <w:jc w:val="center"/>
                    <w:rPr>
                      <w:rFonts w:hint="eastAsia" w:ascii="SUTDFH+TimesNewRomanPSMT" w:eastAsia="宋体"/>
                      <w:color w:val="000000"/>
                      <w:sz w:val="21"/>
                      <w:szCs w:val="21"/>
                      <w:lang w:eastAsia="zh-CN"/>
                    </w:rPr>
                  </w:pPr>
                  <w:r>
                    <w:rPr>
                      <w:rFonts w:ascii="SUTDFH+TimesNewRomanPSMT"/>
                      <w:color w:val="000000"/>
                      <w:sz w:val="21"/>
                      <w:szCs w:val="21"/>
                      <w:lang w:eastAsia="zh-CN"/>
                    </w:rPr>
                    <w:t>IV</w:t>
                  </w:r>
                  <w:r>
                    <w:rPr>
                      <w:rFonts w:hint="eastAsia" w:ascii="宋体" w:hAnsi="宋体" w:eastAsia="宋体" w:cs="宋体"/>
                      <w:color w:val="000000"/>
                      <w:sz w:val="21"/>
                      <w:szCs w:val="21"/>
                      <w:lang w:eastAsia="zh-CN"/>
                    </w:rPr>
                    <w:t>、</w:t>
                  </w:r>
                  <w:r>
                    <w:rPr>
                      <w:rFonts w:ascii="SUTDFH+TimesNewRomanPSMT"/>
                      <w:color w:val="000000"/>
                      <w:sz w:val="21"/>
                      <w:szCs w:val="21"/>
                      <w:lang w:eastAsia="zh-CN"/>
                    </w:rPr>
                    <w:t>IV+</w:t>
                  </w:r>
                </w:p>
              </w:tc>
              <w:tc>
                <w:tcPr>
                  <w:tcW w:w="1828" w:type="dxa"/>
                  <w:noWrap w:val="0"/>
                  <w:vAlign w:val="top"/>
                </w:tcPr>
                <w:p>
                  <w:pPr>
                    <w:pStyle w:val="625"/>
                    <w:widowControl w:val="0"/>
                    <w:autoSpaceDE w:val="0"/>
                    <w:autoSpaceDN w:val="0"/>
                    <w:adjustRightInd w:val="0"/>
                    <w:spacing w:before="0" w:after="0" w:line="218" w:lineRule="exact"/>
                    <w:jc w:val="center"/>
                    <w:rPr>
                      <w:rFonts w:hint="eastAsia" w:ascii="SUTDFH+TimesNewRomanPSMT" w:eastAsia="宋体"/>
                      <w:color w:val="000000"/>
                      <w:sz w:val="21"/>
                      <w:szCs w:val="21"/>
                      <w:lang w:eastAsia="zh-CN"/>
                    </w:rPr>
                  </w:pPr>
                  <w:r>
                    <w:rPr>
                      <w:rFonts w:ascii="SUTDFH+TimesNewRomanPSMT"/>
                      <w:color w:val="000000"/>
                      <w:sz w:val="21"/>
                      <w:szCs w:val="21"/>
                      <w:lang w:eastAsia="zh-CN"/>
                    </w:rPr>
                    <w:t>III</w:t>
                  </w:r>
                </w:p>
              </w:tc>
              <w:tc>
                <w:tcPr>
                  <w:tcW w:w="1829" w:type="dxa"/>
                  <w:noWrap w:val="0"/>
                  <w:vAlign w:val="top"/>
                </w:tcPr>
                <w:p>
                  <w:pPr>
                    <w:pStyle w:val="625"/>
                    <w:widowControl w:val="0"/>
                    <w:autoSpaceDE w:val="0"/>
                    <w:autoSpaceDN w:val="0"/>
                    <w:adjustRightInd w:val="0"/>
                    <w:spacing w:before="0" w:after="0" w:line="218" w:lineRule="exact"/>
                    <w:jc w:val="center"/>
                    <w:rPr>
                      <w:rFonts w:hint="eastAsia" w:ascii="SUTDFH+TimesNewRomanPSMT" w:eastAsia="宋体"/>
                      <w:color w:val="000000"/>
                      <w:sz w:val="21"/>
                      <w:szCs w:val="21"/>
                      <w:lang w:eastAsia="zh-CN"/>
                    </w:rPr>
                  </w:pPr>
                  <w:r>
                    <w:rPr>
                      <w:rFonts w:ascii="SUTDFH+TimesNewRomanPSMT"/>
                      <w:color w:val="000000"/>
                      <w:sz w:val="21"/>
                      <w:szCs w:val="21"/>
                      <w:lang w:eastAsia="zh-CN"/>
                    </w:rPr>
                    <w:t>II</w:t>
                  </w:r>
                </w:p>
              </w:tc>
              <w:tc>
                <w:tcPr>
                  <w:tcW w:w="1828" w:type="dxa"/>
                  <w:noWrap w:val="0"/>
                  <w:vAlign w:val="top"/>
                </w:tcPr>
                <w:p>
                  <w:pPr>
                    <w:pStyle w:val="625"/>
                    <w:widowControl w:val="0"/>
                    <w:autoSpaceDE w:val="0"/>
                    <w:autoSpaceDN w:val="0"/>
                    <w:adjustRightInd w:val="0"/>
                    <w:spacing w:before="0" w:after="0" w:line="218" w:lineRule="exact"/>
                    <w:jc w:val="center"/>
                    <w:rPr>
                      <w:rFonts w:hint="eastAsia" w:ascii="SUTDFH+TimesNewRomanPSMT" w:eastAsia="宋体"/>
                      <w:color w:val="000000"/>
                      <w:sz w:val="21"/>
                      <w:szCs w:val="21"/>
                      <w:lang w:eastAsia="zh-CN"/>
                    </w:rPr>
                  </w:pPr>
                  <w:r>
                    <w:rPr>
                      <w:rFonts w:ascii="SUTDFH+TimesNewRomanPSMT"/>
                      <w:color w:val="000000"/>
                      <w:sz w:val="21"/>
                      <w:szCs w:val="21"/>
                      <w:lang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8" w:type="dxa"/>
                  <w:noWrap w:val="0"/>
                  <w:vAlign w:val="top"/>
                </w:tcPr>
                <w:p>
                  <w:pPr>
                    <w:pStyle w:val="106"/>
                    <w:widowControl w:val="0"/>
                    <w:spacing w:line="360" w:lineRule="auto"/>
                    <w:ind w:firstLine="0" w:firstLineChars="0"/>
                    <w:rPr>
                      <w:rFonts w:hint="eastAsia" w:cs="Times New Roman"/>
                      <w:sz w:val="21"/>
                      <w:szCs w:val="21"/>
                      <w:lang w:val="ru-RU"/>
                    </w:rPr>
                  </w:pPr>
                  <w:r>
                    <w:rPr>
                      <w:rFonts w:hint="eastAsia" w:cs="Times New Roman"/>
                      <w:sz w:val="21"/>
                      <w:szCs w:val="21"/>
                      <w:lang w:val="ru-RU"/>
                    </w:rPr>
                    <w:t>评价工作等级</w:t>
                  </w:r>
                </w:p>
              </w:tc>
              <w:tc>
                <w:tcPr>
                  <w:tcW w:w="1829" w:type="dxa"/>
                  <w:noWrap w:val="0"/>
                  <w:vAlign w:val="top"/>
                </w:tcPr>
                <w:p>
                  <w:pPr>
                    <w:pStyle w:val="106"/>
                    <w:widowControl w:val="0"/>
                    <w:spacing w:line="360" w:lineRule="auto"/>
                    <w:ind w:firstLine="0" w:firstLineChars="0"/>
                    <w:jc w:val="center"/>
                    <w:rPr>
                      <w:rFonts w:hint="eastAsia" w:cs="Times New Roman"/>
                      <w:sz w:val="21"/>
                      <w:szCs w:val="21"/>
                      <w:lang w:val="ru-RU"/>
                    </w:rPr>
                  </w:pPr>
                  <w:r>
                    <w:rPr>
                      <w:rFonts w:hint="eastAsia" w:cs="Times New Roman"/>
                      <w:sz w:val="21"/>
                      <w:szCs w:val="21"/>
                      <w:lang w:val="ru-RU"/>
                    </w:rPr>
                    <w:t>一</w:t>
                  </w:r>
                </w:p>
              </w:tc>
              <w:tc>
                <w:tcPr>
                  <w:tcW w:w="1828" w:type="dxa"/>
                  <w:noWrap w:val="0"/>
                  <w:vAlign w:val="top"/>
                </w:tcPr>
                <w:p>
                  <w:pPr>
                    <w:pStyle w:val="106"/>
                    <w:widowControl w:val="0"/>
                    <w:spacing w:line="360" w:lineRule="auto"/>
                    <w:ind w:firstLine="0" w:firstLineChars="0"/>
                    <w:jc w:val="center"/>
                    <w:rPr>
                      <w:rFonts w:hint="eastAsia" w:cs="Times New Roman"/>
                      <w:sz w:val="21"/>
                      <w:szCs w:val="21"/>
                      <w:lang w:val="ru-RU"/>
                    </w:rPr>
                  </w:pPr>
                  <w:r>
                    <w:rPr>
                      <w:rFonts w:hint="eastAsia" w:cs="Times New Roman"/>
                      <w:sz w:val="21"/>
                      <w:szCs w:val="21"/>
                      <w:lang w:val="ru-RU"/>
                    </w:rPr>
                    <w:t>二</w:t>
                  </w:r>
                </w:p>
              </w:tc>
              <w:tc>
                <w:tcPr>
                  <w:tcW w:w="1829" w:type="dxa"/>
                  <w:noWrap w:val="0"/>
                  <w:vAlign w:val="top"/>
                </w:tcPr>
                <w:p>
                  <w:pPr>
                    <w:pStyle w:val="106"/>
                    <w:widowControl w:val="0"/>
                    <w:spacing w:line="360" w:lineRule="auto"/>
                    <w:ind w:firstLine="0" w:firstLineChars="0"/>
                    <w:jc w:val="center"/>
                    <w:rPr>
                      <w:rFonts w:hint="eastAsia" w:cs="Times New Roman"/>
                      <w:sz w:val="21"/>
                      <w:szCs w:val="21"/>
                      <w:lang w:val="ru-RU"/>
                    </w:rPr>
                  </w:pPr>
                  <w:r>
                    <w:rPr>
                      <w:rFonts w:hint="eastAsia" w:cs="Times New Roman"/>
                      <w:sz w:val="21"/>
                      <w:szCs w:val="21"/>
                      <w:lang w:val="ru-RU"/>
                    </w:rPr>
                    <w:t>三</w:t>
                  </w:r>
                </w:p>
              </w:tc>
              <w:tc>
                <w:tcPr>
                  <w:tcW w:w="1828" w:type="dxa"/>
                  <w:noWrap w:val="0"/>
                  <w:vAlign w:val="top"/>
                </w:tcPr>
                <w:p>
                  <w:pPr>
                    <w:pStyle w:val="106"/>
                    <w:widowControl w:val="0"/>
                    <w:spacing w:line="360" w:lineRule="auto"/>
                    <w:ind w:firstLine="0" w:firstLineChars="0"/>
                    <w:jc w:val="center"/>
                    <w:rPr>
                      <w:rFonts w:hint="eastAsia" w:cs="Times New Roman"/>
                      <w:sz w:val="21"/>
                      <w:szCs w:val="21"/>
                      <w:lang w:val="ru-RU"/>
                    </w:rPr>
                  </w:pPr>
                  <w:r>
                    <w:rPr>
                      <w:rFonts w:hint="eastAsia" w:cs="Times New Roman"/>
                      <w:sz w:val="21"/>
                      <w:szCs w:val="21"/>
                      <w:lang w:val="ru-RU"/>
                    </w:rPr>
                    <w:t>简单分析a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42" w:type="dxa"/>
                  <w:gridSpan w:val="5"/>
                  <w:noWrap w:val="0"/>
                  <w:vAlign w:val="top"/>
                </w:tcPr>
                <w:p>
                  <w:pPr>
                    <w:spacing w:line="360" w:lineRule="auto"/>
                    <w:ind w:firstLine="420" w:firstLineChars="200"/>
                    <w:rPr>
                      <w:rFonts w:hint="eastAsia" w:ascii="宋体" w:hAnsi="宋体" w:cs="宋体"/>
                      <w:color w:val="000000"/>
                      <w:sz w:val="21"/>
                      <w:szCs w:val="21"/>
                      <w:lang w:eastAsia="zh-CN"/>
                    </w:rPr>
                  </w:pPr>
                  <w:r>
                    <w:rPr>
                      <w:sz w:val="21"/>
                      <w:szCs w:val="21"/>
                      <w:lang w:eastAsia="zh-CN"/>
                    </w:rPr>
                    <w:t>a是相对于详细评价工作内容而言，在描述危险物质、环境影响途经、环境危害后果、风险</w:t>
                  </w:r>
                  <w:r>
                    <w:rPr>
                      <w:rFonts w:hint="eastAsia"/>
                      <w:sz w:val="21"/>
                      <w:szCs w:val="21"/>
                      <w:lang w:eastAsia="zh-CN"/>
                    </w:rPr>
                    <w:t>防范措施等方面给出定性的说明。</w:t>
                  </w:r>
                </w:p>
              </w:tc>
            </w:tr>
          </w:tbl>
          <w:p>
            <w:pPr>
              <w:pStyle w:val="106"/>
              <w:spacing w:line="360" w:lineRule="auto"/>
              <w:ind w:firstLine="480"/>
              <w:rPr>
                <w:rFonts w:hint="eastAsia" w:cs="Times New Roman"/>
                <w:lang w:val="ru-RU"/>
              </w:rPr>
            </w:pPr>
            <w:r>
              <w:rPr>
                <w:rFonts w:hint="eastAsia" w:cs="Times New Roman"/>
                <w:lang w:val="ru-RU"/>
              </w:rPr>
              <w:t>2、环境敏感目标概况</w:t>
            </w:r>
          </w:p>
          <w:p>
            <w:pPr>
              <w:pStyle w:val="106"/>
              <w:spacing w:line="360" w:lineRule="auto"/>
              <w:ind w:firstLine="480"/>
              <w:rPr>
                <w:rFonts w:hint="eastAsia" w:cs="Times New Roman"/>
                <w:lang w:val="ru-RU"/>
              </w:rPr>
            </w:pPr>
            <w:r>
              <w:rPr>
                <w:rFonts w:ascii="宋体" w:hAnsi="宋体" w:eastAsia="Calibri"/>
                <w:color w:val="000000"/>
              </w:rPr>
              <w:t>根据现场勘察，项目</w:t>
            </w:r>
            <w:r>
              <w:rPr>
                <w:bCs/>
              </w:rPr>
              <w:t>乐山市</w:t>
            </w:r>
            <w:r>
              <w:rPr>
                <w:rFonts w:hint="eastAsia"/>
                <w:bCs/>
              </w:rPr>
              <w:t>市中区悦来乡，项目周边500m范围内人口总数小于500人。属于低度敏感区。</w:t>
            </w:r>
          </w:p>
          <w:p>
            <w:pPr>
              <w:pStyle w:val="343"/>
              <w:spacing w:line="360" w:lineRule="auto"/>
            </w:pPr>
            <w:r>
              <w:rPr>
                <w:rFonts w:hint="eastAsia"/>
              </w:rPr>
              <w:t>3</w:t>
            </w:r>
            <w:r>
              <w:t>.环境风险识别</w:t>
            </w:r>
          </w:p>
          <w:p>
            <w:pPr>
              <w:pStyle w:val="343"/>
              <w:spacing w:line="360" w:lineRule="auto"/>
              <w:rPr>
                <w:rFonts w:hint="eastAsia"/>
              </w:rPr>
            </w:pPr>
            <w:r>
              <w:rPr>
                <w:rFonts w:hint="eastAsia"/>
              </w:rPr>
              <w:t xml:space="preserve"> </w:t>
            </w:r>
            <w:r>
              <w:t>根据</w:t>
            </w:r>
            <w:r>
              <w:rPr>
                <w:rFonts w:hint="eastAsia"/>
              </w:rPr>
              <w:t>本项目自身特点</w:t>
            </w:r>
            <w:r>
              <w:t>，</w:t>
            </w:r>
            <w:r>
              <w:rPr>
                <w:rFonts w:hint="eastAsia"/>
              </w:rPr>
              <w:t>营运期主要</w:t>
            </w:r>
            <w:r>
              <w:t>存在的危险因素主要是有火灾</w:t>
            </w:r>
            <w:r>
              <w:rPr>
                <w:rFonts w:hint="eastAsia"/>
              </w:rPr>
              <w:t>。</w:t>
            </w:r>
          </w:p>
          <w:p>
            <w:pPr>
              <w:widowControl/>
              <w:spacing w:line="360" w:lineRule="auto"/>
              <w:ind w:firstLine="480" w:firstLineChars="200"/>
              <w:rPr>
                <w:rFonts w:hint="eastAsia" w:cs="宋体"/>
                <w:sz w:val="24"/>
              </w:rPr>
            </w:pPr>
            <w:r>
              <w:rPr>
                <w:rFonts w:hint="eastAsia"/>
                <w:color w:val="000000"/>
                <w:sz w:val="24"/>
              </w:rPr>
              <w:t>主要易燃物为储存的生物醇油、淬火油，</w:t>
            </w:r>
            <w:r>
              <w:rPr>
                <w:color w:val="000000"/>
                <w:sz w:val="24"/>
              </w:rPr>
              <w:t>由于在本项目中各类物质使用量、日常存量均</w:t>
            </w:r>
            <w:r>
              <w:rPr>
                <w:rFonts w:hint="eastAsia"/>
                <w:color w:val="000000"/>
                <w:sz w:val="24"/>
              </w:rPr>
              <w:t>比较小</w:t>
            </w:r>
            <w:r>
              <w:rPr>
                <w:color w:val="000000"/>
                <w:sz w:val="24"/>
              </w:rPr>
              <w:t>，</w:t>
            </w:r>
            <w:r>
              <w:rPr>
                <w:rFonts w:hint="eastAsia"/>
                <w:color w:val="000000"/>
                <w:sz w:val="24"/>
              </w:rPr>
              <w:t>项目</w:t>
            </w:r>
            <w:r>
              <w:rPr>
                <w:rFonts w:hint="eastAsia" w:cs="宋体"/>
                <w:sz w:val="24"/>
              </w:rPr>
              <w:t>若发生火灾事故，应立即对周边人员进行紧急疏散，并采取相应应急措施。综上所述，评价认为本项目风险水平是可以接受的。</w:t>
            </w:r>
          </w:p>
          <w:p>
            <w:pPr>
              <w:spacing w:before="120" w:beforeLines="50" w:line="360" w:lineRule="auto"/>
              <w:ind w:firstLine="3072" w:firstLineChars="1275"/>
              <w:rPr>
                <w:rFonts w:hint="eastAsia"/>
                <w:b/>
                <w:sz w:val="24"/>
              </w:rPr>
            </w:pPr>
            <w:r>
              <w:rPr>
                <w:rFonts w:hint="eastAsia"/>
                <w:b/>
                <w:sz w:val="24"/>
              </w:rPr>
              <w:t>表7-1</w:t>
            </w:r>
            <w:r>
              <w:rPr>
                <w:b/>
                <w:sz w:val="24"/>
              </w:rPr>
              <w:t>3</w:t>
            </w:r>
            <w:r>
              <w:rPr>
                <w:rFonts w:hint="eastAsia"/>
                <w:b/>
                <w:sz w:val="24"/>
              </w:rPr>
              <w:t xml:space="preserve"> </w:t>
            </w:r>
            <w:r>
              <w:rPr>
                <w:rFonts w:hint="eastAsia"/>
                <w:b/>
                <w:sz w:val="24"/>
                <w:lang w:eastAsia="zh-CN"/>
              </w:rPr>
              <w:t>甲醇</w:t>
            </w:r>
            <w:r>
              <w:rPr>
                <w:rFonts w:hint="eastAsia"/>
                <w:b/>
                <w:sz w:val="24"/>
              </w:rPr>
              <w:t>的理化性质及危害特性</w:t>
            </w:r>
          </w:p>
          <w:tbl>
            <w:tblPr>
              <w:tblStyle w:val="69"/>
              <w:tblW w:w="9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9"/>
              <w:gridCol w:w="2099"/>
              <w:gridCol w:w="3175"/>
              <w:gridCol w:w="3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1" w:hRule="exact"/>
              </w:trPr>
              <w:tc>
                <w:tcPr>
                  <w:tcW w:w="499" w:type="dxa"/>
                  <w:vMerge w:val="restart"/>
                  <w:noWrap w:val="0"/>
                  <w:vAlign w:val="center"/>
                </w:tcPr>
                <w:p>
                  <w:pPr>
                    <w:pStyle w:val="87"/>
                    <w:rPr>
                      <w:rFonts w:hint="eastAsia"/>
                      <w:sz w:val="21"/>
                      <w:szCs w:val="21"/>
                    </w:rPr>
                  </w:pPr>
                  <w:r>
                    <w:rPr>
                      <w:rFonts w:hint="eastAsia"/>
                      <w:sz w:val="21"/>
                      <w:szCs w:val="21"/>
                    </w:rPr>
                    <w:t>标识</w:t>
                  </w:r>
                </w:p>
              </w:tc>
              <w:tc>
                <w:tcPr>
                  <w:tcW w:w="2099" w:type="dxa"/>
                  <w:noWrap w:val="0"/>
                  <w:vAlign w:val="center"/>
                </w:tcPr>
                <w:p>
                  <w:pPr>
                    <w:pStyle w:val="87"/>
                    <w:rPr>
                      <w:rFonts w:hint="eastAsia" w:eastAsia="宋体"/>
                      <w:sz w:val="21"/>
                      <w:szCs w:val="21"/>
                      <w:lang w:eastAsia="zh-CN"/>
                    </w:rPr>
                  </w:pPr>
                  <w:r>
                    <w:rPr>
                      <w:rFonts w:hint="eastAsia"/>
                      <w:sz w:val="21"/>
                      <w:szCs w:val="21"/>
                    </w:rPr>
                    <w:t>中文名：</w:t>
                  </w:r>
                  <w:r>
                    <w:rPr>
                      <w:rFonts w:hint="eastAsia"/>
                      <w:sz w:val="21"/>
                      <w:szCs w:val="21"/>
                      <w:lang w:eastAsia="zh-CN"/>
                    </w:rPr>
                    <w:t>甲醇</w:t>
                  </w:r>
                </w:p>
              </w:tc>
              <w:tc>
                <w:tcPr>
                  <w:tcW w:w="3175" w:type="dxa"/>
                  <w:noWrap w:val="0"/>
                  <w:vAlign w:val="center"/>
                </w:tcPr>
                <w:p>
                  <w:pPr>
                    <w:pStyle w:val="87"/>
                    <w:rPr>
                      <w:rFonts w:hint="default" w:eastAsia="宋体"/>
                      <w:sz w:val="21"/>
                      <w:szCs w:val="21"/>
                      <w:lang w:val="en-US" w:eastAsia="zh-CN"/>
                    </w:rPr>
                  </w:pPr>
                  <w:r>
                    <w:rPr>
                      <w:rFonts w:hint="eastAsia"/>
                      <w:sz w:val="21"/>
                      <w:szCs w:val="21"/>
                    </w:rPr>
                    <w:t>英文名：</w:t>
                  </w:r>
                  <w:r>
                    <w:rPr>
                      <w:rFonts w:hint="eastAsia"/>
                      <w:sz w:val="21"/>
                      <w:szCs w:val="21"/>
                      <w:lang w:val="en-US" w:eastAsia="zh-CN"/>
                    </w:rPr>
                    <w:t>methanol</w:t>
                  </w:r>
                </w:p>
              </w:tc>
              <w:tc>
                <w:tcPr>
                  <w:tcW w:w="3369" w:type="dxa"/>
                  <w:noWrap w:val="0"/>
                  <w:vAlign w:val="center"/>
                </w:tcPr>
                <w:p>
                  <w:pPr>
                    <w:pStyle w:val="87"/>
                    <w:rPr>
                      <w:rFonts w:hint="default" w:eastAsia="宋体"/>
                      <w:sz w:val="21"/>
                      <w:szCs w:val="21"/>
                      <w:lang w:val="en-US" w:eastAsia="zh-CN"/>
                    </w:rPr>
                  </w:pPr>
                  <w:r>
                    <w:rPr>
                      <w:rFonts w:hint="eastAsia"/>
                      <w:sz w:val="21"/>
                      <w:szCs w:val="21"/>
                      <w:lang w:eastAsia="zh-CN"/>
                    </w:rPr>
                    <w:t>分子式</w:t>
                  </w:r>
                  <w:r>
                    <w:rPr>
                      <w:rFonts w:hint="eastAsia"/>
                      <w:sz w:val="21"/>
                      <w:szCs w:val="21"/>
                    </w:rPr>
                    <w:t>：</w:t>
                  </w:r>
                  <w:r>
                    <w:rPr>
                      <w:rFonts w:hint="eastAsia"/>
                      <w:sz w:val="21"/>
                      <w:szCs w:val="21"/>
                      <w:lang w:val="en-US" w:eastAsia="zh-CN"/>
                    </w:rPr>
                    <w:t>CH</w:t>
                  </w:r>
                  <w:r>
                    <w:rPr>
                      <w:rFonts w:hint="eastAsia"/>
                      <w:sz w:val="21"/>
                      <w:szCs w:val="21"/>
                      <w:vertAlign w:val="subscript"/>
                      <w:lang w:val="en-US" w:eastAsia="zh-CN"/>
                    </w:rPr>
                    <w:t>3</w:t>
                  </w:r>
                  <w:r>
                    <w:rPr>
                      <w:rFonts w:hint="eastAsia"/>
                      <w:sz w:val="21"/>
                      <w:szCs w:val="21"/>
                      <w:lang w:val="en-US" w:eastAsia="zh-CN"/>
                    </w:rPr>
                    <w:t>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5" w:hRule="exact"/>
              </w:trPr>
              <w:tc>
                <w:tcPr>
                  <w:tcW w:w="499" w:type="dxa"/>
                  <w:vMerge w:val="continue"/>
                  <w:noWrap w:val="0"/>
                  <w:vAlign w:val="center"/>
                </w:tcPr>
                <w:p>
                  <w:pPr>
                    <w:pStyle w:val="87"/>
                    <w:rPr>
                      <w:sz w:val="21"/>
                      <w:szCs w:val="21"/>
                    </w:rPr>
                  </w:pPr>
                </w:p>
              </w:tc>
              <w:tc>
                <w:tcPr>
                  <w:tcW w:w="5274" w:type="dxa"/>
                  <w:gridSpan w:val="2"/>
                  <w:noWrap w:val="0"/>
                  <w:vAlign w:val="center"/>
                </w:tcPr>
                <w:p>
                  <w:pPr>
                    <w:pStyle w:val="87"/>
                    <w:rPr>
                      <w:rFonts w:hint="default" w:eastAsia="宋体"/>
                      <w:sz w:val="21"/>
                      <w:szCs w:val="21"/>
                      <w:lang w:val="en-US" w:eastAsia="zh-CN"/>
                    </w:rPr>
                  </w:pPr>
                  <w:r>
                    <w:rPr>
                      <w:rFonts w:hint="eastAsia"/>
                      <w:sz w:val="21"/>
                      <w:szCs w:val="21"/>
                    </w:rPr>
                    <w:t>CAS号：</w:t>
                  </w:r>
                  <w:r>
                    <w:rPr>
                      <w:rFonts w:hint="eastAsia"/>
                      <w:sz w:val="21"/>
                      <w:szCs w:val="21"/>
                      <w:lang w:val="en-US" w:eastAsia="zh-CN"/>
                    </w:rPr>
                    <w:t>67-65-1</w:t>
                  </w:r>
                </w:p>
              </w:tc>
              <w:tc>
                <w:tcPr>
                  <w:tcW w:w="3369" w:type="dxa"/>
                  <w:noWrap w:val="0"/>
                  <w:vAlign w:val="center"/>
                </w:tcPr>
                <w:p>
                  <w:pPr>
                    <w:pStyle w:val="87"/>
                    <w:rPr>
                      <w:rFonts w:hint="default" w:eastAsia="宋体"/>
                      <w:sz w:val="21"/>
                      <w:szCs w:val="21"/>
                      <w:lang w:val="en-US" w:eastAsia="zh-CN"/>
                    </w:rPr>
                  </w:pPr>
                  <w:r>
                    <w:rPr>
                      <w:rFonts w:hint="eastAsia"/>
                      <w:sz w:val="21"/>
                      <w:szCs w:val="21"/>
                    </w:rPr>
                    <w:t>UN号：</w:t>
                  </w:r>
                  <w:r>
                    <w:rPr>
                      <w:rFonts w:hint="eastAsia"/>
                      <w:sz w:val="21"/>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6" w:hRule="exact"/>
              </w:trPr>
              <w:tc>
                <w:tcPr>
                  <w:tcW w:w="499" w:type="dxa"/>
                  <w:vMerge w:val="restart"/>
                  <w:noWrap w:val="0"/>
                  <w:vAlign w:val="center"/>
                </w:tcPr>
                <w:p>
                  <w:pPr>
                    <w:pStyle w:val="87"/>
                    <w:rPr>
                      <w:rFonts w:hint="eastAsia"/>
                      <w:sz w:val="21"/>
                      <w:szCs w:val="21"/>
                    </w:rPr>
                  </w:pPr>
                  <w:r>
                    <w:rPr>
                      <w:rFonts w:hint="eastAsia"/>
                      <w:sz w:val="21"/>
                      <w:szCs w:val="21"/>
                    </w:rPr>
                    <w:t>理化性质</w:t>
                  </w:r>
                </w:p>
              </w:tc>
              <w:tc>
                <w:tcPr>
                  <w:tcW w:w="8643" w:type="dxa"/>
                  <w:gridSpan w:val="3"/>
                  <w:noWrap w:val="0"/>
                  <w:vAlign w:val="center"/>
                </w:tcPr>
                <w:p>
                  <w:pPr>
                    <w:pStyle w:val="87"/>
                    <w:rPr>
                      <w:rFonts w:hint="default" w:eastAsia="宋体"/>
                      <w:sz w:val="21"/>
                      <w:szCs w:val="21"/>
                      <w:lang w:val="en-US" w:eastAsia="zh-CN"/>
                    </w:rPr>
                  </w:pPr>
                  <w:r>
                    <w:rPr>
                      <w:rFonts w:hint="eastAsia"/>
                      <w:sz w:val="21"/>
                      <w:szCs w:val="21"/>
                      <w:lang w:val="en-US" w:eastAsia="zh-CN"/>
                    </w:rPr>
                    <w:t>无色透明，有酒精刺激性气味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4" w:hRule="exact"/>
              </w:trPr>
              <w:tc>
                <w:tcPr>
                  <w:tcW w:w="499" w:type="dxa"/>
                  <w:vMerge w:val="continue"/>
                  <w:noWrap w:val="0"/>
                  <w:vAlign w:val="center"/>
                </w:tcPr>
                <w:p>
                  <w:pPr>
                    <w:pStyle w:val="87"/>
                    <w:rPr>
                      <w:sz w:val="21"/>
                      <w:szCs w:val="21"/>
                    </w:rPr>
                  </w:pPr>
                </w:p>
              </w:tc>
              <w:tc>
                <w:tcPr>
                  <w:tcW w:w="8643" w:type="dxa"/>
                  <w:gridSpan w:val="3"/>
                  <w:noWrap w:val="0"/>
                  <w:vAlign w:val="center"/>
                </w:tcPr>
                <w:p>
                  <w:pPr>
                    <w:pStyle w:val="87"/>
                    <w:rPr>
                      <w:rFonts w:hint="eastAsia" w:eastAsia="宋体"/>
                      <w:sz w:val="21"/>
                      <w:szCs w:val="21"/>
                      <w:lang w:eastAsia="zh-CN"/>
                    </w:rPr>
                  </w:pPr>
                  <w:r>
                    <w:rPr>
                      <w:rFonts w:hint="eastAsia"/>
                      <w:sz w:val="21"/>
                      <w:szCs w:val="21"/>
                    </w:rPr>
                    <w:t>溶解性：</w:t>
                  </w:r>
                  <w:r>
                    <w:rPr>
                      <w:rFonts w:hint="eastAsia"/>
                      <w:sz w:val="21"/>
                      <w:szCs w:val="21"/>
                      <w:lang w:eastAsia="zh-CN"/>
                    </w:rPr>
                    <w:t>溶于水，混溶于醇、醚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 w:hRule="exact"/>
              </w:trPr>
              <w:tc>
                <w:tcPr>
                  <w:tcW w:w="499" w:type="dxa"/>
                  <w:vMerge w:val="continue"/>
                  <w:noWrap w:val="0"/>
                  <w:vAlign w:val="center"/>
                </w:tcPr>
                <w:p>
                  <w:pPr>
                    <w:pStyle w:val="87"/>
                    <w:rPr>
                      <w:sz w:val="21"/>
                      <w:szCs w:val="21"/>
                    </w:rPr>
                  </w:pPr>
                </w:p>
              </w:tc>
              <w:tc>
                <w:tcPr>
                  <w:tcW w:w="2099" w:type="dxa"/>
                  <w:noWrap w:val="0"/>
                  <w:vAlign w:val="center"/>
                </w:tcPr>
                <w:p>
                  <w:pPr>
                    <w:pStyle w:val="87"/>
                    <w:rPr>
                      <w:rFonts w:hint="default" w:eastAsia="宋体"/>
                      <w:sz w:val="21"/>
                      <w:szCs w:val="21"/>
                      <w:lang w:val="en-US" w:eastAsia="zh-CN"/>
                    </w:rPr>
                  </w:pPr>
                  <w:r>
                    <w:rPr>
                      <w:rFonts w:hint="eastAsia"/>
                      <w:sz w:val="21"/>
                      <w:szCs w:val="21"/>
                    </w:rPr>
                    <w:t>熔点：</w:t>
                  </w:r>
                  <w:r>
                    <w:rPr>
                      <w:rFonts w:hint="eastAsia"/>
                      <w:sz w:val="21"/>
                      <w:szCs w:val="21"/>
                      <w:lang w:val="en-US" w:eastAsia="zh-CN"/>
                    </w:rPr>
                    <w:t>-97.8</w:t>
                  </w:r>
                  <w:r>
                    <w:rPr>
                      <w:rFonts w:hint="eastAsia"/>
                      <w:sz w:val="21"/>
                      <w:szCs w:val="21"/>
                    </w:rPr>
                    <w:t>℃</w:t>
                  </w:r>
                </w:p>
              </w:tc>
              <w:tc>
                <w:tcPr>
                  <w:tcW w:w="3175" w:type="dxa"/>
                  <w:noWrap w:val="0"/>
                  <w:vAlign w:val="center"/>
                </w:tcPr>
                <w:p>
                  <w:pPr>
                    <w:pStyle w:val="87"/>
                    <w:rPr>
                      <w:rFonts w:hint="eastAsia"/>
                      <w:sz w:val="21"/>
                      <w:szCs w:val="21"/>
                    </w:rPr>
                  </w:pPr>
                  <w:r>
                    <w:rPr>
                      <w:rFonts w:hint="eastAsia"/>
                      <w:sz w:val="21"/>
                      <w:szCs w:val="21"/>
                    </w:rPr>
                    <w:t>临界温度：/</w:t>
                  </w:r>
                </w:p>
              </w:tc>
              <w:tc>
                <w:tcPr>
                  <w:tcW w:w="3369" w:type="dxa"/>
                  <w:noWrap w:val="0"/>
                  <w:vAlign w:val="center"/>
                </w:tcPr>
                <w:p>
                  <w:pPr>
                    <w:pStyle w:val="87"/>
                    <w:rPr>
                      <w:rFonts w:hint="eastAsia"/>
                      <w:sz w:val="21"/>
                      <w:szCs w:val="21"/>
                    </w:rPr>
                  </w:pPr>
                  <w:r>
                    <w:rPr>
                      <w:rFonts w:hint="eastAsia"/>
                      <w:sz w:val="21"/>
                      <w:szCs w:val="21"/>
                    </w:rPr>
                    <w:t>密度：</w:t>
                  </w:r>
                  <w:r>
                    <w:rPr>
                      <w:rFonts w:hint="eastAsia"/>
                      <w:sz w:val="21"/>
                      <w:szCs w:val="21"/>
                      <w:lang w:val="en-US" w:eastAsia="zh-CN"/>
                    </w:rPr>
                    <w:t>0.79</w:t>
                  </w:r>
                  <w:r>
                    <w:rPr>
                      <w:rFonts w:hint="eastAsia"/>
                      <w:sz w:val="21"/>
                      <w:szCs w:val="21"/>
                    </w:rPr>
                    <w:t>，在15℃时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8" w:hRule="exact"/>
              </w:trPr>
              <w:tc>
                <w:tcPr>
                  <w:tcW w:w="499" w:type="dxa"/>
                  <w:vMerge w:val="continue"/>
                  <w:noWrap w:val="0"/>
                  <w:vAlign w:val="center"/>
                </w:tcPr>
                <w:p>
                  <w:pPr>
                    <w:pStyle w:val="87"/>
                    <w:rPr>
                      <w:sz w:val="21"/>
                      <w:szCs w:val="21"/>
                    </w:rPr>
                  </w:pPr>
                </w:p>
              </w:tc>
              <w:tc>
                <w:tcPr>
                  <w:tcW w:w="2099" w:type="dxa"/>
                  <w:noWrap w:val="0"/>
                  <w:vAlign w:val="center"/>
                </w:tcPr>
                <w:p>
                  <w:pPr>
                    <w:pStyle w:val="87"/>
                    <w:rPr>
                      <w:rFonts w:hint="eastAsia"/>
                      <w:sz w:val="21"/>
                      <w:szCs w:val="21"/>
                    </w:rPr>
                  </w:pPr>
                  <w:r>
                    <w:rPr>
                      <w:rFonts w:hint="eastAsia"/>
                      <w:sz w:val="21"/>
                      <w:szCs w:val="21"/>
                    </w:rPr>
                    <w:t>沸点：＞</w:t>
                  </w:r>
                  <w:r>
                    <w:rPr>
                      <w:rFonts w:hint="eastAsia"/>
                      <w:sz w:val="21"/>
                      <w:szCs w:val="21"/>
                      <w:lang w:val="en-US" w:eastAsia="zh-CN"/>
                    </w:rPr>
                    <w:t>64.8</w:t>
                  </w:r>
                  <w:r>
                    <w:rPr>
                      <w:rFonts w:hint="eastAsia"/>
                      <w:sz w:val="21"/>
                      <w:szCs w:val="21"/>
                    </w:rPr>
                    <w:t>℃</w:t>
                  </w:r>
                </w:p>
              </w:tc>
              <w:tc>
                <w:tcPr>
                  <w:tcW w:w="3175" w:type="dxa"/>
                  <w:noWrap w:val="0"/>
                  <w:vAlign w:val="center"/>
                </w:tcPr>
                <w:p>
                  <w:pPr>
                    <w:pStyle w:val="87"/>
                    <w:rPr>
                      <w:rFonts w:hint="eastAsia"/>
                      <w:sz w:val="21"/>
                      <w:szCs w:val="21"/>
                    </w:rPr>
                  </w:pPr>
                  <w:r>
                    <w:rPr>
                      <w:rFonts w:hint="eastAsia"/>
                      <w:sz w:val="21"/>
                      <w:szCs w:val="21"/>
                    </w:rPr>
                    <w:t>临界压力：/</w:t>
                  </w:r>
                </w:p>
              </w:tc>
              <w:tc>
                <w:tcPr>
                  <w:tcW w:w="3369" w:type="dxa"/>
                  <w:noWrap w:val="0"/>
                  <w:vAlign w:val="center"/>
                </w:tcPr>
                <w:p>
                  <w:pPr>
                    <w:pStyle w:val="87"/>
                    <w:rPr>
                      <w:rFonts w:hint="eastAsia"/>
                      <w:sz w:val="21"/>
                      <w:szCs w:val="21"/>
                    </w:rPr>
                  </w:pPr>
                  <w:r>
                    <w:rPr>
                      <w:rFonts w:hint="eastAsia"/>
                      <w:sz w:val="21"/>
                      <w:szCs w:val="21"/>
                    </w:rPr>
                    <w:t>蒸汽密度（空气=1）：＞1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 w:hRule="exact"/>
              </w:trPr>
              <w:tc>
                <w:tcPr>
                  <w:tcW w:w="499" w:type="dxa"/>
                  <w:vMerge w:val="continue"/>
                  <w:noWrap w:val="0"/>
                  <w:vAlign w:val="center"/>
                </w:tcPr>
                <w:p>
                  <w:pPr>
                    <w:pStyle w:val="87"/>
                    <w:rPr>
                      <w:sz w:val="21"/>
                      <w:szCs w:val="21"/>
                    </w:rPr>
                  </w:pPr>
                </w:p>
              </w:tc>
              <w:tc>
                <w:tcPr>
                  <w:tcW w:w="2099" w:type="dxa"/>
                  <w:noWrap w:val="0"/>
                  <w:vAlign w:val="center"/>
                </w:tcPr>
                <w:p>
                  <w:pPr>
                    <w:pStyle w:val="87"/>
                    <w:rPr>
                      <w:rFonts w:hint="eastAsia"/>
                      <w:sz w:val="21"/>
                      <w:szCs w:val="21"/>
                    </w:rPr>
                  </w:pPr>
                  <w:r>
                    <w:rPr>
                      <w:rFonts w:hint="eastAsia"/>
                      <w:sz w:val="21"/>
                      <w:szCs w:val="21"/>
                    </w:rPr>
                    <w:t>最小引燃能量：/</w:t>
                  </w:r>
                </w:p>
              </w:tc>
              <w:tc>
                <w:tcPr>
                  <w:tcW w:w="3175" w:type="dxa"/>
                  <w:noWrap w:val="0"/>
                  <w:vAlign w:val="center"/>
                </w:tcPr>
                <w:p>
                  <w:pPr>
                    <w:pStyle w:val="87"/>
                    <w:rPr>
                      <w:rFonts w:hint="eastAsia"/>
                      <w:sz w:val="21"/>
                      <w:szCs w:val="21"/>
                    </w:rPr>
                  </w:pPr>
                  <w:r>
                    <w:rPr>
                      <w:rFonts w:hint="eastAsia"/>
                      <w:sz w:val="21"/>
                      <w:szCs w:val="21"/>
                    </w:rPr>
                    <w:t>蒸汽压力：＜</w:t>
                  </w:r>
                  <w:r>
                    <w:rPr>
                      <w:rFonts w:hint="eastAsia"/>
                      <w:sz w:val="21"/>
                      <w:szCs w:val="21"/>
                      <w:lang w:val="en-US" w:eastAsia="zh-CN"/>
                    </w:rPr>
                    <w:t>13.33</w:t>
                  </w:r>
                  <w:r>
                    <w:rPr>
                      <w:rFonts w:hint="eastAsia"/>
                      <w:sz w:val="21"/>
                      <w:szCs w:val="21"/>
                    </w:rPr>
                    <w:t>Pa（20℃）</w:t>
                  </w:r>
                </w:p>
              </w:tc>
              <w:tc>
                <w:tcPr>
                  <w:tcW w:w="3369" w:type="dxa"/>
                  <w:noWrap w:val="0"/>
                  <w:vAlign w:val="center"/>
                </w:tcPr>
                <w:p>
                  <w:pPr>
                    <w:pStyle w:val="87"/>
                    <w:rPr>
                      <w:rFonts w:hint="default" w:eastAsia="宋体"/>
                      <w:sz w:val="21"/>
                      <w:szCs w:val="21"/>
                      <w:lang w:val="en-US" w:eastAsia="zh-CN"/>
                    </w:rPr>
                  </w:pPr>
                  <w:r>
                    <w:rPr>
                      <w:rFonts w:hint="eastAsia"/>
                      <w:sz w:val="21"/>
                      <w:szCs w:val="21"/>
                    </w:rPr>
                    <w:t>燃烧热：</w:t>
                  </w:r>
                  <w:r>
                    <w:rPr>
                      <w:rFonts w:hint="eastAsia"/>
                      <w:sz w:val="21"/>
                      <w:szCs w:val="21"/>
                      <w:lang w:val="en-US" w:eastAsia="zh-CN"/>
                    </w:rPr>
                    <w:t>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9" w:hRule="exact"/>
              </w:trPr>
              <w:tc>
                <w:tcPr>
                  <w:tcW w:w="499" w:type="dxa"/>
                  <w:vMerge w:val="restart"/>
                  <w:noWrap w:val="0"/>
                  <w:vAlign w:val="center"/>
                </w:tcPr>
                <w:p>
                  <w:pPr>
                    <w:pStyle w:val="87"/>
                    <w:rPr>
                      <w:rFonts w:hint="eastAsia" w:eastAsia="宋体"/>
                      <w:sz w:val="21"/>
                      <w:szCs w:val="21"/>
                      <w:lang w:eastAsia="zh-CN"/>
                    </w:rPr>
                  </w:pPr>
                  <w:r>
                    <w:rPr>
                      <w:rFonts w:hint="eastAsia"/>
                      <w:sz w:val="21"/>
                      <w:szCs w:val="21"/>
                      <w:lang w:eastAsia="zh-CN"/>
                    </w:rPr>
                    <w:t>火灾</w:t>
                  </w:r>
                  <w:r>
                    <w:rPr>
                      <w:rFonts w:hint="eastAsia"/>
                      <w:sz w:val="21"/>
                      <w:szCs w:val="21"/>
                    </w:rPr>
                    <w:t>危险</w:t>
                  </w:r>
                  <w:r>
                    <w:rPr>
                      <w:rFonts w:hint="eastAsia"/>
                      <w:sz w:val="21"/>
                      <w:szCs w:val="21"/>
                      <w:lang w:eastAsia="zh-CN"/>
                    </w:rPr>
                    <w:t>与消防</w:t>
                  </w:r>
                </w:p>
              </w:tc>
              <w:tc>
                <w:tcPr>
                  <w:tcW w:w="2099" w:type="dxa"/>
                  <w:noWrap w:val="0"/>
                  <w:vAlign w:val="center"/>
                </w:tcPr>
                <w:p>
                  <w:pPr>
                    <w:pStyle w:val="87"/>
                    <w:rPr>
                      <w:rFonts w:hint="eastAsia"/>
                      <w:sz w:val="21"/>
                      <w:szCs w:val="21"/>
                    </w:rPr>
                  </w:pPr>
                  <w:r>
                    <w:rPr>
                      <w:rFonts w:hint="eastAsia"/>
                      <w:sz w:val="21"/>
                      <w:szCs w:val="21"/>
                    </w:rPr>
                    <w:t>燃烧性：</w:t>
                  </w:r>
                  <w:r>
                    <w:rPr>
                      <w:rFonts w:hint="eastAsia"/>
                      <w:sz w:val="21"/>
                      <w:szCs w:val="21"/>
                      <w:lang w:eastAsia="zh-CN"/>
                    </w:rPr>
                    <w:t>易</w:t>
                  </w:r>
                  <w:r>
                    <w:rPr>
                      <w:rFonts w:hint="eastAsia"/>
                      <w:sz w:val="21"/>
                      <w:szCs w:val="21"/>
                    </w:rPr>
                    <w:t>燃</w:t>
                  </w:r>
                </w:p>
              </w:tc>
              <w:tc>
                <w:tcPr>
                  <w:tcW w:w="3175" w:type="dxa"/>
                  <w:noWrap w:val="0"/>
                  <w:vAlign w:val="center"/>
                </w:tcPr>
                <w:p>
                  <w:pPr>
                    <w:pStyle w:val="87"/>
                    <w:rPr>
                      <w:rFonts w:hint="eastAsia"/>
                      <w:sz w:val="21"/>
                      <w:szCs w:val="21"/>
                    </w:rPr>
                  </w:pPr>
                  <w:r>
                    <w:rPr>
                      <w:rFonts w:hint="eastAsia"/>
                      <w:sz w:val="21"/>
                      <w:szCs w:val="21"/>
                    </w:rPr>
                    <w:t>闪点：</w:t>
                  </w:r>
                  <w:r>
                    <w:rPr>
                      <w:rFonts w:hint="eastAsia"/>
                      <w:sz w:val="21"/>
                      <w:szCs w:val="21"/>
                      <w:lang w:val="en-US" w:eastAsia="zh-CN"/>
                    </w:rPr>
                    <w:t>11</w:t>
                  </w:r>
                  <w:r>
                    <w:rPr>
                      <w:rFonts w:hint="eastAsia"/>
                      <w:sz w:val="21"/>
                      <w:szCs w:val="21"/>
                    </w:rPr>
                    <w:t>℃</w:t>
                  </w:r>
                </w:p>
              </w:tc>
              <w:tc>
                <w:tcPr>
                  <w:tcW w:w="3369" w:type="dxa"/>
                  <w:noWrap w:val="0"/>
                  <w:vAlign w:val="center"/>
                </w:tcPr>
                <w:p>
                  <w:pPr>
                    <w:pStyle w:val="87"/>
                    <w:rPr>
                      <w:rFonts w:hint="eastAsia"/>
                      <w:sz w:val="21"/>
                      <w:szCs w:val="21"/>
                    </w:rPr>
                  </w:pPr>
                  <w:r>
                    <w:rPr>
                      <w:rFonts w:hint="eastAsia"/>
                      <w:sz w:val="21"/>
                      <w:szCs w:val="21"/>
                    </w:rPr>
                    <w:t>聚合危害：不聚合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7" w:hRule="exact"/>
              </w:trPr>
              <w:tc>
                <w:tcPr>
                  <w:tcW w:w="499" w:type="dxa"/>
                  <w:vMerge w:val="continue"/>
                  <w:noWrap w:val="0"/>
                  <w:vAlign w:val="center"/>
                </w:tcPr>
                <w:p>
                  <w:pPr>
                    <w:pStyle w:val="87"/>
                    <w:rPr>
                      <w:sz w:val="21"/>
                      <w:szCs w:val="21"/>
                    </w:rPr>
                  </w:pPr>
                </w:p>
              </w:tc>
              <w:tc>
                <w:tcPr>
                  <w:tcW w:w="2099" w:type="dxa"/>
                  <w:noWrap w:val="0"/>
                  <w:vAlign w:val="center"/>
                </w:tcPr>
                <w:p>
                  <w:pPr>
                    <w:pStyle w:val="87"/>
                    <w:rPr>
                      <w:rFonts w:hint="eastAsia"/>
                      <w:sz w:val="21"/>
                      <w:szCs w:val="21"/>
                    </w:rPr>
                  </w:pPr>
                  <w:r>
                    <w:rPr>
                      <w:rFonts w:hint="eastAsia"/>
                      <w:sz w:val="21"/>
                      <w:szCs w:val="21"/>
                    </w:rPr>
                    <w:t>引燃温度：＞</w:t>
                  </w:r>
                  <w:r>
                    <w:rPr>
                      <w:rFonts w:hint="eastAsia"/>
                      <w:sz w:val="21"/>
                      <w:szCs w:val="21"/>
                      <w:lang w:val="en-US" w:eastAsia="zh-CN"/>
                    </w:rPr>
                    <w:t>385</w:t>
                  </w:r>
                  <w:r>
                    <w:rPr>
                      <w:rFonts w:hint="eastAsia"/>
                      <w:sz w:val="21"/>
                      <w:szCs w:val="21"/>
                    </w:rPr>
                    <w:t>℃</w:t>
                  </w:r>
                </w:p>
              </w:tc>
              <w:tc>
                <w:tcPr>
                  <w:tcW w:w="3175" w:type="dxa"/>
                  <w:noWrap w:val="0"/>
                  <w:vAlign w:val="center"/>
                </w:tcPr>
                <w:p>
                  <w:pPr>
                    <w:pStyle w:val="87"/>
                    <w:rPr>
                      <w:rFonts w:hint="eastAsia"/>
                      <w:sz w:val="21"/>
                      <w:szCs w:val="21"/>
                    </w:rPr>
                  </w:pPr>
                  <w:r>
                    <w:rPr>
                      <w:rFonts w:hint="eastAsia"/>
                      <w:sz w:val="21"/>
                      <w:szCs w:val="21"/>
                      <w:lang w:eastAsia="zh-CN"/>
                    </w:rPr>
                    <w:t>爆炸</w:t>
                  </w:r>
                  <w:r>
                    <w:rPr>
                      <w:rFonts w:hint="eastAsia"/>
                      <w:sz w:val="21"/>
                      <w:szCs w:val="21"/>
                    </w:rPr>
                    <w:t>极限（v/v）：</w:t>
                  </w:r>
                  <w:r>
                    <w:rPr>
                      <w:rFonts w:hint="eastAsia"/>
                      <w:sz w:val="21"/>
                      <w:szCs w:val="21"/>
                      <w:lang w:val="en-US" w:eastAsia="zh-CN"/>
                    </w:rPr>
                    <w:t>5.5</w:t>
                  </w:r>
                  <w:r>
                    <w:rPr>
                      <w:rFonts w:hint="eastAsia"/>
                      <w:sz w:val="21"/>
                      <w:szCs w:val="21"/>
                    </w:rPr>
                    <w:t>~</w:t>
                  </w:r>
                  <w:r>
                    <w:rPr>
                      <w:rFonts w:hint="eastAsia"/>
                      <w:sz w:val="21"/>
                      <w:szCs w:val="21"/>
                      <w:lang w:val="en-US" w:eastAsia="zh-CN"/>
                    </w:rPr>
                    <w:t>44</w:t>
                  </w:r>
                  <w:r>
                    <w:rPr>
                      <w:rFonts w:hint="eastAsia"/>
                      <w:sz w:val="21"/>
                      <w:szCs w:val="21"/>
                    </w:rPr>
                    <w:t>%</w:t>
                  </w:r>
                </w:p>
              </w:tc>
              <w:tc>
                <w:tcPr>
                  <w:tcW w:w="3369" w:type="dxa"/>
                  <w:noWrap w:val="0"/>
                  <w:vAlign w:val="center"/>
                </w:tcPr>
                <w:p>
                  <w:pPr>
                    <w:pStyle w:val="87"/>
                    <w:rPr>
                      <w:rFonts w:hint="eastAsia"/>
                      <w:sz w:val="21"/>
                      <w:szCs w:val="21"/>
                    </w:rPr>
                  </w:pPr>
                  <w:r>
                    <w:rPr>
                      <w:rFonts w:hint="eastAsia"/>
                      <w:sz w:val="21"/>
                      <w:szCs w:val="21"/>
                    </w:rPr>
                    <w:t>稳定性：稳定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exact"/>
              </w:trPr>
              <w:tc>
                <w:tcPr>
                  <w:tcW w:w="499" w:type="dxa"/>
                  <w:vMerge w:val="continue"/>
                  <w:noWrap w:val="0"/>
                  <w:vAlign w:val="center"/>
                </w:tcPr>
                <w:p>
                  <w:pPr>
                    <w:pStyle w:val="87"/>
                    <w:rPr>
                      <w:sz w:val="21"/>
                      <w:szCs w:val="21"/>
                    </w:rPr>
                  </w:pPr>
                </w:p>
              </w:tc>
              <w:tc>
                <w:tcPr>
                  <w:tcW w:w="8643" w:type="dxa"/>
                  <w:gridSpan w:val="3"/>
                  <w:noWrap w:val="0"/>
                  <w:vAlign w:val="center"/>
                </w:tcPr>
                <w:p>
                  <w:pPr>
                    <w:pStyle w:val="87"/>
                    <w:rPr>
                      <w:rFonts w:hint="eastAsia"/>
                      <w:sz w:val="21"/>
                      <w:szCs w:val="21"/>
                    </w:rPr>
                  </w:pPr>
                  <w:r>
                    <w:rPr>
                      <w:rFonts w:hint="eastAsia"/>
                      <w:sz w:val="21"/>
                      <w:szCs w:val="21"/>
                    </w:rPr>
                    <w:t>禁配物：强氧化剂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6" w:hRule="exact"/>
              </w:trPr>
              <w:tc>
                <w:tcPr>
                  <w:tcW w:w="499" w:type="dxa"/>
                  <w:vMerge w:val="continue"/>
                  <w:noWrap w:val="0"/>
                  <w:vAlign w:val="center"/>
                </w:tcPr>
                <w:p>
                  <w:pPr>
                    <w:pStyle w:val="87"/>
                    <w:rPr>
                      <w:sz w:val="21"/>
                      <w:szCs w:val="21"/>
                    </w:rPr>
                  </w:pPr>
                </w:p>
              </w:tc>
              <w:tc>
                <w:tcPr>
                  <w:tcW w:w="8643" w:type="dxa"/>
                  <w:gridSpan w:val="3"/>
                  <w:noWrap w:val="0"/>
                  <w:vAlign w:val="center"/>
                </w:tcPr>
                <w:p>
                  <w:pPr>
                    <w:pStyle w:val="87"/>
                    <w:jc w:val="left"/>
                    <w:rPr>
                      <w:rFonts w:hint="eastAsia" w:eastAsia="宋体"/>
                      <w:sz w:val="21"/>
                      <w:szCs w:val="21"/>
                      <w:lang w:eastAsia="zh-CN"/>
                    </w:rPr>
                  </w:pPr>
                  <w:r>
                    <w:rPr>
                      <w:rFonts w:hint="eastAsia"/>
                      <w:sz w:val="21"/>
                      <w:szCs w:val="21"/>
                    </w:rPr>
                    <w:t>危险特性：</w:t>
                  </w:r>
                  <w:r>
                    <w:rPr>
                      <w:rFonts w:hint="eastAsia"/>
                      <w:sz w:val="21"/>
                      <w:szCs w:val="21"/>
                      <w:lang w:eastAsia="zh-CN"/>
                    </w:rPr>
                    <w:t>易燃。与空气能形成爆炸性混合物，遇明火、高热能引起燃烧、爆炸。与氧化剂接触会发生化学反应或引起燃烧。容器受热内部压力增大，有发生开裂、爆炸的危险。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6" w:hRule="exact"/>
              </w:trPr>
              <w:tc>
                <w:tcPr>
                  <w:tcW w:w="499" w:type="dxa"/>
                  <w:vMerge w:val="continue"/>
                  <w:noWrap w:val="0"/>
                  <w:vAlign w:val="center"/>
                </w:tcPr>
                <w:p>
                  <w:pPr>
                    <w:pStyle w:val="87"/>
                    <w:rPr>
                      <w:sz w:val="21"/>
                      <w:szCs w:val="21"/>
                    </w:rPr>
                  </w:pPr>
                </w:p>
              </w:tc>
              <w:tc>
                <w:tcPr>
                  <w:tcW w:w="8643" w:type="dxa"/>
                  <w:gridSpan w:val="3"/>
                  <w:noWrap w:val="0"/>
                  <w:vAlign w:val="center"/>
                </w:tcPr>
                <w:p>
                  <w:pPr>
                    <w:pStyle w:val="87"/>
                    <w:jc w:val="left"/>
                    <w:rPr>
                      <w:rFonts w:hint="eastAsia" w:eastAsia="宋体"/>
                      <w:sz w:val="21"/>
                      <w:szCs w:val="21"/>
                      <w:lang w:eastAsia="zh-CN"/>
                    </w:rPr>
                  </w:pPr>
                  <w:r>
                    <w:rPr>
                      <w:rFonts w:hint="eastAsia"/>
                      <w:sz w:val="21"/>
                      <w:szCs w:val="21"/>
                    </w:rPr>
                    <w:t>灭火方法：</w:t>
                  </w:r>
                  <w:r>
                    <w:rPr>
                      <w:rFonts w:hint="eastAsia"/>
                      <w:sz w:val="21"/>
                      <w:szCs w:val="21"/>
                      <w:lang w:eastAsia="zh-CN"/>
                    </w:rPr>
                    <w:t>尽可能将容器从火场移至空旷处。喷水保持火场容器冷却，直至灭火结束。灭火剂：抗溶性泡沫、二氧化碳、干粉、沙土。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3" w:hRule="exact"/>
              </w:trPr>
              <w:tc>
                <w:tcPr>
                  <w:tcW w:w="499" w:type="dxa"/>
                  <w:noWrap w:val="0"/>
                  <w:vAlign w:val="center"/>
                </w:tcPr>
                <w:p>
                  <w:pPr>
                    <w:pStyle w:val="87"/>
                    <w:rPr>
                      <w:rFonts w:hint="eastAsia" w:eastAsia="宋体"/>
                      <w:sz w:val="21"/>
                      <w:szCs w:val="21"/>
                      <w:lang w:eastAsia="zh-CN"/>
                    </w:rPr>
                  </w:pPr>
                  <w:r>
                    <w:rPr>
                      <w:rFonts w:hint="eastAsia"/>
                      <w:sz w:val="21"/>
                      <w:szCs w:val="21"/>
                      <w:lang w:eastAsia="zh-CN"/>
                    </w:rPr>
                    <w:t>健康</w:t>
                  </w:r>
                  <w:r>
                    <w:rPr>
                      <w:rFonts w:hint="eastAsia"/>
                      <w:sz w:val="21"/>
                      <w:szCs w:val="21"/>
                    </w:rPr>
                    <w:t>危害</w:t>
                  </w:r>
                </w:p>
              </w:tc>
              <w:tc>
                <w:tcPr>
                  <w:tcW w:w="8643" w:type="dxa"/>
                  <w:gridSpan w:val="3"/>
                  <w:noWrap w:val="0"/>
                  <w:vAlign w:val="center"/>
                </w:tcPr>
                <w:p>
                  <w:pPr>
                    <w:pStyle w:val="87"/>
                    <w:jc w:val="left"/>
                    <w:rPr>
                      <w:rFonts w:hint="eastAsia"/>
                      <w:sz w:val="21"/>
                      <w:szCs w:val="21"/>
                      <w:lang w:eastAsia="zh-CN"/>
                    </w:rPr>
                  </w:pPr>
                  <w:r>
                    <w:rPr>
                      <w:rFonts w:hint="eastAsia"/>
                      <w:sz w:val="21"/>
                      <w:szCs w:val="21"/>
                      <w:lang w:eastAsia="zh-CN"/>
                    </w:rPr>
                    <w:t>对中枢神经有麻醉作用。对视神经和视网膜有特殊选择作用，引起病变。可致代谢性酸中毒。急性中毒：短时大量吸入可能起急性中毒，出现眼及上呼吸道刺激症状。经潜伏期后出现头痛、头晕、乏力、眩晕、醉酒感、意识月朦胧，甚至昏迷。视神经及视网膜病变，可有视物模糊、复视等，重者失明。急性中毒：短时大量吸入可能起急性中毒，出现眼及上呼吸道刺激症状。经潜伏期后出现头痛、头晕、乏力、眩晕、醉酒感、意识月朦胧，甚至昏迷。视神经及</w:t>
                  </w:r>
                </w:p>
                <w:p>
                  <w:pPr>
                    <w:pStyle w:val="87"/>
                    <w:rPr>
                      <w:rFonts w:hint="eastAsia" w:eastAsia="宋体"/>
                      <w:sz w:val="21"/>
                      <w:szCs w:val="21"/>
                      <w:lang w:eastAsia="zh-CN"/>
                    </w:rPr>
                  </w:pPr>
                  <w:r>
                    <w:rPr>
                      <w:rFonts w:hint="eastAsia"/>
                      <w:sz w:val="21"/>
                      <w:szCs w:val="21"/>
                      <w:lang w:eastAsia="zh-CN"/>
                    </w:rPr>
                    <w:t>视网膜病变，可有视物模糊、复视等，重者失明。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9" w:hRule="exact"/>
              </w:trPr>
              <w:tc>
                <w:tcPr>
                  <w:tcW w:w="499" w:type="dxa"/>
                  <w:noWrap w:val="0"/>
                  <w:vAlign w:val="center"/>
                </w:tcPr>
                <w:p>
                  <w:pPr>
                    <w:pStyle w:val="87"/>
                    <w:rPr>
                      <w:rFonts w:hint="eastAsia"/>
                      <w:sz w:val="21"/>
                      <w:szCs w:val="21"/>
                    </w:rPr>
                  </w:pPr>
                  <w:r>
                    <w:rPr>
                      <w:rFonts w:hint="eastAsia"/>
                      <w:sz w:val="21"/>
                      <w:szCs w:val="21"/>
                    </w:rPr>
                    <w:t>急救</w:t>
                  </w:r>
                </w:p>
              </w:tc>
              <w:tc>
                <w:tcPr>
                  <w:tcW w:w="8643" w:type="dxa"/>
                  <w:gridSpan w:val="3"/>
                  <w:noWrap w:val="0"/>
                  <w:vAlign w:val="center"/>
                </w:tcPr>
                <w:p>
                  <w:pPr>
                    <w:pStyle w:val="87"/>
                    <w:jc w:val="left"/>
                    <w:rPr>
                      <w:rFonts w:hint="eastAsia" w:eastAsia="宋体"/>
                      <w:sz w:val="21"/>
                      <w:szCs w:val="21"/>
                      <w:lang w:eastAsia="zh-CN"/>
                    </w:rPr>
                  </w:pPr>
                  <w:r>
                    <w:rPr>
                      <w:rFonts w:hint="eastAsia"/>
                      <w:sz w:val="21"/>
                      <w:szCs w:val="21"/>
                    </w:rPr>
                    <w:t>食入：饮足量温水催吐，用清水或1﹪硫代硫酸钠溶液洗胃</w:t>
                  </w:r>
                  <w:r>
                    <w:rPr>
                      <w:rFonts w:hint="eastAsia"/>
                      <w:sz w:val="21"/>
                      <w:szCs w:val="21"/>
                      <w:lang w:eastAsia="zh-CN"/>
                    </w:rPr>
                    <w:t>，</w:t>
                  </w:r>
                  <w:r>
                    <w:rPr>
                      <w:rFonts w:hint="eastAsia"/>
                      <w:sz w:val="21"/>
                      <w:szCs w:val="21"/>
                    </w:rPr>
                    <w:t>就医。 吸入：迅速脱离现场至空气新鲜处。保持呼吸道通畅。如呼吸困难，给输氧</w:t>
                  </w:r>
                  <w:r>
                    <w:rPr>
                      <w:rFonts w:hint="eastAsia"/>
                      <w:sz w:val="21"/>
                      <w:szCs w:val="21"/>
                      <w:lang w:eastAsia="zh-CN"/>
                    </w:rPr>
                    <w:t>。皮肤接触：立即脱去被污染衣着，用肥皂水或清水彻底冲洗。 眼睛接触：立即提起眼睑，用清水或生理盐水彻底冲洗。就医。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7" w:hRule="exact"/>
              </w:trPr>
              <w:tc>
                <w:tcPr>
                  <w:tcW w:w="499" w:type="dxa"/>
                  <w:noWrap w:val="0"/>
                  <w:vAlign w:val="center"/>
                </w:tcPr>
                <w:p>
                  <w:pPr>
                    <w:pStyle w:val="87"/>
                    <w:rPr>
                      <w:rFonts w:hint="eastAsia"/>
                      <w:sz w:val="21"/>
                      <w:szCs w:val="21"/>
                    </w:rPr>
                  </w:pPr>
                  <w:r>
                    <w:rPr>
                      <w:rFonts w:hint="eastAsia"/>
                      <w:sz w:val="21"/>
                      <w:szCs w:val="21"/>
                    </w:rPr>
                    <w:t>防护</w:t>
                  </w:r>
                </w:p>
              </w:tc>
              <w:tc>
                <w:tcPr>
                  <w:tcW w:w="8643" w:type="dxa"/>
                  <w:gridSpan w:val="3"/>
                  <w:noWrap w:val="0"/>
                  <w:vAlign w:val="center"/>
                </w:tcPr>
                <w:p>
                  <w:pPr>
                    <w:pStyle w:val="87"/>
                    <w:jc w:val="left"/>
                    <w:rPr>
                      <w:rFonts w:hint="eastAsia"/>
                      <w:sz w:val="21"/>
                      <w:szCs w:val="21"/>
                    </w:rPr>
                  </w:pPr>
                  <w:r>
                    <w:rPr>
                      <w:rFonts w:hint="eastAsia"/>
                      <w:sz w:val="21"/>
                      <w:szCs w:val="21"/>
                    </w:rPr>
                    <w:t>生产过程密闭，加强通风。提供淋浴和洗眼设备。 呼吸系统防护：可能接触其蒸气时，应佩戴自过滤式防毒面具。紧急事态抢救或撤离时，建议佩戴空气呼吸器。 眼睛防护：戴化学安全防护眼镜。 </w:t>
                  </w:r>
                </w:p>
                <w:p>
                  <w:pPr>
                    <w:pStyle w:val="87"/>
                    <w:jc w:val="left"/>
                    <w:rPr>
                      <w:rFonts w:hint="eastAsia"/>
                      <w:sz w:val="21"/>
                      <w:szCs w:val="21"/>
                    </w:rPr>
                  </w:pPr>
                  <w:r>
                    <w:rPr>
                      <w:rFonts w:hint="eastAsia"/>
                      <w:sz w:val="21"/>
                      <w:szCs w:val="21"/>
                    </w:rPr>
                    <w:t>身体防护：穿防静电工作服。 手防护：戴橡胶手套。工作场所禁止吸烟、进食和进水。工作后淋浴、更衣。实行就业前和定期体检。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4" w:hRule="exact"/>
              </w:trPr>
              <w:tc>
                <w:tcPr>
                  <w:tcW w:w="499" w:type="dxa"/>
                  <w:noWrap w:val="0"/>
                  <w:vAlign w:val="center"/>
                </w:tcPr>
                <w:p>
                  <w:pPr>
                    <w:pStyle w:val="87"/>
                    <w:rPr>
                      <w:rFonts w:hint="eastAsia"/>
                      <w:sz w:val="21"/>
                      <w:szCs w:val="21"/>
                    </w:rPr>
                  </w:pPr>
                  <w:r>
                    <w:rPr>
                      <w:rFonts w:hint="eastAsia"/>
                      <w:sz w:val="21"/>
                      <w:szCs w:val="21"/>
                    </w:rPr>
                    <w:t>泄漏处理</w:t>
                  </w:r>
                </w:p>
              </w:tc>
              <w:tc>
                <w:tcPr>
                  <w:tcW w:w="8643" w:type="dxa"/>
                  <w:gridSpan w:val="3"/>
                  <w:noWrap w:val="0"/>
                  <w:vAlign w:val="center"/>
                </w:tcPr>
                <w:p>
                  <w:pPr>
                    <w:pStyle w:val="87"/>
                    <w:jc w:val="left"/>
                    <w:rPr>
                      <w:rFonts w:hint="eastAsia" w:eastAsia="宋体"/>
                      <w:sz w:val="21"/>
                      <w:szCs w:val="21"/>
                      <w:lang w:eastAsia="zh-CN"/>
                    </w:rPr>
                  </w:pPr>
                  <w:r>
                    <w:rPr>
                      <w:rFonts w:hint="eastAsia"/>
                      <w:sz w:val="21"/>
                      <w:szCs w:val="21"/>
                    </w:rPr>
                    <w:t>漏时迅速将污染区人员撤离至安全处，并进行隔离，严格限制出入。切断火源。建议应急处理人员戴自给正压式呼吸器，穿防毒服。不要直接接触泄漏物。尽可能切断泄漏源，防止进入下水道、排洪沟等限制性空间。 少量泄漏：用砂土或其它不燃材料吸附或吸收。也可用大量水冲洗，洗水稀释后放入废水系统</w:t>
                  </w:r>
                  <w:r>
                    <w:rPr>
                      <w:rFonts w:hint="eastAsia"/>
                      <w:sz w:val="21"/>
                      <w:szCs w:val="21"/>
                      <w:lang w:eastAsia="zh-CN"/>
                    </w:rPr>
                    <w:t>。大量泄漏：构筑围堰或挖坑收容。用泡沫覆盖，降低蒸汽灾害。用防爆泵转移至槽车或专用收集容器，回收或运至废物处理场处置。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3" w:hRule="exact"/>
              </w:trPr>
              <w:tc>
                <w:tcPr>
                  <w:tcW w:w="499" w:type="dxa"/>
                  <w:noWrap w:val="0"/>
                  <w:vAlign w:val="center"/>
                </w:tcPr>
                <w:p>
                  <w:pPr>
                    <w:pStyle w:val="87"/>
                    <w:rPr>
                      <w:rFonts w:hint="eastAsia"/>
                      <w:sz w:val="21"/>
                      <w:szCs w:val="21"/>
                    </w:rPr>
                  </w:pPr>
                  <w:r>
                    <w:rPr>
                      <w:rFonts w:hint="eastAsia"/>
                      <w:sz w:val="21"/>
                      <w:szCs w:val="21"/>
                    </w:rPr>
                    <w:t>处理与储存</w:t>
                  </w:r>
                </w:p>
              </w:tc>
              <w:tc>
                <w:tcPr>
                  <w:tcW w:w="8643" w:type="dxa"/>
                  <w:gridSpan w:val="3"/>
                  <w:noWrap w:val="0"/>
                  <w:vAlign w:val="center"/>
                </w:tcPr>
                <w:p>
                  <w:pPr>
                    <w:pStyle w:val="87"/>
                    <w:jc w:val="left"/>
                    <w:rPr>
                      <w:rFonts w:hint="eastAsia"/>
                      <w:sz w:val="21"/>
                      <w:szCs w:val="21"/>
                    </w:rPr>
                  </w:pPr>
                  <w:r>
                    <w:rPr>
                      <w:rFonts w:hint="eastAsia"/>
                      <w:sz w:val="21"/>
                      <w:szCs w:val="21"/>
                      <w:lang w:eastAsia="zh-CN"/>
                    </w:rPr>
                    <w:t>包装方法：小开口钢桶；螺纹玻璃瓶；塑料瓶或金属桶。储存于阴凉、通风处，储存温度不宜超过</w:t>
                  </w:r>
                  <w:r>
                    <w:rPr>
                      <w:rFonts w:hint="eastAsia"/>
                      <w:sz w:val="21"/>
                      <w:szCs w:val="21"/>
                      <w:lang w:val="en-US" w:eastAsia="zh-CN"/>
                    </w:rPr>
                    <w:t>30℃。远离火种、热源，防止阳光直射，保持容器密闭。</w:t>
                  </w:r>
                </w:p>
              </w:tc>
            </w:tr>
          </w:tbl>
          <w:p>
            <w:pPr>
              <w:widowControl/>
              <w:spacing w:line="360" w:lineRule="auto"/>
              <w:ind w:firstLine="480" w:firstLineChars="200"/>
              <w:rPr>
                <w:rFonts w:hint="eastAsia" w:eastAsia="宋体" w:cs="宋体"/>
                <w:sz w:val="24"/>
                <w:lang w:eastAsia="zh-CN"/>
              </w:rPr>
            </w:pPr>
          </w:p>
          <w:p>
            <w:pPr>
              <w:pStyle w:val="343"/>
              <w:spacing w:line="360" w:lineRule="auto"/>
              <w:rPr>
                <w:rFonts w:hint="eastAsia"/>
              </w:rPr>
            </w:pPr>
            <w:r>
              <w:rPr>
                <w:rFonts w:hint="eastAsia"/>
              </w:rPr>
              <w:t>4.风险防范措施与应急预案</w:t>
            </w:r>
          </w:p>
          <w:p>
            <w:pPr>
              <w:spacing w:line="360" w:lineRule="auto"/>
              <w:ind w:firstLine="480" w:firstLineChars="200"/>
              <w:rPr>
                <w:color w:val="000000"/>
                <w:sz w:val="24"/>
              </w:rPr>
            </w:pPr>
            <w:r>
              <w:rPr>
                <w:color w:val="000000"/>
                <w:sz w:val="24"/>
              </w:rPr>
              <w:t>（</w:t>
            </w:r>
            <w:r>
              <w:rPr>
                <w:rFonts w:hint="eastAsia"/>
                <w:color w:val="000000"/>
                <w:sz w:val="24"/>
              </w:rPr>
              <w:t>1</w:t>
            </w:r>
            <w:r>
              <w:rPr>
                <w:color w:val="000000"/>
                <w:sz w:val="24"/>
              </w:rPr>
              <w:t>）</w:t>
            </w:r>
            <w:r>
              <w:rPr>
                <w:rFonts w:hint="eastAsia"/>
                <w:color w:val="000000"/>
                <w:sz w:val="24"/>
                <w:lang w:eastAsia="zh-CN"/>
              </w:rPr>
              <w:t>生产区</w:t>
            </w:r>
            <w:r>
              <w:rPr>
                <w:rFonts w:hint="eastAsia"/>
                <w:color w:val="000000"/>
                <w:sz w:val="24"/>
              </w:rPr>
              <w:t>杜绝各种明火，设置醒目的禁止烟火等标志</w:t>
            </w:r>
            <w:r>
              <w:rPr>
                <w:color w:val="000000"/>
                <w:sz w:val="24"/>
              </w:rPr>
              <w:t>。</w:t>
            </w:r>
          </w:p>
          <w:p>
            <w:pPr>
              <w:spacing w:line="360" w:lineRule="auto"/>
              <w:ind w:firstLine="480" w:firstLineChars="200"/>
              <w:rPr>
                <w:color w:val="000000"/>
                <w:sz w:val="24"/>
              </w:rPr>
            </w:pPr>
            <w:r>
              <w:rPr>
                <w:color w:val="000000"/>
                <w:sz w:val="24"/>
              </w:rPr>
              <w:t>（2）设消防栓，配备消防水泵、消防水枪等专业消防设施；配备干粉火器和移动式灭火器，并贮备灭火砂，以备泄漏应急之用。</w:t>
            </w:r>
          </w:p>
          <w:p>
            <w:pPr>
              <w:spacing w:line="360" w:lineRule="auto"/>
              <w:ind w:firstLine="480" w:firstLineChars="200"/>
              <w:rPr>
                <w:color w:val="000000"/>
                <w:sz w:val="24"/>
              </w:rPr>
            </w:pPr>
            <w:r>
              <w:rPr>
                <w:color w:val="000000"/>
                <w:sz w:val="24"/>
              </w:rPr>
              <w:t>（</w:t>
            </w:r>
            <w:r>
              <w:rPr>
                <w:rFonts w:hint="eastAsia"/>
                <w:color w:val="000000"/>
                <w:sz w:val="24"/>
              </w:rPr>
              <w:t>3</w:t>
            </w:r>
            <w:r>
              <w:rPr>
                <w:color w:val="000000"/>
                <w:sz w:val="24"/>
              </w:rPr>
              <w:t>）</w:t>
            </w:r>
            <w:r>
              <w:rPr>
                <w:color w:val="000000"/>
                <w:sz w:val="24"/>
                <w:lang w:val="en-GB"/>
              </w:rPr>
              <w:t>建设消防事故废水收集系统，当发生火灾时，将产生的消防事故废水收集，</w:t>
            </w:r>
            <w:r>
              <w:rPr>
                <w:rFonts w:hint="eastAsia"/>
                <w:color w:val="000000"/>
                <w:sz w:val="24"/>
                <w:lang w:val="en-GB"/>
              </w:rPr>
              <w:t>可</w:t>
            </w:r>
            <w:r>
              <w:rPr>
                <w:color w:val="000000"/>
                <w:sz w:val="24"/>
                <w:lang w:val="en-GB"/>
              </w:rPr>
              <w:t>用于</w:t>
            </w:r>
            <w:r>
              <w:rPr>
                <w:rFonts w:hint="eastAsia"/>
                <w:color w:val="000000"/>
                <w:sz w:val="24"/>
                <w:lang w:val="en-GB"/>
              </w:rPr>
              <w:t>循环</w:t>
            </w:r>
            <w:r>
              <w:rPr>
                <w:color w:val="000000"/>
                <w:sz w:val="24"/>
                <w:lang w:val="en-GB"/>
              </w:rPr>
              <w:t>水池补充水</w:t>
            </w:r>
            <w:r>
              <w:rPr>
                <w:color w:val="000000"/>
                <w:sz w:val="24"/>
              </w:rPr>
              <w:t>。</w:t>
            </w:r>
          </w:p>
          <w:p>
            <w:pPr>
              <w:spacing w:line="360" w:lineRule="auto"/>
              <w:ind w:firstLine="480" w:firstLineChars="200"/>
              <w:rPr>
                <w:color w:val="000000"/>
                <w:sz w:val="24"/>
              </w:rPr>
            </w:pPr>
            <w:r>
              <w:rPr>
                <w:color w:val="000000"/>
                <w:sz w:val="24"/>
              </w:rPr>
              <w:t>（</w:t>
            </w:r>
            <w:r>
              <w:rPr>
                <w:rFonts w:hint="eastAsia"/>
                <w:color w:val="000000"/>
                <w:sz w:val="24"/>
              </w:rPr>
              <w:t>4</w:t>
            </w:r>
            <w:r>
              <w:rPr>
                <w:color w:val="000000"/>
                <w:sz w:val="24"/>
              </w:rPr>
              <w:t>）安全防火装置内设消火栓，水泵接合器、灭火器，防水栓由给水管网直接供水，</w:t>
            </w:r>
            <w:r>
              <w:rPr>
                <w:rFonts w:hint="eastAsia"/>
                <w:color w:val="000000"/>
                <w:sz w:val="24"/>
              </w:rPr>
              <w:t>场区</w:t>
            </w:r>
            <w:r>
              <w:rPr>
                <w:color w:val="000000"/>
                <w:sz w:val="24"/>
              </w:rPr>
              <w:t>内显眼位置设立防火、防触电安全警示、标志；电器必须采用防爆型，并采取相应的防火措施；仓库区根据危险品特性及仓库条件，配置相应的消防设备、设施和灭火药剂；</w:t>
            </w:r>
          </w:p>
          <w:p>
            <w:pPr>
              <w:widowControl/>
              <w:spacing w:line="360" w:lineRule="auto"/>
              <w:ind w:firstLine="480" w:firstLineChars="200"/>
              <w:rPr>
                <w:rFonts w:hAnsi="宋体"/>
                <w:sz w:val="24"/>
              </w:rPr>
            </w:pPr>
            <w:r>
              <w:rPr>
                <w:rFonts w:hint="eastAsia" w:hAnsi="宋体"/>
                <w:sz w:val="24"/>
              </w:rPr>
              <w:t>（5）定期安排专门人员对</w:t>
            </w:r>
            <w:r>
              <w:rPr>
                <w:rFonts w:hint="eastAsia" w:hAnsi="宋体"/>
                <w:sz w:val="24"/>
                <w:lang w:eastAsia="zh-CN"/>
              </w:rPr>
              <w:t>醇油燃料储存间</w:t>
            </w:r>
            <w:r>
              <w:rPr>
                <w:rFonts w:hint="eastAsia" w:hAnsi="宋体"/>
                <w:sz w:val="24"/>
              </w:rPr>
              <w:t xml:space="preserve">进行巡视，若发现异常立即维护。 </w:t>
            </w:r>
          </w:p>
          <w:p>
            <w:pPr>
              <w:widowControl/>
              <w:spacing w:line="360" w:lineRule="auto"/>
              <w:ind w:firstLine="480" w:firstLineChars="200"/>
              <w:rPr>
                <w:rFonts w:hint="eastAsia" w:hAnsi="宋体"/>
                <w:sz w:val="24"/>
              </w:rPr>
            </w:pPr>
            <w:r>
              <w:rPr>
                <w:rFonts w:hint="eastAsia" w:hAnsi="宋体"/>
                <w:sz w:val="24"/>
              </w:rPr>
              <w:t>（6）企业应定期对职工进行粉尘防爆专业知识的培训。</w:t>
            </w:r>
          </w:p>
          <w:p>
            <w:pPr>
              <w:widowControl/>
              <w:spacing w:line="360" w:lineRule="auto"/>
              <w:ind w:firstLine="480" w:firstLineChars="200"/>
              <w:rPr>
                <w:rFonts w:hAnsi="宋体"/>
                <w:color w:val="000000"/>
                <w:kern w:val="0"/>
                <w:sz w:val="24"/>
              </w:rPr>
            </w:pPr>
            <w:r>
              <w:rPr>
                <w:rFonts w:hAnsi="宋体"/>
                <w:color w:val="000000"/>
                <w:kern w:val="0"/>
                <w:sz w:val="24"/>
              </w:rPr>
              <w:t>根据本项目环境风险分析，对于该项目可能造成环境风险的突发性事故制定应急预案纲要，见下表</w:t>
            </w:r>
            <w:r>
              <w:rPr>
                <w:rFonts w:hint="eastAsia" w:hAnsi="宋体"/>
                <w:color w:val="000000"/>
                <w:kern w:val="0"/>
                <w:sz w:val="24"/>
              </w:rPr>
              <w:t>7-</w:t>
            </w:r>
            <w:r>
              <w:rPr>
                <w:rFonts w:hAnsi="宋体"/>
                <w:color w:val="000000"/>
                <w:kern w:val="0"/>
                <w:sz w:val="24"/>
              </w:rPr>
              <w:t>1</w:t>
            </w:r>
            <w:r>
              <w:rPr>
                <w:rFonts w:hint="eastAsia" w:hAnsi="宋体"/>
                <w:color w:val="000000"/>
                <w:kern w:val="0"/>
                <w:sz w:val="24"/>
                <w:lang w:val="en-US" w:eastAsia="zh-CN"/>
              </w:rPr>
              <w:t>4</w:t>
            </w:r>
            <w:r>
              <w:rPr>
                <w:rFonts w:hAnsi="宋体"/>
                <w:color w:val="000000"/>
                <w:kern w:val="0"/>
                <w:sz w:val="24"/>
              </w:rPr>
              <w:t>。</w:t>
            </w:r>
          </w:p>
          <w:p>
            <w:pPr>
              <w:widowControl/>
              <w:ind w:firstLine="482"/>
              <w:jc w:val="center"/>
              <w:rPr>
                <w:b/>
                <w:color w:val="000000"/>
                <w:kern w:val="0"/>
                <w:sz w:val="24"/>
                <w:szCs w:val="24"/>
              </w:rPr>
            </w:pPr>
            <w:r>
              <w:rPr>
                <w:rFonts w:hAnsi="宋体"/>
                <w:b/>
                <w:color w:val="000000"/>
                <w:kern w:val="0"/>
                <w:sz w:val="24"/>
                <w:szCs w:val="24"/>
              </w:rPr>
              <w:t>表</w:t>
            </w:r>
            <w:r>
              <w:rPr>
                <w:rFonts w:hint="eastAsia" w:hAnsi="宋体"/>
                <w:b/>
                <w:color w:val="000000"/>
                <w:kern w:val="0"/>
                <w:sz w:val="24"/>
                <w:szCs w:val="24"/>
              </w:rPr>
              <w:t>7-</w:t>
            </w:r>
            <w:r>
              <w:rPr>
                <w:rFonts w:hAnsi="宋体"/>
                <w:b/>
                <w:color w:val="000000"/>
                <w:kern w:val="0"/>
                <w:sz w:val="24"/>
                <w:szCs w:val="24"/>
              </w:rPr>
              <w:t>1</w:t>
            </w:r>
            <w:r>
              <w:rPr>
                <w:rFonts w:hint="eastAsia" w:hAnsi="宋体"/>
                <w:b/>
                <w:color w:val="000000"/>
                <w:kern w:val="0"/>
                <w:sz w:val="24"/>
                <w:szCs w:val="24"/>
                <w:lang w:val="en-US" w:eastAsia="zh-CN"/>
              </w:rPr>
              <w:t>4</w:t>
            </w:r>
            <w:r>
              <w:rPr>
                <w:rFonts w:hint="eastAsia"/>
                <w:b/>
                <w:color w:val="000000"/>
                <w:kern w:val="0"/>
                <w:sz w:val="24"/>
                <w:szCs w:val="24"/>
              </w:rPr>
              <w:t xml:space="preserve">  </w:t>
            </w:r>
            <w:r>
              <w:rPr>
                <w:b/>
                <w:color w:val="000000"/>
                <w:kern w:val="0"/>
                <w:sz w:val="24"/>
                <w:szCs w:val="24"/>
              </w:rPr>
              <w:t xml:space="preserve"> </w:t>
            </w:r>
            <w:r>
              <w:rPr>
                <w:rFonts w:hAnsi="宋体"/>
                <w:b/>
                <w:color w:val="000000"/>
                <w:kern w:val="0"/>
                <w:sz w:val="24"/>
                <w:szCs w:val="24"/>
              </w:rPr>
              <w:t>环境风险的突发性事故制定应急预案表</w:t>
            </w:r>
          </w:p>
          <w:tbl>
            <w:tblPr>
              <w:tblStyle w:val="69"/>
              <w:tblW w:w="9152" w:type="dxa"/>
              <w:jc w:val="center"/>
              <w:tblInd w:w="-5"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782"/>
              <w:gridCol w:w="2498"/>
              <w:gridCol w:w="5872"/>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1" w:hRule="atLeast"/>
                <w:jc w:val="center"/>
              </w:trPr>
              <w:tc>
                <w:tcPr>
                  <w:tcW w:w="782" w:type="dxa"/>
                  <w:tcBorders>
                    <w:tl2br w:val="nil"/>
                    <w:tr2bl w:val="nil"/>
                  </w:tcBorders>
                  <w:noWrap w:val="0"/>
                  <w:vAlign w:val="center"/>
                </w:tcPr>
                <w:p>
                  <w:pPr>
                    <w:widowControl/>
                    <w:rPr>
                      <w:b/>
                      <w:color w:val="000000"/>
                      <w:kern w:val="0"/>
                      <w:szCs w:val="21"/>
                    </w:rPr>
                  </w:pPr>
                  <w:r>
                    <w:rPr>
                      <w:rFonts w:hAnsi="宋体"/>
                      <w:b/>
                      <w:color w:val="000000"/>
                      <w:kern w:val="0"/>
                      <w:szCs w:val="21"/>
                    </w:rPr>
                    <w:t>序号</w:t>
                  </w:r>
                </w:p>
              </w:tc>
              <w:tc>
                <w:tcPr>
                  <w:tcW w:w="2498" w:type="dxa"/>
                  <w:tcBorders>
                    <w:tl2br w:val="nil"/>
                    <w:tr2bl w:val="nil"/>
                  </w:tcBorders>
                  <w:noWrap w:val="0"/>
                  <w:vAlign w:val="center"/>
                </w:tcPr>
                <w:p>
                  <w:pPr>
                    <w:widowControl/>
                    <w:jc w:val="center"/>
                    <w:rPr>
                      <w:b/>
                      <w:color w:val="000000"/>
                      <w:kern w:val="0"/>
                      <w:szCs w:val="21"/>
                    </w:rPr>
                  </w:pPr>
                  <w:r>
                    <w:rPr>
                      <w:rFonts w:hAnsi="宋体"/>
                      <w:b/>
                      <w:color w:val="000000"/>
                      <w:kern w:val="0"/>
                      <w:szCs w:val="21"/>
                    </w:rPr>
                    <w:t>项目</w:t>
                  </w:r>
                </w:p>
              </w:tc>
              <w:tc>
                <w:tcPr>
                  <w:tcW w:w="5872" w:type="dxa"/>
                  <w:tcBorders>
                    <w:tl2br w:val="nil"/>
                    <w:tr2bl w:val="nil"/>
                  </w:tcBorders>
                  <w:noWrap w:val="0"/>
                  <w:vAlign w:val="center"/>
                </w:tcPr>
                <w:p>
                  <w:pPr>
                    <w:widowControl/>
                    <w:jc w:val="center"/>
                    <w:rPr>
                      <w:b/>
                      <w:color w:val="000000"/>
                      <w:kern w:val="0"/>
                      <w:szCs w:val="21"/>
                    </w:rPr>
                  </w:pPr>
                  <w:r>
                    <w:rPr>
                      <w:rFonts w:hAnsi="宋体"/>
                      <w:b/>
                      <w:color w:val="000000"/>
                      <w:kern w:val="0"/>
                      <w:szCs w:val="21"/>
                    </w:rPr>
                    <w:t>内容及要求</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1" w:hRule="atLeast"/>
                <w:jc w:val="center"/>
              </w:trPr>
              <w:tc>
                <w:tcPr>
                  <w:tcW w:w="782" w:type="dxa"/>
                  <w:tcBorders>
                    <w:tl2br w:val="nil"/>
                    <w:tr2bl w:val="nil"/>
                  </w:tcBorders>
                  <w:noWrap w:val="0"/>
                  <w:vAlign w:val="center"/>
                </w:tcPr>
                <w:p>
                  <w:pPr>
                    <w:widowControl/>
                    <w:jc w:val="center"/>
                    <w:rPr>
                      <w:color w:val="000000"/>
                      <w:kern w:val="0"/>
                      <w:szCs w:val="21"/>
                    </w:rPr>
                  </w:pPr>
                  <w:r>
                    <w:rPr>
                      <w:rFonts w:hint="eastAsia"/>
                      <w:color w:val="000000"/>
                      <w:kern w:val="0"/>
                      <w:szCs w:val="21"/>
                    </w:rPr>
                    <w:t>1</w:t>
                  </w:r>
                </w:p>
              </w:tc>
              <w:tc>
                <w:tcPr>
                  <w:tcW w:w="2498" w:type="dxa"/>
                  <w:tcBorders>
                    <w:tl2br w:val="nil"/>
                    <w:tr2bl w:val="nil"/>
                  </w:tcBorders>
                  <w:noWrap w:val="0"/>
                  <w:vAlign w:val="center"/>
                </w:tcPr>
                <w:p>
                  <w:pPr>
                    <w:widowControl/>
                    <w:jc w:val="center"/>
                    <w:rPr>
                      <w:color w:val="000000"/>
                      <w:kern w:val="0"/>
                      <w:szCs w:val="21"/>
                    </w:rPr>
                  </w:pPr>
                  <w:r>
                    <w:rPr>
                      <w:rFonts w:hAnsi="宋体"/>
                      <w:color w:val="000000"/>
                      <w:kern w:val="0"/>
                      <w:szCs w:val="21"/>
                    </w:rPr>
                    <w:t>应急计划区</w:t>
                  </w:r>
                </w:p>
              </w:tc>
              <w:tc>
                <w:tcPr>
                  <w:tcW w:w="5872" w:type="dxa"/>
                  <w:tcBorders>
                    <w:tl2br w:val="nil"/>
                    <w:tr2bl w:val="nil"/>
                  </w:tcBorders>
                  <w:noWrap w:val="0"/>
                  <w:vAlign w:val="center"/>
                </w:tcPr>
                <w:p>
                  <w:pPr>
                    <w:widowControl/>
                    <w:jc w:val="center"/>
                    <w:rPr>
                      <w:color w:val="000000"/>
                      <w:kern w:val="0"/>
                      <w:szCs w:val="21"/>
                    </w:rPr>
                  </w:pPr>
                  <w:r>
                    <w:rPr>
                      <w:rFonts w:hint="eastAsia"/>
                      <w:color w:val="000000"/>
                      <w:kern w:val="0"/>
                      <w:szCs w:val="21"/>
                    </w:rPr>
                    <w:t>制作区</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 w:hRule="atLeast"/>
                <w:jc w:val="center"/>
              </w:trPr>
              <w:tc>
                <w:tcPr>
                  <w:tcW w:w="782" w:type="dxa"/>
                  <w:tcBorders>
                    <w:tl2br w:val="nil"/>
                    <w:tr2bl w:val="nil"/>
                  </w:tcBorders>
                  <w:noWrap w:val="0"/>
                  <w:vAlign w:val="center"/>
                </w:tcPr>
                <w:p>
                  <w:pPr>
                    <w:widowControl/>
                    <w:jc w:val="center"/>
                    <w:rPr>
                      <w:color w:val="000000"/>
                      <w:kern w:val="0"/>
                      <w:szCs w:val="21"/>
                    </w:rPr>
                  </w:pPr>
                  <w:r>
                    <w:rPr>
                      <w:rFonts w:hint="eastAsia"/>
                      <w:color w:val="000000"/>
                      <w:kern w:val="0"/>
                      <w:szCs w:val="21"/>
                    </w:rPr>
                    <w:t>2</w:t>
                  </w:r>
                </w:p>
              </w:tc>
              <w:tc>
                <w:tcPr>
                  <w:tcW w:w="2498" w:type="dxa"/>
                  <w:tcBorders>
                    <w:tl2br w:val="nil"/>
                    <w:tr2bl w:val="nil"/>
                  </w:tcBorders>
                  <w:noWrap w:val="0"/>
                  <w:vAlign w:val="center"/>
                </w:tcPr>
                <w:p>
                  <w:pPr>
                    <w:widowControl/>
                    <w:jc w:val="center"/>
                    <w:rPr>
                      <w:color w:val="000000"/>
                      <w:kern w:val="0"/>
                      <w:szCs w:val="21"/>
                    </w:rPr>
                  </w:pPr>
                  <w:r>
                    <w:rPr>
                      <w:rFonts w:hAnsi="宋体"/>
                      <w:color w:val="000000"/>
                      <w:kern w:val="0"/>
                      <w:szCs w:val="21"/>
                    </w:rPr>
                    <w:t>应急组织</w:t>
                  </w:r>
                </w:p>
              </w:tc>
              <w:tc>
                <w:tcPr>
                  <w:tcW w:w="5872" w:type="dxa"/>
                  <w:tcBorders>
                    <w:tl2br w:val="nil"/>
                    <w:tr2bl w:val="nil"/>
                  </w:tcBorders>
                  <w:noWrap w:val="0"/>
                  <w:vAlign w:val="center"/>
                </w:tcPr>
                <w:p>
                  <w:pPr>
                    <w:widowControl/>
                    <w:rPr>
                      <w:color w:val="000000"/>
                      <w:kern w:val="0"/>
                      <w:szCs w:val="21"/>
                    </w:rPr>
                  </w:pPr>
                  <w:r>
                    <w:rPr>
                      <w:rFonts w:hint="eastAsia" w:hAnsi="宋体"/>
                      <w:color w:val="000000"/>
                      <w:kern w:val="0"/>
                      <w:szCs w:val="21"/>
                    </w:rPr>
                    <w:t>企业</w:t>
                  </w:r>
                  <w:r>
                    <w:rPr>
                      <w:rFonts w:hAnsi="宋体"/>
                      <w:color w:val="000000"/>
                      <w:kern w:val="0"/>
                      <w:szCs w:val="21"/>
                    </w:rPr>
                    <w:t>内专人负责——负责现场全面指挥，专业救援队伍</w:t>
                  </w:r>
                  <w:r>
                    <w:rPr>
                      <w:color w:val="000000"/>
                      <w:kern w:val="0"/>
                      <w:szCs w:val="21"/>
                    </w:rPr>
                    <w:t>--</w:t>
                  </w:r>
                  <w:r>
                    <w:rPr>
                      <w:rFonts w:hAnsi="宋体"/>
                      <w:color w:val="000000"/>
                      <w:kern w:val="0"/>
                      <w:szCs w:val="21"/>
                    </w:rPr>
                    <w:t>负责事故控制、救援和善后处理临近地区：由专人负责</w:t>
                  </w:r>
                  <w:r>
                    <w:rPr>
                      <w:color w:val="000000"/>
                      <w:kern w:val="0"/>
                      <w:szCs w:val="21"/>
                    </w:rPr>
                    <w:t>——</w:t>
                  </w:r>
                  <w:r>
                    <w:rPr>
                      <w:rFonts w:hAnsi="宋体"/>
                      <w:color w:val="000000"/>
                      <w:kern w:val="0"/>
                      <w:szCs w:val="21"/>
                    </w:rPr>
                    <w:t>负责附近地区全面指挥，救援、管制和疏散</w:t>
                  </w:r>
                  <w:r>
                    <w:rPr>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3" w:hRule="atLeast"/>
                <w:jc w:val="center"/>
              </w:trPr>
              <w:tc>
                <w:tcPr>
                  <w:tcW w:w="782" w:type="dxa"/>
                  <w:tcBorders>
                    <w:tl2br w:val="nil"/>
                    <w:tr2bl w:val="nil"/>
                  </w:tcBorders>
                  <w:noWrap w:val="0"/>
                  <w:vAlign w:val="top"/>
                </w:tcPr>
                <w:p>
                  <w:pPr>
                    <w:widowControl/>
                    <w:jc w:val="center"/>
                    <w:rPr>
                      <w:color w:val="000000"/>
                      <w:kern w:val="0"/>
                      <w:szCs w:val="21"/>
                    </w:rPr>
                  </w:pPr>
                  <w:r>
                    <w:rPr>
                      <w:rFonts w:hint="eastAsia"/>
                      <w:color w:val="000000"/>
                      <w:kern w:val="0"/>
                      <w:szCs w:val="21"/>
                    </w:rPr>
                    <w:t>3</w:t>
                  </w:r>
                </w:p>
              </w:tc>
              <w:tc>
                <w:tcPr>
                  <w:tcW w:w="2498" w:type="dxa"/>
                  <w:tcBorders>
                    <w:tl2br w:val="nil"/>
                    <w:tr2bl w:val="nil"/>
                  </w:tcBorders>
                  <w:noWrap w:val="0"/>
                  <w:vAlign w:val="top"/>
                </w:tcPr>
                <w:p>
                  <w:pPr>
                    <w:widowControl/>
                    <w:jc w:val="center"/>
                    <w:rPr>
                      <w:color w:val="000000"/>
                      <w:kern w:val="0"/>
                      <w:szCs w:val="21"/>
                    </w:rPr>
                  </w:pPr>
                  <w:r>
                    <w:rPr>
                      <w:rFonts w:hAnsi="宋体"/>
                      <w:color w:val="000000"/>
                      <w:kern w:val="0"/>
                      <w:szCs w:val="21"/>
                    </w:rPr>
                    <w:t>应急状态分类应急响应程序</w:t>
                  </w:r>
                </w:p>
              </w:tc>
              <w:tc>
                <w:tcPr>
                  <w:tcW w:w="5872" w:type="dxa"/>
                  <w:tcBorders>
                    <w:tl2br w:val="nil"/>
                    <w:tr2bl w:val="nil"/>
                  </w:tcBorders>
                  <w:noWrap w:val="0"/>
                  <w:vAlign w:val="top"/>
                </w:tcPr>
                <w:p>
                  <w:pPr>
                    <w:widowControl/>
                    <w:rPr>
                      <w:color w:val="000000"/>
                      <w:kern w:val="0"/>
                      <w:szCs w:val="21"/>
                    </w:rPr>
                  </w:pPr>
                  <w:r>
                    <w:rPr>
                      <w:rFonts w:hAnsi="宋体"/>
                      <w:color w:val="000000"/>
                      <w:kern w:val="0"/>
                      <w:szCs w:val="21"/>
                    </w:rPr>
                    <w:t>规定环境风险事故的级别及相应的应急状态分类，以此制定相应的应急响应程序</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7" w:hRule="atLeast"/>
                <w:jc w:val="center"/>
              </w:trPr>
              <w:tc>
                <w:tcPr>
                  <w:tcW w:w="782" w:type="dxa"/>
                  <w:tcBorders>
                    <w:tl2br w:val="nil"/>
                    <w:tr2bl w:val="nil"/>
                  </w:tcBorders>
                  <w:noWrap w:val="0"/>
                  <w:vAlign w:val="center"/>
                </w:tcPr>
                <w:p>
                  <w:pPr>
                    <w:widowControl/>
                    <w:jc w:val="center"/>
                    <w:rPr>
                      <w:color w:val="000000"/>
                      <w:kern w:val="0"/>
                      <w:szCs w:val="21"/>
                    </w:rPr>
                  </w:pPr>
                  <w:r>
                    <w:rPr>
                      <w:rFonts w:hint="eastAsia"/>
                      <w:color w:val="000000"/>
                      <w:kern w:val="0"/>
                      <w:szCs w:val="21"/>
                    </w:rPr>
                    <w:t>4</w:t>
                  </w:r>
                </w:p>
              </w:tc>
              <w:tc>
                <w:tcPr>
                  <w:tcW w:w="2498" w:type="dxa"/>
                  <w:tcBorders>
                    <w:tl2br w:val="nil"/>
                    <w:tr2bl w:val="nil"/>
                  </w:tcBorders>
                  <w:noWrap w:val="0"/>
                  <w:vAlign w:val="center"/>
                </w:tcPr>
                <w:p>
                  <w:pPr>
                    <w:widowControl/>
                    <w:jc w:val="center"/>
                    <w:rPr>
                      <w:color w:val="000000"/>
                      <w:kern w:val="0"/>
                      <w:szCs w:val="21"/>
                    </w:rPr>
                  </w:pPr>
                  <w:r>
                    <w:rPr>
                      <w:rFonts w:hAnsi="宋体"/>
                      <w:color w:val="000000"/>
                      <w:kern w:val="0"/>
                      <w:szCs w:val="21"/>
                    </w:rPr>
                    <w:t>应急设施</w:t>
                  </w:r>
                </w:p>
                <w:p>
                  <w:pPr>
                    <w:widowControl/>
                    <w:jc w:val="center"/>
                    <w:rPr>
                      <w:color w:val="000000"/>
                      <w:kern w:val="0"/>
                      <w:szCs w:val="21"/>
                    </w:rPr>
                  </w:pPr>
                  <w:r>
                    <w:rPr>
                      <w:rFonts w:hAnsi="宋体"/>
                      <w:color w:val="000000"/>
                      <w:kern w:val="0"/>
                      <w:szCs w:val="21"/>
                    </w:rPr>
                    <w:t>设备与材料</w:t>
                  </w:r>
                </w:p>
              </w:tc>
              <w:tc>
                <w:tcPr>
                  <w:tcW w:w="5872" w:type="dxa"/>
                  <w:tcBorders>
                    <w:tl2br w:val="nil"/>
                    <w:tr2bl w:val="nil"/>
                  </w:tcBorders>
                  <w:noWrap w:val="0"/>
                  <w:vAlign w:val="center"/>
                </w:tcPr>
                <w:p>
                  <w:pPr>
                    <w:widowControl/>
                    <w:rPr>
                      <w:color w:val="000000"/>
                      <w:kern w:val="0"/>
                      <w:szCs w:val="21"/>
                    </w:rPr>
                  </w:pPr>
                  <w:r>
                    <w:rPr>
                      <w:rFonts w:hAnsi="宋体"/>
                      <w:color w:val="000000"/>
                      <w:kern w:val="0"/>
                      <w:szCs w:val="21"/>
                    </w:rPr>
                    <w:t>防火灾事故的应急设施、设备与材料，主要为消防器材、消防服等；急救所用的一些药品、器材</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3" w:hRule="atLeast"/>
                <w:jc w:val="center"/>
              </w:trPr>
              <w:tc>
                <w:tcPr>
                  <w:tcW w:w="782" w:type="dxa"/>
                  <w:tcBorders>
                    <w:tl2br w:val="nil"/>
                    <w:tr2bl w:val="nil"/>
                  </w:tcBorders>
                  <w:noWrap w:val="0"/>
                  <w:vAlign w:val="center"/>
                </w:tcPr>
                <w:p>
                  <w:pPr>
                    <w:widowControl/>
                    <w:jc w:val="center"/>
                    <w:rPr>
                      <w:color w:val="000000"/>
                      <w:kern w:val="0"/>
                      <w:szCs w:val="21"/>
                    </w:rPr>
                  </w:pPr>
                  <w:r>
                    <w:rPr>
                      <w:rFonts w:hint="eastAsia"/>
                      <w:color w:val="000000"/>
                      <w:kern w:val="0"/>
                      <w:szCs w:val="21"/>
                    </w:rPr>
                    <w:t>5</w:t>
                  </w:r>
                </w:p>
              </w:tc>
              <w:tc>
                <w:tcPr>
                  <w:tcW w:w="2498" w:type="dxa"/>
                  <w:tcBorders>
                    <w:tl2br w:val="nil"/>
                    <w:tr2bl w:val="nil"/>
                  </w:tcBorders>
                  <w:noWrap w:val="0"/>
                  <w:vAlign w:val="center"/>
                </w:tcPr>
                <w:p>
                  <w:pPr>
                    <w:widowControl/>
                    <w:jc w:val="center"/>
                    <w:rPr>
                      <w:rFonts w:hint="eastAsia" w:eastAsia="宋体"/>
                      <w:color w:val="000000"/>
                      <w:kern w:val="0"/>
                      <w:szCs w:val="21"/>
                      <w:lang w:eastAsia="zh-CN"/>
                    </w:rPr>
                  </w:pPr>
                  <w:r>
                    <w:rPr>
                      <w:rFonts w:hAnsi="宋体"/>
                      <w:color w:val="000000"/>
                      <w:kern w:val="0"/>
                      <w:szCs w:val="21"/>
                    </w:rPr>
                    <w:t>应急</w:t>
                  </w:r>
                  <w:r>
                    <w:rPr>
                      <w:rFonts w:hint="eastAsia" w:hAnsi="宋体"/>
                      <w:color w:val="000000"/>
                      <w:kern w:val="0"/>
                      <w:szCs w:val="21"/>
                      <w:lang w:eastAsia="zh-CN"/>
                    </w:rPr>
                    <w:t>通信</w:t>
                  </w:r>
                </w:p>
                <w:p>
                  <w:pPr>
                    <w:widowControl/>
                    <w:jc w:val="center"/>
                    <w:rPr>
                      <w:color w:val="000000"/>
                      <w:kern w:val="0"/>
                      <w:szCs w:val="21"/>
                    </w:rPr>
                  </w:pPr>
                  <w:r>
                    <w:rPr>
                      <w:rFonts w:hAnsi="宋体"/>
                      <w:color w:val="000000"/>
                      <w:kern w:val="0"/>
                      <w:szCs w:val="21"/>
                    </w:rPr>
                    <w:t>通告与交通</w:t>
                  </w:r>
                </w:p>
              </w:tc>
              <w:tc>
                <w:tcPr>
                  <w:tcW w:w="5872" w:type="dxa"/>
                  <w:tcBorders>
                    <w:tl2br w:val="nil"/>
                    <w:tr2bl w:val="nil"/>
                  </w:tcBorders>
                  <w:noWrap w:val="0"/>
                  <w:vAlign w:val="center"/>
                </w:tcPr>
                <w:p>
                  <w:pPr>
                    <w:widowControl/>
                    <w:rPr>
                      <w:color w:val="000000"/>
                      <w:kern w:val="0"/>
                      <w:szCs w:val="21"/>
                    </w:rPr>
                  </w:pPr>
                  <w:r>
                    <w:rPr>
                      <w:rFonts w:hAnsi="宋体"/>
                      <w:color w:val="000000"/>
                      <w:kern w:val="0"/>
                      <w:szCs w:val="21"/>
                    </w:rPr>
                    <w:t>规定应急状态下的</w:t>
                  </w:r>
                  <w:r>
                    <w:rPr>
                      <w:rFonts w:hint="eastAsia" w:hAnsi="宋体"/>
                      <w:color w:val="000000"/>
                      <w:kern w:val="0"/>
                      <w:szCs w:val="21"/>
                      <w:lang w:eastAsia="zh-CN"/>
                    </w:rPr>
                    <w:t>通信</w:t>
                  </w:r>
                  <w:r>
                    <w:rPr>
                      <w:rFonts w:hAnsi="宋体"/>
                      <w:color w:val="000000"/>
                      <w:kern w:val="0"/>
                      <w:szCs w:val="21"/>
                    </w:rPr>
                    <w:t>、通告方式和交通保障、管制等事项</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4" w:hRule="atLeast"/>
                <w:jc w:val="center"/>
              </w:trPr>
              <w:tc>
                <w:tcPr>
                  <w:tcW w:w="782" w:type="dxa"/>
                  <w:tcBorders>
                    <w:tl2br w:val="nil"/>
                    <w:tr2bl w:val="nil"/>
                  </w:tcBorders>
                  <w:noWrap w:val="0"/>
                  <w:vAlign w:val="center"/>
                </w:tcPr>
                <w:p>
                  <w:pPr>
                    <w:widowControl/>
                    <w:jc w:val="center"/>
                    <w:rPr>
                      <w:color w:val="000000"/>
                      <w:kern w:val="0"/>
                      <w:szCs w:val="21"/>
                    </w:rPr>
                  </w:pPr>
                  <w:r>
                    <w:rPr>
                      <w:rFonts w:hint="eastAsia"/>
                      <w:color w:val="000000"/>
                      <w:kern w:val="0"/>
                      <w:szCs w:val="21"/>
                    </w:rPr>
                    <w:t>6</w:t>
                  </w:r>
                </w:p>
              </w:tc>
              <w:tc>
                <w:tcPr>
                  <w:tcW w:w="2498" w:type="dxa"/>
                  <w:tcBorders>
                    <w:tl2br w:val="nil"/>
                    <w:tr2bl w:val="nil"/>
                  </w:tcBorders>
                  <w:noWrap w:val="0"/>
                  <w:vAlign w:val="center"/>
                </w:tcPr>
                <w:p>
                  <w:pPr>
                    <w:widowControl/>
                    <w:jc w:val="center"/>
                    <w:rPr>
                      <w:color w:val="000000"/>
                      <w:kern w:val="0"/>
                      <w:szCs w:val="21"/>
                    </w:rPr>
                  </w:pPr>
                  <w:r>
                    <w:rPr>
                      <w:rFonts w:hAnsi="宋体"/>
                      <w:color w:val="000000"/>
                      <w:kern w:val="0"/>
                      <w:szCs w:val="21"/>
                    </w:rPr>
                    <w:t>应急环境监测及事故后评估</w:t>
                  </w:r>
                </w:p>
              </w:tc>
              <w:tc>
                <w:tcPr>
                  <w:tcW w:w="5872" w:type="dxa"/>
                  <w:tcBorders>
                    <w:tl2br w:val="nil"/>
                    <w:tr2bl w:val="nil"/>
                  </w:tcBorders>
                  <w:noWrap w:val="0"/>
                  <w:vAlign w:val="center"/>
                </w:tcPr>
                <w:p>
                  <w:pPr>
                    <w:widowControl/>
                    <w:rPr>
                      <w:color w:val="000000"/>
                      <w:kern w:val="0"/>
                      <w:szCs w:val="21"/>
                    </w:rPr>
                  </w:pPr>
                  <w:r>
                    <w:rPr>
                      <w:rFonts w:hAnsi="宋体"/>
                      <w:color w:val="000000"/>
                      <w:kern w:val="0"/>
                      <w:szCs w:val="21"/>
                    </w:rPr>
                    <w:t>由专业人员对环境风险事故现场进行应急监测，对事故性质、严重程度等所造成的环境危害后果进行评估，吸取经验教训免再次发生事故，为指挥部门提供决策依据</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 w:hRule="atLeast"/>
                <w:jc w:val="center"/>
              </w:trPr>
              <w:tc>
                <w:tcPr>
                  <w:tcW w:w="782" w:type="dxa"/>
                  <w:tcBorders>
                    <w:tl2br w:val="nil"/>
                    <w:tr2bl w:val="nil"/>
                  </w:tcBorders>
                  <w:noWrap w:val="0"/>
                  <w:vAlign w:val="center"/>
                </w:tcPr>
                <w:p>
                  <w:pPr>
                    <w:widowControl/>
                    <w:jc w:val="center"/>
                    <w:rPr>
                      <w:color w:val="000000"/>
                      <w:kern w:val="0"/>
                      <w:szCs w:val="21"/>
                    </w:rPr>
                  </w:pPr>
                  <w:r>
                    <w:rPr>
                      <w:rFonts w:hint="eastAsia"/>
                      <w:color w:val="000000"/>
                      <w:kern w:val="0"/>
                      <w:szCs w:val="21"/>
                    </w:rPr>
                    <w:t>7</w:t>
                  </w:r>
                </w:p>
              </w:tc>
              <w:tc>
                <w:tcPr>
                  <w:tcW w:w="2498" w:type="dxa"/>
                  <w:tcBorders>
                    <w:tl2br w:val="nil"/>
                    <w:tr2bl w:val="nil"/>
                  </w:tcBorders>
                  <w:noWrap w:val="0"/>
                  <w:vAlign w:val="center"/>
                </w:tcPr>
                <w:p>
                  <w:pPr>
                    <w:widowControl/>
                    <w:jc w:val="center"/>
                    <w:rPr>
                      <w:color w:val="000000"/>
                      <w:kern w:val="0"/>
                      <w:szCs w:val="21"/>
                    </w:rPr>
                  </w:pPr>
                  <w:r>
                    <w:rPr>
                      <w:rFonts w:hAnsi="宋体"/>
                      <w:color w:val="000000"/>
                      <w:kern w:val="0"/>
                      <w:szCs w:val="21"/>
                    </w:rPr>
                    <w:t>应急剂量控制撤离组织计划医疗救护与保护公众健康</w:t>
                  </w:r>
                </w:p>
              </w:tc>
              <w:tc>
                <w:tcPr>
                  <w:tcW w:w="5872" w:type="dxa"/>
                  <w:tcBorders>
                    <w:tl2br w:val="nil"/>
                    <w:tr2bl w:val="nil"/>
                  </w:tcBorders>
                  <w:noWrap w:val="0"/>
                  <w:vAlign w:val="center"/>
                </w:tcPr>
                <w:p>
                  <w:pPr>
                    <w:widowControl/>
                    <w:rPr>
                      <w:color w:val="000000"/>
                      <w:kern w:val="0"/>
                      <w:szCs w:val="21"/>
                    </w:rPr>
                  </w:pPr>
                  <w:r>
                    <w:rPr>
                      <w:rFonts w:hAnsi="宋体"/>
                      <w:color w:val="000000"/>
                      <w:kern w:val="0"/>
                      <w:szCs w:val="21"/>
                    </w:rPr>
                    <w:t>事故现场：事故处理人员现场及临近装置人员的撤离组织计划和紧急救护方案临近地区：制定受事故影响的临近地区内人员对公众的疏散组织计划和紧急救护方案</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4" w:hRule="atLeast"/>
                <w:jc w:val="center"/>
              </w:trPr>
              <w:tc>
                <w:tcPr>
                  <w:tcW w:w="782" w:type="dxa"/>
                  <w:tcBorders>
                    <w:tl2br w:val="nil"/>
                    <w:tr2bl w:val="nil"/>
                  </w:tcBorders>
                  <w:noWrap w:val="0"/>
                  <w:vAlign w:val="center"/>
                </w:tcPr>
                <w:p>
                  <w:pPr>
                    <w:widowControl/>
                    <w:jc w:val="center"/>
                    <w:rPr>
                      <w:color w:val="000000"/>
                      <w:kern w:val="0"/>
                      <w:szCs w:val="21"/>
                    </w:rPr>
                  </w:pPr>
                  <w:r>
                    <w:rPr>
                      <w:rFonts w:hint="eastAsia"/>
                      <w:color w:val="000000"/>
                      <w:kern w:val="0"/>
                      <w:szCs w:val="21"/>
                    </w:rPr>
                    <w:t>8</w:t>
                  </w:r>
                </w:p>
              </w:tc>
              <w:tc>
                <w:tcPr>
                  <w:tcW w:w="2498" w:type="dxa"/>
                  <w:tcBorders>
                    <w:tl2br w:val="nil"/>
                    <w:tr2bl w:val="nil"/>
                  </w:tcBorders>
                  <w:noWrap w:val="0"/>
                  <w:vAlign w:val="center"/>
                </w:tcPr>
                <w:p>
                  <w:pPr>
                    <w:widowControl/>
                    <w:jc w:val="center"/>
                    <w:rPr>
                      <w:color w:val="000000"/>
                      <w:kern w:val="0"/>
                      <w:szCs w:val="21"/>
                    </w:rPr>
                  </w:pPr>
                  <w:r>
                    <w:rPr>
                      <w:rFonts w:hAnsi="宋体"/>
                      <w:color w:val="000000"/>
                      <w:kern w:val="0"/>
                      <w:szCs w:val="21"/>
                    </w:rPr>
                    <w:t>应急状态中止恢复措施</w:t>
                  </w:r>
                </w:p>
              </w:tc>
              <w:tc>
                <w:tcPr>
                  <w:tcW w:w="5872" w:type="dxa"/>
                  <w:tcBorders>
                    <w:tl2br w:val="nil"/>
                    <w:tr2bl w:val="nil"/>
                  </w:tcBorders>
                  <w:noWrap w:val="0"/>
                  <w:vAlign w:val="center"/>
                </w:tcPr>
                <w:p>
                  <w:pPr>
                    <w:widowControl/>
                    <w:rPr>
                      <w:color w:val="000000"/>
                      <w:kern w:val="0"/>
                      <w:szCs w:val="21"/>
                    </w:rPr>
                  </w:pPr>
                  <w:r>
                    <w:rPr>
                      <w:rFonts w:hAnsi="宋体"/>
                      <w:color w:val="000000"/>
                      <w:kern w:val="0"/>
                      <w:szCs w:val="21"/>
                    </w:rPr>
                    <w:t>事故现场：规定应急状态终止秩序：事故现场善后处理，恢复生产措施；临近地区：解除事故警戒、公众返回和善后恢复措施</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652" w:hRule="atLeast"/>
                <w:jc w:val="center"/>
              </w:trPr>
              <w:tc>
                <w:tcPr>
                  <w:tcW w:w="782" w:type="dxa"/>
                  <w:tcBorders>
                    <w:tl2br w:val="nil"/>
                    <w:tr2bl w:val="nil"/>
                  </w:tcBorders>
                  <w:noWrap w:val="0"/>
                  <w:vAlign w:val="center"/>
                </w:tcPr>
                <w:p>
                  <w:pPr>
                    <w:widowControl/>
                    <w:jc w:val="center"/>
                    <w:rPr>
                      <w:color w:val="000000"/>
                      <w:kern w:val="0"/>
                      <w:szCs w:val="21"/>
                    </w:rPr>
                  </w:pPr>
                  <w:r>
                    <w:rPr>
                      <w:rFonts w:hint="eastAsia"/>
                      <w:color w:val="000000"/>
                      <w:kern w:val="0"/>
                      <w:szCs w:val="21"/>
                    </w:rPr>
                    <w:t>9</w:t>
                  </w:r>
                </w:p>
              </w:tc>
              <w:tc>
                <w:tcPr>
                  <w:tcW w:w="2498" w:type="dxa"/>
                  <w:tcBorders>
                    <w:tl2br w:val="nil"/>
                    <w:tr2bl w:val="nil"/>
                  </w:tcBorders>
                  <w:noWrap w:val="0"/>
                  <w:vAlign w:val="center"/>
                </w:tcPr>
                <w:p>
                  <w:pPr>
                    <w:widowControl/>
                    <w:jc w:val="center"/>
                    <w:rPr>
                      <w:color w:val="000000"/>
                      <w:kern w:val="0"/>
                      <w:szCs w:val="21"/>
                    </w:rPr>
                  </w:pPr>
                  <w:r>
                    <w:rPr>
                      <w:rFonts w:hAnsi="宋体"/>
                      <w:color w:val="000000"/>
                      <w:kern w:val="0"/>
                      <w:szCs w:val="21"/>
                    </w:rPr>
                    <w:t>人员培训与演习</w:t>
                  </w:r>
                </w:p>
              </w:tc>
              <w:tc>
                <w:tcPr>
                  <w:tcW w:w="5872" w:type="dxa"/>
                  <w:tcBorders>
                    <w:tl2br w:val="nil"/>
                    <w:tr2bl w:val="nil"/>
                  </w:tcBorders>
                  <w:noWrap w:val="0"/>
                  <w:vAlign w:val="center"/>
                </w:tcPr>
                <w:p>
                  <w:pPr>
                    <w:widowControl/>
                    <w:rPr>
                      <w:color w:val="000000"/>
                      <w:kern w:val="0"/>
                      <w:szCs w:val="21"/>
                    </w:rPr>
                  </w:pPr>
                  <w:r>
                    <w:rPr>
                      <w:rFonts w:hAnsi="宋体"/>
                      <w:color w:val="000000"/>
                      <w:kern w:val="0"/>
                      <w:szCs w:val="21"/>
                    </w:rPr>
                    <w:t>应急计划制定后，平时安排事故处理人员进行相关知识培训进行事故应急处理演习；对</w:t>
                  </w:r>
                  <w:r>
                    <w:rPr>
                      <w:rFonts w:hint="eastAsia" w:hAnsi="宋体"/>
                      <w:color w:val="000000"/>
                      <w:kern w:val="0"/>
                      <w:szCs w:val="21"/>
                    </w:rPr>
                    <w:t>员工</w:t>
                  </w:r>
                  <w:r>
                    <w:rPr>
                      <w:rFonts w:hAnsi="宋体"/>
                      <w:color w:val="000000"/>
                      <w:kern w:val="0"/>
                      <w:szCs w:val="21"/>
                    </w:rPr>
                    <w:t>进行安全卫生教育</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3" w:hRule="atLeast"/>
                <w:jc w:val="center"/>
              </w:trPr>
              <w:tc>
                <w:tcPr>
                  <w:tcW w:w="782" w:type="dxa"/>
                  <w:tcBorders>
                    <w:tl2br w:val="nil"/>
                    <w:tr2bl w:val="nil"/>
                  </w:tcBorders>
                  <w:noWrap w:val="0"/>
                  <w:vAlign w:val="center"/>
                </w:tcPr>
                <w:p>
                  <w:pPr>
                    <w:widowControl/>
                    <w:jc w:val="center"/>
                    <w:rPr>
                      <w:color w:val="000000"/>
                      <w:kern w:val="0"/>
                      <w:szCs w:val="21"/>
                    </w:rPr>
                  </w:pPr>
                  <w:r>
                    <w:rPr>
                      <w:rFonts w:hint="eastAsia"/>
                      <w:color w:val="000000"/>
                      <w:kern w:val="0"/>
                      <w:szCs w:val="21"/>
                    </w:rPr>
                    <w:t>10</w:t>
                  </w:r>
                </w:p>
              </w:tc>
              <w:tc>
                <w:tcPr>
                  <w:tcW w:w="2498" w:type="dxa"/>
                  <w:tcBorders>
                    <w:tl2br w:val="nil"/>
                    <w:tr2bl w:val="nil"/>
                  </w:tcBorders>
                  <w:noWrap w:val="0"/>
                  <w:vAlign w:val="center"/>
                </w:tcPr>
                <w:p>
                  <w:pPr>
                    <w:widowControl/>
                    <w:jc w:val="center"/>
                    <w:rPr>
                      <w:color w:val="000000"/>
                      <w:kern w:val="0"/>
                      <w:szCs w:val="21"/>
                    </w:rPr>
                  </w:pPr>
                  <w:r>
                    <w:rPr>
                      <w:rFonts w:hAnsi="宋体"/>
                      <w:color w:val="000000"/>
                      <w:kern w:val="0"/>
                      <w:szCs w:val="21"/>
                    </w:rPr>
                    <w:t>公众教育信息发布</w:t>
                  </w:r>
                </w:p>
              </w:tc>
              <w:tc>
                <w:tcPr>
                  <w:tcW w:w="5872" w:type="dxa"/>
                  <w:tcBorders>
                    <w:tl2br w:val="nil"/>
                    <w:tr2bl w:val="nil"/>
                  </w:tcBorders>
                  <w:noWrap w:val="0"/>
                  <w:vAlign w:val="center"/>
                </w:tcPr>
                <w:p>
                  <w:pPr>
                    <w:widowControl/>
                    <w:rPr>
                      <w:color w:val="000000"/>
                      <w:kern w:val="0"/>
                      <w:szCs w:val="21"/>
                    </w:rPr>
                  </w:pPr>
                  <w:r>
                    <w:rPr>
                      <w:rFonts w:hAnsi="宋体"/>
                      <w:color w:val="000000"/>
                      <w:kern w:val="0"/>
                      <w:szCs w:val="21"/>
                    </w:rPr>
                    <w:t>对临近地区公众开展环境风险事故预防教育、应急知识培训并定期发布相关信息</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1" w:hRule="atLeast"/>
                <w:jc w:val="center"/>
              </w:trPr>
              <w:tc>
                <w:tcPr>
                  <w:tcW w:w="782" w:type="dxa"/>
                  <w:tcBorders>
                    <w:tl2br w:val="nil"/>
                    <w:tr2bl w:val="nil"/>
                  </w:tcBorders>
                  <w:noWrap w:val="0"/>
                  <w:vAlign w:val="center"/>
                </w:tcPr>
                <w:p>
                  <w:pPr>
                    <w:widowControl/>
                    <w:jc w:val="center"/>
                    <w:rPr>
                      <w:color w:val="000000"/>
                      <w:kern w:val="0"/>
                      <w:szCs w:val="21"/>
                    </w:rPr>
                  </w:pPr>
                  <w:r>
                    <w:rPr>
                      <w:rFonts w:hint="eastAsia"/>
                      <w:color w:val="000000"/>
                      <w:kern w:val="0"/>
                      <w:szCs w:val="21"/>
                    </w:rPr>
                    <w:t>11</w:t>
                  </w:r>
                </w:p>
              </w:tc>
              <w:tc>
                <w:tcPr>
                  <w:tcW w:w="2498" w:type="dxa"/>
                  <w:tcBorders>
                    <w:tl2br w:val="nil"/>
                    <w:tr2bl w:val="nil"/>
                  </w:tcBorders>
                  <w:noWrap w:val="0"/>
                  <w:vAlign w:val="center"/>
                </w:tcPr>
                <w:p>
                  <w:pPr>
                    <w:widowControl/>
                    <w:jc w:val="center"/>
                    <w:rPr>
                      <w:color w:val="000000"/>
                      <w:kern w:val="0"/>
                      <w:szCs w:val="21"/>
                    </w:rPr>
                  </w:pPr>
                  <w:r>
                    <w:rPr>
                      <w:rFonts w:hAnsi="宋体"/>
                      <w:color w:val="000000"/>
                      <w:kern w:val="0"/>
                      <w:szCs w:val="21"/>
                    </w:rPr>
                    <w:t>记录和报告</w:t>
                  </w:r>
                </w:p>
              </w:tc>
              <w:tc>
                <w:tcPr>
                  <w:tcW w:w="5872" w:type="dxa"/>
                  <w:tcBorders>
                    <w:tl2br w:val="nil"/>
                    <w:tr2bl w:val="nil"/>
                  </w:tcBorders>
                  <w:noWrap w:val="0"/>
                  <w:vAlign w:val="center"/>
                </w:tcPr>
                <w:p>
                  <w:pPr>
                    <w:widowControl/>
                    <w:rPr>
                      <w:color w:val="000000"/>
                      <w:kern w:val="0"/>
                      <w:szCs w:val="21"/>
                    </w:rPr>
                  </w:pPr>
                  <w:r>
                    <w:rPr>
                      <w:rFonts w:hAnsi="宋体"/>
                      <w:color w:val="000000"/>
                      <w:kern w:val="0"/>
                      <w:szCs w:val="21"/>
                    </w:rPr>
                    <w:t>设应急事故专门记录，建立档案和报告制度，设专门部门负责管理</w:t>
                  </w:r>
                </w:p>
              </w:tc>
            </w:tr>
          </w:tbl>
          <w:p>
            <w:pPr>
              <w:widowControl/>
              <w:spacing w:line="360" w:lineRule="auto"/>
              <w:ind w:firstLine="480" w:firstLineChars="200"/>
              <w:rPr>
                <w:color w:val="000000"/>
                <w:kern w:val="0"/>
                <w:sz w:val="24"/>
              </w:rPr>
            </w:pPr>
            <w:r>
              <w:rPr>
                <w:rFonts w:hAnsi="宋体"/>
                <w:color w:val="000000"/>
                <w:kern w:val="0"/>
                <w:sz w:val="24"/>
              </w:rPr>
              <w:t>项目建设单位应按上述应急预案纲要，详细编制突发环境事件应急预案，以实行有效的管理。</w:t>
            </w:r>
          </w:p>
          <w:p>
            <w:pPr>
              <w:adjustRightInd w:val="0"/>
              <w:snapToGrid w:val="0"/>
              <w:spacing w:line="360" w:lineRule="auto"/>
              <w:ind w:firstLine="480" w:firstLineChars="200"/>
              <w:rPr>
                <w:sz w:val="24"/>
              </w:rPr>
            </w:pPr>
            <w:r>
              <w:rPr>
                <w:sz w:val="24"/>
              </w:rPr>
              <w:t>综上所述，项目运营过程中风险是存在的，但只要加强管理，建立健全相应的风险防范措施、应急措施，并在设计、施工、管理及运行中认真落实安全评估报告提出的措施和相关安全管理规定、环境风险评价中提出的措施和相关环保规定，在得到安监、环保管理部门许可后再运营，其上述风险事故隐患可降至可接受水平。</w:t>
            </w:r>
          </w:p>
          <w:bookmarkEnd w:id="4"/>
          <w:p>
            <w:pPr>
              <w:adjustRightInd w:val="0"/>
              <w:snapToGrid w:val="0"/>
              <w:spacing w:line="360" w:lineRule="auto"/>
              <w:ind w:firstLine="482" w:firstLineChars="200"/>
              <w:rPr>
                <w:rFonts w:hint="eastAsia"/>
                <w:b/>
                <w:kern w:val="24"/>
                <w:sz w:val="24"/>
              </w:rPr>
            </w:pPr>
            <w:r>
              <w:rPr>
                <w:rFonts w:hint="eastAsia"/>
                <w:b/>
                <w:sz w:val="24"/>
              </w:rPr>
              <w:t>八</w:t>
            </w:r>
            <w:r>
              <w:rPr>
                <w:b/>
                <w:sz w:val="24"/>
              </w:rPr>
              <w:t>、</w:t>
            </w:r>
            <w:r>
              <w:rPr>
                <w:rFonts w:hint="eastAsia"/>
                <w:b/>
                <w:kern w:val="24"/>
                <w:sz w:val="24"/>
              </w:rPr>
              <w:t>环境管理</w:t>
            </w:r>
          </w:p>
          <w:p>
            <w:pPr>
              <w:spacing w:line="360" w:lineRule="auto"/>
              <w:ind w:firstLine="480" w:firstLineChars="200"/>
              <w:rPr>
                <w:rFonts w:hint="eastAsia"/>
                <w:sz w:val="24"/>
              </w:rPr>
            </w:pPr>
            <w:r>
              <w:rPr>
                <w:rFonts w:hint="eastAsia"/>
                <w:sz w:val="24"/>
              </w:rPr>
              <w:t>为了保证项目建设与环境保护的协调发展，建设单位应设置环境管理部门，配备工作人员专门负责日常的环境管理、执法监督工作。本项目的环境管理重点为制作过程中产生的有机废气及设备运行时的噪声治理。</w:t>
            </w:r>
          </w:p>
          <w:p>
            <w:pPr>
              <w:spacing w:line="360" w:lineRule="auto"/>
              <w:ind w:firstLine="480" w:firstLineChars="200"/>
              <w:rPr>
                <w:rFonts w:hint="eastAsia"/>
                <w:sz w:val="24"/>
              </w:rPr>
            </w:pPr>
            <w:r>
              <w:rPr>
                <w:rFonts w:hint="eastAsia"/>
                <w:sz w:val="24"/>
              </w:rPr>
              <w:t>针对废气收集设备的运行管理，建议建设单位做好以下工作：</w:t>
            </w:r>
          </w:p>
          <w:p>
            <w:pPr>
              <w:spacing w:line="360" w:lineRule="auto"/>
              <w:ind w:left="480"/>
              <w:rPr>
                <w:rFonts w:hint="eastAsia"/>
                <w:sz w:val="24"/>
              </w:rPr>
            </w:pPr>
            <w:r>
              <w:rPr>
                <w:rFonts w:hint="eastAsia"/>
                <w:sz w:val="24"/>
              </w:rPr>
              <w:t>①每天检查各环保设备运行是否正常，如有异常应及时停机检修；</w:t>
            </w:r>
          </w:p>
          <w:p>
            <w:pPr>
              <w:spacing w:line="360" w:lineRule="auto"/>
              <w:ind w:left="480"/>
              <w:rPr>
                <w:rFonts w:hint="eastAsia"/>
                <w:sz w:val="24"/>
              </w:rPr>
            </w:pPr>
            <w:r>
              <w:rPr>
                <w:rFonts w:hint="eastAsia"/>
                <w:sz w:val="24"/>
              </w:rPr>
              <w:t>②检查各收集装置和管道是否有堵塞，如发现堵塞应及时清理；</w:t>
            </w:r>
          </w:p>
          <w:p>
            <w:pPr>
              <w:spacing w:line="360" w:lineRule="auto"/>
              <w:ind w:left="480"/>
              <w:rPr>
                <w:sz w:val="24"/>
              </w:rPr>
            </w:pPr>
            <w:r>
              <w:rPr>
                <w:rFonts w:hint="eastAsia"/>
                <w:sz w:val="24"/>
              </w:rPr>
              <w:t>③如实填写设备运行管理情况记录，定期向地方环保管理部门汇报设施的运行状况。</w:t>
            </w:r>
          </w:p>
          <w:p>
            <w:pPr>
              <w:adjustRightInd w:val="0"/>
              <w:snapToGrid w:val="0"/>
              <w:spacing w:line="360" w:lineRule="auto"/>
              <w:ind w:firstLine="482" w:firstLineChars="200"/>
              <w:rPr>
                <w:b/>
                <w:sz w:val="24"/>
              </w:rPr>
            </w:pPr>
            <w:r>
              <w:rPr>
                <w:rFonts w:hint="eastAsia"/>
                <w:b/>
                <w:sz w:val="24"/>
              </w:rPr>
              <w:t>九、环境监测计划</w:t>
            </w:r>
          </w:p>
          <w:p>
            <w:pPr>
              <w:topLinePunct/>
              <w:spacing w:line="360" w:lineRule="auto"/>
              <w:ind w:firstLine="454" w:firstLineChars="196"/>
              <w:jc w:val="left"/>
              <w:rPr>
                <w:rFonts w:hint="eastAsia"/>
                <w:spacing w:val="-4"/>
                <w:sz w:val="24"/>
              </w:rPr>
            </w:pPr>
            <w:r>
              <w:rPr>
                <w:rFonts w:hint="eastAsia"/>
                <w:spacing w:val="-4"/>
                <w:sz w:val="24"/>
              </w:rPr>
              <w:t>环境监测目的是通过对本企业污染源监测和周围环境的监测，及时准确掌握污染状况，了解污染程度和范围，分析其变化趋势和规律，为加强环境管理，实施清洁生产提供可靠的技术依据。</w:t>
            </w:r>
          </w:p>
          <w:p>
            <w:pPr>
              <w:topLinePunct/>
              <w:spacing w:line="360" w:lineRule="auto"/>
              <w:ind w:firstLine="454" w:firstLineChars="196"/>
              <w:jc w:val="left"/>
              <w:rPr>
                <w:rFonts w:hint="eastAsia"/>
                <w:spacing w:val="-4"/>
                <w:sz w:val="24"/>
              </w:rPr>
            </w:pPr>
            <w:r>
              <w:rPr>
                <w:rFonts w:hint="eastAsia"/>
                <w:spacing w:val="-4"/>
                <w:sz w:val="24"/>
              </w:rPr>
              <w:t>（1） 环境监测计划</w:t>
            </w:r>
          </w:p>
          <w:p>
            <w:pPr>
              <w:topLinePunct/>
              <w:spacing w:line="360" w:lineRule="auto"/>
              <w:ind w:firstLine="454" w:firstLineChars="196"/>
              <w:jc w:val="left"/>
              <w:rPr>
                <w:rFonts w:hint="eastAsia"/>
                <w:spacing w:val="-4"/>
                <w:sz w:val="24"/>
              </w:rPr>
            </w:pPr>
            <w:r>
              <w:rPr>
                <w:rFonts w:hint="eastAsia"/>
                <w:spacing w:val="-4"/>
                <w:sz w:val="24"/>
              </w:rPr>
              <w:t>本项目排放的主要污染物是</w:t>
            </w:r>
            <w:r>
              <w:rPr>
                <w:rFonts w:hint="eastAsia"/>
                <w:spacing w:val="-4"/>
                <w:sz w:val="24"/>
                <w:lang w:eastAsia="zh-CN"/>
              </w:rPr>
              <w:t>颗粒物</w:t>
            </w:r>
            <w:r>
              <w:rPr>
                <w:rFonts w:hint="eastAsia"/>
                <w:spacing w:val="-4"/>
                <w:sz w:val="24"/>
              </w:rPr>
              <w:t>。</w:t>
            </w:r>
          </w:p>
          <w:p>
            <w:pPr>
              <w:topLinePunct/>
              <w:spacing w:line="360" w:lineRule="auto"/>
              <w:ind w:firstLine="454" w:firstLineChars="196"/>
              <w:jc w:val="left"/>
              <w:rPr>
                <w:rFonts w:hint="eastAsia"/>
                <w:spacing w:val="-4"/>
                <w:sz w:val="24"/>
              </w:rPr>
            </w:pPr>
            <w:r>
              <w:rPr>
                <w:rFonts w:hint="eastAsia"/>
                <w:spacing w:val="-4"/>
                <w:sz w:val="24"/>
              </w:rPr>
              <w:t>为切实控制本工程治理设施的有效地运行和“达标排放”，落实排污总量控制制度，根据《建设项目环境保护管理条例》第八条的规定，本环评对拟建项目实施环境监测建议。对于本项目来说，监测计划见下表。</w:t>
            </w:r>
          </w:p>
          <w:p>
            <w:pPr>
              <w:topLinePunct/>
              <w:adjustRightInd w:val="0"/>
              <w:snapToGrid w:val="0"/>
              <w:spacing w:line="360" w:lineRule="auto"/>
              <w:jc w:val="center"/>
              <w:rPr>
                <w:rFonts w:hint="eastAsia"/>
                <w:b/>
                <w:spacing w:val="-4"/>
                <w:szCs w:val="21"/>
              </w:rPr>
            </w:pPr>
            <w:r>
              <w:rPr>
                <w:rFonts w:hint="eastAsia"/>
                <w:b/>
                <w:spacing w:val="-4"/>
                <w:szCs w:val="21"/>
              </w:rPr>
              <w:t>表7-</w:t>
            </w:r>
            <w:r>
              <w:rPr>
                <w:b/>
                <w:spacing w:val="-4"/>
                <w:szCs w:val="21"/>
              </w:rPr>
              <w:t>1</w:t>
            </w:r>
            <w:r>
              <w:rPr>
                <w:rFonts w:hint="eastAsia"/>
                <w:b/>
                <w:spacing w:val="-4"/>
                <w:szCs w:val="21"/>
                <w:lang w:val="en-US" w:eastAsia="zh-CN"/>
              </w:rPr>
              <w:t>5</w:t>
            </w:r>
            <w:r>
              <w:rPr>
                <w:rFonts w:hint="eastAsia"/>
                <w:b/>
                <w:spacing w:val="-4"/>
                <w:szCs w:val="21"/>
              </w:rPr>
              <w:t xml:space="preserve">  本项目环境监测计划</w:t>
            </w:r>
          </w:p>
          <w:tbl>
            <w:tblPr>
              <w:tblStyle w:val="69"/>
              <w:tblW w:w="9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3630"/>
              <w:gridCol w:w="2287"/>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noWrap w:val="0"/>
                  <w:vAlign w:val="center"/>
                </w:tcPr>
                <w:p>
                  <w:pPr>
                    <w:topLinePunct/>
                    <w:adjustRightInd w:val="0"/>
                    <w:snapToGrid w:val="0"/>
                    <w:jc w:val="center"/>
                    <w:rPr>
                      <w:rFonts w:hint="eastAsia"/>
                      <w:spacing w:val="-4"/>
                      <w:szCs w:val="21"/>
                    </w:rPr>
                  </w:pPr>
                  <w:r>
                    <w:rPr>
                      <w:rFonts w:hint="eastAsia"/>
                      <w:spacing w:val="-4"/>
                      <w:szCs w:val="21"/>
                    </w:rPr>
                    <w:t>项目</w:t>
                  </w:r>
                </w:p>
              </w:tc>
              <w:tc>
                <w:tcPr>
                  <w:tcW w:w="3630" w:type="dxa"/>
                  <w:noWrap w:val="0"/>
                  <w:vAlign w:val="center"/>
                </w:tcPr>
                <w:p>
                  <w:pPr>
                    <w:topLinePunct/>
                    <w:adjustRightInd w:val="0"/>
                    <w:snapToGrid w:val="0"/>
                    <w:jc w:val="center"/>
                    <w:rPr>
                      <w:rFonts w:hint="eastAsia"/>
                      <w:spacing w:val="-4"/>
                      <w:szCs w:val="21"/>
                    </w:rPr>
                  </w:pPr>
                  <w:r>
                    <w:rPr>
                      <w:rFonts w:hint="eastAsia"/>
                      <w:spacing w:val="-4"/>
                      <w:szCs w:val="21"/>
                    </w:rPr>
                    <w:t>监测点布置</w:t>
                  </w:r>
                </w:p>
              </w:tc>
              <w:tc>
                <w:tcPr>
                  <w:tcW w:w="2287" w:type="dxa"/>
                  <w:noWrap w:val="0"/>
                  <w:vAlign w:val="center"/>
                </w:tcPr>
                <w:p>
                  <w:pPr>
                    <w:topLinePunct/>
                    <w:adjustRightInd w:val="0"/>
                    <w:snapToGrid w:val="0"/>
                    <w:jc w:val="center"/>
                    <w:rPr>
                      <w:rFonts w:hint="eastAsia"/>
                      <w:spacing w:val="-4"/>
                      <w:szCs w:val="21"/>
                    </w:rPr>
                  </w:pPr>
                  <w:r>
                    <w:rPr>
                      <w:rFonts w:hint="eastAsia"/>
                      <w:spacing w:val="-4"/>
                      <w:szCs w:val="21"/>
                    </w:rPr>
                    <w:t>监测项目</w:t>
                  </w:r>
                </w:p>
              </w:tc>
              <w:tc>
                <w:tcPr>
                  <w:tcW w:w="2286" w:type="dxa"/>
                  <w:noWrap w:val="0"/>
                  <w:vAlign w:val="center"/>
                </w:tcPr>
                <w:p>
                  <w:pPr>
                    <w:topLinePunct/>
                    <w:adjustRightInd w:val="0"/>
                    <w:snapToGrid w:val="0"/>
                    <w:jc w:val="center"/>
                    <w:rPr>
                      <w:rFonts w:hint="eastAsia"/>
                      <w:spacing w:val="-4"/>
                      <w:szCs w:val="21"/>
                    </w:rPr>
                  </w:pPr>
                  <w:r>
                    <w:rPr>
                      <w:rFonts w:hint="eastAsia"/>
                      <w:spacing w:val="-4"/>
                      <w:szCs w:val="21"/>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939" w:type="dxa"/>
                  <w:vMerge w:val="restart"/>
                  <w:noWrap w:val="0"/>
                  <w:vAlign w:val="center"/>
                </w:tcPr>
                <w:p>
                  <w:pPr>
                    <w:topLinePunct/>
                    <w:adjustRightInd w:val="0"/>
                    <w:snapToGrid w:val="0"/>
                    <w:jc w:val="center"/>
                    <w:rPr>
                      <w:rFonts w:hint="eastAsia"/>
                      <w:spacing w:val="-4"/>
                      <w:szCs w:val="21"/>
                    </w:rPr>
                  </w:pPr>
                  <w:r>
                    <w:rPr>
                      <w:rFonts w:hint="eastAsia"/>
                      <w:spacing w:val="-4"/>
                      <w:szCs w:val="21"/>
                    </w:rPr>
                    <w:t>废气</w:t>
                  </w:r>
                </w:p>
              </w:tc>
              <w:tc>
                <w:tcPr>
                  <w:tcW w:w="3630" w:type="dxa"/>
                  <w:noWrap w:val="0"/>
                  <w:vAlign w:val="center"/>
                </w:tcPr>
                <w:p>
                  <w:pPr>
                    <w:topLinePunct/>
                    <w:adjustRightInd w:val="0"/>
                    <w:snapToGrid w:val="0"/>
                    <w:jc w:val="center"/>
                    <w:rPr>
                      <w:rFonts w:hint="eastAsia" w:eastAsia="宋体"/>
                      <w:spacing w:val="-4"/>
                      <w:szCs w:val="21"/>
                      <w:lang w:eastAsia="zh-CN"/>
                    </w:rPr>
                  </w:pPr>
                  <w:r>
                    <w:rPr>
                      <w:rFonts w:hint="eastAsia"/>
                      <w:spacing w:val="-4"/>
                      <w:szCs w:val="21"/>
                      <w:lang w:eastAsia="zh-CN"/>
                    </w:rPr>
                    <w:t>车间排气筒</w:t>
                  </w:r>
                </w:p>
              </w:tc>
              <w:tc>
                <w:tcPr>
                  <w:tcW w:w="2287" w:type="dxa"/>
                  <w:vMerge w:val="restart"/>
                  <w:noWrap w:val="0"/>
                  <w:vAlign w:val="center"/>
                </w:tcPr>
                <w:p>
                  <w:pPr>
                    <w:topLinePunct/>
                    <w:adjustRightInd w:val="0"/>
                    <w:snapToGrid w:val="0"/>
                    <w:jc w:val="center"/>
                    <w:rPr>
                      <w:rFonts w:hint="eastAsia"/>
                      <w:spacing w:val="-4"/>
                      <w:szCs w:val="21"/>
                      <w:lang w:eastAsia="zh-CN"/>
                    </w:rPr>
                  </w:pPr>
                  <w:r>
                    <w:rPr>
                      <w:rFonts w:hint="eastAsia"/>
                      <w:spacing w:val="-4"/>
                      <w:szCs w:val="21"/>
                      <w:lang w:eastAsia="zh-CN"/>
                    </w:rPr>
                    <w:t>颗粒物</w:t>
                  </w:r>
                </w:p>
              </w:tc>
              <w:tc>
                <w:tcPr>
                  <w:tcW w:w="2286" w:type="dxa"/>
                  <w:noWrap w:val="0"/>
                  <w:vAlign w:val="center"/>
                </w:tcPr>
                <w:p>
                  <w:pPr>
                    <w:topLinePunct/>
                    <w:adjustRightInd w:val="0"/>
                    <w:snapToGrid w:val="0"/>
                    <w:jc w:val="center"/>
                    <w:rPr>
                      <w:rFonts w:hint="default" w:eastAsia="宋体"/>
                      <w:spacing w:val="-4"/>
                      <w:szCs w:val="21"/>
                      <w:lang w:val="en-US" w:eastAsia="zh-CN"/>
                    </w:rPr>
                  </w:pPr>
                  <w:r>
                    <w:rPr>
                      <w:rFonts w:hint="eastAsia"/>
                      <w:spacing w:val="-4"/>
                      <w:szCs w:val="21"/>
                      <w:lang w:val="en-US" w:eastAsia="zh-CN"/>
                    </w:rPr>
                    <w:t>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vMerge w:val="continue"/>
                  <w:noWrap w:val="0"/>
                  <w:vAlign w:val="center"/>
                </w:tcPr>
                <w:p>
                  <w:pPr>
                    <w:topLinePunct/>
                    <w:adjustRightInd w:val="0"/>
                    <w:snapToGrid w:val="0"/>
                    <w:jc w:val="center"/>
                    <w:rPr>
                      <w:rFonts w:hint="eastAsia"/>
                      <w:spacing w:val="-4"/>
                      <w:szCs w:val="21"/>
                    </w:rPr>
                  </w:pPr>
                </w:p>
              </w:tc>
              <w:tc>
                <w:tcPr>
                  <w:tcW w:w="3630" w:type="dxa"/>
                  <w:noWrap w:val="0"/>
                  <w:vAlign w:val="center"/>
                </w:tcPr>
                <w:p>
                  <w:pPr>
                    <w:topLinePunct/>
                    <w:adjustRightInd w:val="0"/>
                    <w:snapToGrid w:val="0"/>
                    <w:jc w:val="center"/>
                    <w:rPr>
                      <w:rFonts w:hint="eastAsia"/>
                      <w:spacing w:val="-4"/>
                      <w:szCs w:val="21"/>
                    </w:rPr>
                  </w:pPr>
                  <w:r>
                    <w:rPr>
                      <w:rFonts w:hint="eastAsia"/>
                      <w:spacing w:val="-4"/>
                      <w:szCs w:val="21"/>
                    </w:rPr>
                    <w:t>厂界</w:t>
                  </w:r>
                </w:p>
              </w:tc>
              <w:tc>
                <w:tcPr>
                  <w:tcW w:w="2287" w:type="dxa"/>
                  <w:noWrap w:val="0"/>
                  <w:vAlign w:val="center"/>
                </w:tcPr>
                <w:p>
                  <w:pPr>
                    <w:topLinePunct/>
                    <w:adjustRightInd w:val="0"/>
                    <w:snapToGrid w:val="0"/>
                    <w:jc w:val="center"/>
                    <w:rPr>
                      <w:rFonts w:hint="eastAsia"/>
                      <w:spacing w:val="-4"/>
                      <w:szCs w:val="21"/>
                      <w:lang w:eastAsia="zh-CN"/>
                    </w:rPr>
                  </w:pPr>
                  <w:r>
                    <w:rPr>
                      <w:rFonts w:hint="eastAsia"/>
                      <w:spacing w:val="-4"/>
                      <w:szCs w:val="21"/>
                      <w:lang w:eastAsia="zh-CN"/>
                    </w:rPr>
                    <w:t>颗粒物</w:t>
                  </w:r>
                </w:p>
              </w:tc>
              <w:tc>
                <w:tcPr>
                  <w:tcW w:w="2286" w:type="dxa"/>
                  <w:noWrap w:val="0"/>
                  <w:vAlign w:val="center"/>
                </w:tcPr>
                <w:p>
                  <w:pPr>
                    <w:topLinePunct/>
                    <w:adjustRightInd w:val="0"/>
                    <w:snapToGrid w:val="0"/>
                    <w:jc w:val="center"/>
                    <w:rPr>
                      <w:rFonts w:hint="eastAsia"/>
                      <w:spacing w:val="-4"/>
                      <w:szCs w:val="21"/>
                    </w:rPr>
                  </w:pPr>
                  <w:r>
                    <w:rPr>
                      <w:rFonts w:hint="eastAsia"/>
                      <w:spacing w:val="-4"/>
                      <w:szCs w:val="21"/>
                      <w:lang w:val="en-US" w:eastAsia="zh-CN"/>
                    </w:rPr>
                    <w:t>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noWrap w:val="0"/>
                  <w:vAlign w:val="center"/>
                </w:tcPr>
                <w:p>
                  <w:pPr>
                    <w:topLinePunct/>
                    <w:adjustRightInd w:val="0"/>
                    <w:snapToGrid w:val="0"/>
                    <w:jc w:val="center"/>
                    <w:rPr>
                      <w:rFonts w:hint="eastAsia"/>
                      <w:spacing w:val="-4"/>
                      <w:szCs w:val="21"/>
                    </w:rPr>
                  </w:pPr>
                  <w:r>
                    <w:rPr>
                      <w:rFonts w:hint="eastAsia"/>
                      <w:spacing w:val="-4"/>
                      <w:szCs w:val="21"/>
                    </w:rPr>
                    <w:t>噪声</w:t>
                  </w:r>
                </w:p>
              </w:tc>
              <w:tc>
                <w:tcPr>
                  <w:tcW w:w="3630" w:type="dxa"/>
                  <w:noWrap w:val="0"/>
                  <w:vAlign w:val="center"/>
                </w:tcPr>
                <w:p>
                  <w:pPr>
                    <w:topLinePunct/>
                    <w:adjustRightInd w:val="0"/>
                    <w:snapToGrid w:val="0"/>
                    <w:jc w:val="center"/>
                    <w:rPr>
                      <w:rFonts w:hint="eastAsia"/>
                      <w:spacing w:val="-4"/>
                      <w:szCs w:val="21"/>
                    </w:rPr>
                  </w:pPr>
                  <w:r>
                    <w:rPr>
                      <w:rFonts w:hint="eastAsia"/>
                      <w:spacing w:val="-4"/>
                      <w:szCs w:val="21"/>
                    </w:rPr>
                    <w:t>厂界</w:t>
                  </w:r>
                </w:p>
              </w:tc>
              <w:tc>
                <w:tcPr>
                  <w:tcW w:w="2287" w:type="dxa"/>
                  <w:noWrap w:val="0"/>
                  <w:vAlign w:val="center"/>
                </w:tcPr>
                <w:p>
                  <w:pPr>
                    <w:topLinePunct/>
                    <w:adjustRightInd w:val="0"/>
                    <w:snapToGrid w:val="0"/>
                    <w:jc w:val="center"/>
                    <w:rPr>
                      <w:rFonts w:hint="eastAsia" w:eastAsia="宋体"/>
                      <w:spacing w:val="-4"/>
                      <w:sz w:val="24"/>
                      <w:lang w:val="en-US" w:eastAsia="zh-CN"/>
                    </w:rPr>
                  </w:pPr>
                  <w:r>
                    <w:rPr>
                      <w:rFonts w:hint="eastAsia"/>
                      <w:spacing w:val="-4"/>
                      <w:sz w:val="24"/>
                      <w:lang w:val="en-US" w:eastAsia="zh-CN"/>
                    </w:rPr>
                    <w:t>-</w:t>
                  </w:r>
                </w:p>
              </w:tc>
              <w:tc>
                <w:tcPr>
                  <w:tcW w:w="2286" w:type="dxa"/>
                  <w:noWrap w:val="0"/>
                  <w:vAlign w:val="center"/>
                </w:tcPr>
                <w:p>
                  <w:pPr>
                    <w:topLinePunct/>
                    <w:adjustRightInd w:val="0"/>
                    <w:snapToGrid w:val="0"/>
                    <w:jc w:val="center"/>
                    <w:rPr>
                      <w:rFonts w:hint="eastAsia"/>
                      <w:spacing w:val="-4"/>
                      <w:szCs w:val="21"/>
                    </w:rPr>
                  </w:pPr>
                  <w:r>
                    <w:rPr>
                      <w:rFonts w:hint="eastAsia"/>
                      <w:spacing w:val="-4"/>
                      <w:szCs w:val="21"/>
                      <w:lang w:val="en-US" w:eastAsia="zh-CN"/>
                    </w:rPr>
                    <w:t>半年1次</w:t>
                  </w:r>
                </w:p>
              </w:tc>
            </w:tr>
          </w:tbl>
          <w:p>
            <w:pPr>
              <w:spacing w:line="360" w:lineRule="auto"/>
              <w:ind w:left="480"/>
              <w:rPr>
                <w:rFonts w:hint="eastAsia"/>
                <w:sz w:val="24"/>
              </w:rPr>
            </w:pPr>
          </w:p>
          <w:p>
            <w:pPr>
              <w:spacing w:line="348" w:lineRule="auto"/>
              <w:ind w:firstLine="472" w:firstLineChars="196"/>
              <w:rPr>
                <w:b/>
                <w:bCs/>
                <w:color w:val="000000"/>
                <w:sz w:val="24"/>
              </w:rPr>
            </w:pPr>
            <w:r>
              <w:rPr>
                <w:rFonts w:hint="eastAsia"/>
                <w:b/>
                <w:sz w:val="24"/>
              </w:rPr>
              <w:t>八、</w:t>
            </w:r>
            <w:r>
              <w:rPr>
                <w:rFonts w:hAnsi="宋体"/>
                <w:b/>
                <w:bCs/>
                <w:color w:val="000000"/>
                <w:sz w:val="24"/>
              </w:rPr>
              <w:t>环保</w:t>
            </w:r>
            <w:r>
              <w:rPr>
                <w:b/>
                <w:bCs/>
                <w:color w:val="000000"/>
                <w:sz w:val="24"/>
              </w:rPr>
              <w:t>“</w:t>
            </w:r>
            <w:r>
              <w:rPr>
                <w:rFonts w:hAnsi="宋体"/>
                <w:b/>
                <w:bCs/>
                <w:color w:val="000000"/>
                <w:sz w:val="24"/>
              </w:rPr>
              <w:t>三同时</w:t>
            </w:r>
            <w:r>
              <w:rPr>
                <w:b/>
                <w:bCs/>
                <w:color w:val="000000"/>
                <w:sz w:val="24"/>
              </w:rPr>
              <w:t>”</w:t>
            </w:r>
            <w:r>
              <w:rPr>
                <w:rFonts w:hAnsi="宋体"/>
                <w:b/>
                <w:bCs/>
                <w:color w:val="000000"/>
                <w:sz w:val="24"/>
              </w:rPr>
              <w:t>项目</w:t>
            </w:r>
            <w:r>
              <w:rPr>
                <w:rFonts w:hint="eastAsia" w:hAnsi="宋体"/>
                <w:b/>
                <w:bCs/>
                <w:color w:val="000000"/>
                <w:sz w:val="24"/>
              </w:rPr>
              <w:t>：</w:t>
            </w:r>
          </w:p>
          <w:p>
            <w:pPr>
              <w:spacing w:line="348" w:lineRule="auto"/>
              <w:ind w:firstLine="480" w:firstLineChars="200"/>
              <w:rPr>
                <w:rFonts w:hAnsi="宋体"/>
                <w:bCs/>
                <w:color w:val="000000"/>
                <w:sz w:val="24"/>
              </w:rPr>
            </w:pPr>
            <w:r>
              <w:rPr>
                <w:rFonts w:hAnsi="宋体"/>
                <w:bCs/>
                <w:color w:val="000000"/>
                <w:sz w:val="24"/>
              </w:rPr>
              <w:t>项目</w:t>
            </w:r>
            <w:r>
              <w:rPr>
                <w:rFonts w:hint="eastAsia"/>
                <w:bCs/>
                <w:color w:val="000000"/>
                <w:sz w:val="24"/>
              </w:rPr>
              <w:t>“</w:t>
            </w:r>
            <w:r>
              <w:rPr>
                <w:rFonts w:hAnsi="宋体"/>
                <w:bCs/>
                <w:color w:val="000000"/>
                <w:sz w:val="24"/>
              </w:rPr>
              <w:t>三同时</w:t>
            </w:r>
            <w:r>
              <w:rPr>
                <w:rFonts w:hint="eastAsia"/>
                <w:bCs/>
                <w:color w:val="000000"/>
                <w:sz w:val="24"/>
              </w:rPr>
              <w:t>”</w:t>
            </w:r>
            <w:r>
              <w:rPr>
                <w:rFonts w:hAnsi="宋体"/>
                <w:bCs/>
                <w:color w:val="000000"/>
                <w:sz w:val="24"/>
              </w:rPr>
              <w:t>环境保护验收情况见下表：</w:t>
            </w:r>
          </w:p>
          <w:p>
            <w:pPr>
              <w:jc w:val="center"/>
              <w:rPr>
                <w:color w:val="000000"/>
                <w:szCs w:val="21"/>
              </w:rPr>
            </w:pPr>
            <w:r>
              <w:rPr>
                <w:rFonts w:ascii="宋体" w:hAnsi="宋体"/>
                <w:b/>
                <w:bCs/>
                <w:color w:val="000000"/>
              </w:rPr>
              <w:t>表</w:t>
            </w:r>
            <w:r>
              <w:rPr>
                <w:rFonts w:hint="eastAsia"/>
                <w:b/>
                <w:bCs/>
                <w:color w:val="000000"/>
              </w:rPr>
              <w:t>7</w:t>
            </w:r>
            <w:r>
              <w:rPr>
                <w:rFonts w:hint="eastAsia" w:ascii="宋体" w:hAnsi="宋体"/>
                <w:b/>
                <w:bCs/>
                <w:color w:val="000000"/>
              </w:rPr>
              <w:t>-</w:t>
            </w:r>
            <w:r>
              <w:rPr>
                <w:rFonts w:ascii="宋体" w:hAnsi="宋体"/>
                <w:b/>
                <w:bCs/>
                <w:color w:val="000000"/>
              </w:rPr>
              <w:t>1</w:t>
            </w:r>
            <w:r>
              <w:rPr>
                <w:rFonts w:hint="eastAsia" w:ascii="宋体" w:hAnsi="宋体"/>
                <w:b/>
                <w:bCs/>
                <w:color w:val="000000"/>
                <w:lang w:val="en-US" w:eastAsia="zh-CN"/>
              </w:rPr>
              <w:t>6</w:t>
            </w:r>
            <w:r>
              <w:rPr>
                <w:rFonts w:ascii="宋体" w:hAnsi="宋体"/>
                <w:b/>
                <w:bCs/>
                <w:color w:val="000000"/>
              </w:rPr>
              <w:t xml:space="preserve">   </w:t>
            </w:r>
            <w:r>
              <w:rPr>
                <w:rFonts w:hAnsi="宋体"/>
                <w:b/>
                <w:bCs/>
                <w:color w:val="000000"/>
                <w:szCs w:val="21"/>
              </w:rPr>
              <w:t>项目</w:t>
            </w:r>
            <w:r>
              <w:rPr>
                <w:b/>
                <w:bCs/>
                <w:color w:val="000000"/>
                <w:szCs w:val="21"/>
              </w:rPr>
              <w:t>“</w:t>
            </w:r>
            <w:r>
              <w:rPr>
                <w:rFonts w:hAnsi="宋体"/>
                <w:b/>
                <w:bCs/>
                <w:color w:val="000000"/>
                <w:szCs w:val="21"/>
              </w:rPr>
              <w:t>三同时</w:t>
            </w:r>
            <w:r>
              <w:rPr>
                <w:b/>
                <w:bCs/>
                <w:color w:val="000000"/>
                <w:szCs w:val="21"/>
              </w:rPr>
              <w:t>”</w:t>
            </w:r>
            <w:r>
              <w:rPr>
                <w:rFonts w:hAnsi="宋体"/>
                <w:b/>
                <w:bCs/>
                <w:color w:val="000000"/>
                <w:szCs w:val="21"/>
              </w:rPr>
              <w:t>环境保护验收一览表</w:t>
            </w:r>
          </w:p>
          <w:tbl>
            <w:tblPr>
              <w:tblStyle w:val="69"/>
              <w:tblW w:w="9152" w:type="dxa"/>
              <w:jc w:val="center"/>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6"/>
              <w:gridCol w:w="1728"/>
              <w:gridCol w:w="3202"/>
              <w:gridCol w:w="37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96" w:type="dxa"/>
                  <w:tcBorders>
                    <w:tl2br w:val="nil"/>
                    <w:tr2bl w:val="nil"/>
                  </w:tcBorders>
                  <w:noWrap w:val="0"/>
                  <w:vAlign w:val="center"/>
                </w:tcPr>
                <w:p>
                  <w:pPr>
                    <w:jc w:val="center"/>
                    <w:rPr>
                      <w:b/>
                      <w:bCs/>
                      <w:color w:val="000000"/>
                      <w:szCs w:val="21"/>
                    </w:rPr>
                  </w:pPr>
                  <w:r>
                    <w:rPr>
                      <w:rFonts w:hAnsi="宋体"/>
                      <w:b/>
                      <w:bCs/>
                      <w:color w:val="000000"/>
                      <w:szCs w:val="21"/>
                    </w:rPr>
                    <w:t>项目</w:t>
                  </w:r>
                </w:p>
              </w:tc>
              <w:tc>
                <w:tcPr>
                  <w:tcW w:w="1728" w:type="dxa"/>
                  <w:tcBorders>
                    <w:tl2br w:val="nil"/>
                    <w:tr2bl w:val="nil"/>
                  </w:tcBorders>
                  <w:noWrap w:val="0"/>
                  <w:vAlign w:val="center"/>
                </w:tcPr>
                <w:p>
                  <w:pPr>
                    <w:jc w:val="center"/>
                    <w:rPr>
                      <w:b/>
                      <w:bCs/>
                      <w:color w:val="000000"/>
                      <w:szCs w:val="21"/>
                    </w:rPr>
                  </w:pPr>
                  <w:r>
                    <w:rPr>
                      <w:rFonts w:hAnsi="宋体"/>
                      <w:b/>
                      <w:bCs/>
                      <w:color w:val="000000"/>
                      <w:szCs w:val="21"/>
                    </w:rPr>
                    <w:t>内容</w:t>
                  </w:r>
                </w:p>
              </w:tc>
              <w:tc>
                <w:tcPr>
                  <w:tcW w:w="3202" w:type="dxa"/>
                  <w:tcBorders>
                    <w:tl2br w:val="nil"/>
                    <w:tr2bl w:val="nil"/>
                  </w:tcBorders>
                  <w:noWrap w:val="0"/>
                  <w:vAlign w:val="center"/>
                </w:tcPr>
                <w:p>
                  <w:pPr>
                    <w:jc w:val="center"/>
                    <w:rPr>
                      <w:b/>
                      <w:bCs/>
                      <w:color w:val="000000"/>
                      <w:szCs w:val="21"/>
                    </w:rPr>
                  </w:pPr>
                  <w:r>
                    <w:rPr>
                      <w:rFonts w:hAnsi="宋体"/>
                      <w:b/>
                      <w:bCs/>
                      <w:color w:val="000000"/>
                      <w:szCs w:val="21"/>
                    </w:rPr>
                    <w:t>防治措施</w:t>
                  </w:r>
                </w:p>
              </w:tc>
              <w:tc>
                <w:tcPr>
                  <w:tcW w:w="3726" w:type="dxa"/>
                  <w:tcBorders>
                    <w:tl2br w:val="nil"/>
                    <w:tr2bl w:val="nil"/>
                  </w:tcBorders>
                  <w:noWrap w:val="0"/>
                  <w:vAlign w:val="center"/>
                </w:tcPr>
                <w:p>
                  <w:pPr>
                    <w:pStyle w:val="167"/>
                    <w:tabs>
                      <w:tab w:val="left" w:pos="-2848"/>
                    </w:tabs>
                    <w:adjustRightInd/>
                    <w:spacing w:before="0"/>
                    <w:textAlignment w:val="auto"/>
                    <w:rPr>
                      <w:rFonts w:ascii="Times New Roman"/>
                      <w:b/>
                      <w:bCs/>
                      <w:color w:val="000000"/>
                      <w:kern w:val="2"/>
                      <w:sz w:val="21"/>
                      <w:szCs w:val="21"/>
                    </w:rPr>
                  </w:pPr>
                  <w:r>
                    <w:rPr>
                      <w:rFonts w:ascii="Times New Roman" w:hAnsi="宋体"/>
                      <w:b/>
                      <w:bCs/>
                      <w:color w:val="000000"/>
                      <w:kern w:val="2"/>
                      <w:sz w:val="21"/>
                      <w:szCs w:val="21"/>
                    </w:rPr>
                    <w:t>验收要求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5" w:hRule="atLeast"/>
                <w:jc w:val="center"/>
              </w:trPr>
              <w:tc>
                <w:tcPr>
                  <w:tcW w:w="496" w:type="dxa"/>
                  <w:vMerge w:val="restart"/>
                  <w:tcBorders>
                    <w:tl2br w:val="nil"/>
                    <w:tr2bl w:val="nil"/>
                  </w:tcBorders>
                  <w:noWrap w:val="0"/>
                  <w:vAlign w:val="center"/>
                </w:tcPr>
                <w:p>
                  <w:pPr>
                    <w:jc w:val="center"/>
                    <w:rPr>
                      <w:bCs/>
                      <w:color w:val="000000"/>
                      <w:sz w:val="24"/>
                    </w:rPr>
                  </w:pPr>
                  <w:r>
                    <w:rPr>
                      <w:rFonts w:hAnsi="宋体"/>
                      <w:bCs/>
                      <w:color w:val="000000"/>
                      <w:sz w:val="24"/>
                    </w:rPr>
                    <w:t>废气</w:t>
                  </w:r>
                </w:p>
              </w:tc>
              <w:tc>
                <w:tcPr>
                  <w:tcW w:w="1728" w:type="dxa"/>
                  <w:tcBorders>
                    <w:tl2br w:val="nil"/>
                    <w:tr2bl w:val="nil"/>
                  </w:tcBorders>
                  <w:noWrap w:val="0"/>
                  <w:vAlign w:val="center"/>
                </w:tcPr>
                <w:p>
                  <w:pPr>
                    <w:jc w:val="center"/>
                    <w:rPr>
                      <w:rFonts w:hint="eastAsia"/>
                      <w:bCs/>
                      <w:szCs w:val="21"/>
                    </w:rPr>
                  </w:pPr>
                  <w:r>
                    <w:rPr>
                      <w:rFonts w:hint="eastAsia"/>
                      <w:bCs/>
                      <w:szCs w:val="21"/>
                    </w:rPr>
                    <w:t>金属打磨粉尘</w:t>
                  </w:r>
                </w:p>
              </w:tc>
              <w:tc>
                <w:tcPr>
                  <w:tcW w:w="3202" w:type="dxa"/>
                  <w:tcBorders>
                    <w:tl2br w:val="nil"/>
                    <w:tr2bl w:val="nil"/>
                  </w:tcBorders>
                  <w:noWrap w:val="0"/>
                  <w:vAlign w:val="center"/>
                </w:tcPr>
                <w:p>
                  <w:pPr>
                    <w:jc w:val="center"/>
                    <w:rPr>
                      <w:rFonts w:hint="eastAsia"/>
                      <w:bCs/>
                      <w:szCs w:val="21"/>
                    </w:rPr>
                  </w:pPr>
                  <w:r>
                    <w:rPr>
                      <w:rFonts w:hint="eastAsia"/>
                      <w:bCs/>
                      <w:szCs w:val="21"/>
                    </w:rPr>
                    <w:t>重力沉降措施</w:t>
                  </w:r>
                </w:p>
              </w:tc>
              <w:tc>
                <w:tcPr>
                  <w:tcW w:w="3726" w:type="dxa"/>
                  <w:vMerge w:val="restart"/>
                  <w:tcBorders>
                    <w:tl2br w:val="nil"/>
                    <w:tr2bl w:val="nil"/>
                  </w:tcBorders>
                  <w:noWrap w:val="0"/>
                  <w:vAlign w:val="center"/>
                </w:tcPr>
                <w:p>
                  <w:pPr>
                    <w:jc w:val="center"/>
                    <w:rPr>
                      <w:color w:val="000000"/>
                      <w:szCs w:val="21"/>
                    </w:rPr>
                  </w:pPr>
                  <w:r>
                    <w:rPr>
                      <w:rFonts w:hint="eastAsia"/>
                      <w:szCs w:val="21"/>
                    </w:rPr>
                    <w:t>《大气污染物综合排放标准》（GB16297-1996）表2二级标准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4" w:hRule="atLeast"/>
                <w:jc w:val="center"/>
              </w:trPr>
              <w:tc>
                <w:tcPr>
                  <w:tcW w:w="496" w:type="dxa"/>
                  <w:vMerge w:val="continue"/>
                  <w:tcBorders>
                    <w:tl2br w:val="nil"/>
                    <w:tr2bl w:val="nil"/>
                  </w:tcBorders>
                  <w:noWrap w:val="0"/>
                  <w:vAlign w:val="center"/>
                </w:tcPr>
                <w:p>
                  <w:pPr>
                    <w:jc w:val="center"/>
                    <w:rPr>
                      <w:rFonts w:hAnsi="宋体"/>
                      <w:bCs/>
                      <w:color w:val="000000"/>
                      <w:sz w:val="24"/>
                    </w:rPr>
                  </w:pPr>
                </w:p>
              </w:tc>
              <w:tc>
                <w:tcPr>
                  <w:tcW w:w="1728" w:type="dxa"/>
                  <w:tcBorders>
                    <w:tl2br w:val="nil"/>
                    <w:tr2bl w:val="nil"/>
                  </w:tcBorders>
                  <w:noWrap w:val="0"/>
                  <w:vAlign w:val="center"/>
                </w:tcPr>
                <w:p>
                  <w:pPr>
                    <w:jc w:val="center"/>
                    <w:rPr>
                      <w:rFonts w:hint="eastAsia"/>
                      <w:szCs w:val="21"/>
                    </w:rPr>
                  </w:pPr>
                  <w:r>
                    <w:rPr>
                      <w:rFonts w:hint="eastAsia"/>
                      <w:szCs w:val="21"/>
                    </w:rPr>
                    <w:t>刀柄抛丸粉尘</w:t>
                  </w:r>
                </w:p>
              </w:tc>
              <w:tc>
                <w:tcPr>
                  <w:tcW w:w="3202" w:type="dxa"/>
                  <w:tcBorders>
                    <w:tl2br w:val="nil"/>
                    <w:tr2bl w:val="nil"/>
                  </w:tcBorders>
                  <w:noWrap w:val="0"/>
                  <w:vAlign w:val="center"/>
                </w:tcPr>
                <w:p>
                  <w:pPr>
                    <w:jc w:val="center"/>
                    <w:rPr>
                      <w:rFonts w:hint="eastAsia" w:eastAsia="宋体"/>
                      <w:bCs/>
                      <w:szCs w:val="21"/>
                      <w:lang w:eastAsia="zh-CN"/>
                    </w:rPr>
                  </w:pPr>
                  <w:r>
                    <w:rPr>
                      <w:rFonts w:hint="eastAsia"/>
                      <w:bCs/>
                      <w:szCs w:val="21"/>
                      <w:lang w:eastAsia="zh-CN"/>
                    </w:rPr>
                    <w:t>布袋收尘设施处理</w:t>
                  </w:r>
                </w:p>
              </w:tc>
              <w:tc>
                <w:tcPr>
                  <w:tcW w:w="3726" w:type="dxa"/>
                  <w:vMerge w:val="continue"/>
                  <w:tcBorders>
                    <w:tl2br w:val="nil"/>
                    <w:tr2bl w:val="nil"/>
                  </w:tcBorders>
                  <w:noWrap w:val="0"/>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496" w:type="dxa"/>
                  <w:vMerge w:val="continue"/>
                  <w:tcBorders>
                    <w:tl2br w:val="nil"/>
                    <w:tr2bl w:val="nil"/>
                  </w:tcBorders>
                  <w:noWrap w:val="0"/>
                  <w:vAlign w:val="center"/>
                </w:tcPr>
                <w:p>
                  <w:pPr>
                    <w:jc w:val="center"/>
                    <w:rPr>
                      <w:rFonts w:hAnsi="宋体"/>
                      <w:bCs/>
                      <w:color w:val="000000"/>
                      <w:sz w:val="24"/>
                    </w:rPr>
                  </w:pPr>
                </w:p>
              </w:tc>
              <w:tc>
                <w:tcPr>
                  <w:tcW w:w="1728" w:type="dxa"/>
                  <w:tcBorders>
                    <w:tl2br w:val="nil"/>
                    <w:tr2bl w:val="nil"/>
                  </w:tcBorders>
                  <w:noWrap w:val="0"/>
                  <w:vAlign w:val="center"/>
                </w:tcPr>
                <w:p>
                  <w:pPr>
                    <w:jc w:val="center"/>
                    <w:rPr>
                      <w:bCs/>
                      <w:szCs w:val="21"/>
                    </w:rPr>
                  </w:pPr>
                  <w:r>
                    <w:rPr>
                      <w:rFonts w:hint="eastAsia"/>
                      <w:bCs/>
                      <w:szCs w:val="21"/>
                    </w:rPr>
                    <w:t>淬火油烟</w:t>
                  </w:r>
                </w:p>
              </w:tc>
              <w:tc>
                <w:tcPr>
                  <w:tcW w:w="3202" w:type="dxa"/>
                  <w:tcBorders>
                    <w:tl2br w:val="nil"/>
                    <w:tr2bl w:val="nil"/>
                  </w:tcBorders>
                  <w:noWrap w:val="0"/>
                  <w:vAlign w:val="center"/>
                </w:tcPr>
                <w:p>
                  <w:pPr>
                    <w:jc w:val="center"/>
                    <w:rPr>
                      <w:rFonts w:hint="eastAsia"/>
                      <w:bCs/>
                      <w:szCs w:val="21"/>
                    </w:rPr>
                  </w:pPr>
                  <w:r>
                    <w:rPr>
                      <w:rFonts w:hint="eastAsia"/>
                      <w:bCs/>
                      <w:szCs w:val="21"/>
                    </w:rPr>
                    <w:t>经“油烟净化器”处理后由1</w:t>
                  </w:r>
                  <w:r>
                    <w:rPr>
                      <w:bCs/>
                      <w:szCs w:val="21"/>
                    </w:rPr>
                    <w:t>5m</w:t>
                  </w:r>
                  <w:r>
                    <w:rPr>
                      <w:rFonts w:hint="eastAsia"/>
                      <w:bCs/>
                      <w:szCs w:val="21"/>
                    </w:rPr>
                    <w:t>高以上高空排放</w:t>
                  </w:r>
                </w:p>
              </w:tc>
              <w:tc>
                <w:tcPr>
                  <w:tcW w:w="3726" w:type="dxa"/>
                  <w:vMerge w:val="continue"/>
                  <w:tcBorders>
                    <w:tl2br w:val="nil"/>
                    <w:tr2bl w:val="nil"/>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496" w:type="dxa"/>
                  <w:vMerge w:val="continue"/>
                  <w:tcBorders>
                    <w:tl2br w:val="nil"/>
                    <w:tr2bl w:val="nil"/>
                  </w:tcBorders>
                  <w:noWrap w:val="0"/>
                  <w:vAlign w:val="center"/>
                </w:tcPr>
                <w:p>
                  <w:pPr>
                    <w:jc w:val="center"/>
                    <w:rPr>
                      <w:rFonts w:hAnsi="宋体"/>
                      <w:bCs/>
                      <w:color w:val="000000"/>
                      <w:sz w:val="24"/>
                    </w:rPr>
                  </w:pPr>
                </w:p>
              </w:tc>
              <w:tc>
                <w:tcPr>
                  <w:tcW w:w="1728" w:type="dxa"/>
                  <w:tcBorders>
                    <w:tl2br w:val="nil"/>
                    <w:tr2bl w:val="nil"/>
                  </w:tcBorders>
                  <w:noWrap w:val="0"/>
                  <w:vAlign w:val="center"/>
                </w:tcPr>
                <w:p>
                  <w:pPr>
                    <w:jc w:val="center"/>
                    <w:rPr>
                      <w:rFonts w:hint="eastAsia"/>
                      <w:bCs/>
                      <w:szCs w:val="21"/>
                    </w:rPr>
                  </w:pPr>
                  <w:r>
                    <w:rPr>
                      <w:rFonts w:hint="eastAsia"/>
                      <w:bCs/>
                      <w:szCs w:val="21"/>
                    </w:rPr>
                    <w:t>食堂油烟</w:t>
                  </w:r>
                </w:p>
              </w:tc>
              <w:tc>
                <w:tcPr>
                  <w:tcW w:w="3202" w:type="dxa"/>
                  <w:tcBorders>
                    <w:tl2br w:val="nil"/>
                    <w:tr2bl w:val="nil"/>
                  </w:tcBorders>
                  <w:noWrap w:val="0"/>
                  <w:vAlign w:val="center"/>
                </w:tcPr>
                <w:p>
                  <w:pPr>
                    <w:jc w:val="center"/>
                    <w:rPr>
                      <w:rFonts w:hint="eastAsia"/>
                      <w:bCs/>
                      <w:szCs w:val="21"/>
                    </w:rPr>
                  </w:pPr>
                  <w:r>
                    <w:rPr>
                      <w:rFonts w:hint="eastAsia"/>
                      <w:bCs/>
                      <w:szCs w:val="21"/>
                    </w:rPr>
                    <w:t>经“油烟净化器”处理后排放</w:t>
                  </w:r>
                </w:p>
              </w:tc>
              <w:tc>
                <w:tcPr>
                  <w:tcW w:w="3726" w:type="dxa"/>
                  <w:tcBorders>
                    <w:tl2br w:val="nil"/>
                    <w:tr2bl w:val="nil"/>
                  </w:tcBorders>
                  <w:noWrap w:val="0"/>
                  <w:vAlign w:val="center"/>
                </w:tcPr>
                <w:p>
                  <w:pPr>
                    <w:jc w:val="center"/>
                    <w:rPr>
                      <w:szCs w:val="21"/>
                    </w:rPr>
                  </w:pPr>
                  <w:r>
                    <w:rPr>
                      <w:rFonts w:hint="eastAsia"/>
                      <w:szCs w:val="21"/>
                    </w:rPr>
                    <w:t>《饮食业油烟排放标准（试行）》（GB18483-2001）中最高允许排放浓度限值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36" w:hRule="atLeast"/>
                <w:jc w:val="center"/>
              </w:trPr>
              <w:tc>
                <w:tcPr>
                  <w:tcW w:w="496" w:type="dxa"/>
                  <w:vMerge w:val="restart"/>
                  <w:tcBorders>
                    <w:tl2br w:val="nil"/>
                    <w:tr2bl w:val="nil"/>
                  </w:tcBorders>
                  <w:noWrap w:val="0"/>
                  <w:vAlign w:val="center"/>
                </w:tcPr>
                <w:p>
                  <w:pPr>
                    <w:pStyle w:val="167"/>
                    <w:tabs>
                      <w:tab w:val="left" w:pos="-2848"/>
                    </w:tabs>
                    <w:rPr>
                      <w:rFonts w:hint="eastAsia" w:ascii="Times New Roman"/>
                      <w:bCs/>
                      <w:color w:val="000000"/>
                      <w:kern w:val="2"/>
                      <w:szCs w:val="24"/>
                    </w:rPr>
                  </w:pPr>
                  <w:r>
                    <w:rPr>
                      <w:rFonts w:hint="eastAsia" w:ascii="Times New Roman"/>
                      <w:bCs/>
                      <w:color w:val="000000"/>
                      <w:kern w:val="2"/>
                      <w:szCs w:val="24"/>
                    </w:rPr>
                    <w:t>废水</w:t>
                  </w:r>
                </w:p>
              </w:tc>
              <w:tc>
                <w:tcPr>
                  <w:tcW w:w="1728" w:type="dxa"/>
                  <w:tcBorders>
                    <w:tl2br w:val="nil"/>
                    <w:tr2bl w:val="nil"/>
                  </w:tcBorders>
                  <w:noWrap w:val="0"/>
                  <w:vAlign w:val="center"/>
                </w:tcPr>
                <w:p>
                  <w:pPr>
                    <w:jc w:val="center"/>
                    <w:rPr>
                      <w:bCs/>
                      <w:color w:val="000000"/>
                      <w:szCs w:val="21"/>
                    </w:rPr>
                  </w:pPr>
                  <w:r>
                    <w:rPr>
                      <w:rFonts w:hAnsi="宋体"/>
                      <w:bCs/>
                      <w:color w:val="000000"/>
                      <w:szCs w:val="21"/>
                    </w:rPr>
                    <w:t>生活污水</w:t>
                  </w:r>
                </w:p>
              </w:tc>
              <w:tc>
                <w:tcPr>
                  <w:tcW w:w="3202" w:type="dxa"/>
                  <w:tcBorders>
                    <w:tl2br w:val="nil"/>
                    <w:tr2bl w:val="nil"/>
                  </w:tcBorders>
                  <w:noWrap w:val="0"/>
                  <w:vAlign w:val="center"/>
                </w:tcPr>
                <w:p>
                  <w:pPr>
                    <w:jc w:val="center"/>
                    <w:rPr>
                      <w:rFonts w:hAnsi="宋体"/>
                      <w:color w:val="000000"/>
                      <w:szCs w:val="21"/>
                    </w:rPr>
                  </w:pPr>
                  <w:r>
                    <w:rPr>
                      <w:rFonts w:hint="eastAsia" w:hAnsi="宋体"/>
                      <w:color w:val="000000"/>
                      <w:szCs w:val="21"/>
                    </w:rPr>
                    <w:t>三级</w:t>
                  </w:r>
                  <w:r>
                    <w:rPr>
                      <w:rFonts w:hAnsi="宋体"/>
                      <w:color w:val="000000"/>
                      <w:szCs w:val="21"/>
                    </w:rPr>
                    <w:t>化粪池</w:t>
                  </w:r>
                  <w:r>
                    <w:rPr>
                      <w:rFonts w:hint="eastAsia" w:hAnsi="宋体"/>
                      <w:color w:val="000000"/>
                      <w:szCs w:val="21"/>
                    </w:rPr>
                    <w:t>（5m³）</w:t>
                  </w:r>
                </w:p>
                <w:p>
                  <w:pPr>
                    <w:jc w:val="center"/>
                    <w:rPr>
                      <w:rFonts w:hint="eastAsia"/>
                      <w:bCs/>
                      <w:color w:val="000000"/>
                      <w:szCs w:val="21"/>
                    </w:rPr>
                  </w:pPr>
                  <w:r>
                    <w:rPr>
                      <w:rFonts w:hint="eastAsia"/>
                      <w:bCs/>
                      <w:color w:val="000000"/>
                      <w:szCs w:val="21"/>
                    </w:rPr>
                    <w:t>隔油池（2m³）</w:t>
                  </w:r>
                </w:p>
              </w:tc>
              <w:tc>
                <w:tcPr>
                  <w:tcW w:w="3726" w:type="dxa"/>
                  <w:tcBorders>
                    <w:tl2br w:val="nil"/>
                    <w:tr2bl w:val="nil"/>
                  </w:tcBorders>
                  <w:noWrap w:val="0"/>
                  <w:vAlign w:val="center"/>
                </w:tcPr>
                <w:p>
                  <w:pPr>
                    <w:jc w:val="center"/>
                    <w:rPr>
                      <w:bCs/>
                      <w:color w:val="000000"/>
                      <w:szCs w:val="21"/>
                    </w:rPr>
                  </w:pPr>
                  <w:r>
                    <w:rPr>
                      <w:rFonts w:hint="eastAsia"/>
                      <w:bCs/>
                      <w:color w:val="000000"/>
                      <w:szCs w:val="21"/>
                    </w:rPr>
                    <w:t>综合利用，不外排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25" w:hRule="atLeast"/>
                <w:jc w:val="center"/>
              </w:trPr>
              <w:tc>
                <w:tcPr>
                  <w:tcW w:w="496" w:type="dxa"/>
                  <w:vMerge w:val="continue"/>
                  <w:tcBorders>
                    <w:tl2br w:val="nil"/>
                    <w:tr2bl w:val="nil"/>
                  </w:tcBorders>
                  <w:noWrap w:val="0"/>
                  <w:vAlign w:val="center"/>
                </w:tcPr>
                <w:p>
                  <w:pPr>
                    <w:pStyle w:val="167"/>
                    <w:tabs>
                      <w:tab w:val="left" w:pos="-2848"/>
                    </w:tabs>
                    <w:rPr>
                      <w:rFonts w:hint="eastAsia" w:ascii="Times New Roman"/>
                      <w:bCs/>
                      <w:color w:val="000000"/>
                      <w:kern w:val="2"/>
                      <w:szCs w:val="24"/>
                    </w:rPr>
                  </w:pPr>
                </w:p>
              </w:tc>
              <w:tc>
                <w:tcPr>
                  <w:tcW w:w="1728" w:type="dxa"/>
                  <w:tcBorders>
                    <w:tl2br w:val="nil"/>
                    <w:tr2bl w:val="nil"/>
                  </w:tcBorders>
                  <w:noWrap w:val="0"/>
                  <w:vAlign w:val="center"/>
                </w:tcPr>
                <w:p>
                  <w:pPr>
                    <w:jc w:val="center"/>
                    <w:rPr>
                      <w:rFonts w:hint="eastAsia" w:hAnsi="宋体"/>
                      <w:bCs/>
                      <w:color w:val="000000"/>
                      <w:szCs w:val="21"/>
                    </w:rPr>
                  </w:pPr>
                  <w:r>
                    <w:rPr>
                      <w:rFonts w:hint="eastAsia" w:hAnsi="宋体"/>
                      <w:bCs/>
                      <w:color w:val="000000"/>
                      <w:szCs w:val="21"/>
                    </w:rPr>
                    <w:t>打磨废水</w:t>
                  </w:r>
                </w:p>
              </w:tc>
              <w:tc>
                <w:tcPr>
                  <w:tcW w:w="3202" w:type="dxa"/>
                  <w:tcBorders>
                    <w:tl2br w:val="nil"/>
                    <w:tr2bl w:val="nil"/>
                  </w:tcBorders>
                  <w:noWrap w:val="0"/>
                  <w:vAlign w:val="center"/>
                </w:tcPr>
                <w:p>
                  <w:pPr>
                    <w:jc w:val="center"/>
                    <w:rPr>
                      <w:rFonts w:hint="eastAsia" w:hAnsi="宋体"/>
                      <w:color w:val="000000"/>
                      <w:szCs w:val="21"/>
                    </w:rPr>
                  </w:pPr>
                  <w:r>
                    <w:rPr>
                      <w:rFonts w:hint="eastAsia" w:hAnsi="宋体"/>
                      <w:color w:val="000000"/>
                      <w:szCs w:val="21"/>
                    </w:rPr>
                    <w:t>2个1</w:t>
                  </w:r>
                  <w:r>
                    <w:rPr>
                      <w:rFonts w:hAnsi="宋体"/>
                      <w:color w:val="000000"/>
                      <w:szCs w:val="21"/>
                    </w:rPr>
                    <w:t>0</w:t>
                  </w:r>
                  <w:r>
                    <w:rPr>
                      <w:rFonts w:hint="eastAsia" w:hAnsi="宋体"/>
                      <w:color w:val="000000"/>
                      <w:szCs w:val="21"/>
                    </w:rPr>
                    <w:t>m³水循环池</w:t>
                  </w:r>
                </w:p>
              </w:tc>
              <w:tc>
                <w:tcPr>
                  <w:tcW w:w="3726" w:type="dxa"/>
                  <w:tcBorders>
                    <w:tl2br w:val="nil"/>
                    <w:tr2bl w:val="nil"/>
                  </w:tcBorders>
                  <w:noWrap w:val="0"/>
                  <w:vAlign w:val="center"/>
                </w:tcPr>
                <w:p>
                  <w:pPr>
                    <w:jc w:val="center"/>
                    <w:rPr>
                      <w:rFonts w:hint="eastAsia"/>
                      <w:bCs/>
                      <w:color w:val="000000"/>
                      <w:szCs w:val="21"/>
                    </w:rPr>
                  </w:pPr>
                  <w:r>
                    <w:rPr>
                      <w:rFonts w:hint="eastAsia"/>
                      <w:bCs/>
                      <w:color w:val="000000"/>
                      <w:szCs w:val="21"/>
                    </w:rPr>
                    <w:t>循环使用不外排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8" w:hRule="atLeast"/>
                <w:jc w:val="center"/>
              </w:trPr>
              <w:tc>
                <w:tcPr>
                  <w:tcW w:w="496" w:type="dxa"/>
                  <w:vMerge w:val="restart"/>
                  <w:tcBorders>
                    <w:tl2br w:val="nil"/>
                    <w:tr2bl w:val="nil"/>
                  </w:tcBorders>
                  <w:noWrap w:val="0"/>
                  <w:vAlign w:val="center"/>
                </w:tcPr>
                <w:p>
                  <w:pPr>
                    <w:jc w:val="center"/>
                    <w:rPr>
                      <w:bCs/>
                      <w:color w:val="000000"/>
                      <w:sz w:val="24"/>
                    </w:rPr>
                  </w:pPr>
                  <w:r>
                    <w:rPr>
                      <w:rFonts w:hAnsi="宋体"/>
                      <w:bCs/>
                      <w:color w:val="000000"/>
                      <w:sz w:val="24"/>
                    </w:rPr>
                    <w:t>固废</w:t>
                  </w:r>
                </w:p>
              </w:tc>
              <w:tc>
                <w:tcPr>
                  <w:tcW w:w="1728" w:type="dxa"/>
                  <w:tcBorders>
                    <w:tl2br w:val="nil"/>
                    <w:tr2bl w:val="nil"/>
                  </w:tcBorders>
                  <w:noWrap w:val="0"/>
                  <w:vAlign w:val="center"/>
                </w:tcPr>
                <w:p>
                  <w:pPr>
                    <w:pStyle w:val="621"/>
                    <w:rPr>
                      <w:rFonts w:ascii="Times New Roman" w:hAnsi="Times New Roman"/>
                      <w:color w:val="000000"/>
                      <w:position w:val="0"/>
                      <w:szCs w:val="21"/>
                    </w:rPr>
                  </w:pPr>
                  <w:r>
                    <w:rPr>
                      <w:rFonts w:hint="eastAsia" w:ascii="Times New Roman" w:hAnsi="宋体"/>
                      <w:color w:val="000000"/>
                      <w:position w:val="0"/>
                      <w:szCs w:val="21"/>
                    </w:rPr>
                    <w:t>除尘灰</w:t>
                  </w:r>
                </w:p>
              </w:tc>
              <w:tc>
                <w:tcPr>
                  <w:tcW w:w="3202" w:type="dxa"/>
                  <w:tcBorders>
                    <w:tl2br w:val="nil"/>
                    <w:tr2bl w:val="nil"/>
                  </w:tcBorders>
                  <w:noWrap w:val="0"/>
                  <w:vAlign w:val="center"/>
                </w:tcPr>
                <w:p>
                  <w:pPr>
                    <w:adjustRightInd w:val="0"/>
                    <w:snapToGrid w:val="0"/>
                    <w:jc w:val="center"/>
                    <w:rPr>
                      <w:color w:val="000000"/>
                      <w:szCs w:val="21"/>
                    </w:rPr>
                  </w:pPr>
                  <w:r>
                    <w:rPr>
                      <w:rFonts w:hint="eastAsia" w:hAnsi="宋体"/>
                      <w:color w:val="000000"/>
                      <w:szCs w:val="21"/>
                    </w:rPr>
                    <w:t>收集后交由当地环卫部门统一清运至垃圾填埋场处置</w:t>
                  </w:r>
                </w:p>
              </w:tc>
              <w:tc>
                <w:tcPr>
                  <w:tcW w:w="3726" w:type="dxa"/>
                  <w:vMerge w:val="restart"/>
                  <w:tcBorders>
                    <w:tl2br w:val="nil"/>
                    <w:tr2bl w:val="nil"/>
                  </w:tcBorders>
                  <w:noWrap w:val="0"/>
                  <w:vAlign w:val="center"/>
                </w:tcPr>
                <w:p>
                  <w:pPr>
                    <w:pStyle w:val="167"/>
                    <w:tabs>
                      <w:tab w:val="left" w:pos="-2848"/>
                    </w:tabs>
                    <w:rPr>
                      <w:rFonts w:ascii="Times New Roman"/>
                      <w:bCs/>
                      <w:color w:val="000000"/>
                      <w:kern w:val="2"/>
                      <w:sz w:val="21"/>
                      <w:szCs w:val="21"/>
                    </w:rPr>
                  </w:pPr>
                  <w:r>
                    <w:rPr>
                      <w:rFonts w:ascii="Times New Roman" w:hAnsi="宋体"/>
                      <w:bCs/>
                      <w:color w:val="000000"/>
                      <w:kern w:val="2"/>
                      <w:sz w:val="21"/>
                      <w:szCs w:val="21"/>
                    </w:rPr>
                    <w:t>不排入外环境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8" w:hRule="atLeast"/>
                <w:jc w:val="center"/>
              </w:trPr>
              <w:tc>
                <w:tcPr>
                  <w:tcW w:w="496" w:type="dxa"/>
                  <w:vMerge w:val="continue"/>
                  <w:tcBorders>
                    <w:tl2br w:val="nil"/>
                    <w:tr2bl w:val="nil"/>
                  </w:tcBorders>
                  <w:noWrap w:val="0"/>
                  <w:vAlign w:val="center"/>
                </w:tcPr>
                <w:p>
                  <w:pPr>
                    <w:jc w:val="center"/>
                    <w:rPr>
                      <w:rFonts w:hAnsi="宋体"/>
                      <w:bCs/>
                      <w:color w:val="000000"/>
                      <w:sz w:val="24"/>
                    </w:rPr>
                  </w:pPr>
                </w:p>
              </w:tc>
              <w:tc>
                <w:tcPr>
                  <w:tcW w:w="1728" w:type="dxa"/>
                  <w:tcBorders>
                    <w:tl2br w:val="nil"/>
                    <w:tr2bl w:val="nil"/>
                  </w:tcBorders>
                  <w:noWrap w:val="0"/>
                  <w:vAlign w:val="center"/>
                </w:tcPr>
                <w:p>
                  <w:pPr>
                    <w:pStyle w:val="621"/>
                    <w:rPr>
                      <w:rFonts w:ascii="Times New Roman" w:hAnsi="宋体"/>
                      <w:color w:val="000000"/>
                      <w:position w:val="0"/>
                      <w:szCs w:val="21"/>
                    </w:rPr>
                  </w:pPr>
                  <w:r>
                    <w:rPr>
                      <w:rFonts w:hint="eastAsia" w:ascii="Times New Roman" w:hAnsi="宋体"/>
                      <w:color w:val="000000"/>
                      <w:position w:val="0"/>
                      <w:szCs w:val="21"/>
                    </w:rPr>
                    <w:t>生活垃圾</w:t>
                  </w:r>
                </w:p>
              </w:tc>
              <w:tc>
                <w:tcPr>
                  <w:tcW w:w="3202" w:type="dxa"/>
                  <w:tcBorders>
                    <w:tl2br w:val="nil"/>
                    <w:tr2bl w:val="nil"/>
                  </w:tcBorders>
                  <w:noWrap w:val="0"/>
                  <w:vAlign w:val="center"/>
                </w:tcPr>
                <w:p>
                  <w:pPr>
                    <w:adjustRightInd w:val="0"/>
                    <w:snapToGrid w:val="0"/>
                    <w:jc w:val="center"/>
                    <w:rPr>
                      <w:rFonts w:hAnsi="宋体"/>
                      <w:color w:val="000000"/>
                      <w:szCs w:val="21"/>
                    </w:rPr>
                  </w:pPr>
                  <w:r>
                    <w:rPr>
                      <w:rFonts w:hint="eastAsia" w:hAnsi="宋体"/>
                      <w:color w:val="000000"/>
                      <w:szCs w:val="21"/>
                    </w:rPr>
                    <w:t>收集后交由当地环卫部门统一清运至垃圾填埋场处置</w:t>
                  </w:r>
                </w:p>
              </w:tc>
              <w:tc>
                <w:tcPr>
                  <w:tcW w:w="3726" w:type="dxa"/>
                  <w:vMerge w:val="continue"/>
                  <w:tcBorders>
                    <w:tl2br w:val="nil"/>
                    <w:tr2bl w:val="nil"/>
                  </w:tcBorders>
                  <w:noWrap w:val="0"/>
                  <w:vAlign w:val="center"/>
                </w:tcPr>
                <w:p>
                  <w:pPr>
                    <w:pStyle w:val="167"/>
                    <w:tabs>
                      <w:tab w:val="left" w:pos="-2848"/>
                    </w:tabs>
                    <w:rPr>
                      <w:rFonts w:ascii="Times New Roman" w:hAnsi="宋体"/>
                      <w:bCs/>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8" w:hRule="atLeast"/>
                <w:jc w:val="center"/>
              </w:trPr>
              <w:tc>
                <w:tcPr>
                  <w:tcW w:w="496" w:type="dxa"/>
                  <w:vMerge w:val="continue"/>
                  <w:tcBorders>
                    <w:tl2br w:val="nil"/>
                    <w:tr2bl w:val="nil"/>
                  </w:tcBorders>
                  <w:noWrap w:val="0"/>
                  <w:vAlign w:val="center"/>
                </w:tcPr>
                <w:p>
                  <w:pPr>
                    <w:jc w:val="center"/>
                    <w:rPr>
                      <w:rFonts w:hAnsi="宋体"/>
                      <w:bCs/>
                      <w:color w:val="000000"/>
                      <w:sz w:val="24"/>
                    </w:rPr>
                  </w:pPr>
                </w:p>
              </w:tc>
              <w:tc>
                <w:tcPr>
                  <w:tcW w:w="1728" w:type="dxa"/>
                  <w:tcBorders>
                    <w:tl2br w:val="nil"/>
                    <w:tr2bl w:val="nil"/>
                  </w:tcBorders>
                  <w:noWrap w:val="0"/>
                  <w:vAlign w:val="center"/>
                </w:tcPr>
                <w:p>
                  <w:pPr>
                    <w:pStyle w:val="621"/>
                    <w:rPr>
                      <w:rFonts w:ascii="Times New Roman" w:hAnsi="宋体"/>
                      <w:color w:val="000000"/>
                      <w:position w:val="0"/>
                      <w:szCs w:val="21"/>
                    </w:rPr>
                  </w:pPr>
                  <w:r>
                    <w:rPr>
                      <w:rFonts w:hint="eastAsia" w:ascii="Times New Roman" w:hAnsi="宋体"/>
                      <w:color w:val="000000"/>
                      <w:position w:val="0"/>
                      <w:szCs w:val="21"/>
                    </w:rPr>
                    <w:t>污水预处理池污泥</w:t>
                  </w:r>
                </w:p>
              </w:tc>
              <w:tc>
                <w:tcPr>
                  <w:tcW w:w="3202" w:type="dxa"/>
                  <w:tcBorders>
                    <w:tl2br w:val="nil"/>
                    <w:tr2bl w:val="nil"/>
                  </w:tcBorders>
                  <w:noWrap w:val="0"/>
                  <w:vAlign w:val="center"/>
                </w:tcPr>
                <w:p>
                  <w:pPr>
                    <w:adjustRightInd w:val="0"/>
                    <w:snapToGrid w:val="0"/>
                    <w:jc w:val="center"/>
                    <w:rPr>
                      <w:rFonts w:hAnsi="宋体"/>
                      <w:color w:val="000000"/>
                      <w:szCs w:val="21"/>
                    </w:rPr>
                  </w:pPr>
                  <w:r>
                    <w:rPr>
                      <w:rFonts w:hint="eastAsia" w:hAnsi="宋体"/>
                      <w:color w:val="000000"/>
                      <w:szCs w:val="21"/>
                    </w:rPr>
                    <w:t>定期清掏用作农肥</w:t>
                  </w:r>
                </w:p>
              </w:tc>
              <w:tc>
                <w:tcPr>
                  <w:tcW w:w="3726" w:type="dxa"/>
                  <w:vMerge w:val="continue"/>
                  <w:tcBorders>
                    <w:tl2br w:val="nil"/>
                    <w:tr2bl w:val="nil"/>
                  </w:tcBorders>
                  <w:noWrap w:val="0"/>
                  <w:vAlign w:val="center"/>
                </w:tcPr>
                <w:p>
                  <w:pPr>
                    <w:pStyle w:val="167"/>
                    <w:tabs>
                      <w:tab w:val="left" w:pos="-2848"/>
                    </w:tabs>
                    <w:rPr>
                      <w:rFonts w:ascii="Times New Roman" w:hAnsi="宋体"/>
                      <w:bCs/>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0" w:hRule="atLeast"/>
                <w:jc w:val="center"/>
              </w:trPr>
              <w:tc>
                <w:tcPr>
                  <w:tcW w:w="496" w:type="dxa"/>
                  <w:vMerge w:val="continue"/>
                  <w:tcBorders>
                    <w:tl2br w:val="nil"/>
                    <w:tr2bl w:val="nil"/>
                  </w:tcBorders>
                  <w:noWrap w:val="0"/>
                  <w:vAlign w:val="center"/>
                </w:tcPr>
                <w:p>
                  <w:pPr>
                    <w:jc w:val="center"/>
                    <w:rPr>
                      <w:bCs/>
                      <w:color w:val="000000"/>
                      <w:sz w:val="24"/>
                    </w:rPr>
                  </w:pPr>
                </w:p>
              </w:tc>
              <w:tc>
                <w:tcPr>
                  <w:tcW w:w="1728" w:type="dxa"/>
                  <w:tcBorders>
                    <w:tl2br w:val="nil"/>
                    <w:tr2bl w:val="nil"/>
                  </w:tcBorders>
                  <w:noWrap w:val="0"/>
                  <w:vAlign w:val="center"/>
                </w:tcPr>
                <w:p>
                  <w:pPr>
                    <w:adjustRightInd w:val="0"/>
                    <w:snapToGrid w:val="0"/>
                    <w:jc w:val="center"/>
                    <w:rPr>
                      <w:rFonts w:hAnsi="宋体"/>
                      <w:color w:val="000000"/>
                      <w:szCs w:val="21"/>
                    </w:rPr>
                  </w:pPr>
                  <w:r>
                    <w:rPr>
                      <w:rFonts w:hint="eastAsia" w:hAnsi="宋体"/>
                      <w:color w:val="000000"/>
                      <w:szCs w:val="21"/>
                    </w:rPr>
                    <w:t>不合格产品</w:t>
                  </w:r>
                </w:p>
              </w:tc>
              <w:tc>
                <w:tcPr>
                  <w:tcW w:w="3202" w:type="dxa"/>
                  <w:tcBorders>
                    <w:tl2br w:val="nil"/>
                    <w:tr2bl w:val="nil"/>
                  </w:tcBorders>
                  <w:noWrap w:val="0"/>
                  <w:vAlign w:val="center"/>
                </w:tcPr>
                <w:p>
                  <w:pPr>
                    <w:adjustRightInd w:val="0"/>
                    <w:snapToGrid w:val="0"/>
                    <w:jc w:val="center"/>
                    <w:rPr>
                      <w:rFonts w:hAnsi="宋体"/>
                      <w:color w:val="000000"/>
                      <w:szCs w:val="21"/>
                    </w:rPr>
                  </w:pPr>
                  <w:r>
                    <w:rPr>
                      <w:rFonts w:hint="eastAsia" w:hAnsi="宋体"/>
                      <w:color w:val="000000"/>
                      <w:szCs w:val="21"/>
                    </w:rPr>
                    <w:t>出售给相关回收单位综合利用</w:t>
                  </w:r>
                </w:p>
              </w:tc>
              <w:tc>
                <w:tcPr>
                  <w:tcW w:w="3726" w:type="dxa"/>
                  <w:vMerge w:val="continue"/>
                  <w:tcBorders>
                    <w:tl2br w:val="nil"/>
                    <w:tr2bl w:val="nil"/>
                  </w:tcBorders>
                  <w:noWrap w:val="0"/>
                  <w:vAlign w:val="center"/>
                </w:tcPr>
                <w:p>
                  <w:pPr>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0" w:hRule="atLeast"/>
                <w:jc w:val="center"/>
              </w:trPr>
              <w:tc>
                <w:tcPr>
                  <w:tcW w:w="496" w:type="dxa"/>
                  <w:vMerge w:val="continue"/>
                  <w:tcBorders>
                    <w:tl2br w:val="nil"/>
                    <w:tr2bl w:val="nil"/>
                  </w:tcBorders>
                  <w:noWrap w:val="0"/>
                  <w:vAlign w:val="center"/>
                </w:tcPr>
                <w:p>
                  <w:pPr>
                    <w:jc w:val="center"/>
                    <w:rPr>
                      <w:rFonts w:hint="eastAsia"/>
                      <w:bCs/>
                      <w:color w:val="000000"/>
                      <w:sz w:val="24"/>
                    </w:rPr>
                  </w:pPr>
                </w:p>
              </w:tc>
              <w:tc>
                <w:tcPr>
                  <w:tcW w:w="1728" w:type="dxa"/>
                  <w:tcBorders>
                    <w:tl2br w:val="nil"/>
                    <w:tr2bl w:val="nil"/>
                  </w:tcBorders>
                  <w:noWrap w:val="0"/>
                  <w:vAlign w:val="center"/>
                </w:tcPr>
                <w:p>
                  <w:pPr>
                    <w:adjustRightInd w:val="0"/>
                    <w:snapToGrid w:val="0"/>
                    <w:jc w:val="center"/>
                    <w:rPr>
                      <w:rFonts w:hint="eastAsia" w:hAnsi="宋体"/>
                      <w:color w:val="000000"/>
                      <w:szCs w:val="21"/>
                    </w:rPr>
                  </w:pPr>
                  <w:r>
                    <w:rPr>
                      <w:rFonts w:hint="eastAsia" w:hAnsi="宋体"/>
                      <w:color w:val="000000"/>
                      <w:szCs w:val="21"/>
                    </w:rPr>
                    <w:t>油浸淬火废渣</w:t>
                  </w:r>
                </w:p>
              </w:tc>
              <w:tc>
                <w:tcPr>
                  <w:tcW w:w="3202" w:type="dxa"/>
                  <w:tcBorders>
                    <w:tl2br w:val="nil"/>
                    <w:tr2bl w:val="nil"/>
                  </w:tcBorders>
                  <w:noWrap w:val="0"/>
                  <w:vAlign w:val="center"/>
                </w:tcPr>
                <w:p>
                  <w:pPr>
                    <w:adjustRightInd w:val="0"/>
                    <w:snapToGrid w:val="0"/>
                    <w:jc w:val="center"/>
                    <w:rPr>
                      <w:rFonts w:hAnsi="宋体"/>
                      <w:color w:val="000000"/>
                      <w:szCs w:val="21"/>
                    </w:rPr>
                  </w:pPr>
                  <w:r>
                    <w:rPr>
                      <w:rFonts w:hint="eastAsia" w:hAnsi="宋体"/>
                      <w:color w:val="000000"/>
                      <w:szCs w:val="21"/>
                    </w:rPr>
                    <w:t>经收集后交当地环卫部门统一清运至垃圾填埋场处置</w:t>
                  </w:r>
                </w:p>
              </w:tc>
              <w:tc>
                <w:tcPr>
                  <w:tcW w:w="3726" w:type="dxa"/>
                  <w:vMerge w:val="continue"/>
                  <w:tcBorders>
                    <w:tl2br w:val="nil"/>
                    <w:tr2bl w:val="nil"/>
                  </w:tcBorders>
                  <w:noWrap w:val="0"/>
                  <w:vAlign w:val="center"/>
                </w:tcPr>
                <w:p>
                  <w:pPr>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0" w:hRule="atLeast"/>
                <w:jc w:val="center"/>
              </w:trPr>
              <w:tc>
                <w:tcPr>
                  <w:tcW w:w="496" w:type="dxa"/>
                  <w:vMerge w:val="continue"/>
                  <w:tcBorders>
                    <w:tl2br w:val="nil"/>
                    <w:tr2bl w:val="nil"/>
                  </w:tcBorders>
                  <w:noWrap w:val="0"/>
                  <w:vAlign w:val="center"/>
                </w:tcPr>
                <w:p>
                  <w:pPr>
                    <w:jc w:val="center"/>
                    <w:rPr>
                      <w:rFonts w:hint="eastAsia"/>
                      <w:bCs/>
                      <w:color w:val="000000"/>
                      <w:sz w:val="24"/>
                    </w:rPr>
                  </w:pPr>
                </w:p>
              </w:tc>
              <w:tc>
                <w:tcPr>
                  <w:tcW w:w="1728" w:type="dxa"/>
                  <w:tcBorders>
                    <w:tl2br w:val="nil"/>
                    <w:tr2bl w:val="nil"/>
                  </w:tcBorders>
                  <w:noWrap w:val="0"/>
                  <w:vAlign w:val="center"/>
                </w:tcPr>
                <w:p>
                  <w:pPr>
                    <w:adjustRightInd w:val="0"/>
                    <w:snapToGrid w:val="0"/>
                    <w:jc w:val="center"/>
                    <w:rPr>
                      <w:rFonts w:hint="eastAsia" w:hAnsi="宋体"/>
                      <w:color w:val="000000"/>
                      <w:szCs w:val="21"/>
                    </w:rPr>
                  </w:pPr>
                  <w:r>
                    <w:rPr>
                      <w:rFonts w:hint="eastAsia" w:hAnsi="宋体"/>
                      <w:color w:val="000000"/>
                      <w:szCs w:val="21"/>
                    </w:rPr>
                    <w:t>循环水池污泥</w:t>
                  </w:r>
                </w:p>
              </w:tc>
              <w:tc>
                <w:tcPr>
                  <w:tcW w:w="3202" w:type="dxa"/>
                  <w:vMerge w:val="restart"/>
                  <w:tcBorders>
                    <w:tl2br w:val="nil"/>
                    <w:tr2bl w:val="nil"/>
                  </w:tcBorders>
                  <w:noWrap w:val="0"/>
                  <w:vAlign w:val="center"/>
                </w:tcPr>
                <w:p>
                  <w:pPr>
                    <w:adjustRightInd w:val="0"/>
                    <w:snapToGrid w:val="0"/>
                    <w:jc w:val="center"/>
                    <w:rPr>
                      <w:rFonts w:hAnsi="宋体"/>
                      <w:color w:val="000000"/>
                      <w:szCs w:val="21"/>
                    </w:rPr>
                  </w:pPr>
                  <w:r>
                    <w:rPr>
                      <w:rFonts w:hint="eastAsia" w:hAnsi="宋体"/>
                      <w:color w:val="000000"/>
                      <w:szCs w:val="21"/>
                    </w:rPr>
                    <w:t>收集至危废暂存间后交由资质单位处理</w:t>
                  </w:r>
                </w:p>
              </w:tc>
              <w:tc>
                <w:tcPr>
                  <w:tcW w:w="3726" w:type="dxa"/>
                  <w:vMerge w:val="continue"/>
                  <w:tcBorders>
                    <w:tl2br w:val="nil"/>
                    <w:tr2bl w:val="nil"/>
                  </w:tcBorders>
                  <w:noWrap w:val="0"/>
                  <w:vAlign w:val="center"/>
                </w:tcPr>
                <w:p>
                  <w:pPr>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0" w:hRule="atLeast"/>
                <w:jc w:val="center"/>
              </w:trPr>
              <w:tc>
                <w:tcPr>
                  <w:tcW w:w="496" w:type="dxa"/>
                  <w:vMerge w:val="continue"/>
                  <w:tcBorders>
                    <w:tl2br w:val="nil"/>
                    <w:tr2bl w:val="nil"/>
                  </w:tcBorders>
                  <w:noWrap w:val="0"/>
                  <w:vAlign w:val="center"/>
                </w:tcPr>
                <w:p>
                  <w:pPr>
                    <w:jc w:val="center"/>
                    <w:rPr>
                      <w:rFonts w:hint="eastAsia"/>
                      <w:bCs/>
                      <w:color w:val="000000"/>
                      <w:sz w:val="24"/>
                    </w:rPr>
                  </w:pPr>
                </w:p>
              </w:tc>
              <w:tc>
                <w:tcPr>
                  <w:tcW w:w="1728" w:type="dxa"/>
                  <w:tcBorders>
                    <w:tl2br w:val="nil"/>
                    <w:tr2bl w:val="nil"/>
                  </w:tcBorders>
                  <w:noWrap w:val="0"/>
                  <w:vAlign w:val="center"/>
                </w:tcPr>
                <w:p>
                  <w:pPr>
                    <w:adjustRightInd w:val="0"/>
                    <w:snapToGrid w:val="0"/>
                    <w:jc w:val="center"/>
                    <w:rPr>
                      <w:rFonts w:hint="eastAsia" w:hAnsi="宋体"/>
                      <w:color w:val="000000"/>
                      <w:szCs w:val="21"/>
                    </w:rPr>
                  </w:pPr>
                  <w:r>
                    <w:rPr>
                      <w:rFonts w:hint="eastAsia" w:hAnsi="宋体"/>
                      <w:color w:val="000000"/>
                      <w:szCs w:val="21"/>
                    </w:rPr>
                    <w:t>废矿物油</w:t>
                  </w:r>
                </w:p>
              </w:tc>
              <w:tc>
                <w:tcPr>
                  <w:tcW w:w="3202" w:type="dxa"/>
                  <w:vMerge w:val="continue"/>
                  <w:tcBorders>
                    <w:tl2br w:val="nil"/>
                    <w:tr2bl w:val="nil"/>
                  </w:tcBorders>
                  <w:noWrap w:val="0"/>
                  <w:vAlign w:val="center"/>
                </w:tcPr>
                <w:p>
                  <w:pPr>
                    <w:adjustRightInd w:val="0"/>
                    <w:snapToGrid w:val="0"/>
                    <w:jc w:val="center"/>
                    <w:rPr>
                      <w:rFonts w:hAnsi="宋体"/>
                      <w:color w:val="000000"/>
                      <w:szCs w:val="21"/>
                    </w:rPr>
                  </w:pPr>
                </w:p>
              </w:tc>
              <w:tc>
                <w:tcPr>
                  <w:tcW w:w="3726" w:type="dxa"/>
                  <w:vMerge w:val="continue"/>
                  <w:tcBorders>
                    <w:tl2br w:val="nil"/>
                    <w:tr2bl w:val="nil"/>
                  </w:tcBorders>
                  <w:noWrap w:val="0"/>
                  <w:vAlign w:val="center"/>
                </w:tcPr>
                <w:p>
                  <w:pPr>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96" w:type="dxa"/>
                  <w:tcBorders>
                    <w:tl2br w:val="nil"/>
                    <w:tr2bl w:val="nil"/>
                  </w:tcBorders>
                  <w:noWrap w:val="0"/>
                  <w:vAlign w:val="center"/>
                </w:tcPr>
                <w:p>
                  <w:pPr>
                    <w:jc w:val="center"/>
                    <w:rPr>
                      <w:bCs/>
                      <w:color w:val="000000"/>
                      <w:sz w:val="24"/>
                    </w:rPr>
                  </w:pPr>
                  <w:r>
                    <w:rPr>
                      <w:rFonts w:hAnsi="宋体"/>
                      <w:bCs/>
                      <w:color w:val="000000"/>
                      <w:sz w:val="24"/>
                    </w:rPr>
                    <w:t>噪声</w:t>
                  </w:r>
                </w:p>
              </w:tc>
              <w:tc>
                <w:tcPr>
                  <w:tcW w:w="1728" w:type="dxa"/>
                  <w:tcBorders>
                    <w:tl2br w:val="nil"/>
                    <w:tr2bl w:val="nil"/>
                  </w:tcBorders>
                  <w:noWrap w:val="0"/>
                  <w:vAlign w:val="center"/>
                </w:tcPr>
                <w:p>
                  <w:pPr>
                    <w:jc w:val="center"/>
                    <w:rPr>
                      <w:rFonts w:hint="eastAsia"/>
                      <w:bCs/>
                      <w:color w:val="000000"/>
                      <w:szCs w:val="21"/>
                    </w:rPr>
                  </w:pPr>
                  <w:r>
                    <w:rPr>
                      <w:rFonts w:hAnsi="宋体"/>
                      <w:color w:val="000000"/>
                      <w:spacing w:val="-8"/>
                      <w:szCs w:val="21"/>
                    </w:rPr>
                    <w:t>设备</w:t>
                  </w:r>
                </w:p>
              </w:tc>
              <w:tc>
                <w:tcPr>
                  <w:tcW w:w="3202" w:type="dxa"/>
                  <w:tcBorders>
                    <w:tl2br w:val="nil"/>
                    <w:tr2bl w:val="nil"/>
                  </w:tcBorders>
                  <w:noWrap w:val="0"/>
                  <w:vAlign w:val="center"/>
                </w:tcPr>
                <w:p>
                  <w:pPr>
                    <w:jc w:val="center"/>
                    <w:rPr>
                      <w:bCs/>
                      <w:color w:val="000000"/>
                      <w:szCs w:val="21"/>
                    </w:rPr>
                  </w:pPr>
                  <w:r>
                    <w:rPr>
                      <w:rFonts w:hAnsi="宋体"/>
                      <w:bCs/>
                      <w:color w:val="000000"/>
                      <w:szCs w:val="21"/>
                    </w:rPr>
                    <w:t>选择低噪设备、设备减振、加装消音器、墙体隔声等</w:t>
                  </w:r>
                </w:p>
              </w:tc>
              <w:tc>
                <w:tcPr>
                  <w:tcW w:w="3726" w:type="dxa"/>
                  <w:tcBorders>
                    <w:tl2br w:val="nil"/>
                    <w:tr2bl w:val="nil"/>
                  </w:tcBorders>
                  <w:noWrap w:val="0"/>
                  <w:vAlign w:val="center"/>
                </w:tcPr>
                <w:p>
                  <w:pPr>
                    <w:jc w:val="center"/>
                    <w:rPr>
                      <w:bCs/>
                      <w:color w:val="000000"/>
                      <w:szCs w:val="21"/>
                    </w:rPr>
                  </w:pPr>
                  <w:r>
                    <w:rPr>
                      <w:rFonts w:hint="eastAsia" w:hAnsi="宋体"/>
                      <w:bCs/>
                      <w:color w:val="000000"/>
                      <w:szCs w:val="21"/>
                    </w:rPr>
                    <w:t>达到</w:t>
                  </w:r>
                  <w:r>
                    <w:rPr>
                      <w:rFonts w:hAnsi="宋体"/>
                      <w:bCs/>
                      <w:color w:val="000000"/>
                      <w:szCs w:val="21"/>
                    </w:rPr>
                    <w:t>《工业企业厂界环境噪声排放标准》（</w:t>
                  </w:r>
                  <w:r>
                    <w:rPr>
                      <w:bCs/>
                      <w:color w:val="000000"/>
                      <w:szCs w:val="21"/>
                    </w:rPr>
                    <w:t>GB12348-2008</w:t>
                  </w:r>
                  <w:r>
                    <w:rPr>
                      <w:rFonts w:hAnsi="宋体"/>
                      <w:bCs/>
                      <w:color w:val="000000"/>
                      <w:szCs w:val="21"/>
                    </w:rPr>
                    <w:t>）</w:t>
                  </w:r>
                  <w:r>
                    <w:rPr>
                      <w:bCs/>
                      <w:color w:val="000000"/>
                      <w:szCs w:val="21"/>
                    </w:rPr>
                    <w:t>2</w:t>
                  </w:r>
                  <w:r>
                    <w:rPr>
                      <w:rFonts w:hAnsi="宋体"/>
                      <w:bCs/>
                      <w:color w:val="000000"/>
                      <w:szCs w:val="21"/>
                    </w:rPr>
                    <w:t>类标准</w:t>
                  </w:r>
                </w:p>
              </w:tc>
            </w:tr>
          </w:tbl>
          <w:p>
            <w:pPr>
              <w:spacing w:line="360" w:lineRule="auto"/>
              <w:ind w:firstLine="480" w:firstLineChars="200"/>
              <w:rPr>
                <w:rFonts w:hAnsi="宋体"/>
                <w:color w:val="000000"/>
                <w:sz w:val="24"/>
              </w:rPr>
            </w:pPr>
          </w:p>
          <w:p>
            <w:pPr>
              <w:spacing w:line="360" w:lineRule="auto"/>
              <w:ind w:firstLine="480" w:firstLineChars="200"/>
              <w:rPr>
                <w:rFonts w:hAnsi="宋体"/>
                <w:color w:val="000000"/>
                <w:sz w:val="24"/>
              </w:rPr>
            </w:pPr>
            <w:r>
              <w:rPr>
                <w:rFonts w:hAnsi="宋体"/>
                <w:color w:val="000000"/>
                <w:sz w:val="24"/>
              </w:rPr>
              <w:t>建设单位应严格按照国家</w:t>
            </w:r>
            <w:r>
              <w:rPr>
                <w:color w:val="000000"/>
                <w:sz w:val="24"/>
              </w:rPr>
              <w:t>“</w:t>
            </w:r>
            <w:r>
              <w:rPr>
                <w:rFonts w:hAnsi="宋体"/>
                <w:color w:val="000000"/>
                <w:sz w:val="24"/>
              </w:rPr>
              <w:t>三同时</w:t>
            </w:r>
            <w:r>
              <w:rPr>
                <w:color w:val="000000"/>
                <w:sz w:val="24"/>
              </w:rPr>
              <w:t>”</w:t>
            </w:r>
            <w:r>
              <w:rPr>
                <w:rFonts w:hAnsi="宋体"/>
                <w:color w:val="000000"/>
                <w:sz w:val="24"/>
              </w:rPr>
              <w:t>政策及时做好有关工作，保证环保工程与主体工程同时设计、同时施工、同时投入使用，切实履行本评价所提出的各项污染防治对策与建议，保证做到各污染物达标排放。</w:t>
            </w:r>
          </w:p>
          <w:p>
            <w:pPr>
              <w:ind w:firstLine="562"/>
              <w:textAlignment w:val="center"/>
              <w:rPr>
                <w:b/>
                <w:color w:val="000000"/>
                <w:sz w:val="28"/>
                <w:szCs w:val="28"/>
              </w:rPr>
            </w:pPr>
            <w:r>
              <w:rPr>
                <w:rFonts w:hint="eastAsia"/>
                <w:b/>
                <w:color w:val="000000"/>
                <w:sz w:val="28"/>
                <w:szCs w:val="28"/>
              </w:rPr>
              <w:t>八</w:t>
            </w:r>
            <w:r>
              <w:rPr>
                <w:b/>
                <w:color w:val="000000"/>
                <w:sz w:val="28"/>
                <w:szCs w:val="28"/>
              </w:rPr>
              <w:t>、环保投资估算</w:t>
            </w:r>
          </w:p>
          <w:p>
            <w:pPr>
              <w:spacing w:line="360" w:lineRule="auto"/>
              <w:ind w:firstLine="480" w:firstLineChars="200"/>
              <w:textAlignment w:val="center"/>
              <w:rPr>
                <w:color w:val="000000"/>
                <w:sz w:val="24"/>
              </w:rPr>
            </w:pPr>
            <w:r>
              <w:rPr>
                <w:rFonts w:hint="eastAsia"/>
                <w:color w:val="000000"/>
                <w:sz w:val="24"/>
              </w:rPr>
              <w:t>本项目总投资</w:t>
            </w:r>
            <w:r>
              <w:rPr>
                <w:color w:val="000000"/>
                <w:sz w:val="24"/>
              </w:rPr>
              <w:t>100</w:t>
            </w:r>
            <w:r>
              <w:rPr>
                <w:rFonts w:hint="eastAsia"/>
                <w:color w:val="000000"/>
                <w:sz w:val="24"/>
              </w:rPr>
              <w:t>万，其中环保投资</w:t>
            </w:r>
            <w:r>
              <w:rPr>
                <w:rFonts w:hint="eastAsia"/>
                <w:color w:val="000000"/>
                <w:sz w:val="24"/>
                <w:lang w:val="en-US" w:eastAsia="zh-CN"/>
              </w:rPr>
              <w:t>13.5</w:t>
            </w:r>
            <w:r>
              <w:rPr>
                <w:rFonts w:hint="eastAsia"/>
                <w:color w:val="000000"/>
                <w:sz w:val="24"/>
              </w:rPr>
              <w:t>万</w:t>
            </w:r>
            <w:r>
              <w:rPr>
                <w:color w:val="000000"/>
                <w:sz w:val="24"/>
              </w:rPr>
              <w:t>，占总投资的</w:t>
            </w:r>
            <w:r>
              <w:rPr>
                <w:rFonts w:hint="eastAsia"/>
                <w:color w:val="000000"/>
                <w:sz w:val="24"/>
                <w:lang w:val="en-US" w:eastAsia="zh-CN"/>
              </w:rPr>
              <w:t>13.5</w:t>
            </w:r>
            <w:r>
              <w:rPr>
                <w:rFonts w:hint="eastAsia"/>
                <w:color w:val="000000"/>
                <w:sz w:val="24"/>
              </w:rPr>
              <w:t>%。</w:t>
            </w:r>
            <w:r>
              <w:rPr>
                <w:color w:val="000000"/>
                <w:sz w:val="24"/>
              </w:rPr>
              <w:t>具体环保投资见下表</w:t>
            </w:r>
            <w:r>
              <w:rPr>
                <w:rFonts w:hint="eastAsia"/>
                <w:color w:val="000000"/>
                <w:sz w:val="24"/>
              </w:rPr>
              <w:t>7-</w:t>
            </w:r>
            <w:r>
              <w:rPr>
                <w:color w:val="000000"/>
                <w:sz w:val="24"/>
              </w:rPr>
              <w:t>1</w:t>
            </w:r>
            <w:r>
              <w:rPr>
                <w:rFonts w:hint="eastAsia"/>
                <w:color w:val="000000"/>
                <w:sz w:val="24"/>
                <w:lang w:val="en-US" w:eastAsia="zh-CN"/>
              </w:rPr>
              <w:t>7</w:t>
            </w:r>
            <w:r>
              <w:rPr>
                <w:color w:val="000000"/>
                <w:sz w:val="24"/>
              </w:rPr>
              <w:t>。</w:t>
            </w:r>
          </w:p>
          <w:p>
            <w:pPr>
              <w:pStyle w:val="456"/>
              <w:rPr>
                <w:rFonts w:hint="eastAsia"/>
              </w:rPr>
            </w:pPr>
            <w:r>
              <w:rPr>
                <w:rFonts w:hint="eastAsia"/>
              </w:rPr>
              <w:t>表7-</w:t>
            </w:r>
            <w:r>
              <w:t>1</w:t>
            </w:r>
            <w:r>
              <w:rPr>
                <w:rFonts w:hint="eastAsia"/>
                <w:lang w:val="en-US" w:eastAsia="zh-CN"/>
              </w:rPr>
              <w:t>7</w:t>
            </w:r>
            <w:r>
              <w:rPr>
                <w:rFonts w:hint="eastAsia"/>
              </w:rPr>
              <w:t xml:space="preserve">  环保投资一览表</w:t>
            </w:r>
          </w:p>
          <w:tbl>
            <w:tblPr>
              <w:tblStyle w:val="69"/>
              <w:tblpPr w:leftFromText="180" w:rightFromText="180" w:vertAnchor="text" w:horzAnchor="margin" w:tblpY="22"/>
              <w:tblOverlap w:val="never"/>
              <w:tblW w:w="8708" w:type="dxa"/>
              <w:tblInd w:w="0" w:type="dxa"/>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69"/>
              <w:gridCol w:w="665"/>
              <w:gridCol w:w="2553"/>
              <w:gridCol w:w="2762"/>
              <w:gridCol w:w="1374"/>
              <w:gridCol w:w="885"/>
            </w:tblGrid>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49" w:hRule="atLeast"/>
              </w:trPr>
              <w:tc>
                <w:tcPr>
                  <w:tcW w:w="1134" w:type="dxa"/>
                  <w:gridSpan w:val="2"/>
                  <w:noWrap w:val="0"/>
                  <w:vAlign w:val="center"/>
                </w:tcPr>
                <w:p>
                  <w:pPr>
                    <w:pStyle w:val="86"/>
                    <w:spacing w:line="240" w:lineRule="auto"/>
                    <w:ind w:firstLine="0" w:firstLineChars="0"/>
                    <w:rPr>
                      <w:rFonts w:ascii="宋体" w:cs="宋体"/>
                      <w:lang w:val="en-US" w:eastAsia="zh-CN"/>
                    </w:rPr>
                  </w:pPr>
                  <w:r>
                    <w:rPr>
                      <w:rFonts w:ascii="宋体" w:cs="宋体"/>
                      <w:lang w:val="en-US" w:eastAsia="zh-CN"/>
                    </w:rPr>
                    <w:t>项目</w:t>
                  </w:r>
                </w:p>
              </w:tc>
              <w:tc>
                <w:tcPr>
                  <w:tcW w:w="5315" w:type="dxa"/>
                  <w:gridSpan w:val="2"/>
                  <w:noWrap w:val="0"/>
                  <w:vAlign w:val="center"/>
                </w:tcPr>
                <w:p>
                  <w:pPr>
                    <w:pStyle w:val="86"/>
                    <w:spacing w:line="240" w:lineRule="auto"/>
                    <w:ind w:firstLine="0" w:firstLineChars="0"/>
                    <w:rPr>
                      <w:rFonts w:ascii="宋体" w:cs="宋体"/>
                      <w:lang w:val="en-US" w:eastAsia="zh-CN"/>
                    </w:rPr>
                  </w:pPr>
                  <w:r>
                    <w:rPr>
                      <w:rFonts w:ascii="宋体" w:cs="宋体"/>
                      <w:lang w:val="en-US" w:eastAsia="zh-CN"/>
                    </w:rPr>
                    <w:t>内容</w:t>
                  </w:r>
                </w:p>
              </w:tc>
              <w:tc>
                <w:tcPr>
                  <w:tcW w:w="1374" w:type="dxa"/>
                  <w:noWrap w:val="0"/>
                  <w:vAlign w:val="center"/>
                </w:tcPr>
                <w:p>
                  <w:pPr>
                    <w:pStyle w:val="86"/>
                    <w:spacing w:line="240" w:lineRule="auto"/>
                    <w:ind w:firstLine="0" w:firstLineChars="0"/>
                    <w:rPr>
                      <w:rFonts w:ascii="宋体" w:cs="宋体"/>
                      <w:lang w:val="en-US" w:eastAsia="zh-CN"/>
                    </w:rPr>
                  </w:pPr>
                  <w:r>
                    <w:rPr>
                      <w:rFonts w:ascii="宋体" w:cs="宋体"/>
                      <w:lang w:val="en-US" w:eastAsia="zh-CN"/>
                    </w:rPr>
                    <w:t>投资（万元）</w:t>
                  </w:r>
                </w:p>
              </w:tc>
              <w:tc>
                <w:tcPr>
                  <w:tcW w:w="885" w:type="dxa"/>
                  <w:noWrap w:val="0"/>
                  <w:vAlign w:val="center"/>
                </w:tcPr>
                <w:p>
                  <w:pPr>
                    <w:pStyle w:val="86"/>
                    <w:spacing w:line="240" w:lineRule="auto"/>
                    <w:ind w:firstLine="0" w:firstLineChars="0"/>
                    <w:rPr>
                      <w:rFonts w:ascii="宋体" w:cs="宋体"/>
                      <w:lang w:val="en-US" w:eastAsia="zh-CN"/>
                    </w:rPr>
                  </w:pPr>
                  <w:r>
                    <w:rPr>
                      <w:rFonts w:ascii="宋体" w:cs="宋体"/>
                      <w:lang w:val="en-US" w:eastAsia="zh-CN"/>
                    </w:rPr>
                    <w:t>备注</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6" w:hRule="atLeast"/>
              </w:trPr>
              <w:tc>
                <w:tcPr>
                  <w:tcW w:w="469" w:type="dxa"/>
                  <w:vMerge w:val="restart"/>
                  <w:noWrap w:val="0"/>
                  <w:vAlign w:val="center"/>
                </w:tcPr>
                <w:p>
                  <w:pPr>
                    <w:pStyle w:val="86"/>
                    <w:spacing w:line="240" w:lineRule="auto"/>
                    <w:ind w:firstLine="0" w:firstLineChars="0"/>
                    <w:rPr>
                      <w:rFonts w:ascii="宋体" w:cs="宋体"/>
                      <w:lang w:val="en-US" w:eastAsia="zh-CN"/>
                    </w:rPr>
                  </w:pPr>
                  <w:r>
                    <w:rPr>
                      <w:rFonts w:ascii="宋体" w:cs="宋体"/>
                      <w:lang w:val="en-US" w:eastAsia="zh-CN"/>
                    </w:rPr>
                    <w:t>营运期</w:t>
                  </w:r>
                </w:p>
              </w:tc>
              <w:tc>
                <w:tcPr>
                  <w:tcW w:w="665" w:type="dxa"/>
                  <w:vMerge w:val="restart"/>
                  <w:noWrap w:val="0"/>
                  <w:vAlign w:val="center"/>
                </w:tcPr>
                <w:p>
                  <w:pPr>
                    <w:pStyle w:val="86"/>
                    <w:spacing w:line="240" w:lineRule="auto"/>
                    <w:ind w:firstLine="0" w:firstLineChars="0"/>
                    <w:rPr>
                      <w:rFonts w:ascii="宋体" w:cs="宋体"/>
                      <w:lang w:val="en-US" w:eastAsia="zh-CN"/>
                    </w:rPr>
                  </w:pPr>
                  <w:r>
                    <w:rPr>
                      <w:rFonts w:ascii="宋体" w:cs="宋体"/>
                      <w:lang w:val="en-US" w:eastAsia="zh-CN"/>
                    </w:rPr>
                    <w:t>废水治理</w:t>
                  </w:r>
                </w:p>
              </w:tc>
              <w:tc>
                <w:tcPr>
                  <w:tcW w:w="2553" w:type="dxa"/>
                  <w:noWrap w:val="0"/>
                  <w:vAlign w:val="center"/>
                </w:tcPr>
                <w:p>
                  <w:pPr>
                    <w:pStyle w:val="86"/>
                    <w:spacing w:line="240" w:lineRule="auto"/>
                    <w:ind w:firstLine="0" w:firstLineChars="0"/>
                    <w:rPr>
                      <w:rFonts w:hint="eastAsia" w:cs="宋体"/>
                      <w:lang w:val="en-US" w:eastAsia="zh-CN"/>
                    </w:rPr>
                  </w:pPr>
                  <w:r>
                    <w:rPr>
                      <w:rFonts w:hint="eastAsia" w:cs="宋体"/>
                      <w:lang w:val="en-US" w:eastAsia="zh-CN"/>
                    </w:rPr>
                    <w:t>生活污水</w:t>
                  </w:r>
                </w:p>
              </w:tc>
              <w:tc>
                <w:tcPr>
                  <w:tcW w:w="2762" w:type="dxa"/>
                  <w:vMerge w:val="restart"/>
                  <w:noWrap w:val="0"/>
                  <w:vAlign w:val="center"/>
                </w:tcPr>
                <w:p>
                  <w:pPr>
                    <w:pStyle w:val="86"/>
                    <w:spacing w:line="240" w:lineRule="auto"/>
                    <w:ind w:firstLine="0" w:firstLineChars="0"/>
                    <w:rPr>
                      <w:lang w:val="en-US" w:eastAsia="zh-CN"/>
                    </w:rPr>
                  </w:pPr>
                  <w:r>
                    <w:rPr>
                      <w:lang w:val="en-US" w:eastAsia="zh-CN"/>
                    </w:rPr>
                    <w:t>修建一座隔油池（2m</w:t>
                  </w:r>
                  <w:r>
                    <w:rPr>
                      <w:vertAlign w:val="superscript"/>
                      <w:lang w:val="en-US" w:eastAsia="zh-CN"/>
                    </w:rPr>
                    <w:t>3</w:t>
                  </w:r>
                  <w:r>
                    <w:rPr>
                      <w:lang w:val="en-US" w:eastAsia="zh-CN"/>
                    </w:rPr>
                    <w:t>）+</w:t>
                  </w:r>
                  <w:r>
                    <w:rPr>
                      <w:rFonts w:hint="eastAsia"/>
                      <w:lang w:val="en-US" w:eastAsia="zh-CN"/>
                    </w:rPr>
                    <w:t>三级化粪池</w:t>
                  </w:r>
                  <w:r>
                    <w:rPr>
                      <w:lang w:val="en-US" w:eastAsia="zh-CN"/>
                    </w:rPr>
                    <w:t>（5m</w:t>
                  </w:r>
                  <w:r>
                    <w:rPr>
                      <w:vertAlign w:val="superscript"/>
                      <w:lang w:val="en-US" w:eastAsia="zh-CN"/>
                    </w:rPr>
                    <w:t>3</w:t>
                  </w:r>
                  <w:r>
                    <w:rPr>
                      <w:rFonts w:hint="eastAsia"/>
                      <w:lang w:val="en-US" w:eastAsia="zh-CN"/>
                    </w:rPr>
                    <w:t>/d）</w:t>
                  </w:r>
                </w:p>
              </w:tc>
              <w:tc>
                <w:tcPr>
                  <w:tcW w:w="1374" w:type="dxa"/>
                  <w:vMerge w:val="restart"/>
                  <w:noWrap w:val="0"/>
                  <w:vAlign w:val="center"/>
                </w:tcPr>
                <w:p>
                  <w:pPr>
                    <w:pStyle w:val="86"/>
                    <w:spacing w:line="240" w:lineRule="auto"/>
                    <w:ind w:firstLine="0" w:firstLineChars="0"/>
                    <w:rPr>
                      <w:rFonts w:hint="default" w:cs="宋体"/>
                      <w:lang w:val="en-US" w:eastAsia="zh-CN"/>
                    </w:rPr>
                  </w:pPr>
                  <w:r>
                    <w:rPr>
                      <w:rFonts w:hint="eastAsia" w:cs="宋体"/>
                      <w:lang w:val="en-US" w:eastAsia="zh-CN"/>
                    </w:rPr>
                    <w:t>1.5</w:t>
                  </w:r>
                </w:p>
              </w:tc>
              <w:tc>
                <w:tcPr>
                  <w:tcW w:w="885" w:type="dxa"/>
                  <w:vMerge w:val="restart"/>
                  <w:noWrap w:val="0"/>
                  <w:vAlign w:val="center"/>
                </w:tcPr>
                <w:p>
                  <w:pPr>
                    <w:pStyle w:val="86"/>
                    <w:spacing w:line="240" w:lineRule="auto"/>
                    <w:ind w:firstLine="0" w:firstLineChars="0"/>
                    <w:rPr>
                      <w:rFonts w:cs="宋体"/>
                      <w:lang w:val="en-US" w:eastAsia="zh-CN"/>
                    </w:rPr>
                  </w:pPr>
                  <w:r>
                    <w:rPr>
                      <w:rFonts w:cs="宋体"/>
                      <w:lang w:val="en-US" w:eastAsia="zh-CN"/>
                    </w:rPr>
                    <w:t>/</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6" w:hRule="atLeast"/>
              </w:trPr>
              <w:tc>
                <w:tcPr>
                  <w:tcW w:w="469" w:type="dxa"/>
                  <w:vMerge w:val="continue"/>
                  <w:noWrap w:val="0"/>
                  <w:vAlign w:val="center"/>
                </w:tcPr>
                <w:p>
                  <w:pPr>
                    <w:pStyle w:val="86"/>
                    <w:spacing w:line="240" w:lineRule="auto"/>
                    <w:ind w:firstLine="0" w:firstLineChars="0"/>
                    <w:rPr>
                      <w:rFonts w:ascii="宋体" w:cs="宋体"/>
                      <w:lang w:val="en-US" w:eastAsia="zh-CN"/>
                    </w:rPr>
                  </w:pPr>
                </w:p>
              </w:tc>
              <w:tc>
                <w:tcPr>
                  <w:tcW w:w="665" w:type="dxa"/>
                  <w:vMerge w:val="continue"/>
                  <w:noWrap w:val="0"/>
                  <w:vAlign w:val="center"/>
                </w:tcPr>
                <w:p>
                  <w:pPr>
                    <w:pStyle w:val="86"/>
                    <w:spacing w:line="240" w:lineRule="auto"/>
                    <w:ind w:firstLine="0" w:firstLineChars="0"/>
                    <w:rPr>
                      <w:rFonts w:ascii="宋体" w:cs="宋体"/>
                      <w:lang w:val="en-US" w:eastAsia="zh-CN"/>
                    </w:rPr>
                  </w:pPr>
                </w:p>
              </w:tc>
              <w:tc>
                <w:tcPr>
                  <w:tcW w:w="2553" w:type="dxa"/>
                  <w:noWrap w:val="0"/>
                  <w:vAlign w:val="center"/>
                </w:tcPr>
                <w:p>
                  <w:pPr>
                    <w:pStyle w:val="86"/>
                    <w:spacing w:line="240" w:lineRule="auto"/>
                    <w:ind w:firstLine="0" w:firstLineChars="0"/>
                    <w:rPr>
                      <w:rFonts w:hint="eastAsia" w:ascii="宋体" w:cs="宋体"/>
                      <w:lang w:val="en-US" w:eastAsia="zh-CN"/>
                    </w:rPr>
                  </w:pPr>
                  <w:r>
                    <w:rPr>
                      <w:rFonts w:hint="eastAsia" w:ascii="宋体" w:cs="宋体"/>
                      <w:lang w:val="en-US" w:eastAsia="zh-CN"/>
                    </w:rPr>
                    <w:t>食堂废水</w:t>
                  </w:r>
                </w:p>
              </w:tc>
              <w:tc>
                <w:tcPr>
                  <w:tcW w:w="2762" w:type="dxa"/>
                  <w:vMerge w:val="continue"/>
                  <w:noWrap w:val="0"/>
                  <w:vAlign w:val="center"/>
                </w:tcPr>
                <w:p>
                  <w:pPr>
                    <w:pStyle w:val="86"/>
                    <w:spacing w:line="240" w:lineRule="auto"/>
                    <w:ind w:firstLine="0" w:firstLineChars="0"/>
                    <w:rPr>
                      <w:rFonts w:ascii="宋体" w:cs="宋体"/>
                      <w:lang w:val="en-US" w:eastAsia="zh-CN"/>
                    </w:rPr>
                  </w:pPr>
                </w:p>
              </w:tc>
              <w:tc>
                <w:tcPr>
                  <w:tcW w:w="1374" w:type="dxa"/>
                  <w:vMerge w:val="continue"/>
                  <w:noWrap w:val="0"/>
                  <w:vAlign w:val="center"/>
                </w:tcPr>
                <w:p>
                  <w:pPr>
                    <w:pStyle w:val="86"/>
                    <w:spacing w:line="240" w:lineRule="auto"/>
                    <w:ind w:firstLine="0" w:firstLineChars="0"/>
                    <w:rPr>
                      <w:rFonts w:hint="eastAsia" w:cs="宋体"/>
                      <w:lang w:val="en-US" w:eastAsia="zh-CN"/>
                    </w:rPr>
                  </w:pPr>
                </w:p>
              </w:tc>
              <w:tc>
                <w:tcPr>
                  <w:tcW w:w="885" w:type="dxa"/>
                  <w:vMerge w:val="continue"/>
                  <w:noWrap w:val="0"/>
                  <w:vAlign w:val="center"/>
                </w:tcPr>
                <w:p>
                  <w:pPr>
                    <w:pStyle w:val="86"/>
                    <w:spacing w:line="240" w:lineRule="auto"/>
                    <w:ind w:firstLine="0" w:firstLineChars="0"/>
                    <w:rPr>
                      <w:rFonts w:ascii="宋体" w:cs="宋体"/>
                      <w:lang w:val="en-US" w:eastAsia="zh-CN"/>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6" w:hRule="atLeast"/>
              </w:trPr>
              <w:tc>
                <w:tcPr>
                  <w:tcW w:w="469" w:type="dxa"/>
                  <w:vMerge w:val="continue"/>
                  <w:noWrap w:val="0"/>
                  <w:vAlign w:val="center"/>
                </w:tcPr>
                <w:p>
                  <w:pPr>
                    <w:pStyle w:val="86"/>
                    <w:spacing w:line="240" w:lineRule="auto"/>
                    <w:ind w:firstLine="0" w:firstLineChars="0"/>
                    <w:rPr>
                      <w:rFonts w:ascii="宋体" w:cs="宋体"/>
                      <w:lang w:val="en-US" w:eastAsia="zh-CN"/>
                    </w:rPr>
                  </w:pPr>
                </w:p>
              </w:tc>
              <w:tc>
                <w:tcPr>
                  <w:tcW w:w="665" w:type="dxa"/>
                  <w:vMerge w:val="continue"/>
                  <w:noWrap w:val="0"/>
                  <w:vAlign w:val="center"/>
                </w:tcPr>
                <w:p>
                  <w:pPr>
                    <w:pStyle w:val="86"/>
                    <w:spacing w:line="240" w:lineRule="auto"/>
                    <w:ind w:firstLine="0" w:firstLineChars="0"/>
                    <w:rPr>
                      <w:rFonts w:ascii="宋体" w:cs="宋体"/>
                      <w:lang w:val="en-US" w:eastAsia="zh-CN"/>
                    </w:rPr>
                  </w:pPr>
                </w:p>
              </w:tc>
              <w:tc>
                <w:tcPr>
                  <w:tcW w:w="2553" w:type="dxa"/>
                  <w:noWrap w:val="0"/>
                  <w:vAlign w:val="center"/>
                </w:tcPr>
                <w:p>
                  <w:pPr>
                    <w:pStyle w:val="86"/>
                    <w:spacing w:line="240" w:lineRule="auto"/>
                    <w:ind w:firstLine="0" w:firstLineChars="0"/>
                    <w:rPr>
                      <w:rFonts w:hint="eastAsia" w:ascii="宋体" w:cs="宋体"/>
                      <w:lang w:val="en-US" w:eastAsia="zh-CN"/>
                    </w:rPr>
                  </w:pPr>
                  <w:r>
                    <w:rPr>
                      <w:rFonts w:hint="eastAsia" w:ascii="宋体" w:cs="宋体"/>
                      <w:lang w:val="en-US" w:eastAsia="zh-CN"/>
                    </w:rPr>
                    <w:t>打磨废水</w:t>
                  </w:r>
                </w:p>
              </w:tc>
              <w:tc>
                <w:tcPr>
                  <w:tcW w:w="2762" w:type="dxa"/>
                  <w:noWrap w:val="0"/>
                  <w:vAlign w:val="center"/>
                </w:tcPr>
                <w:p>
                  <w:pPr>
                    <w:pStyle w:val="86"/>
                    <w:spacing w:line="240" w:lineRule="auto"/>
                    <w:ind w:firstLine="0" w:firstLineChars="0"/>
                    <w:rPr>
                      <w:rFonts w:ascii="宋体" w:cs="宋体"/>
                      <w:lang w:val="en-US" w:eastAsia="zh-CN"/>
                    </w:rPr>
                  </w:pPr>
                  <w:r>
                    <w:rPr>
                      <w:rFonts w:ascii="宋体" w:cs="宋体"/>
                      <w:lang w:val="en-US" w:eastAsia="zh-CN"/>
                    </w:rPr>
                    <w:t>修建2</w:t>
                  </w:r>
                  <w:r>
                    <w:rPr>
                      <w:rFonts w:hint="eastAsia" w:ascii="宋体" w:cs="宋体"/>
                      <w:lang w:val="en-US" w:eastAsia="zh-CN"/>
                    </w:rPr>
                    <w:t>个1</w:t>
                  </w:r>
                  <w:r>
                    <w:rPr>
                      <w:rFonts w:ascii="宋体" w:cs="宋体"/>
                      <w:lang w:val="en-US" w:eastAsia="zh-CN"/>
                    </w:rPr>
                    <w:t>0</w:t>
                  </w:r>
                  <w:r>
                    <w:rPr>
                      <w:rFonts w:hint="eastAsia" w:ascii="宋体" w:cs="宋体"/>
                      <w:lang w:val="en-US" w:eastAsia="zh-CN"/>
                    </w:rPr>
                    <w:t>m³沉淀池</w:t>
                  </w:r>
                </w:p>
              </w:tc>
              <w:tc>
                <w:tcPr>
                  <w:tcW w:w="1374" w:type="dxa"/>
                  <w:noWrap w:val="0"/>
                  <w:vAlign w:val="center"/>
                </w:tcPr>
                <w:p>
                  <w:pPr>
                    <w:pStyle w:val="86"/>
                    <w:spacing w:line="240" w:lineRule="auto"/>
                    <w:ind w:firstLine="0" w:firstLineChars="0"/>
                    <w:rPr>
                      <w:rFonts w:hint="default" w:cs="宋体"/>
                      <w:lang w:val="en-US" w:eastAsia="zh-CN"/>
                    </w:rPr>
                  </w:pPr>
                  <w:r>
                    <w:rPr>
                      <w:rFonts w:hint="eastAsia" w:cs="宋体"/>
                      <w:lang w:val="en-US" w:eastAsia="zh-CN"/>
                    </w:rPr>
                    <w:t>2.0</w:t>
                  </w:r>
                </w:p>
              </w:tc>
              <w:tc>
                <w:tcPr>
                  <w:tcW w:w="885" w:type="dxa"/>
                  <w:noWrap w:val="0"/>
                  <w:vAlign w:val="center"/>
                </w:tcPr>
                <w:p>
                  <w:pPr>
                    <w:pStyle w:val="86"/>
                    <w:spacing w:line="240" w:lineRule="auto"/>
                    <w:ind w:firstLine="0" w:firstLineChars="0"/>
                    <w:rPr>
                      <w:rFonts w:ascii="宋体" w:cs="宋体"/>
                      <w:lang w:val="en-US" w:eastAsia="zh-CN"/>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02" w:hRule="atLeast"/>
              </w:trPr>
              <w:tc>
                <w:tcPr>
                  <w:tcW w:w="469" w:type="dxa"/>
                  <w:vMerge w:val="continue"/>
                  <w:noWrap w:val="0"/>
                  <w:vAlign w:val="center"/>
                </w:tcPr>
                <w:p>
                  <w:pPr>
                    <w:pStyle w:val="86"/>
                    <w:spacing w:line="240" w:lineRule="auto"/>
                    <w:ind w:firstLine="0" w:firstLineChars="0"/>
                    <w:rPr>
                      <w:rFonts w:cs="宋体"/>
                      <w:lang w:val="en-US" w:eastAsia="zh-CN"/>
                    </w:rPr>
                  </w:pPr>
                </w:p>
              </w:tc>
              <w:tc>
                <w:tcPr>
                  <w:tcW w:w="665" w:type="dxa"/>
                  <w:vMerge w:val="restart"/>
                  <w:noWrap w:val="0"/>
                  <w:vAlign w:val="center"/>
                </w:tcPr>
                <w:p>
                  <w:pPr>
                    <w:pStyle w:val="86"/>
                    <w:spacing w:line="240" w:lineRule="auto"/>
                    <w:ind w:firstLine="0" w:firstLineChars="0"/>
                    <w:rPr>
                      <w:rFonts w:ascii="宋体" w:cs="宋体"/>
                      <w:lang w:val="en-US" w:eastAsia="zh-CN"/>
                    </w:rPr>
                  </w:pPr>
                  <w:r>
                    <w:rPr>
                      <w:rFonts w:ascii="宋体" w:cs="宋体"/>
                      <w:lang w:val="en-US" w:eastAsia="zh-CN"/>
                    </w:rPr>
                    <w:t>固废处理</w:t>
                  </w:r>
                </w:p>
              </w:tc>
              <w:tc>
                <w:tcPr>
                  <w:tcW w:w="2553" w:type="dxa"/>
                  <w:noWrap w:val="0"/>
                  <w:vAlign w:val="center"/>
                </w:tcPr>
                <w:p>
                  <w:pPr>
                    <w:pStyle w:val="86"/>
                    <w:spacing w:line="240" w:lineRule="auto"/>
                    <w:ind w:firstLine="0" w:firstLineChars="0"/>
                    <w:rPr>
                      <w:rFonts w:hint="eastAsia" w:ascii="宋体" w:cs="宋体"/>
                      <w:lang w:val="en-US" w:eastAsia="zh-CN"/>
                    </w:rPr>
                  </w:pPr>
                  <w:r>
                    <w:rPr>
                      <w:rFonts w:hint="eastAsia" w:ascii="宋体" w:cs="宋体"/>
                      <w:lang w:val="en-US" w:eastAsia="zh-CN"/>
                    </w:rPr>
                    <w:t>生活垃圾、餐厨垃圾</w:t>
                  </w:r>
                </w:p>
              </w:tc>
              <w:tc>
                <w:tcPr>
                  <w:tcW w:w="2762" w:type="dxa"/>
                  <w:noWrap w:val="0"/>
                  <w:vAlign w:val="center"/>
                </w:tcPr>
                <w:p>
                  <w:pPr>
                    <w:pStyle w:val="86"/>
                    <w:spacing w:line="240" w:lineRule="auto"/>
                    <w:ind w:firstLine="0" w:firstLineChars="0"/>
                    <w:rPr>
                      <w:rFonts w:hint="eastAsia" w:ascii="宋体" w:cs="宋体"/>
                      <w:lang w:val="en-US" w:eastAsia="zh-CN"/>
                    </w:rPr>
                  </w:pPr>
                  <w:r>
                    <w:rPr>
                      <w:rFonts w:hint="eastAsia" w:ascii="宋体" w:cs="宋体"/>
                      <w:lang w:val="en-US" w:eastAsia="zh-CN"/>
                    </w:rPr>
                    <w:t>集中收集，送至指定地点，由环卫部门统一清运</w:t>
                  </w:r>
                </w:p>
              </w:tc>
              <w:tc>
                <w:tcPr>
                  <w:tcW w:w="1374" w:type="dxa"/>
                  <w:noWrap w:val="0"/>
                  <w:vAlign w:val="center"/>
                </w:tcPr>
                <w:p>
                  <w:pPr>
                    <w:pStyle w:val="86"/>
                    <w:spacing w:line="240" w:lineRule="auto"/>
                    <w:ind w:firstLine="0" w:firstLineChars="0"/>
                    <w:rPr>
                      <w:rFonts w:hint="default" w:cs="宋体"/>
                      <w:lang w:val="en-US" w:eastAsia="zh-CN"/>
                    </w:rPr>
                  </w:pPr>
                  <w:r>
                    <w:rPr>
                      <w:rFonts w:hint="eastAsia" w:cs="宋体"/>
                      <w:lang w:val="en-US" w:eastAsia="zh-CN"/>
                    </w:rPr>
                    <w:t>0.5</w:t>
                  </w:r>
                </w:p>
              </w:tc>
              <w:tc>
                <w:tcPr>
                  <w:tcW w:w="885" w:type="dxa"/>
                  <w:noWrap w:val="0"/>
                  <w:vAlign w:val="center"/>
                </w:tcPr>
                <w:p>
                  <w:pPr>
                    <w:pStyle w:val="86"/>
                    <w:spacing w:line="240" w:lineRule="auto"/>
                    <w:ind w:firstLine="0" w:firstLineChars="0"/>
                    <w:rPr>
                      <w:rFonts w:hint="eastAsia" w:cs="宋体"/>
                      <w:lang w:val="en-US" w:eastAsia="zh-CN"/>
                    </w:rPr>
                  </w:pPr>
                  <w:r>
                    <w:rPr>
                      <w:rFonts w:hint="eastAsia" w:cs="宋体"/>
                      <w:lang w:val="en-US" w:eastAsia="zh-CN"/>
                    </w:rPr>
                    <w:t>/</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980" w:hRule="atLeast"/>
              </w:trPr>
              <w:tc>
                <w:tcPr>
                  <w:tcW w:w="469" w:type="dxa"/>
                  <w:vMerge w:val="continue"/>
                  <w:noWrap w:val="0"/>
                  <w:vAlign w:val="center"/>
                </w:tcPr>
                <w:p>
                  <w:pPr>
                    <w:pStyle w:val="86"/>
                    <w:spacing w:line="240" w:lineRule="auto"/>
                    <w:ind w:firstLine="0" w:firstLineChars="0"/>
                    <w:rPr>
                      <w:rFonts w:ascii="宋体" w:cs="宋体"/>
                      <w:lang w:val="en-US" w:eastAsia="zh-CN"/>
                    </w:rPr>
                  </w:pPr>
                </w:p>
              </w:tc>
              <w:tc>
                <w:tcPr>
                  <w:tcW w:w="665" w:type="dxa"/>
                  <w:vMerge w:val="continue"/>
                  <w:noWrap w:val="0"/>
                  <w:vAlign w:val="center"/>
                </w:tcPr>
                <w:p>
                  <w:pPr>
                    <w:pStyle w:val="86"/>
                    <w:spacing w:line="240" w:lineRule="auto"/>
                    <w:ind w:firstLine="0" w:firstLineChars="0"/>
                    <w:rPr>
                      <w:rFonts w:ascii="宋体" w:cs="宋体"/>
                      <w:lang w:val="en-US" w:eastAsia="zh-CN"/>
                    </w:rPr>
                  </w:pPr>
                </w:p>
              </w:tc>
              <w:tc>
                <w:tcPr>
                  <w:tcW w:w="2553" w:type="dxa"/>
                  <w:noWrap w:val="0"/>
                  <w:vAlign w:val="center"/>
                </w:tcPr>
                <w:p>
                  <w:pPr>
                    <w:pStyle w:val="86"/>
                    <w:spacing w:line="240" w:lineRule="auto"/>
                    <w:ind w:firstLine="0" w:firstLineChars="0"/>
                    <w:rPr>
                      <w:rFonts w:hint="eastAsia" w:ascii="宋体" w:cs="宋体"/>
                      <w:lang w:val="en-US" w:eastAsia="zh-CN"/>
                    </w:rPr>
                  </w:pPr>
                  <w:r>
                    <w:rPr>
                      <w:rFonts w:hint="eastAsia" w:ascii="宋体" w:cs="宋体"/>
                      <w:lang w:val="en-US" w:eastAsia="zh-CN"/>
                    </w:rPr>
                    <w:t>废矿物油、循环水池油泥</w:t>
                  </w:r>
                </w:p>
              </w:tc>
              <w:tc>
                <w:tcPr>
                  <w:tcW w:w="2762" w:type="dxa"/>
                  <w:noWrap w:val="0"/>
                  <w:vAlign w:val="center"/>
                </w:tcPr>
                <w:p>
                  <w:pPr>
                    <w:rPr>
                      <w:rFonts w:hint="eastAsia" w:ascii="宋体"/>
                    </w:rPr>
                  </w:pPr>
                  <w:r>
                    <w:rPr>
                      <w:rFonts w:hint="eastAsia"/>
                    </w:rPr>
                    <w:t>修建1个5㎡危险废物暂存间，收集后定期由有资质单位收集处置</w:t>
                  </w:r>
                </w:p>
              </w:tc>
              <w:tc>
                <w:tcPr>
                  <w:tcW w:w="1374" w:type="dxa"/>
                  <w:noWrap w:val="0"/>
                  <w:vAlign w:val="center"/>
                </w:tcPr>
                <w:p>
                  <w:pPr>
                    <w:pStyle w:val="86"/>
                    <w:spacing w:line="240" w:lineRule="auto"/>
                    <w:ind w:firstLine="0" w:firstLineChars="0"/>
                    <w:rPr>
                      <w:rFonts w:hint="default" w:cs="宋体"/>
                      <w:lang w:val="en-US" w:eastAsia="zh-CN"/>
                    </w:rPr>
                  </w:pPr>
                  <w:r>
                    <w:rPr>
                      <w:rFonts w:hint="eastAsia" w:cs="宋体"/>
                      <w:lang w:val="en-US" w:eastAsia="zh-CN"/>
                    </w:rPr>
                    <w:t>2.0</w:t>
                  </w:r>
                </w:p>
              </w:tc>
              <w:tc>
                <w:tcPr>
                  <w:tcW w:w="885" w:type="dxa"/>
                  <w:noWrap w:val="0"/>
                  <w:vAlign w:val="center"/>
                </w:tcPr>
                <w:p>
                  <w:pPr>
                    <w:pStyle w:val="86"/>
                    <w:spacing w:line="240" w:lineRule="auto"/>
                    <w:ind w:firstLine="0" w:firstLineChars="0"/>
                    <w:rPr>
                      <w:rFonts w:ascii="宋体" w:cs="宋体"/>
                      <w:lang w:val="en-US" w:eastAsia="zh-CN"/>
                    </w:rPr>
                  </w:pPr>
                  <w:r>
                    <w:rPr>
                      <w:rFonts w:hint="eastAsia" w:ascii="宋体" w:cs="宋体"/>
                      <w:lang w:val="en-US" w:eastAsia="zh-CN"/>
                    </w:rPr>
                    <w:t>/</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82" w:hRule="atLeast"/>
              </w:trPr>
              <w:tc>
                <w:tcPr>
                  <w:tcW w:w="469" w:type="dxa"/>
                  <w:vMerge w:val="continue"/>
                  <w:noWrap w:val="0"/>
                  <w:vAlign w:val="center"/>
                </w:tcPr>
                <w:p>
                  <w:pPr>
                    <w:pStyle w:val="86"/>
                    <w:spacing w:line="240" w:lineRule="auto"/>
                    <w:ind w:firstLine="0" w:firstLineChars="0"/>
                    <w:rPr>
                      <w:rFonts w:cs="宋体"/>
                      <w:lang w:val="en-US" w:eastAsia="zh-CN"/>
                    </w:rPr>
                  </w:pPr>
                </w:p>
              </w:tc>
              <w:tc>
                <w:tcPr>
                  <w:tcW w:w="665" w:type="dxa"/>
                  <w:vMerge w:val="restart"/>
                  <w:noWrap w:val="0"/>
                  <w:vAlign w:val="center"/>
                </w:tcPr>
                <w:p>
                  <w:pPr>
                    <w:pStyle w:val="86"/>
                    <w:spacing w:line="240" w:lineRule="auto"/>
                    <w:ind w:firstLine="0" w:firstLineChars="0"/>
                    <w:rPr>
                      <w:rFonts w:cs="宋体"/>
                      <w:lang w:val="en-US" w:eastAsia="zh-CN"/>
                    </w:rPr>
                  </w:pPr>
                  <w:r>
                    <w:rPr>
                      <w:rFonts w:ascii="宋体" w:cs="宋体"/>
                      <w:lang w:val="en-US" w:eastAsia="zh-CN"/>
                    </w:rPr>
                    <w:t>废气治理</w:t>
                  </w:r>
                </w:p>
              </w:tc>
              <w:tc>
                <w:tcPr>
                  <w:tcW w:w="2553" w:type="dxa"/>
                  <w:noWrap w:val="0"/>
                  <w:vAlign w:val="center"/>
                </w:tcPr>
                <w:p>
                  <w:pPr>
                    <w:pStyle w:val="86"/>
                    <w:spacing w:line="240" w:lineRule="auto"/>
                    <w:ind w:firstLine="0" w:firstLineChars="0"/>
                    <w:rPr>
                      <w:rFonts w:hint="eastAsia" w:ascii="宋体" w:cs="宋体"/>
                      <w:lang w:val="en-US" w:eastAsia="zh-CN"/>
                    </w:rPr>
                  </w:pPr>
                  <w:r>
                    <w:rPr>
                      <w:rFonts w:hint="eastAsia" w:ascii="宋体" w:cs="宋体"/>
                      <w:lang w:val="en-US" w:eastAsia="zh-CN"/>
                    </w:rPr>
                    <w:t>刀柄抛丸粉尘</w:t>
                  </w:r>
                </w:p>
              </w:tc>
              <w:tc>
                <w:tcPr>
                  <w:tcW w:w="2762" w:type="dxa"/>
                  <w:noWrap w:val="0"/>
                  <w:vAlign w:val="center"/>
                </w:tcPr>
                <w:p>
                  <w:pPr>
                    <w:pStyle w:val="86"/>
                    <w:spacing w:line="240" w:lineRule="auto"/>
                    <w:ind w:firstLine="0" w:firstLineChars="0"/>
                    <w:rPr>
                      <w:rFonts w:hint="eastAsia" w:ascii="宋体" w:cs="宋体"/>
                      <w:lang w:val="en-US" w:eastAsia="zh-CN"/>
                    </w:rPr>
                  </w:pPr>
                  <w:r>
                    <w:rPr>
                      <w:rFonts w:hint="eastAsia" w:ascii="宋体" w:cs="宋体"/>
                      <w:lang w:val="en-US" w:eastAsia="zh-CN"/>
                    </w:rPr>
                    <w:t>布袋收尘设施</w:t>
                  </w:r>
                </w:p>
              </w:tc>
              <w:tc>
                <w:tcPr>
                  <w:tcW w:w="1374" w:type="dxa"/>
                  <w:noWrap w:val="0"/>
                  <w:vAlign w:val="center"/>
                </w:tcPr>
                <w:p>
                  <w:pPr>
                    <w:pStyle w:val="86"/>
                    <w:spacing w:line="240" w:lineRule="auto"/>
                    <w:ind w:firstLine="0" w:firstLineChars="0"/>
                    <w:rPr>
                      <w:rFonts w:hint="default" w:cs="宋体"/>
                      <w:lang w:val="en-US" w:eastAsia="zh-CN"/>
                    </w:rPr>
                  </w:pPr>
                  <w:r>
                    <w:rPr>
                      <w:rFonts w:hint="eastAsia" w:cs="宋体"/>
                      <w:lang w:val="en-US" w:eastAsia="zh-CN"/>
                    </w:rPr>
                    <w:t>2.0</w:t>
                  </w:r>
                </w:p>
              </w:tc>
              <w:tc>
                <w:tcPr>
                  <w:tcW w:w="885" w:type="dxa"/>
                  <w:noWrap w:val="0"/>
                  <w:vAlign w:val="center"/>
                </w:tcPr>
                <w:p>
                  <w:pPr>
                    <w:pStyle w:val="86"/>
                    <w:spacing w:line="240" w:lineRule="auto"/>
                    <w:ind w:firstLine="0" w:firstLineChars="0"/>
                    <w:rPr>
                      <w:rFonts w:cs="宋体"/>
                      <w:lang w:val="en-US" w:eastAsia="zh-CN"/>
                    </w:rPr>
                  </w:pPr>
                  <w:r>
                    <w:rPr>
                      <w:rFonts w:cs="宋体"/>
                      <w:lang w:val="en-US" w:eastAsia="zh-CN"/>
                    </w:rPr>
                    <w:t>1套</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25" w:hRule="atLeast"/>
              </w:trPr>
              <w:tc>
                <w:tcPr>
                  <w:tcW w:w="469" w:type="dxa"/>
                  <w:vMerge w:val="continue"/>
                  <w:noWrap w:val="0"/>
                  <w:vAlign w:val="center"/>
                </w:tcPr>
                <w:p>
                  <w:pPr>
                    <w:pStyle w:val="86"/>
                    <w:spacing w:line="240" w:lineRule="auto"/>
                    <w:ind w:firstLine="0" w:firstLineChars="0"/>
                    <w:rPr>
                      <w:rFonts w:ascii="宋体" w:cs="宋体"/>
                      <w:lang w:val="en-US" w:eastAsia="zh-CN"/>
                    </w:rPr>
                  </w:pPr>
                </w:p>
              </w:tc>
              <w:tc>
                <w:tcPr>
                  <w:tcW w:w="665" w:type="dxa"/>
                  <w:vMerge w:val="continue"/>
                  <w:noWrap w:val="0"/>
                  <w:vAlign w:val="center"/>
                </w:tcPr>
                <w:p>
                  <w:pPr>
                    <w:pStyle w:val="86"/>
                    <w:spacing w:line="240" w:lineRule="auto"/>
                    <w:ind w:firstLine="0" w:firstLineChars="0"/>
                    <w:rPr>
                      <w:rFonts w:ascii="宋体" w:cs="宋体"/>
                      <w:lang w:val="en-US" w:eastAsia="zh-CN"/>
                    </w:rPr>
                  </w:pPr>
                </w:p>
              </w:tc>
              <w:tc>
                <w:tcPr>
                  <w:tcW w:w="2553" w:type="dxa"/>
                  <w:noWrap w:val="0"/>
                  <w:vAlign w:val="center"/>
                </w:tcPr>
                <w:p>
                  <w:pPr>
                    <w:pStyle w:val="86"/>
                    <w:spacing w:line="240" w:lineRule="auto"/>
                    <w:ind w:firstLine="0" w:firstLineChars="0"/>
                    <w:rPr>
                      <w:rFonts w:hint="eastAsia" w:ascii="宋体" w:cs="宋体"/>
                      <w:lang w:val="en-US" w:eastAsia="zh-CN"/>
                    </w:rPr>
                  </w:pPr>
                  <w:r>
                    <w:rPr>
                      <w:rFonts w:hint="eastAsia" w:ascii="宋体" w:cs="宋体"/>
                      <w:lang w:val="en-US" w:eastAsia="zh-CN"/>
                    </w:rPr>
                    <w:t>淬火油烟</w:t>
                  </w:r>
                </w:p>
              </w:tc>
              <w:tc>
                <w:tcPr>
                  <w:tcW w:w="2762" w:type="dxa"/>
                  <w:noWrap w:val="0"/>
                  <w:vAlign w:val="center"/>
                </w:tcPr>
                <w:p>
                  <w:pPr>
                    <w:pStyle w:val="86"/>
                    <w:spacing w:line="240" w:lineRule="auto"/>
                    <w:ind w:firstLine="0" w:firstLineChars="0"/>
                    <w:rPr>
                      <w:rFonts w:hint="eastAsia" w:ascii="宋体" w:cs="宋体"/>
                      <w:lang w:val="en-US" w:eastAsia="zh-CN"/>
                    </w:rPr>
                  </w:pPr>
                  <w:r>
                    <w:rPr>
                      <w:rFonts w:hint="eastAsia" w:ascii="宋体" w:cs="宋体"/>
                      <w:lang w:val="en-US" w:eastAsia="zh-CN"/>
                    </w:rPr>
                    <w:t>油烟净化器+15m以上排气筒排放</w:t>
                  </w:r>
                </w:p>
              </w:tc>
              <w:tc>
                <w:tcPr>
                  <w:tcW w:w="1374" w:type="dxa"/>
                  <w:noWrap w:val="0"/>
                  <w:vAlign w:val="center"/>
                </w:tcPr>
                <w:p>
                  <w:pPr>
                    <w:pStyle w:val="86"/>
                    <w:spacing w:line="240" w:lineRule="auto"/>
                    <w:ind w:firstLine="0" w:firstLineChars="0"/>
                    <w:rPr>
                      <w:rFonts w:hint="eastAsia" w:cs="宋体"/>
                      <w:lang w:val="en-US" w:eastAsia="zh-CN"/>
                    </w:rPr>
                  </w:pPr>
                  <w:r>
                    <w:rPr>
                      <w:rFonts w:hint="eastAsia" w:cs="宋体"/>
                      <w:lang w:val="en-US" w:eastAsia="zh-CN"/>
                    </w:rPr>
                    <w:t>2.0</w:t>
                  </w:r>
                </w:p>
              </w:tc>
              <w:tc>
                <w:tcPr>
                  <w:tcW w:w="885" w:type="dxa"/>
                  <w:noWrap w:val="0"/>
                  <w:vAlign w:val="center"/>
                </w:tcPr>
                <w:p>
                  <w:pPr>
                    <w:pStyle w:val="86"/>
                    <w:spacing w:line="240" w:lineRule="auto"/>
                    <w:ind w:firstLine="0" w:firstLineChars="0"/>
                    <w:rPr>
                      <w:rFonts w:hint="eastAsia" w:ascii="宋体" w:cs="宋体"/>
                      <w:lang w:val="en-US" w:eastAsia="zh-CN"/>
                    </w:rPr>
                  </w:pPr>
                  <w:r>
                    <w:rPr>
                      <w:rFonts w:hint="eastAsia" w:ascii="宋体" w:cs="宋体"/>
                      <w:lang w:val="en-US" w:eastAsia="zh-CN"/>
                    </w:rPr>
                    <w:t>1套</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6" w:hRule="atLeast"/>
              </w:trPr>
              <w:tc>
                <w:tcPr>
                  <w:tcW w:w="469" w:type="dxa"/>
                  <w:vMerge w:val="continue"/>
                  <w:noWrap w:val="0"/>
                  <w:vAlign w:val="center"/>
                </w:tcPr>
                <w:p>
                  <w:pPr>
                    <w:pStyle w:val="86"/>
                    <w:spacing w:line="240" w:lineRule="auto"/>
                    <w:ind w:firstLine="0" w:firstLineChars="0"/>
                    <w:rPr>
                      <w:rFonts w:cs="宋体"/>
                      <w:lang w:val="en-US" w:eastAsia="zh-CN"/>
                    </w:rPr>
                  </w:pPr>
                </w:p>
              </w:tc>
              <w:tc>
                <w:tcPr>
                  <w:tcW w:w="665" w:type="dxa"/>
                  <w:vMerge w:val="continue"/>
                  <w:noWrap w:val="0"/>
                  <w:vAlign w:val="center"/>
                </w:tcPr>
                <w:p>
                  <w:pPr>
                    <w:pStyle w:val="86"/>
                    <w:spacing w:line="240" w:lineRule="auto"/>
                    <w:ind w:firstLine="0" w:firstLineChars="0"/>
                    <w:rPr>
                      <w:rFonts w:ascii="宋体" w:cs="宋体"/>
                      <w:lang w:val="en-US" w:eastAsia="zh-CN"/>
                    </w:rPr>
                  </w:pPr>
                </w:p>
              </w:tc>
              <w:tc>
                <w:tcPr>
                  <w:tcW w:w="2553" w:type="dxa"/>
                  <w:noWrap w:val="0"/>
                  <w:vAlign w:val="center"/>
                </w:tcPr>
                <w:p>
                  <w:pPr>
                    <w:ind w:firstLine="840" w:firstLineChars="400"/>
                    <w:rPr>
                      <w:rFonts w:hint="eastAsia"/>
                    </w:rPr>
                  </w:pPr>
                  <w:r>
                    <w:rPr>
                      <w:rFonts w:hint="eastAsia"/>
                    </w:rPr>
                    <w:t>食堂油烟</w:t>
                  </w:r>
                </w:p>
              </w:tc>
              <w:tc>
                <w:tcPr>
                  <w:tcW w:w="2762" w:type="dxa"/>
                  <w:noWrap w:val="0"/>
                  <w:vAlign w:val="center"/>
                </w:tcPr>
                <w:p>
                  <w:pPr>
                    <w:pStyle w:val="86"/>
                    <w:spacing w:line="240" w:lineRule="auto"/>
                    <w:ind w:firstLine="0" w:firstLineChars="0"/>
                    <w:rPr>
                      <w:rFonts w:hint="eastAsia" w:ascii="宋体" w:cs="宋体"/>
                      <w:lang w:val="en-US" w:eastAsia="zh-CN"/>
                    </w:rPr>
                  </w:pPr>
                  <w:r>
                    <w:rPr>
                      <w:rFonts w:hint="eastAsia" w:ascii="宋体" w:cs="宋体"/>
                      <w:lang w:val="en-US" w:eastAsia="zh-CN"/>
                    </w:rPr>
                    <w:t>油烟净化器+排气筒排放</w:t>
                  </w:r>
                </w:p>
              </w:tc>
              <w:tc>
                <w:tcPr>
                  <w:tcW w:w="1374" w:type="dxa"/>
                  <w:noWrap w:val="0"/>
                  <w:vAlign w:val="center"/>
                </w:tcPr>
                <w:p>
                  <w:pPr>
                    <w:pStyle w:val="86"/>
                    <w:spacing w:line="240" w:lineRule="auto"/>
                    <w:ind w:firstLine="0" w:firstLineChars="0"/>
                    <w:rPr>
                      <w:rFonts w:hint="default" w:cs="宋体"/>
                      <w:lang w:val="en-US" w:eastAsia="zh-CN"/>
                    </w:rPr>
                  </w:pPr>
                  <w:r>
                    <w:rPr>
                      <w:rFonts w:hint="eastAsia" w:cs="宋体"/>
                      <w:lang w:val="en-US" w:eastAsia="zh-CN"/>
                    </w:rPr>
                    <w:t>0.5</w:t>
                  </w:r>
                </w:p>
              </w:tc>
              <w:tc>
                <w:tcPr>
                  <w:tcW w:w="885" w:type="dxa"/>
                  <w:noWrap w:val="0"/>
                  <w:vAlign w:val="center"/>
                </w:tcPr>
                <w:p>
                  <w:pPr>
                    <w:pStyle w:val="86"/>
                    <w:spacing w:line="240" w:lineRule="auto"/>
                    <w:ind w:firstLine="0" w:firstLineChars="0"/>
                    <w:rPr>
                      <w:rFonts w:cs="宋体"/>
                      <w:lang w:val="en-US" w:eastAsia="zh-CN"/>
                    </w:rPr>
                  </w:pPr>
                  <w:r>
                    <w:rPr>
                      <w:rFonts w:hint="eastAsia" w:cs="宋体"/>
                      <w:lang w:val="en-US" w:eastAsia="zh-CN"/>
                    </w:rPr>
                    <w:t>1套</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6" w:hRule="atLeast"/>
              </w:trPr>
              <w:tc>
                <w:tcPr>
                  <w:tcW w:w="469" w:type="dxa"/>
                  <w:vMerge w:val="continue"/>
                  <w:noWrap w:val="0"/>
                  <w:vAlign w:val="center"/>
                </w:tcPr>
                <w:p>
                  <w:pPr>
                    <w:pStyle w:val="86"/>
                    <w:spacing w:line="240" w:lineRule="auto"/>
                    <w:ind w:firstLine="0" w:firstLineChars="0"/>
                    <w:rPr>
                      <w:rFonts w:cs="宋体"/>
                      <w:lang w:val="en-US" w:eastAsia="zh-CN"/>
                    </w:rPr>
                  </w:pPr>
                </w:p>
              </w:tc>
              <w:tc>
                <w:tcPr>
                  <w:tcW w:w="665" w:type="dxa"/>
                  <w:noWrap w:val="0"/>
                  <w:vAlign w:val="center"/>
                </w:tcPr>
                <w:p>
                  <w:pPr>
                    <w:pStyle w:val="86"/>
                    <w:spacing w:line="240" w:lineRule="auto"/>
                    <w:ind w:firstLine="0" w:firstLineChars="0"/>
                    <w:rPr>
                      <w:rFonts w:ascii="宋体" w:cs="宋体"/>
                      <w:lang w:val="en-US" w:eastAsia="zh-CN"/>
                    </w:rPr>
                  </w:pPr>
                  <w:r>
                    <w:rPr>
                      <w:rFonts w:ascii="宋体" w:cs="宋体"/>
                      <w:lang w:val="en-US" w:eastAsia="zh-CN"/>
                    </w:rPr>
                    <w:t>噪声治理</w:t>
                  </w:r>
                </w:p>
              </w:tc>
              <w:tc>
                <w:tcPr>
                  <w:tcW w:w="5315" w:type="dxa"/>
                  <w:gridSpan w:val="2"/>
                  <w:noWrap w:val="0"/>
                  <w:vAlign w:val="center"/>
                </w:tcPr>
                <w:p>
                  <w:pPr>
                    <w:pStyle w:val="86"/>
                    <w:spacing w:line="240" w:lineRule="auto"/>
                    <w:ind w:firstLine="0" w:firstLineChars="0"/>
                    <w:rPr>
                      <w:rFonts w:ascii="宋体" w:cs="宋体"/>
                      <w:lang w:val="en-US" w:eastAsia="zh-CN"/>
                    </w:rPr>
                  </w:pPr>
                  <w:r>
                    <w:rPr>
                      <w:rFonts w:hint="eastAsia" w:ascii="宋体" w:cs="宋体"/>
                      <w:lang w:val="en-US" w:eastAsia="zh-CN"/>
                    </w:rPr>
                    <w:t>选用低噪声设备，</w:t>
                  </w:r>
                  <w:r>
                    <w:rPr>
                      <w:rFonts w:ascii="宋体" w:cs="宋体"/>
                      <w:lang w:val="en-US" w:eastAsia="zh-CN"/>
                    </w:rPr>
                    <w:t>加装减振器、减震垫等</w:t>
                  </w:r>
                </w:p>
              </w:tc>
              <w:tc>
                <w:tcPr>
                  <w:tcW w:w="1374" w:type="dxa"/>
                  <w:noWrap w:val="0"/>
                  <w:vAlign w:val="center"/>
                </w:tcPr>
                <w:p>
                  <w:pPr>
                    <w:pStyle w:val="86"/>
                    <w:spacing w:line="240" w:lineRule="auto"/>
                    <w:ind w:firstLine="0" w:firstLineChars="0"/>
                    <w:rPr>
                      <w:rFonts w:hint="default" w:cs="宋体"/>
                      <w:lang w:val="en-US" w:eastAsia="zh-CN"/>
                    </w:rPr>
                  </w:pPr>
                  <w:r>
                    <w:rPr>
                      <w:rFonts w:hint="eastAsia" w:cs="宋体"/>
                      <w:lang w:val="en-US" w:eastAsia="zh-CN"/>
                    </w:rPr>
                    <w:t>1.5</w:t>
                  </w:r>
                </w:p>
              </w:tc>
              <w:tc>
                <w:tcPr>
                  <w:tcW w:w="885" w:type="dxa"/>
                  <w:noWrap w:val="0"/>
                  <w:vAlign w:val="center"/>
                </w:tcPr>
                <w:p>
                  <w:pPr>
                    <w:pStyle w:val="86"/>
                    <w:spacing w:line="240" w:lineRule="auto"/>
                    <w:ind w:firstLine="0" w:firstLineChars="0"/>
                    <w:rPr>
                      <w:rFonts w:cs="宋体"/>
                      <w:lang w:val="en-US" w:eastAsia="zh-CN"/>
                    </w:rPr>
                  </w:pPr>
                  <w:r>
                    <w:rPr>
                      <w:rFonts w:cs="宋体"/>
                      <w:lang w:val="en-US" w:eastAsia="zh-CN"/>
                    </w:rPr>
                    <w:t>/</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6" w:hRule="atLeast"/>
              </w:trPr>
              <w:tc>
                <w:tcPr>
                  <w:tcW w:w="469" w:type="dxa"/>
                  <w:vMerge w:val="continue"/>
                  <w:noWrap w:val="0"/>
                  <w:vAlign w:val="center"/>
                </w:tcPr>
                <w:p>
                  <w:pPr>
                    <w:pStyle w:val="86"/>
                    <w:spacing w:line="240" w:lineRule="auto"/>
                    <w:ind w:firstLine="0" w:firstLineChars="0"/>
                    <w:rPr>
                      <w:rFonts w:cs="宋体"/>
                      <w:lang w:val="en-US" w:eastAsia="zh-CN"/>
                    </w:rPr>
                  </w:pPr>
                </w:p>
              </w:tc>
              <w:tc>
                <w:tcPr>
                  <w:tcW w:w="665" w:type="dxa"/>
                  <w:noWrap w:val="0"/>
                  <w:vAlign w:val="center"/>
                </w:tcPr>
                <w:p>
                  <w:pPr>
                    <w:pStyle w:val="86"/>
                    <w:spacing w:line="240" w:lineRule="auto"/>
                    <w:ind w:firstLine="0" w:firstLineChars="0"/>
                    <w:rPr>
                      <w:rFonts w:ascii="宋体" w:cs="宋体"/>
                      <w:lang w:val="en-US" w:eastAsia="zh-CN"/>
                    </w:rPr>
                  </w:pPr>
                  <w:r>
                    <w:rPr>
                      <w:rFonts w:hint="eastAsia" w:ascii="宋体" w:cs="宋体"/>
                      <w:lang w:val="en-US" w:eastAsia="zh-CN"/>
                    </w:rPr>
                    <w:t>环保监测</w:t>
                  </w:r>
                </w:p>
              </w:tc>
              <w:tc>
                <w:tcPr>
                  <w:tcW w:w="5315" w:type="dxa"/>
                  <w:gridSpan w:val="2"/>
                  <w:noWrap w:val="0"/>
                  <w:vAlign w:val="center"/>
                </w:tcPr>
                <w:p>
                  <w:pPr>
                    <w:pStyle w:val="86"/>
                    <w:spacing w:line="240" w:lineRule="auto"/>
                    <w:ind w:firstLine="0" w:firstLineChars="0"/>
                    <w:rPr>
                      <w:rFonts w:hint="eastAsia" w:ascii="宋体" w:cs="宋体"/>
                      <w:lang w:val="en-US" w:eastAsia="zh-CN"/>
                    </w:rPr>
                  </w:pPr>
                  <w:r>
                    <w:rPr>
                      <w:rFonts w:hint="eastAsia" w:ascii="宋体" w:cs="宋体"/>
                      <w:lang w:val="en-US" w:eastAsia="zh-CN"/>
                    </w:rPr>
                    <w:t>有资质单位进行废气、废水、噪声等监测</w:t>
                  </w:r>
                </w:p>
              </w:tc>
              <w:tc>
                <w:tcPr>
                  <w:tcW w:w="1374" w:type="dxa"/>
                  <w:noWrap w:val="0"/>
                  <w:vAlign w:val="center"/>
                </w:tcPr>
                <w:p>
                  <w:pPr>
                    <w:pStyle w:val="86"/>
                    <w:spacing w:line="240" w:lineRule="auto"/>
                    <w:ind w:firstLine="0" w:firstLineChars="0"/>
                    <w:rPr>
                      <w:rFonts w:hint="default" w:cs="宋体"/>
                      <w:lang w:val="en-US" w:eastAsia="zh-CN"/>
                    </w:rPr>
                  </w:pPr>
                  <w:r>
                    <w:rPr>
                      <w:rFonts w:hint="eastAsia" w:cs="宋体"/>
                      <w:lang w:val="en-US" w:eastAsia="zh-CN"/>
                    </w:rPr>
                    <w:t>1.0</w:t>
                  </w:r>
                </w:p>
              </w:tc>
              <w:tc>
                <w:tcPr>
                  <w:tcW w:w="885" w:type="dxa"/>
                  <w:noWrap w:val="0"/>
                  <w:vAlign w:val="center"/>
                </w:tcPr>
                <w:p>
                  <w:pPr>
                    <w:pStyle w:val="86"/>
                    <w:spacing w:line="240" w:lineRule="auto"/>
                    <w:ind w:firstLine="0" w:firstLineChars="0"/>
                    <w:rPr>
                      <w:rFonts w:cs="宋体"/>
                      <w:lang w:val="en-US" w:eastAsia="zh-CN"/>
                    </w:rPr>
                  </w:pPr>
                  <w:r>
                    <w:rPr>
                      <w:rFonts w:hint="eastAsia" w:cs="宋体"/>
                      <w:lang w:val="en-US" w:eastAsia="zh-CN"/>
                    </w:rPr>
                    <w:t>每年</w:t>
                  </w:r>
                </w:p>
                <w:p>
                  <w:pPr>
                    <w:pStyle w:val="86"/>
                    <w:spacing w:line="240" w:lineRule="auto"/>
                    <w:ind w:firstLine="0" w:firstLineChars="0"/>
                    <w:rPr>
                      <w:rFonts w:cs="宋体"/>
                      <w:lang w:val="en-US" w:eastAsia="zh-CN"/>
                    </w:rPr>
                  </w:pPr>
                  <w:r>
                    <w:rPr>
                      <w:rFonts w:hint="eastAsia" w:cs="宋体"/>
                      <w:lang w:val="en-US" w:eastAsia="zh-CN"/>
                    </w:rPr>
                    <w:t>投入</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6" w:hRule="atLeast"/>
              </w:trPr>
              <w:tc>
                <w:tcPr>
                  <w:tcW w:w="1134" w:type="dxa"/>
                  <w:gridSpan w:val="2"/>
                  <w:noWrap w:val="0"/>
                  <w:vAlign w:val="center"/>
                </w:tcPr>
                <w:p>
                  <w:pPr>
                    <w:pStyle w:val="86"/>
                    <w:spacing w:line="240" w:lineRule="auto"/>
                    <w:ind w:firstLine="0" w:firstLineChars="0"/>
                    <w:rPr>
                      <w:rFonts w:ascii="宋体" w:cs="宋体"/>
                      <w:lang w:val="en-US" w:eastAsia="zh-CN"/>
                    </w:rPr>
                  </w:pPr>
                  <w:r>
                    <w:rPr>
                      <w:rFonts w:cs="宋体"/>
                      <w:lang w:val="en-US" w:eastAsia="zh-CN"/>
                    </w:rPr>
                    <w:t>施工期</w:t>
                  </w:r>
                </w:p>
              </w:tc>
              <w:tc>
                <w:tcPr>
                  <w:tcW w:w="5315" w:type="dxa"/>
                  <w:gridSpan w:val="2"/>
                  <w:noWrap w:val="0"/>
                  <w:vAlign w:val="center"/>
                </w:tcPr>
                <w:p>
                  <w:pPr>
                    <w:pStyle w:val="86"/>
                    <w:spacing w:line="240" w:lineRule="auto"/>
                    <w:ind w:firstLine="0" w:firstLineChars="0"/>
                    <w:rPr>
                      <w:rFonts w:hint="eastAsia" w:ascii="宋体" w:cs="宋体"/>
                      <w:lang w:val="en-US" w:eastAsia="zh-CN"/>
                    </w:rPr>
                  </w:pPr>
                  <w:r>
                    <w:rPr>
                      <w:rFonts w:hint="eastAsia" w:ascii="宋体" w:cs="宋体"/>
                      <w:lang w:val="en-US" w:eastAsia="zh-CN"/>
                    </w:rPr>
                    <w:t>施工废水沉淀池、打围施工、洒水降尘</w:t>
                  </w:r>
                </w:p>
              </w:tc>
              <w:tc>
                <w:tcPr>
                  <w:tcW w:w="1374" w:type="dxa"/>
                  <w:noWrap w:val="0"/>
                  <w:vAlign w:val="center"/>
                </w:tcPr>
                <w:p>
                  <w:pPr>
                    <w:pStyle w:val="86"/>
                    <w:spacing w:line="240" w:lineRule="auto"/>
                    <w:ind w:firstLine="0" w:firstLineChars="0"/>
                    <w:rPr>
                      <w:rFonts w:hint="default" w:cs="宋体"/>
                      <w:lang w:val="en-US" w:eastAsia="zh-CN"/>
                    </w:rPr>
                  </w:pPr>
                  <w:r>
                    <w:rPr>
                      <w:rFonts w:hint="eastAsia" w:cs="宋体"/>
                      <w:lang w:val="en-US" w:eastAsia="zh-CN"/>
                    </w:rPr>
                    <w:t>0.5</w:t>
                  </w:r>
                </w:p>
              </w:tc>
              <w:tc>
                <w:tcPr>
                  <w:tcW w:w="885" w:type="dxa"/>
                  <w:noWrap w:val="0"/>
                  <w:vAlign w:val="center"/>
                </w:tcPr>
                <w:p>
                  <w:pPr>
                    <w:pStyle w:val="86"/>
                    <w:spacing w:line="240" w:lineRule="auto"/>
                    <w:ind w:firstLine="0" w:firstLineChars="0"/>
                    <w:rPr>
                      <w:rFonts w:cs="宋体"/>
                      <w:lang w:val="en-US" w:eastAsia="zh-CN"/>
                    </w:rPr>
                  </w:pPr>
                  <w:r>
                    <w:rPr>
                      <w:rFonts w:hint="eastAsia" w:cs="宋体"/>
                      <w:lang w:val="en-US" w:eastAsia="zh-CN"/>
                    </w:rPr>
                    <w:t>/</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22" w:hRule="atLeast"/>
              </w:trPr>
              <w:tc>
                <w:tcPr>
                  <w:tcW w:w="6449" w:type="dxa"/>
                  <w:gridSpan w:val="4"/>
                  <w:noWrap w:val="0"/>
                  <w:vAlign w:val="center"/>
                </w:tcPr>
                <w:p>
                  <w:pPr>
                    <w:pStyle w:val="86"/>
                    <w:spacing w:line="240" w:lineRule="auto"/>
                    <w:ind w:firstLine="0" w:firstLineChars="0"/>
                    <w:rPr>
                      <w:rFonts w:ascii="宋体" w:cs="宋体"/>
                      <w:lang w:val="en-US" w:eastAsia="zh-CN"/>
                    </w:rPr>
                  </w:pPr>
                  <w:r>
                    <w:rPr>
                      <w:rFonts w:ascii="宋体" w:cs="宋体"/>
                      <w:lang w:val="en-US" w:eastAsia="zh-CN"/>
                    </w:rPr>
                    <w:t>合计</w:t>
                  </w:r>
                </w:p>
              </w:tc>
              <w:tc>
                <w:tcPr>
                  <w:tcW w:w="1374" w:type="dxa"/>
                  <w:noWrap w:val="0"/>
                  <w:vAlign w:val="center"/>
                </w:tcPr>
                <w:p>
                  <w:pPr>
                    <w:pStyle w:val="86"/>
                    <w:spacing w:line="240" w:lineRule="auto"/>
                    <w:ind w:firstLine="0" w:firstLineChars="0"/>
                    <w:rPr>
                      <w:rFonts w:hint="default" w:cs="宋体"/>
                      <w:lang w:val="en-US" w:eastAsia="zh-CN"/>
                    </w:rPr>
                  </w:pPr>
                  <w:r>
                    <w:rPr>
                      <w:rFonts w:hint="eastAsia" w:cs="宋体"/>
                      <w:lang w:val="en-US" w:eastAsia="zh-CN"/>
                    </w:rPr>
                    <w:t>13.5</w:t>
                  </w:r>
                </w:p>
              </w:tc>
              <w:tc>
                <w:tcPr>
                  <w:tcW w:w="885" w:type="dxa"/>
                  <w:noWrap w:val="0"/>
                  <w:vAlign w:val="center"/>
                </w:tcPr>
                <w:p>
                  <w:pPr>
                    <w:pStyle w:val="86"/>
                    <w:spacing w:line="240" w:lineRule="auto"/>
                    <w:ind w:firstLine="0" w:firstLineChars="0"/>
                    <w:rPr>
                      <w:rFonts w:cs="宋体"/>
                      <w:lang w:val="en-US" w:eastAsia="zh-CN"/>
                    </w:rPr>
                  </w:pPr>
                  <w:r>
                    <w:rPr>
                      <w:rFonts w:cs="宋体"/>
                      <w:lang w:val="en-US" w:eastAsia="zh-CN"/>
                    </w:rPr>
                    <w:t>/</w:t>
                  </w:r>
                </w:p>
              </w:tc>
            </w:tr>
          </w:tbl>
          <w:p>
            <w:pPr>
              <w:tabs>
                <w:tab w:val="left" w:pos="1339"/>
              </w:tabs>
              <w:bidi w:val="0"/>
              <w:jc w:val="left"/>
              <w:rPr>
                <w:rFonts w:hint="eastAsia"/>
                <w:lang w:val="en-US" w:eastAsia="zh-CN"/>
              </w:rPr>
            </w:pPr>
          </w:p>
          <w:p>
            <w:pPr>
              <w:bidi w:val="0"/>
              <w:jc w:val="left"/>
              <w:rPr>
                <w:rFonts w:hint="eastAsia"/>
                <w:lang w:val="en-US" w:eastAsia="zh-CN"/>
              </w:rPr>
            </w:pPr>
          </w:p>
        </w:tc>
      </w:tr>
    </w:tbl>
    <w:p>
      <w:pPr>
        <w:spacing w:line="300" w:lineRule="auto"/>
        <w:rPr>
          <w:rFonts w:eastAsia="黑体"/>
          <w:color w:val="000000"/>
          <w:sz w:val="24"/>
        </w:rPr>
        <w:sectPr>
          <w:footerReference r:id="rId13" w:type="default"/>
          <w:pgSz w:w="11907" w:h="16840"/>
          <w:pgMar w:top="1531" w:right="1134" w:bottom="1049" w:left="1418" w:header="0" w:footer="898" w:gutter="0"/>
          <w:pgBorders>
            <w:top w:val="none" w:sz="0" w:space="0"/>
            <w:left w:val="none" w:sz="0" w:space="0"/>
            <w:bottom w:val="none" w:sz="0" w:space="0"/>
            <w:right w:val="none" w:sz="0" w:space="0"/>
          </w:pgBorders>
          <w:cols w:space="720" w:num="1"/>
          <w:docGrid w:linePitch="326" w:charSpace="-4916"/>
        </w:sectPr>
      </w:pPr>
    </w:p>
    <w:p>
      <w:pPr>
        <w:pStyle w:val="52"/>
        <w:jc w:val="both"/>
        <w:rPr>
          <w:rFonts w:hint="eastAsia"/>
        </w:rPr>
      </w:pPr>
      <w:r>
        <w:rPr>
          <w:rFonts w:hint="eastAsia"/>
        </w:rPr>
        <w:t xml:space="preserve">建设项目拟采取的防治措施及预期治理效果 </w:t>
      </w:r>
      <w:r>
        <w:t xml:space="preserve">          </w:t>
      </w:r>
      <w:r>
        <w:rPr>
          <w:rFonts w:hint="eastAsia"/>
          <w:lang w:val="en-US" w:eastAsia="zh-CN"/>
        </w:rPr>
        <w:t xml:space="preserve">   </w:t>
      </w:r>
      <w:r>
        <w:t xml:space="preserve"> </w:t>
      </w:r>
      <w:r>
        <w:rPr>
          <w:rFonts w:hint="eastAsia"/>
        </w:rPr>
        <w:t>表（八）</w:t>
      </w:r>
    </w:p>
    <w:tbl>
      <w:tblPr>
        <w:tblStyle w:val="69"/>
        <w:tblW w:w="9356"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7"/>
        <w:gridCol w:w="1163"/>
        <w:gridCol w:w="1716"/>
        <w:gridCol w:w="3260"/>
        <w:gridCol w:w="24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26" w:hRule="atLeast"/>
        </w:trPr>
        <w:tc>
          <w:tcPr>
            <w:tcW w:w="807" w:type="dxa"/>
            <w:tcBorders>
              <w:tl2br w:val="single" w:color="000000" w:sz="6" w:space="0"/>
            </w:tcBorders>
            <w:noWrap w:val="0"/>
            <w:vAlign w:val="center"/>
          </w:tcPr>
          <w:p>
            <w:pPr>
              <w:jc w:val="right"/>
              <w:rPr>
                <w:rFonts w:hint="eastAsia" w:ascii="宋体" w:hAnsi="宋体" w:cs="宋体"/>
                <w:b/>
                <w:color w:val="000000"/>
                <w:sz w:val="24"/>
              </w:rPr>
            </w:pPr>
            <w:r>
              <w:rPr>
                <w:rFonts w:hint="eastAsia" w:ascii="宋体" w:hAnsi="宋体" w:cs="宋体"/>
                <w:b/>
                <w:color w:val="000000"/>
                <w:sz w:val="24"/>
              </w:rPr>
              <w:t>内容</w:t>
            </w:r>
          </w:p>
          <w:p>
            <w:pPr>
              <w:rPr>
                <w:rFonts w:hint="eastAsia" w:ascii="宋体" w:hAnsi="宋体" w:cs="宋体"/>
                <w:b/>
                <w:color w:val="000000"/>
                <w:sz w:val="24"/>
              </w:rPr>
            </w:pPr>
            <w:r>
              <w:rPr>
                <w:rFonts w:hint="eastAsia" w:ascii="宋体" w:hAnsi="宋体" w:cs="宋体"/>
                <w:b/>
                <w:color w:val="000000"/>
                <w:sz w:val="24"/>
              </w:rPr>
              <w:t>类型</w:t>
            </w:r>
          </w:p>
        </w:tc>
        <w:tc>
          <w:tcPr>
            <w:tcW w:w="1163" w:type="dxa"/>
            <w:noWrap w:val="0"/>
            <w:vAlign w:val="center"/>
          </w:tcPr>
          <w:p>
            <w:pPr>
              <w:jc w:val="center"/>
              <w:rPr>
                <w:rFonts w:hint="eastAsia" w:ascii="宋体" w:hAnsi="宋体" w:cs="宋体"/>
                <w:b/>
                <w:color w:val="000000"/>
                <w:sz w:val="24"/>
              </w:rPr>
            </w:pPr>
            <w:r>
              <w:rPr>
                <w:rFonts w:hint="eastAsia" w:ascii="宋体" w:hAnsi="宋体" w:cs="宋体"/>
                <w:b/>
                <w:color w:val="000000"/>
                <w:sz w:val="24"/>
              </w:rPr>
              <w:t>排放源</w:t>
            </w:r>
          </w:p>
          <w:p>
            <w:pPr>
              <w:jc w:val="center"/>
              <w:rPr>
                <w:rFonts w:hint="eastAsia" w:ascii="宋体" w:hAnsi="宋体" w:cs="宋体"/>
                <w:b/>
                <w:color w:val="000000"/>
                <w:sz w:val="24"/>
              </w:rPr>
            </w:pPr>
          </w:p>
        </w:tc>
        <w:tc>
          <w:tcPr>
            <w:tcW w:w="1716" w:type="dxa"/>
            <w:noWrap w:val="0"/>
            <w:vAlign w:val="center"/>
          </w:tcPr>
          <w:p>
            <w:pPr>
              <w:pStyle w:val="619"/>
              <w:topLinePunct w:val="0"/>
              <w:autoSpaceDE/>
              <w:autoSpaceDN/>
              <w:adjustRightInd/>
              <w:textAlignment w:val="auto"/>
              <w:rPr>
                <w:rFonts w:hint="eastAsia" w:hAnsi="宋体" w:cs="宋体"/>
                <w:b/>
                <w:color w:val="000000"/>
                <w:kern w:val="2"/>
                <w:sz w:val="24"/>
                <w:szCs w:val="24"/>
              </w:rPr>
            </w:pPr>
            <w:r>
              <w:rPr>
                <w:rFonts w:hint="eastAsia" w:hAnsi="宋体" w:cs="宋体"/>
                <w:b/>
                <w:color w:val="000000"/>
                <w:kern w:val="2"/>
                <w:sz w:val="24"/>
                <w:szCs w:val="24"/>
              </w:rPr>
              <w:t>污染物</w:t>
            </w:r>
          </w:p>
          <w:p>
            <w:pPr>
              <w:pStyle w:val="619"/>
              <w:topLinePunct w:val="0"/>
              <w:autoSpaceDE/>
              <w:autoSpaceDN/>
              <w:adjustRightInd/>
              <w:textAlignment w:val="auto"/>
              <w:rPr>
                <w:rFonts w:hint="eastAsia" w:hAnsi="宋体" w:cs="宋体"/>
                <w:b/>
                <w:color w:val="000000"/>
                <w:kern w:val="2"/>
                <w:sz w:val="24"/>
                <w:szCs w:val="24"/>
              </w:rPr>
            </w:pPr>
            <w:r>
              <w:rPr>
                <w:rFonts w:hint="eastAsia" w:hAnsi="宋体" w:cs="宋体"/>
                <w:b/>
                <w:color w:val="000000"/>
                <w:kern w:val="2"/>
                <w:sz w:val="24"/>
                <w:szCs w:val="24"/>
              </w:rPr>
              <w:t>名称</w:t>
            </w:r>
          </w:p>
        </w:tc>
        <w:tc>
          <w:tcPr>
            <w:tcW w:w="3260" w:type="dxa"/>
            <w:noWrap w:val="0"/>
            <w:vAlign w:val="center"/>
          </w:tcPr>
          <w:p>
            <w:pPr>
              <w:jc w:val="center"/>
              <w:rPr>
                <w:rFonts w:hint="eastAsia" w:ascii="宋体" w:hAnsi="宋体" w:cs="宋体"/>
                <w:b/>
                <w:color w:val="000000"/>
                <w:sz w:val="24"/>
              </w:rPr>
            </w:pPr>
            <w:r>
              <w:rPr>
                <w:rFonts w:hint="eastAsia" w:ascii="宋体" w:hAnsi="宋体" w:cs="宋体"/>
                <w:b/>
                <w:color w:val="000000"/>
                <w:sz w:val="24"/>
              </w:rPr>
              <w:t>防治措施</w:t>
            </w:r>
          </w:p>
        </w:tc>
        <w:tc>
          <w:tcPr>
            <w:tcW w:w="2410" w:type="dxa"/>
            <w:tcBorders>
              <w:bottom w:val="single" w:color="auto" w:sz="4" w:space="0"/>
            </w:tcBorders>
            <w:noWrap w:val="0"/>
            <w:vAlign w:val="center"/>
          </w:tcPr>
          <w:p>
            <w:pPr>
              <w:jc w:val="center"/>
              <w:rPr>
                <w:rFonts w:hint="eastAsia" w:ascii="宋体" w:hAnsi="宋体" w:cs="宋体"/>
                <w:b/>
                <w:color w:val="000000"/>
                <w:sz w:val="24"/>
              </w:rPr>
            </w:pPr>
            <w:r>
              <w:rPr>
                <w:rFonts w:hint="eastAsia" w:ascii="宋体" w:hAnsi="宋体" w:cs="宋体"/>
                <w:b/>
                <w:color w:val="000000"/>
                <w:sz w:val="24"/>
              </w:rPr>
              <w:t>预期治理效果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3" w:hRule="atLeast"/>
        </w:trPr>
        <w:tc>
          <w:tcPr>
            <w:tcW w:w="807" w:type="dxa"/>
            <w:vMerge w:val="restart"/>
            <w:tcBorders>
              <w:right w:val="single" w:color="auto" w:sz="4" w:space="0"/>
            </w:tcBorders>
            <w:noWrap w:val="0"/>
            <w:vAlign w:val="center"/>
          </w:tcPr>
          <w:p>
            <w:pPr>
              <w:jc w:val="center"/>
              <w:rPr>
                <w:b/>
                <w:bCs/>
                <w:color w:val="000000"/>
                <w:szCs w:val="21"/>
              </w:rPr>
            </w:pPr>
            <w:r>
              <w:rPr>
                <w:b/>
                <w:bCs/>
                <w:color w:val="000000"/>
                <w:szCs w:val="21"/>
              </w:rPr>
              <w:t>大</w:t>
            </w:r>
          </w:p>
          <w:p>
            <w:pPr>
              <w:jc w:val="center"/>
              <w:rPr>
                <w:b/>
                <w:bCs/>
                <w:color w:val="000000"/>
                <w:szCs w:val="21"/>
              </w:rPr>
            </w:pPr>
            <w:r>
              <w:rPr>
                <w:b/>
                <w:bCs/>
                <w:color w:val="000000"/>
                <w:szCs w:val="21"/>
              </w:rPr>
              <w:t>气</w:t>
            </w:r>
          </w:p>
          <w:p>
            <w:pPr>
              <w:jc w:val="center"/>
              <w:rPr>
                <w:b/>
                <w:bCs/>
                <w:color w:val="000000"/>
                <w:szCs w:val="21"/>
              </w:rPr>
            </w:pPr>
            <w:r>
              <w:rPr>
                <w:b/>
                <w:bCs/>
                <w:color w:val="000000"/>
                <w:szCs w:val="21"/>
              </w:rPr>
              <w:t>污</w:t>
            </w:r>
          </w:p>
          <w:p>
            <w:pPr>
              <w:jc w:val="center"/>
              <w:rPr>
                <w:b/>
                <w:bCs/>
                <w:color w:val="000000"/>
                <w:szCs w:val="21"/>
              </w:rPr>
            </w:pPr>
            <w:r>
              <w:rPr>
                <w:b/>
                <w:bCs/>
                <w:color w:val="000000"/>
                <w:szCs w:val="21"/>
              </w:rPr>
              <w:t>染</w:t>
            </w:r>
          </w:p>
          <w:p>
            <w:pPr>
              <w:jc w:val="center"/>
              <w:rPr>
                <w:b/>
                <w:bCs/>
                <w:color w:val="000000"/>
                <w:szCs w:val="21"/>
              </w:rPr>
            </w:pPr>
            <w:r>
              <w:rPr>
                <w:b/>
                <w:bCs/>
                <w:color w:val="000000"/>
                <w:szCs w:val="21"/>
              </w:rPr>
              <w:t>物</w:t>
            </w:r>
          </w:p>
        </w:tc>
        <w:tc>
          <w:tcPr>
            <w:tcW w:w="1163" w:type="dxa"/>
            <w:tcBorders>
              <w:left w:val="single" w:color="auto" w:sz="4" w:space="0"/>
            </w:tcBorders>
            <w:noWrap w:val="0"/>
            <w:vAlign w:val="center"/>
          </w:tcPr>
          <w:p>
            <w:pPr>
              <w:pStyle w:val="574"/>
              <w:rPr>
                <w:rFonts w:ascii="Times New Roman" w:hAnsi="Times New Roman"/>
                <w:sz w:val="21"/>
                <w:szCs w:val="21"/>
              </w:rPr>
            </w:pPr>
            <w:r>
              <w:rPr>
                <w:rFonts w:hint="eastAsia" w:ascii="Times New Roman" w:hAnsi="Times New Roman"/>
                <w:sz w:val="21"/>
                <w:szCs w:val="21"/>
              </w:rPr>
              <w:t>施工期</w:t>
            </w:r>
          </w:p>
        </w:tc>
        <w:tc>
          <w:tcPr>
            <w:tcW w:w="1716" w:type="dxa"/>
            <w:noWrap w:val="0"/>
            <w:vAlign w:val="center"/>
          </w:tcPr>
          <w:p>
            <w:pPr>
              <w:rPr>
                <w:rFonts w:hint="eastAsia"/>
                <w:szCs w:val="21"/>
              </w:rPr>
            </w:pPr>
            <w:r>
              <w:rPr>
                <w:rFonts w:hint="eastAsia"/>
                <w:szCs w:val="21"/>
              </w:rPr>
              <w:t>粉尘、装修废气</w:t>
            </w:r>
          </w:p>
        </w:tc>
        <w:tc>
          <w:tcPr>
            <w:tcW w:w="3260" w:type="dxa"/>
            <w:noWrap w:val="0"/>
            <w:vAlign w:val="center"/>
          </w:tcPr>
          <w:p>
            <w:pPr>
              <w:jc w:val="center"/>
              <w:rPr>
                <w:rFonts w:hint="eastAsia"/>
                <w:szCs w:val="21"/>
              </w:rPr>
            </w:pPr>
            <w:r>
              <w:rPr>
                <w:rFonts w:hint="eastAsia"/>
                <w:szCs w:val="21"/>
              </w:rPr>
              <w:t>洒水降尘、加强通风管理</w:t>
            </w:r>
          </w:p>
        </w:tc>
        <w:tc>
          <w:tcPr>
            <w:tcW w:w="2410" w:type="dxa"/>
            <w:tcBorders>
              <w:top w:val="single" w:color="auto" w:sz="4" w:space="0"/>
              <w:right w:val="single" w:color="auto" w:sz="4" w:space="0"/>
            </w:tcBorders>
            <w:noWrap w:val="0"/>
            <w:vAlign w:val="top"/>
          </w:tcPr>
          <w:p>
            <w:pPr>
              <w:jc w:val="center"/>
              <w:rPr>
                <w:szCs w:val="21"/>
              </w:rPr>
            </w:pPr>
            <w:r>
              <w:rPr>
                <w:rFonts w:hint="eastAsia"/>
                <w:szCs w:val="21"/>
              </w:rPr>
              <w:t>无害化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33" w:hRule="atLeast"/>
        </w:trPr>
        <w:tc>
          <w:tcPr>
            <w:tcW w:w="807" w:type="dxa"/>
            <w:vMerge w:val="continue"/>
            <w:tcBorders>
              <w:right w:val="single" w:color="auto" w:sz="4" w:space="0"/>
            </w:tcBorders>
            <w:noWrap w:val="0"/>
            <w:vAlign w:val="center"/>
          </w:tcPr>
          <w:p>
            <w:pPr>
              <w:jc w:val="center"/>
              <w:rPr>
                <w:b/>
                <w:bCs/>
                <w:color w:val="000000"/>
                <w:szCs w:val="21"/>
              </w:rPr>
            </w:pPr>
          </w:p>
        </w:tc>
        <w:tc>
          <w:tcPr>
            <w:tcW w:w="1163" w:type="dxa"/>
            <w:vMerge w:val="restart"/>
            <w:tcBorders>
              <w:left w:val="single" w:color="auto" w:sz="4" w:space="0"/>
            </w:tcBorders>
            <w:noWrap w:val="0"/>
            <w:vAlign w:val="center"/>
          </w:tcPr>
          <w:p>
            <w:pPr>
              <w:jc w:val="center"/>
              <w:rPr>
                <w:szCs w:val="21"/>
              </w:rPr>
            </w:pPr>
            <w:r>
              <w:rPr>
                <w:rFonts w:hint="eastAsia"/>
                <w:szCs w:val="21"/>
              </w:rPr>
              <w:t>营运期</w:t>
            </w:r>
          </w:p>
        </w:tc>
        <w:tc>
          <w:tcPr>
            <w:tcW w:w="1716" w:type="dxa"/>
            <w:noWrap w:val="0"/>
            <w:vAlign w:val="center"/>
          </w:tcPr>
          <w:p>
            <w:pPr>
              <w:pStyle w:val="574"/>
              <w:autoSpaceDE/>
              <w:autoSpaceDN/>
              <w:adjustRightInd/>
              <w:textAlignment w:val="auto"/>
              <w:rPr>
                <w:rFonts w:hint="eastAsia" w:ascii="Times New Roman" w:hAnsi="Times New Roman"/>
                <w:sz w:val="21"/>
                <w:szCs w:val="21"/>
              </w:rPr>
            </w:pPr>
            <w:r>
              <w:rPr>
                <w:rFonts w:hint="eastAsia" w:ascii="Times New Roman" w:hAnsi="Times New Roman"/>
                <w:sz w:val="21"/>
                <w:szCs w:val="21"/>
              </w:rPr>
              <w:t>刀身打磨粉尘</w:t>
            </w:r>
          </w:p>
        </w:tc>
        <w:tc>
          <w:tcPr>
            <w:tcW w:w="3260" w:type="dxa"/>
            <w:noWrap w:val="0"/>
            <w:vAlign w:val="center"/>
          </w:tcPr>
          <w:p>
            <w:pPr>
              <w:jc w:val="center"/>
              <w:rPr>
                <w:bCs/>
                <w:color w:val="000000"/>
                <w:szCs w:val="21"/>
              </w:rPr>
            </w:pPr>
            <w:r>
              <w:rPr>
                <w:rFonts w:hint="eastAsia"/>
                <w:bCs/>
                <w:color w:val="000000"/>
                <w:szCs w:val="21"/>
              </w:rPr>
              <w:t>重力沉降</w:t>
            </w:r>
            <w:r>
              <w:rPr>
                <w:bCs/>
                <w:color w:val="000000"/>
                <w:szCs w:val="21"/>
              </w:rPr>
              <w:t>措施</w:t>
            </w:r>
          </w:p>
        </w:tc>
        <w:tc>
          <w:tcPr>
            <w:tcW w:w="2410" w:type="dxa"/>
            <w:vMerge w:val="restart"/>
            <w:tcBorders>
              <w:top w:val="single" w:color="auto" w:sz="4" w:space="0"/>
              <w:right w:val="single" w:color="auto" w:sz="4" w:space="0"/>
            </w:tcBorders>
            <w:noWrap w:val="0"/>
            <w:vAlign w:val="center"/>
          </w:tcPr>
          <w:p>
            <w:pPr>
              <w:jc w:val="center"/>
              <w:rPr>
                <w:color w:val="000000"/>
                <w:szCs w:val="21"/>
              </w:rPr>
            </w:pPr>
            <w:r>
              <w:rPr>
                <w:rFonts w:hint="eastAsia"/>
                <w:szCs w:val="21"/>
              </w:rPr>
              <w:t>《大气污染物综合排放标准》（GB16297-1996）表2二级标准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58" w:hRule="atLeast"/>
        </w:trPr>
        <w:tc>
          <w:tcPr>
            <w:tcW w:w="807" w:type="dxa"/>
            <w:vMerge w:val="continue"/>
            <w:tcBorders>
              <w:right w:val="single" w:color="auto" w:sz="4" w:space="0"/>
            </w:tcBorders>
            <w:noWrap w:val="0"/>
            <w:vAlign w:val="center"/>
          </w:tcPr>
          <w:p>
            <w:pPr>
              <w:jc w:val="center"/>
              <w:rPr>
                <w:b/>
                <w:bCs/>
                <w:color w:val="000000"/>
                <w:szCs w:val="21"/>
              </w:rPr>
            </w:pPr>
          </w:p>
        </w:tc>
        <w:tc>
          <w:tcPr>
            <w:tcW w:w="1163" w:type="dxa"/>
            <w:vMerge w:val="continue"/>
            <w:tcBorders>
              <w:left w:val="single" w:color="auto" w:sz="4" w:space="0"/>
            </w:tcBorders>
            <w:noWrap w:val="0"/>
            <w:vAlign w:val="center"/>
          </w:tcPr>
          <w:p>
            <w:pPr>
              <w:jc w:val="center"/>
              <w:rPr>
                <w:szCs w:val="21"/>
              </w:rPr>
            </w:pPr>
          </w:p>
        </w:tc>
        <w:tc>
          <w:tcPr>
            <w:tcW w:w="1716" w:type="dxa"/>
            <w:noWrap w:val="0"/>
            <w:vAlign w:val="center"/>
          </w:tcPr>
          <w:p>
            <w:pPr>
              <w:adjustRightInd w:val="0"/>
              <w:snapToGrid w:val="0"/>
              <w:jc w:val="center"/>
              <w:rPr>
                <w:szCs w:val="21"/>
              </w:rPr>
            </w:pPr>
            <w:r>
              <w:rPr>
                <w:rFonts w:hint="eastAsia"/>
                <w:szCs w:val="21"/>
              </w:rPr>
              <w:t>刀柄</w:t>
            </w:r>
            <w:r>
              <w:rPr>
                <w:szCs w:val="21"/>
              </w:rPr>
              <w:t>抛光粉尘</w:t>
            </w:r>
          </w:p>
        </w:tc>
        <w:tc>
          <w:tcPr>
            <w:tcW w:w="3260" w:type="dxa"/>
            <w:noWrap w:val="0"/>
            <w:vAlign w:val="center"/>
          </w:tcPr>
          <w:p>
            <w:pPr>
              <w:jc w:val="center"/>
              <w:rPr>
                <w:rFonts w:hint="eastAsia" w:eastAsia="宋体"/>
                <w:bCs/>
                <w:color w:val="000000"/>
                <w:szCs w:val="21"/>
                <w:lang w:eastAsia="zh-CN"/>
              </w:rPr>
            </w:pPr>
            <w:r>
              <w:rPr>
                <w:rFonts w:hint="eastAsia"/>
                <w:bCs/>
                <w:color w:val="000000"/>
                <w:szCs w:val="21"/>
              </w:rPr>
              <w:t>经</w:t>
            </w:r>
            <w:r>
              <w:rPr>
                <w:rFonts w:hint="eastAsia"/>
                <w:bCs/>
                <w:color w:val="000000"/>
                <w:szCs w:val="21"/>
                <w:lang w:eastAsia="zh-CN"/>
              </w:rPr>
              <w:t>布袋收尘设施收集</w:t>
            </w:r>
          </w:p>
        </w:tc>
        <w:tc>
          <w:tcPr>
            <w:tcW w:w="2410" w:type="dxa"/>
            <w:vMerge w:val="continue"/>
            <w:tcBorders>
              <w:right w:val="single" w:color="auto" w:sz="4" w:space="0"/>
            </w:tcBorders>
            <w:noWrap w:val="0"/>
            <w:vAlign w:val="center"/>
          </w:tcPr>
          <w:p>
            <w:pPr>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62" w:hRule="atLeast"/>
        </w:trPr>
        <w:tc>
          <w:tcPr>
            <w:tcW w:w="807" w:type="dxa"/>
            <w:vMerge w:val="continue"/>
            <w:tcBorders>
              <w:right w:val="single" w:color="auto" w:sz="4" w:space="0"/>
            </w:tcBorders>
            <w:noWrap w:val="0"/>
            <w:vAlign w:val="center"/>
          </w:tcPr>
          <w:p>
            <w:pPr>
              <w:jc w:val="center"/>
              <w:rPr>
                <w:b/>
                <w:bCs/>
                <w:color w:val="000000"/>
                <w:szCs w:val="21"/>
              </w:rPr>
            </w:pPr>
          </w:p>
        </w:tc>
        <w:tc>
          <w:tcPr>
            <w:tcW w:w="1163" w:type="dxa"/>
            <w:vMerge w:val="continue"/>
            <w:tcBorders>
              <w:left w:val="single" w:color="auto" w:sz="4" w:space="0"/>
            </w:tcBorders>
            <w:noWrap w:val="0"/>
            <w:vAlign w:val="center"/>
          </w:tcPr>
          <w:p>
            <w:pPr>
              <w:jc w:val="center"/>
              <w:rPr>
                <w:bCs/>
                <w:color w:val="000000"/>
                <w:szCs w:val="21"/>
              </w:rPr>
            </w:pPr>
          </w:p>
        </w:tc>
        <w:tc>
          <w:tcPr>
            <w:tcW w:w="1716" w:type="dxa"/>
            <w:noWrap w:val="0"/>
            <w:vAlign w:val="center"/>
          </w:tcPr>
          <w:p>
            <w:pPr>
              <w:adjustRightInd w:val="0"/>
              <w:snapToGrid w:val="0"/>
              <w:jc w:val="center"/>
              <w:rPr>
                <w:szCs w:val="21"/>
              </w:rPr>
            </w:pPr>
            <w:r>
              <w:rPr>
                <w:rFonts w:hint="eastAsia"/>
                <w:szCs w:val="21"/>
              </w:rPr>
              <w:t>淬火油烟</w:t>
            </w:r>
          </w:p>
        </w:tc>
        <w:tc>
          <w:tcPr>
            <w:tcW w:w="3260" w:type="dxa"/>
            <w:noWrap w:val="0"/>
            <w:vAlign w:val="center"/>
          </w:tcPr>
          <w:p>
            <w:pPr>
              <w:jc w:val="center"/>
              <w:rPr>
                <w:rFonts w:hint="eastAsia"/>
                <w:color w:val="000000"/>
                <w:szCs w:val="21"/>
              </w:rPr>
            </w:pPr>
            <w:r>
              <w:rPr>
                <w:rFonts w:hint="eastAsia"/>
                <w:bCs/>
                <w:szCs w:val="21"/>
              </w:rPr>
              <w:t>经“油烟净化器”处理后由15m高以上高空排放</w:t>
            </w:r>
          </w:p>
        </w:tc>
        <w:tc>
          <w:tcPr>
            <w:tcW w:w="2410" w:type="dxa"/>
            <w:vMerge w:val="continue"/>
            <w:tcBorders>
              <w:right w:val="single" w:color="auto" w:sz="4" w:space="0"/>
            </w:tcBorders>
            <w:noWrap w:val="0"/>
            <w:vAlign w:val="center"/>
          </w:tcPr>
          <w:p>
            <w:pPr>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62" w:hRule="atLeast"/>
        </w:trPr>
        <w:tc>
          <w:tcPr>
            <w:tcW w:w="807" w:type="dxa"/>
            <w:vMerge w:val="continue"/>
            <w:tcBorders>
              <w:right w:val="single" w:color="auto" w:sz="4" w:space="0"/>
            </w:tcBorders>
            <w:noWrap w:val="0"/>
            <w:vAlign w:val="center"/>
          </w:tcPr>
          <w:p>
            <w:pPr>
              <w:jc w:val="center"/>
              <w:rPr>
                <w:b/>
                <w:bCs/>
                <w:color w:val="000000"/>
                <w:szCs w:val="21"/>
              </w:rPr>
            </w:pPr>
          </w:p>
        </w:tc>
        <w:tc>
          <w:tcPr>
            <w:tcW w:w="1163" w:type="dxa"/>
            <w:vMerge w:val="continue"/>
            <w:tcBorders>
              <w:left w:val="single" w:color="auto" w:sz="4" w:space="0"/>
            </w:tcBorders>
            <w:noWrap w:val="0"/>
            <w:vAlign w:val="center"/>
          </w:tcPr>
          <w:p>
            <w:pPr>
              <w:jc w:val="center"/>
              <w:rPr>
                <w:bCs/>
                <w:color w:val="000000"/>
                <w:szCs w:val="21"/>
              </w:rPr>
            </w:pPr>
          </w:p>
        </w:tc>
        <w:tc>
          <w:tcPr>
            <w:tcW w:w="1716" w:type="dxa"/>
            <w:noWrap w:val="0"/>
            <w:vAlign w:val="center"/>
          </w:tcPr>
          <w:p>
            <w:pPr>
              <w:adjustRightInd w:val="0"/>
              <w:snapToGrid w:val="0"/>
              <w:jc w:val="center"/>
              <w:rPr>
                <w:rFonts w:hint="eastAsia"/>
                <w:szCs w:val="21"/>
              </w:rPr>
            </w:pPr>
            <w:r>
              <w:rPr>
                <w:rFonts w:hint="eastAsia"/>
                <w:szCs w:val="21"/>
              </w:rPr>
              <w:t>食堂油烟</w:t>
            </w:r>
          </w:p>
        </w:tc>
        <w:tc>
          <w:tcPr>
            <w:tcW w:w="3260" w:type="dxa"/>
            <w:noWrap w:val="0"/>
            <w:vAlign w:val="center"/>
          </w:tcPr>
          <w:p>
            <w:pPr>
              <w:jc w:val="center"/>
              <w:rPr>
                <w:rFonts w:hint="eastAsia"/>
                <w:bCs/>
                <w:szCs w:val="21"/>
              </w:rPr>
            </w:pPr>
            <w:r>
              <w:rPr>
                <w:rFonts w:hint="eastAsia"/>
                <w:bCs/>
                <w:szCs w:val="21"/>
              </w:rPr>
              <w:t>经“油烟净化器”处理后排放</w:t>
            </w:r>
          </w:p>
        </w:tc>
        <w:tc>
          <w:tcPr>
            <w:tcW w:w="2410" w:type="dxa"/>
            <w:tcBorders>
              <w:right w:val="single" w:color="auto" w:sz="4" w:space="0"/>
            </w:tcBorders>
            <w:noWrap w:val="0"/>
            <w:vAlign w:val="center"/>
          </w:tcPr>
          <w:p>
            <w:pPr>
              <w:jc w:val="center"/>
              <w:rPr>
                <w:color w:val="000000"/>
                <w:szCs w:val="21"/>
              </w:rPr>
            </w:pPr>
            <w:r>
              <w:rPr>
                <w:rFonts w:hint="eastAsia"/>
                <w:color w:val="000000"/>
                <w:szCs w:val="21"/>
              </w:rPr>
              <w:t>《饮食业油烟排放标准（试行）》（GB18483-2001）中最高允许排放浓度限值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65" w:hRule="atLeast"/>
        </w:trPr>
        <w:tc>
          <w:tcPr>
            <w:tcW w:w="807" w:type="dxa"/>
            <w:vMerge w:val="restart"/>
            <w:tcBorders>
              <w:right w:val="single" w:color="auto" w:sz="4" w:space="0"/>
            </w:tcBorders>
            <w:noWrap w:val="0"/>
            <w:vAlign w:val="center"/>
          </w:tcPr>
          <w:p>
            <w:pPr>
              <w:jc w:val="center"/>
              <w:rPr>
                <w:b/>
                <w:bCs/>
                <w:color w:val="000000"/>
                <w:szCs w:val="21"/>
              </w:rPr>
            </w:pPr>
            <w:r>
              <w:rPr>
                <w:b/>
                <w:bCs/>
                <w:color w:val="000000"/>
                <w:szCs w:val="21"/>
              </w:rPr>
              <w:t>水</w:t>
            </w:r>
          </w:p>
          <w:p>
            <w:pPr>
              <w:jc w:val="center"/>
              <w:rPr>
                <w:b/>
                <w:bCs/>
                <w:color w:val="000000"/>
                <w:szCs w:val="21"/>
              </w:rPr>
            </w:pPr>
            <w:r>
              <w:rPr>
                <w:b/>
                <w:bCs/>
                <w:color w:val="000000"/>
                <w:szCs w:val="21"/>
              </w:rPr>
              <w:t>污</w:t>
            </w:r>
          </w:p>
          <w:p>
            <w:pPr>
              <w:jc w:val="center"/>
              <w:rPr>
                <w:b/>
                <w:bCs/>
                <w:color w:val="000000"/>
                <w:szCs w:val="21"/>
              </w:rPr>
            </w:pPr>
            <w:r>
              <w:rPr>
                <w:b/>
                <w:bCs/>
                <w:color w:val="000000"/>
                <w:szCs w:val="21"/>
              </w:rPr>
              <w:t>染</w:t>
            </w:r>
          </w:p>
          <w:p>
            <w:pPr>
              <w:jc w:val="center"/>
              <w:rPr>
                <w:b/>
                <w:bCs/>
                <w:color w:val="000000"/>
                <w:szCs w:val="21"/>
              </w:rPr>
            </w:pPr>
            <w:r>
              <w:rPr>
                <w:b/>
                <w:bCs/>
                <w:color w:val="000000"/>
                <w:szCs w:val="21"/>
              </w:rPr>
              <w:t>物</w:t>
            </w:r>
          </w:p>
        </w:tc>
        <w:tc>
          <w:tcPr>
            <w:tcW w:w="1163" w:type="dxa"/>
            <w:vMerge w:val="restart"/>
            <w:tcBorders>
              <w:left w:val="single" w:color="auto" w:sz="4" w:space="0"/>
            </w:tcBorders>
            <w:noWrap w:val="0"/>
            <w:vAlign w:val="center"/>
          </w:tcPr>
          <w:p>
            <w:pPr>
              <w:jc w:val="center"/>
              <w:rPr>
                <w:bCs/>
                <w:color w:val="000000"/>
                <w:szCs w:val="21"/>
              </w:rPr>
            </w:pPr>
            <w:r>
              <w:rPr>
                <w:rFonts w:hint="eastAsia"/>
                <w:bCs/>
                <w:color w:val="000000"/>
                <w:szCs w:val="21"/>
              </w:rPr>
              <w:t>施工期</w:t>
            </w:r>
          </w:p>
        </w:tc>
        <w:tc>
          <w:tcPr>
            <w:tcW w:w="1716" w:type="dxa"/>
            <w:tcBorders>
              <w:bottom w:val="single" w:color="auto" w:sz="4" w:space="0"/>
            </w:tcBorders>
            <w:noWrap w:val="0"/>
            <w:vAlign w:val="center"/>
          </w:tcPr>
          <w:p>
            <w:pPr>
              <w:contextualSpacing/>
              <w:jc w:val="center"/>
              <w:textAlignment w:val="center"/>
              <w:rPr>
                <w:color w:val="000000"/>
                <w:szCs w:val="21"/>
              </w:rPr>
            </w:pPr>
            <w:r>
              <w:rPr>
                <w:rFonts w:hint="eastAsia"/>
                <w:color w:val="000000"/>
                <w:szCs w:val="21"/>
              </w:rPr>
              <w:t>施工场地废水</w:t>
            </w:r>
          </w:p>
        </w:tc>
        <w:tc>
          <w:tcPr>
            <w:tcW w:w="3260" w:type="dxa"/>
            <w:tcBorders>
              <w:bottom w:val="single" w:color="auto" w:sz="4" w:space="0"/>
            </w:tcBorders>
            <w:noWrap w:val="0"/>
            <w:vAlign w:val="center"/>
          </w:tcPr>
          <w:p>
            <w:pPr>
              <w:contextualSpacing/>
              <w:textAlignment w:val="center"/>
              <w:rPr>
                <w:rFonts w:hint="eastAsia"/>
                <w:color w:val="000000"/>
                <w:szCs w:val="21"/>
              </w:rPr>
            </w:pPr>
            <w:r>
              <w:rPr>
                <w:rFonts w:hint="eastAsia"/>
                <w:color w:val="000000"/>
                <w:szCs w:val="21"/>
              </w:rPr>
              <w:t>沉砂、隔油处理</w:t>
            </w:r>
          </w:p>
        </w:tc>
        <w:tc>
          <w:tcPr>
            <w:tcW w:w="2410" w:type="dxa"/>
            <w:tcBorders>
              <w:bottom w:val="single" w:color="auto" w:sz="4" w:space="0"/>
              <w:right w:val="single" w:color="auto" w:sz="4" w:space="0"/>
            </w:tcBorders>
            <w:noWrap w:val="0"/>
            <w:vAlign w:val="center"/>
          </w:tcPr>
          <w:p>
            <w:pPr>
              <w:contextualSpacing/>
              <w:textAlignment w:val="center"/>
              <w:rPr>
                <w:rFonts w:hint="eastAsia"/>
                <w:color w:val="000000"/>
                <w:szCs w:val="21"/>
              </w:rPr>
            </w:pPr>
            <w:r>
              <w:rPr>
                <w:rFonts w:hint="eastAsia"/>
                <w:color w:val="000000"/>
                <w:szCs w:val="21"/>
              </w:rPr>
              <w:t>工程回用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5" w:hRule="atLeast"/>
        </w:trPr>
        <w:tc>
          <w:tcPr>
            <w:tcW w:w="807" w:type="dxa"/>
            <w:vMerge w:val="continue"/>
            <w:tcBorders>
              <w:right w:val="single" w:color="auto" w:sz="4" w:space="0"/>
            </w:tcBorders>
            <w:noWrap w:val="0"/>
            <w:vAlign w:val="center"/>
          </w:tcPr>
          <w:p>
            <w:pPr>
              <w:jc w:val="center"/>
              <w:rPr>
                <w:b/>
                <w:bCs/>
                <w:color w:val="000000"/>
                <w:szCs w:val="21"/>
              </w:rPr>
            </w:pPr>
          </w:p>
        </w:tc>
        <w:tc>
          <w:tcPr>
            <w:tcW w:w="1163" w:type="dxa"/>
            <w:vMerge w:val="continue"/>
            <w:tcBorders>
              <w:left w:val="single" w:color="auto" w:sz="4" w:space="0"/>
            </w:tcBorders>
            <w:noWrap w:val="0"/>
            <w:vAlign w:val="center"/>
          </w:tcPr>
          <w:p>
            <w:pPr>
              <w:jc w:val="center"/>
              <w:rPr>
                <w:rFonts w:hint="eastAsia"/>
                <w:bCs/>
                <w:color w:val="000000"/>
                <w:szCs w:val="21"/>
              </w:rPr>
            </w:pPr>
          </w:p>
        </w:tc>
        <w:tc>
          <w:tcPr>
            <w:tcW w:w="1716" w:type="dxa"/>
            <w:tcBorders>
              <w:top w:val="single" w:color="auto" w:sz="4" w:space="0"/>
            </w:tcBorders>
            <w:noWrap w:val="0"/>
            <w:vAlign w:val="center"/>
          </w:tcPr>
          <w:p>
            <w:pPr>
              <w:contextualSpacing/>
              <w:jc w:val="center"/>
              <w:textAlignment w:val="center"/>
              <w:rPr>
                <w:color w:val="000000"/>
                <w:szCs w:val="21"/>
              </w:rPr>
            </w:pPr>
            <w:r>
              <w:rPr>
                <w:rFonts w:hint="eastAsia"/>
                <w:color w:val="000000"/>
                <w:szCs w:val="21"/>
              </w:rPr>
              <w:t>施工人员废水</w:t>
            </w:r>
          </w:p>
        </w:tc>
        <w:tc>
          <w:tcPr>
            <w:tcW w:w="3260" w:type="dxa"/>
            <w:tcBorders>
              <w:top w:val="single" w:color="auto" w:sz="4" w:space="0"/>
            </w:tcBorders>
            <w:noWrap w:val="0"/>
            <w:vAlign w:val="center"/>
          </w:tcPr>
          <w:p>
            <w:pPr>
              <w:contextualSpacing/>
              <w:textAlignment w:val="center"/>
              <w:rPr>
                <w:rFonts w:hint="eastAsia"/>
                <w:szCs w:val="21"/>
              </w:rPr>
            </w:pPr>
            <w:r>
              <w:rPr>
                <w:rFonts w:hint="eastAsia"/>
                <w:szCs w:val="21"/>
              </w:rPr>
              <w:t>依托周边污水处理设施处理</w:t>
            </w:r>
          </w:p>
        </w:tc>
        <w:tc>
          <w:tcPr>
            <w:tcW w:w="2410" w:type="dxa"/>
            <w:tcBorders>
              <w:top w:val="single" w:color="auto" w:sz="4" w:space="0"/>
              <w:right w:val="single" w:color="auto" w:sz="4" w:space="0"/>
            </w:tcBorders>
            <w:noWrap w:val="0"/>
            <w:vAlign w:val="center"/>
          </w:tcPr>
          <w:p>
            <w:pPr>
              <w:contextualSpacing/>
              <w:textAlignment w:val="center"/>
              <w:rPr>
                <w:rFonts w:hint="eastAsia"/>
                <w:color w:val="000000"/>
                <w:szCs w:val="21"/>
              </w:rPr>
            </w:pPr>
            <w:r>
              <w:rPr>
                <w:rFonts w:hint="eastAsia"/>
                <w:color w:val="000000"/>
                <w:szCs w:val="21"/>
              </w:rPr>
              <w:t>用作农肥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26" w:hRule="atLeast"/>
        </w:trPr>
        <w:tc>
          <w:tcPr>
            <w:tcW w:w="807" w:type="dxa"/>
            <w:vMerge w:val="continue"/>
            <w:tcBorders>
              <w:right w:val="single" w:color="auto" w:sz="4" w:space="0"/>
            </w:tcBorders>
            <w:noWrap w:val="0"/>
            <w:vAlign w:val="center"/>
          </w:tcPr>
          <w:p>
            <w:pPr>
              <w:jc w:val="center"/>
              <w:rPr>
                <w:b/>
                <w:bCs/>
                <w:color w:val="000000"/>
                <w:szCs w:val="21"/>
              </w:rPr>
            </w:pPr>
          </w:p>
        </w:tc>
        <w:tc>
          <w:tcPr>
            <w:tcW w:w="1163" w:type="dxa"/>
            <w:vMerge w:val="restart"/>
            <w:tcBorders>
              <w:left w:val="single" w:color="auto" w:sz="4" w:space="0"/>
              <w:right w:val="single" w:color="auto" w:sz="4" w:space="0"/>
            </w:tcBorders>
            <w:noWrap w:val="0"/>
            <w:vAlign w:val="center"/>
          </w:tcPr>
          <w:p>
            <w:pPr>
              <w:jc w:val="center"/>
              <w:rPr>
                <w:color w:val="000000"/>
                <w:szCs w:val="21"/>
              </w:rPr>
            </w:pPr>
            <w:r>
              <w:rPr>
                <w:rFonts w:hint="eastAsia"/>
                <w:szCs w:val="21"/>
              </w:rPr>
              <w:t>营运期</w:t>
            </w:r>
          </w:p>
        </w:tc>
        <w:tc>
          <w:tcPr>
            <w:tcW w:w="1716" w:type="dxa"/>
            <w:tcBorders>
              <w:left w:val="single" w:color="auto" w:sz="4" w:space="0"/>
              <w:right w:val="single" w:color="auto" w:sz="4" w:space="0"/>
            </w:tcBorders>
            <w:noWrap w:val="0"/>
            <w:vAlign w:val="center"/>
          </w:tcPr>
          <w:p>
            <w:pPr>
              <w:jc w:val="center"/>
              <w:rPr>
                <w:color w:val="000000"/>
                <w:szCs w:val="21"/>
              </w:rPr>
            </w:pPr>
            <w:r>
              <w:rPr>
                <w:color w:val="000000"/>
                <w:szCs w:val="21"/>
              </w:rPr>
              <w:t>生活污水</w:t>
            </w:r>
          </w:p>
        </w:tc>
        <w:tc>
          <w:tcPr>
            <w:tcW w:w="3260" w:type="dxa"/>
            <w:tcBorders>
              <w:top w:val="single" w:color="auto" w:sz="4" w:space="0"/>
              <w:left w:val="single" w:color="auto" w:sz="4" w:space="0"/>
              <w:right w:val="single" w:color="auto" w:sz="4" w:space="0"/>
            </w:tcBorders>
            <w:noWrap w:val="0"/>
            <w:vAlign w:val="center"/>
          </w:tcPr>
          <w:p>
            <w:pPr>
              <w:jc w:val="center"/>
              <w:rPr>
                <w:rFonts w:hint="eastAsia"/>
                <w:color w:val="000000"/>
                <w:szCs w:val="21"/>
              </w:rPr>
            </w:pPr>
            <w:r>
              <w:rPr>
                <w:color w:val="000000"/>
                <w:szCs w:val="21"/>
              </w:rPr>
              <w:t>生活污水经三级化粪池预处理后</w:t>
            </w:r>
            <w:r>
              <w:rPr>
                <w:rFonts w:hint="eastAsia"/>
                <w:color w:val="000000"/>
                <w:szCs w:val="21"/>
              </w:rPr>
              <w:t>用作农肥</w:t>
            </w:r>
          </w:p>
        </w:tc>
        <w:tc>
          <w:tcPr>
            <w:tcW w:w="2410" w:type="dxa"/>
            <w:tcBorders>
              <w:top w:val="single" w:color="auto" w:sz="4" w:space="0"/>
              <w:left w:val="single" w:color="auto" w:sz="4" w:space="0"/>
              <w:right w:val="single" w:color="auto" w:sz="4" w:space="0"/>
            </w:tcBorders>
            <w:noWrap w:val="0"/>
            <w:vAlign w:val="center"/>
          </w:tcPr>
          <w:p>
            <w:pPr>
              <w:jc w:val="center"/>
              <w:rPr>
                <w:color w:val="000000"/>
                <w:szCs w:val="21"/>
              </w:rPr>
            </w:pPr>
            <w:r>
              <w:rPr>
                <w:rFonts w:hint="eastAsia"/>
                <w:color w:val="000000"/>
                <w:szCs w:val="21"/>
              </w:rPr>
              <w:t>综合利用，不外排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26" w:hRule="atLeast"/>
        </w:trPr>
        <w:tc>
          <w:tcPr>
            <w:tcW w:w="807" w:type="dxa"/>
            <w:vMerge w:val="continue"/>
            <w:tcBorders>
              <w:right w:val="single" w:color="auto" w:sz="4" w:space="0"/>
            </w:tcBorders>
            <w:noWrap w:val="0"/>
            <w:vAlign w:val="center"/>
          </w:tcPr>
          <w:p>
            <w:pPr>
              <w:jc w:val="center"/>
              <w:rPr>
                <w:b/>
                <w:bCs/>
                <w:color w:val="000000"/>
                <w:szCs w:val="21"/>
              </w:rPr>
            </w:pPr>
          </w:p>
        </w:tc>
        <w:tc>
          <w:tcPr>
            <w:tcW w:w="1163" w:type="dxa"/>
            <w:vMerge w:val="continue"/>
            <w:tcBorders>
              <w:left w:val="single" w:color="auto" w:sz="4" w:space="0"/>
              <w:right w:val="single" w:color="auto" w:sz="4" w:space="0"/>
            </w:tcBorders>
            <w:noWrap w:val="0"/>
            <w:vAlign w:val="center"/>
          </w:tcPr>
          <w:p>
            <w:pPr>
              <w:jc w:val="center"/>
              <w:rPr>
                <w:rFonts w:hint="eastAsia"/>
                <w:szCs w:val="21"/>
              </w:rPr>
            </w:pPr>
          </w:p>
        </w:tc>
        <w:tc>
          <w:tcPr>
            <w:tcW w:w="1716" w:type="dxa"/>
            <w:tcBorders>
              <w:left w:val="single" w:color="auto" w:sz="4" w:space="0"/>
              <w:right w:val="single" w:color="auto" w:sz="4" w:space="0"/>
            </w:tcBorders>
            <w:noWrap w:val="0"/>
            <w:vAlign w:val="center"/>
          </w:tcPr>
          <w:p>
            <w:pPr>
              <w:jc w:val="center"/>
              <w:rPr>
                <w:rFonts w:hint="eastAsia" w:eastAsia="宋体"/>
                <w:color w:val="000000"/>
                <w:szCs w:val="21"/>
                <w:lang w:eastAsia="zh-CN"/>
              </w:rPr>
            </w:pPr>
            <w:r>
              <w:rPr>
                <w:rFonts w:hint="eastAsia"/>
                <w:color w:val="000000"/>
                <w:szCs w:val="21"/>
                <w:lang w:eastAsia="zh-CN"/>
              </w:rPr>
              <w:t>打磨废水</w:t>
            </w:r>
          </w:p>
        </w:tc>
        <w:tc>
          <w:tcPr>
            <w:tcW w:w="3260" w:type="dxa"/>
            <w:tcBorders>
              <w:top w:val="single" w:color="auto" w:sz="4" w:space="0"/>
              <w:left w:val="single" w:color="auto" w:sz="4" w:space="0"/>
              <w:right w:val="single" w:color="auto" w:sz="4" w:space="0"/>
            </w:tcBorders>
            <w:noWrap w:val="0"/>
            <w:vAlign w:val="center"/>
          </w:tcPr>
          <w:p>
            <w:pPr>
              <w:jc w:val="center"/>
              <w:rPr>
                <w:rFonts w:hint="eastAsia" w:eastAsia="宋体"/>
                <w:color w:val="000000"/>
                <w:szCs w:val="21"/>
                <w:lang w:eastAsia="zh-CN"/>
              </w:rPr>
            </w:pPr>
            <w:r>
              <w:rPr>
                <w:rFonts w:hint="eastAsia"/>
                <w:color w:val="000000"/>
                <w:szCs w:val="21"/>
                <w:lang w:eastAsia="zh-CN"/>
              </w:rPr>
              <w:t>经沉淀池处理后回用</w:t>
            </w:r>
          </w:p>
        </w:tc>
        <w:tc>
          <w:tcPr>
            <w:tcW w:w="2410" w:type="dxa"/>
            <w:tcBorders>
              <w:top w:val="single" w:color="auto" w:sz="4" w:space="0"/>
              <w:left w:val="single" w:color="auto" w:sz="4" w:space="0"/>
              <w:right w:val="single" w:color="auto" w:sz="4" w:space="0"/>
            </w:tcBorders>
            <w:noWrap w:val="0"/>
            <w:vAlign w:val="center"/>
          </w:tcPr>
          <w:p>
            <w:pPr>
              <w:jc w:val="center"/>
              <w:rPr>
                <w:rFonts w:hint="eastAsia" w:eastAsia="宋体"/>
                <w:color w:val="000000"/>
                <w:szCs w:val="21"/>
                <w:lang w:eastAsia="zh-CN"/>
              </w:rPr>
            </w:pPr>
            <w:r>
              <w:rPr>
                <w:rFonts w:hint="eastAsia"/>
                <w:color w:val="000000"/>
                <w:szCs w:val="21"/>
                <w:lang w:eastAsia="zh-CN"/>
              </w:rPr>
              <w:t>循环使用，不外排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97" w:hRule="atLeast"/>
        </w:trPr>
        <w:tc>
          <w:tcPr>
            <w:tcW w:w="807" w:type="dxa"/>
            <w:vMerge w:val="restart"/>
            <w:tcBorders>
              <w:right w:val="single" w:color="auto" w:sz="4" w:space="0"/>
            </w:tcBorders>
            <w:noWrap w:val="0"/>
            <w:vAlign w:val="center"/>
          </w:tcPr>
          <w:p>
            <w:pPr>
              <w:jc w:val="center"/>
              <w:rPr>
                <w:b/>
                <w:bCs/>
                <w:color w:val="000000"/>
                <w:szCs w:val="21"/>
              </w:rPr>
            </w:pPr>
            <w:r>
              <w:rPr>
                <w:b/>
                <w:bCs/>
                <w:color w:val="000000"/>
                <w:szCs w:val="21"/>
              </w:rPr>
              <w:t>固</w:t>
            </w:r>
          </w:p>
          <w:p>
            <w:pPr>
              <w:jc w:val="center"/>
              <w:rPr>
                <w:b/>
                <w:bCs/>
                <w:color w:val="000000"/>
                <w:szCs w:val="21"/>
              </w:rPr>
            </w:pPr>
            <w:r>
              <w:rPr>
                <w:b/>
                <w:bCs/>
                <w:color w:val="000000"/>
                <w:szCs w:val="21"/>
              </w:rPr>
              <w:t>体</w:t>
            </w:r>
          </w:p>
          <w:p>
            <w:pPr>
              <w:jc w:val="center"/>
              <w:rPr>
                <w:b/>
                <w:bCs/>
                <w:color w:val="000000"/>
                <w:szCs w:val="21"/>
              </w:rPr>
            </w:pPr>
            <w:r>
              <w:rPr>
                <w:b/>
                <w:bCs/>
                <w:color w:val="000000"/>
                <w:szCs w:val="21"/>
              </w:rPr>
              <w:t>废</w:t>
            </w:r>
          </w:p>
          <w:p>
            <w:pPr>
              <w:jc w:val="center"/>
              <w:rPr>
                <w:b/>
                <w:bCs/>
                <w:color w:val="000000"/>
                <w:szCs w:val="21"/>
              </w:rPr>
            </w:pPr>
            <w:r>
              <w:rPr>
                <w:b/>
                <w:bCs/>
                <w:color w:val="000000"/>
                <w:szCs w:val="21"/>
              </w:rPr>
              <w:t>物</w:t>
            </w:r>
          </w:p>
        </w:tc>
        <w:tc>
          <w:tcPr>
            <w:tcW w:w="1163" w:type="dxa"/>
            <w:tcBorders>
              <w:left w:val="single" w:color="auto" w:sz="4" w:space="0"/>
              <w:right w:val="single" w:color="auto" w:sz="4" w:space="0"/>
            </w:tcBorders>
            <w:noWrap w:val="0"/>
            <w:vAlign w:val="center"/>
          </w:tcPr>
          <w:p>
            <w:pPr>
              <w:jc w:val="center"/>
              <w:rPr>
                <w:color w:val="000000"/>
                <w:szCs w:val="21"/>
              </w:rPr>
            </w:pPr>
            <w:r>
              <w:rPr>
                <w:rFonts w:hint="eastAsia"/>
                <w:color w:val="000000"/>
                <w:szCs w:val="21"/>
              </w:rPr>
              <w:t>施工期</w:t>
            </w:r>
          </w:p>
        </w:tc>
        <w:tc>
          <w:tcPr>
            <w:tcW w:w="1716" w:type="dxa"/>
            <w:tcBorders>
              <w:left w:val="single" w:color="auto" w:sz="4" w:space="0"/>
              <w:bottom w:val="single" w:color="auto" w:sz="4" w:space="0"/>
              <w:right w:val="single" w:color="auto" w:sz="4" w:space="0"/>
            </w:tcBorders>
            <w:noWrap w:val="0"/>
            <w:vAlign w:val="center"/>
          </w:tcPr>
          <w:p>
            <w:pPr>
              <w:contextualSpacing/>
              <w:jc w:val="center"/>
              <w:textAlignment w:val="center"/>
              <w:rPr>
                <w:szCs w:val="21"/>
              </w:rPr>
            </w:pPr>
            <w:r>
              <w:rPr>
                <w:szCs w:val="21"/>
              </w:rPr>
              <w:t>建筑垃圾、生活垃圾</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contextualSpacing/>
              <w:textAlignment w:val="center"/>
              <w:rPr>
                <w:szCs w:val="21"/>
              </w:rPr>
            </w:pPr>
            <w:r>
              <w:rPr>
                <w:szCs w:val="21"/>
              </w:rPr>
              <w:t>生活垃圾统一由市政环卫部门清运，建筑垃圾指定地点倾倒</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contextualSpacing/>
              <w:textAlignment w:val="center"/>
              <w:rPr>
                <w:szCs w:val="21"/>
              </w:rPr>
            </w:pPr>
            <w:r>
              <w:rPr>
                <w:szCs w:val="21"/>
              </w:rPr>
              <w:t>可实现无害化处置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5" w:hRule="atLeast"/>
        </w:trPr>
        <w:tc>
          <w:tcPr>
            <w:tcW w:w="807" w:type="dxa"/>
            <w:vMerge w:val="continue"/>
            <w:tcBorders>
              <w:right w:val="single" w:color="auto" w:sz="4" w:space="0"/>
            </w:tcBorders>
            <w:noWrap w:val="0"/>
            <w:vAlign w:val="center"/>
          </w:tcPr>
          <w:p>
            <w:pPr>
              <w:jc w:val="center"/>
              <w:rPr>
                <w:b/>
                <w:bCs/>
                <w:color w:val="000000"/>
                <w:szCs w:val="21"/>
              </w:rPr>
            </w:pPr>
          </w:p>
        </w:tc>
        <w:tc>
          <w:tcPr>
            <w:tcW w:w="1163" w:type="dxa"/>
            <w:vMerge w:val="restart"/>
            <w:tcBorders>
              <w:left w:val="single" w:color="auto" w:sz="4" w:space="0"/>
              <w:right w:val="single" w:color="auto" w:sz="4" w:space="0"/>
            </w:tcBorders>
            <w:noWrap w:val="0"/>
            <w:vAlign w:val="center"/>
          </w:tcPr>
          <w:p>
            <w:pPr>
              <w:jc w:val="center"/>
              <w:rPr>
                <w:color w:val="000000"/>
                <w:szCs w:val="21"/>
              </w:rPr>
            </w:pPr>
            <w:r>
              <w:rPr>
                <w:rFonts w:hint="eastAsia"/>
                <w:color w:val="000000"/>
                <w:szCs w:val="21"/>
              </w:rPr>
              <w:t>营运期</w:t>
            </w:r>
          </w:p>
        </w:tc>
        <w:tc>
          <w:tcPr>
            <w:tcW w:w="1716" w:type="dxa"/>
            <w:tcBorders>
              <w:right w:val="single" w:color="auto" w:sz="4" w:space="0"/>
            </w:tcBorders>
            <w:noWrap w:val="0"/>
            <w:vAlign w:val="center"/>
          </w:tcPr>
          <w:p>
            <w:pPr>
              <w:jc w:val="center"/>
              <w:rPr>
                <w:szCs w:val="21"/>
              </w:rPr>
            </w:pPr>
            <w:r>
              <w:rPr>
                <w:rFonts w:hint="eastAsia"/>
                <w:szCs w:val="21"/>
              </w:rPr>
              <w:t>除尘灰</w:t>
            </w:r>
          </w:p>
        </w:tc>
        <w:tc>
          <w:tcPr>
            <w:tcW w:w="3260" w:type="dxa"/>
            <w:vMerge w:val="restart"/>
            <w:tcBorders>
              <w:right w:val="single" w:color="auto" w:sz="4" w:space="0"/>
            </w:tcBorders>
            <w:noWrap w:val="0"/>
            <w:vAlign w:val="center"/>
          </w:tcPr>
          <w:p>
            <w:pPr>
              <w:jc w:val="center"/>
              <w:rPr>
                <w:color w:val="000000"/>
                <w:szCs w:val="21"/>
              </w:rPr>
            </w:pPr>
            <w:r>
              <w:rPr>
                <w:rFonts w:hint="eastAsia"/>
                <w:color w:val="000000"/>
                <w:szCs w:val="21"/>
              </w:rPr>
              <w:t>收集后交由当地环卫部门统一清运至垃圾填埋场处置</w:t>
            </w:r>
          </w:p>
        </w:tc>
        <w:tc>
          <w:tcPr>
            <w:tcW w:w="2410" w:type="dxa"/>
            <w:vMerge w:val="restart"/>
            <w:tcBorders>
              <w:right w:val="single" w:color="auto" w:sz="4" w:space="0"/>
            </w:tcBorders>
            <w:noWrap w:val="0"/>
            <w:vAlign w:val="center"/>
          </w:tcPr>
          <w:p>
            <w:pPr>
              <w:rPr>
                <w:color w:val="000000"/>
                <w:szCs w:val="21"/>
              </w:rPr>
            </w:pPr>
            <w:r>
              <w:rPr>
                <w:rFonts w:hint="eastAsia"/>
                <w:color w:val="000000"/>
                <w:szCs w:val="21"/>
              </w:rPr>
              <w:t>全部妥善处置</w:t>
            </w:r>
            <w:r>
              <w:rPr>
                <w:color w:val="000000"/>
                <w:szCs w:val="21"/>
              </w:rPr>
              <w:t>，不会对环境造成影响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48" w:hRule="atLeast"/>
        </w:trPr>
        <w:tc>
          <w:tcPr>
            <w:tcW w:w="807" w:type="dxa"/>
            <w:vMerge w:val="continue"/>
            <w:tcBorders>
              <w:right w:val="single" w:color="auto" w:sz="4" w:space="0"/>
            </w:tcBorders>
            <w:noWrap w:val="0"/>
            <w:vAlign w:val="center"/>
          </w:tcPr>
          <w:p>
            <w:pPr>
              <w:jc w:val="center"/>
              <w:rPr>
                <w:b/>
                <w:bCs/>
                <w:color w:val="000000"/>
                <w:szCs w:val="21"/>
              </w:rPr>
            </w:pPr>
          </w:p>
        </w:tc>
        <w:tc>
          <w:tcPr>
            <w:tcW w:w="1163" w:type="dxa"/>
            <w:vMerge w:val="continue"/>
            <w:tcBorders>
              <w:left w:val="single" w:color="auto" w:sz="4" w:space="0"/>
              <w:right w:val="single" w:color="auto" w:sz="4" w:space="0"/>
            </w:tcBorders>
            <w:noWrap w:val="0"/>
            <w:vAlign w:val="center"/>
          </w:tcPr>
          <w:p>
            <w:pPr>
              <w:jc w:val="center"/>
              <w:rPr>
                <w:color w:val="000000"/>
                <w:szCs w:val="21"/>
              </w:rPr>
            </w:pPr>
          </w:p>
        </w:tc>
        <w:tc>
          <w:tcPr>
            <w:tcW w:w="1716" w:type="dxa"/>
            <w:tcBorders>
              <w:top w:val="single" w:color="auto" w:sz="4" w:space="0"/>
              <w:right w:val="single" w:color="auto" w:sz="4" w:space="0"/>
            </w:tcBorders>
            <w:noWrap w:val="0"/>
            <w:vAlign w:val="top"/>
          </w:tcPr>
          <w:p>
            <w:pPr>
              <w:ind w:firstLine="210" w:firstLineChars="100"/>
              <w:rPr>
                <w:rFonts w:hint="eastAsia"/>
                <w:szCs w:val="21"/>
              </w:rPr>
            </w:pPr>
            <w:r>
              <w:rPr>
                <w:rFonts w:hint="eastAsia"/>
                <w:szCs w:val="21"/>
              </w:rPr>
              <w:t>生活垃圾</w:t>
            </w:r>
          </w:p>
        </w:tc>
        <w:tc>
          <w:tcPr>
            <w:tcW w:w="3260" w:type="dxa"/>
            <w:vMerge w:val="continue"/>
            <w:tcBorders>
              <w:bottom w:val="single" w:color="auto" w:sz="4" w:space="0"/>
              <w:right w:val="single" w:color="auto" w:sz="4" w:space="0"/>
            </w:tcBorders>
            <w:noWrap w:val="0"/>
            <w:vAlign w:val="center"/>
          </w:tcPr>
          <w:p>
            <w:pPr>
              <w:jc w:val="center"/>
              <w:rPr>
                <w:color w:val="000000"/>
                <w:szCs w:val="21"/>
              </w:rPr>
            </w:pPr>
          </w:p>
        </w:tc>
        <w:tc>
          <w:tcPr>
            <w:tcW w:w="2410" w:type="dxa"/>
            <w:vMerge w:val="continue"/>
            <w:tcBorders>
              <w:right w:val="single" w:color="auto" w:sz="4" w:space="0"/>
            </w:tcBorders>
            <w:noWrap w:val="0"/>
            <w:vAlign w:val="center"/>
          </w:tcPr>
          <w:p>
            <w:pPr>
              <w:ind w:firstLine="420" w:firstLineChars="200"/>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atLeast"/>
        </w:trPr>
        <w:tc>
          <w:tcPr>
            <w:tcW w:w="807" w:type="dxa"/>
            <w:vMerge w:val="continue"/>
            <w:tcBorders>
              <w:right w:val="single" w:color="auto" w:sz="4" w:space="0"/>
            </w:tcBorders>
            <w:noWrap w:val="0"/>
            <w:vAlign w:val="center"/>
          </w:tcPr>
          <w:p>
            <w:pPr>
              <w:jc w:val="center"/>
              <w:rPr>
                <w:b/>
                <w:bCs/>
                <w:color w:val="000000"/>
                <w:szCs w:val="21"/>
              </w:rPr>
            </w:pPr>
          </w:p>
        </w:tc>
        <w:tc>
          <w:tcPr>
            <w:tcW w:w="1163" w:type="dxa"/>
            <w:vMerge w:val="continue"/>
            <w:tcBorders>
              <w:left w:val="single" w:color="auto" w:sz="4" w:space="0"/>
              <w:right w:val="single" w:color="auto" w:sz="4" w:space="0"/>
            </w:tcBorders>
            <w:noWrap w:val="0"/>
            <w:vAlign w:val="center"/>
          </w:tcPr>
          <w:p>
            <w:pPr>
              <w:jc w:val="center"/>
              <w:rPr>
                <w:color w:val="000000"/>
                <w:szCs w:val="21"/>
              </w:rPr>
            </w:pPr>
          </w:p>
        </w:tc>
        <w:tc>
          <w:tcPr>
            <w:tcW w:w="1716" w:type="dxa"/>
            <w:tcBorders>
              <w:top w:val="single" w:color="auto" w:sz="4" w:space="0"/>
              <w:right w:val="single" w:color="auto" w:sz="4" w:space="0"/>
            </w:tcBorders>
            <w:noWrap w:val="0"/>
            <w:vAlign w:val="top"/>
          </w:tcPr>
          <w:p>
            <w:pPr>
              <w:rPr>
                <w:rFonts w:hint="eastAsia"/>
                <w:szCs w:val="21"/>
              </w:rPr>
            </w:pPr>
            <w:r>
              <w:rPr>
                <w:rFonts w:hint="eastAsia"/>
                <w:szCs w:val="21"/>
              </w:rPr>
              <w:t>污水预处理池污泥</w:t>
            </w:r>
          </w:p>
        </w:tc>
        <w:tc>
          <w:tcPr>
            <w:tcW w:w="3260" w:type="dxa"/>
            <w:tcBorders>
              <w:top w:val="single" w:color="auto" w:sz="4" w:space="0"/>
              <w:right w:val="single" w:color="auto" w:sz="4" w:space="0"/>
            </w:tcBorders>
            <w:noWrap w:val="0"/>
            <w:vAlign w:val="center"/>
          </w:tcPr>
          <w:p>
            <w:pPr>
              <w:jc w:val="center"/>
              <w:rPr>
                <w:color w:val="000000"/>
                <w:szCs w:val="21"/>
              </w:rPr>
            </w:pPr>
            <w:r>
              <w:rPr>
                <w:rFonts w:hint="eastAsia"/>
                <w:color w:val="000000"/>
                <w:szCs w:val="21"/>
              </w:rPr>
              <w:t>定期清掏用作农肥</w:t>
            </w:r>
          </w:p>
        </w:tc>
        <w:tc>
          <w:tcPr>
            <w:tcW w:w="2410" w:type="dxa"/>
            <w:vMerge w:val="continue"/>
            <w:tcBorders>
              <w:right w:val="single" w:color="auto" w:sz="4" w:space="0"/>
            </w:tcBorders>
            <w:noWrap w:val="0"/>
            <w:vAlign w:val="center"/>
          </w:tcPr>
          <w:p>
            <w:pPr>
              <w:ind w:firstLine="420" w:firstLineChars="200"/>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5" w:hRule="atLeast"/>
        </w:trPr>
        <w:tc>
          <w:tcPr>
            <w:tcW w:w="807" w:type="dxa"/>
            <w:vMerge w:val="continue"/>
            <w:tcBorders>
              <w:right w:val="single" w:color="auto" w:sz="4" w:space="0"/>
            </w:tcBorders>
            <w:noWrap w:val="0"/>
            <w:vAlign w:val="center"/>
          </w:tcPr>
          <w:p>
            <w:pPr>
              <w:jc w:val="center"/>
              <w:rPr>
                <w:b/>
                <w:bCs/>
                <w:color w:val="000000"/>
                <w:szCs w:val="21"/>
              </w:rPr>
            </w:pPr>
          </w:p>
        </w:tc>
        <w:tc>
          <w:tcPr>
            <w:tcW w:w="1163" w:type="dxa"/>
            <w:vMerge w:val="continue"/>
            <w:tcBorders>
              <w:left w:val="single" w:color="auto" w:sz="4" w:space="0"/>
              <w:right w:val="single" w:color="auto" w:sz="4" w:space="0"/>
            </w:tcBorders>
            <w:noWrap w:val="0"/>
            <w:vAlign w:val="center"/>
          </w:tcPr>
          <w:p>
            <w:pPr>
              <w:jc w:val="center"/>
              <w:rPr>
                <w:color w:val="000000"/>
                <w:szCs w:val="21"/>
              </w:rPr>
            </w:pPr>
          </w:p>
        </w:tc>
        <w:tc>
          <w:tcPr>
            <w:tcW w:w="1716" w:type="dxa"/>
            <w:tcBorders>
              <w:top w:val="single" w:color="auto" w:sz="4" w:space="0"/>
              <w:right w:val="single" w:color="auto" w:sz="4" w:space="0"/>
            </w:tcBorders>
            <w:noWrap w:val="0"/>
            <w:vAlign w:val="top"/>
          </w:tcPr>
          <w:p>
            <w:pPr>
              <w:rPr>
                <w:rFonts w:hint="eastAsia"/>
                <w:szCs w:val="21"/>
              </w:rPr>
            </w:pPr>
            <w:r>
              <w:rPr>
                <w:rFonts w:hint="eastAsia"/>
                <w:szCs w:val="21"/>
              </w:rPr>
              <w:t>不合格产品</w:t>
            </w:r>
          </w:p>
        </w:tc>
        <w:tc>
          <w:tcPr>
            <w:tcW w:w="3260" w:type="dxa"/>
            <w:tcBorders>
              <w:top w:val="single" w:color="auto" w:sz="4" w:space="0"/>
              <w:right w:val="single" w:color="auto" w:sz="4" w:space="0"/>
            </w:tcBorders>
            <w:noWrap w:val="0"/>
            <w:vAlign w:val="center"/>
          </w:tcPr>
          <w:p>
            <w:pPr>
              <w:adjustRightInd w:val="0"/>
              <w:snapToGrid w:val="0"/>
              <w:jc w:val="center"/>
              <w:rPr>
                <w:rFonts w:hint="eastAsia" w:hAnsi="宋体"/>
                <w:color w:val="000000"/>
                <w:szCs w:val="21"/>
              </w:rPr>
            </w:pPr>
            <w:r>
              <w:rPr>
                <w:rFonts w:hint="eastAsia" w:hAnsi="宋体"/>
                <w:color w:val="000000"/>
                <w:szCs w:val="21"/>
              </w:rPr>
              <w:t>出售给相关回收单位综合利用</w:t>
            </w:r>
          </w:p>
        </w:tc>
        <w:tc>
          <w:tcPr>
            <w:tcW w:w="2410" w:type="dxa"/>
            <w:vMerge w:val="continue"/>
            <w:tcBorders>
              <w:right w:val="single" w:color="auto" w:sz="4" w:space="0"/>
            </w:tcBorders>
            <w:noWrap w:val="0"/>
            <w:vAlign w:val="center"/>
          </w:tcPr>
          <w:p>
            <w:pPr>
              <w:ind w:firstLine="420" w:firstLineChars="200"/>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99" w:hRule="atLeast"/>
        </w:trPr>
        <w:tc>
          <w:tcPr>
            <w:tcW w:w="807" w:type="dxa"/>
            <w:vMerge w:val="continue"/>
            <w:tcBorders>
              <w:right w:val="single" w:color="auto" w:sz="4" w:space="0"/>
            </w:tcBorders>
            <w:noWrap w:val="0"/>
            <w:vAlign w:val="center"/>
          </w:tcPr>
          <w:p>
            <w:pPr>
              <w:jc w:val="center"/>
              <w:rPr>
                <w:b/>
                <w:bCs/>
                <w:color w:val="000000"/>
                <w:szCs w:val="21"/>
              </w:rPr>
            </w:pPr>
          </w:p>
        </w:tc>
        <w:tc>
          <w:tcPr>
            <w:tcW w:w="1163" w:type="dxa"/>
            <w:vMerge w:val="continue"/>
            <w:tcBorders>
              <w:left w:val="single" w:color="auto" w:sz="4" w:space="0"/>
              <w:right w:val="single" w:color="auto" w:sz="4" w:space="0"/>
            </w:tcBorders>
            <w:noWrap w:val="0"/>
            <w:vAlign w:val="center"/>
          </w:tcPr>
          <w:p>
            <w:pPr>
              <w:jc w:val="center"/>
              <w:rPr>
                <w:color w:val="000000"/>
                <w:szCs w:val="21"/>
              </w:rPr>
            </w:pPr>
          </w:p>
        </w:tc>
        <w:tc>
          <w:tcPr>
            <w:tcW w:w="1716" w:type="dxa"/>
            <w:tcBorders>
              <w:top w:val="single" w:color="auto" w:sz="4" w:space="0"/>
              <w:right w:val="single" w:color="auto" w:sz="4" w:space="0"/>
            </w:tcBorders>
            <w:noWrap w:val="0"/>
            <w:vAlign w:val="top"/>
          </w:tcPr>
          <w:p>
            <w:pPr>
              <w:rPr>
                <w:rFonts w:hint="eastAsia"/>
                <w:szCs w:val="21"/>
              </w:rPr>
            </w:pPr>
            <w:r>
              <w:rPr>
                <w:rFonts w:hint="eastAsia"/>
                <w:szCs w:val="21"/>
              </w:rPr>
              <w:t>油浸淬火废泥</w:t>
            </w:r>
          </w:p>
        </w:tc>
        <w:tc>
          <w:tcPr>
            <w:tcW w:w="3260" w:type="dxa"/>
            <w:tcBorders>
              <w:top w:val="single" w:color="auto" w:sz="4" w:space="0"/>
              <w:right w:val="single" w:color="auto" w:sz="4" w:space="0"/>
            </w:tcBorders>
            <w:noWrap w:val="0"/>
            <w:vAlign w:val="center"/>
          </w:tcPr>
          <w:p>
            <w:pPr>
              <w:jc w:val="center"/>
              <w:rPr>
                <w:color w:val="000000"/>
                <w:szCs w:val="21"/>
              </w:rPr>
            </w:pPr>
            <w:r>
              <w:rPr>
                <w:rFonts w:hint="eastAsia"/>
                <w:color w:val="000000"/>
                <w:szCs w:val="21"/>
              </w:rPr>
              <w:t>收集后交由当地环卫部门统一清运至垃圾填埋场处置</w:t>
            </w:r>
          </w:p>
        </w:tc>
        <w:tc>
          <w:tcPr>
            <w:tcW w:w="2410" w:type="dxa"/>
            <w:vMerge w:val="continue"/>
            <w:tcBorders>
              <w:right w:val="single" w:color="auto" w:sz="4" w:space="0"/>
            </w:tcBorders>
            <w:noWrap w:val="0"/>
            <w:vAlign w:val="center"/>
          </w:tcPr>
          <w:p>
            <w:pPr>
              <w:ind w:firstLine="420" w:firstLineChars="200"/>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99" w:hRule="atLeast"/>
        </w:trPr>
        <w:tc>
          <w:tcPr>
            <w:tcW w:w="807" w:type="dxa"/>
            <w:vMerge w:val="continue"/>
            <w:tcBorders>
              <w:right w:val="single" w:color="auto" w:sz="4" w:space="0"/>
            </w:tcBorders>
            <w:noWrap w:val="0"/>
            <w:vAlign w:val="center"/>
          </w:tcPr>
          <w:p>
            <w:pPr>
              <w:jc w:val="center"/>
              <w:rPr>
                <w:b/>
                <w:bCs/>
                <w:color w:val="000000"/>
                <w:szCs w:val="21"/>
              </w:rPr>
            </w:pPr>
          </w:p>
        </w:tc>
        <w:tc>
          <w:tcPr>
            <w:tcW w:w="1163" w:type="dxa"/>
            <w:vMerge w:val="continue"/>
            <w:tcBorders>
              <w:left w:val="single" w:color="auto" w:sz="4" w:space="0"/>
              <w:right w:val="single" w:color="auto" w:sz="4" w:space="0"/>
            </w:tcBorders>
            <w:noWrap w:val="0"/>
            <w:vAlign w:val="center"/>
          </w:tcPr>
          <w:p>
            <w:pPr>
              <w:jc w:val="center"/>
              <w:rPr>
                <w:color w:val="000000"/>
                <w:szCs w:val="21"/>
              </w:rPr>
            </w:pPr>
          </w:p>
        </w:tc>
        <w:tc>
          <w:tcPr>
            <w:tcW w:w="1716" w:type="dxa"/>
            <w:tcBorders>
              <w:top w:val="single" w:color="auto" w:sz="4" w:space="0"/>
              <w:right w:val="single" w:color="auto" w:sz="4" w:space="0"/>
            </w:tcBorders>
            <w:noWrap w:val="0"/>
            <w:vAlign w:val="top"/>
          </w:tcPr>
          <w:p>
            <w:pPr>
              <w:rPr>
                <w:rFonts w:hint="eastAsia" w:eastAsia="宋体"/>
                <w:szCs w:val="21"/>
                <w:lang w:eastAsia="zh-CN"/>
              </w:rPr>
            </w:pPr>
            <w:r>
              <w:rPr>
                <w:rFonts w:hint="eastAsia"/>
                <w:szCs w:val="21"/>
              </w:rPr>
              <w:t>渣循环水池</w:t>
            </w:r>
            <w:r>
              <w:rPr>
                <w:rFonts w:hint="eastAsia"/>
                <w:szCs w:val="21"/>
                <w:lang w:eastAsia="zh-CN"/>
              </w:rPr>
              <w:t>污泥</w:t>
            </w:r>
          </w:p>
        </w:tc>
        <w:tc>
          <w:tcPr>
            <w:tcW w:w="3260" w:type="dxa"/>
            <w:vMerge w:val="restart"/>
            <w:tcBorders>
              <w:top w:val="single" w:color="auto" w:sz="4" w:space="0"/>
              <w:right w:val="single" w:color="auto" w:sz="4" w:space="0"/>
            </w:tcBorders>
            <w:noWrap w:val="0"/>
            <w:vAlign w:val="center"/>
          </w:tcPr>
          <w:p>
            <w:pPr>
              <w:jc w:val="center"/>
              <w:rPr>
                <w:color w:val="000000"/>
                <w:szCs w:val="21"/>
              </w:rPr>
            </w:pPr>
            <w:r>
              <w:rPr>
                <w:rFonts w:hint="eastAsia"/>
                <w:color w:val="000000"/>
                <w:szCs w:val="21"/>
              </w:rPr>
              <w:t>收集至危废暂存间后交由资质单位处理</w:t>
            </w:r>
          </w:p>
        </w:tc>
        <w:tc>
          <w:tcPr>
            <w:tcW w:w="2410" w:type="dxa"/>
            <w:vMerge w:val="continue"/>
            <w:tcBorders>
              <w:right w:val="single" w:color="auto" w:sz="4" w:space="0"/>
            </w:tcBorders>
            <w:noWrap w:val="0"/>
            <w:vAlign w:val="center"/>
          </w:tcPr>
          <w:p>
            <w:pPr>
              <w:ind w:firstLine="420" w:firstLineChars="200"/>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9" w:hRule="atLeast"/>
        </w:trPr>
        <w:tc>
          <w:tcPr>
            <w:tcW w:w="807" w:type="dxa"/>
            <w:vMerge w:val="continue"/>
            <w:tcBorders>
              <w:right w:val="single" w:color="auto" w:sz="4" w:space="0"/>
            </w:tcBorders>
            <w:noWrap w:val="0"/>
            <w:vAlign w:val="center"/>
          </w:tcPr>
          <w:p>
            <w:pPr>
              <w:jc w:val="center"/>
              <w:rPr>
                <w:b/>
                <w:bCs/>
                <w:color w:val="000000"/>
                <w:szCs w:val="21"/>
              </w:rPr>
            </w:pPr>
          </w:p>
        </w:tc>
        <w:tc>
          <w:tcPr>
            <w:tcW w:w="1163" w:type="dxa"/>
            <w:vMerge w:val="continue"/>
            <w:tcBorders>
              <w:left w:val="single" w:color="auto" w:sz="4" w:space="0"/>
              <w:right w:val="single" w:color="auto" w:sz="4" w:space="0"/>
            </w:tcBorders>
            <w:noWrap w:val="0"/>
            <w:vAlign w:val="center"/>
          </w:tcPr>
          <w:p>
            <w:pPr>
              <w:jc w:val="center"/>
              <w:rPr>
                <w:color w:val="000000"/>
                <w:szCs w:val="21"/>
              </w:rPr>
            </w:pPr>
          </w:p>
        </w:tc>
        <w:tc>
          <w:tcPr>
            <w:tcW w:w="1716" w:type="dxa"/>
            <w:tcBorders>
              <w:top w:val="single" w:color="auto" w:sz="4" w:space="0"/>
              <w:right w:val="single" w:color="auto" w:sz="4" w:space="0"/>
            </w:tcBorders>
            <w:noWrap w:val="0"/>
            <w:vAlign w:val="top"/>
          </w:tcPr>
          <w:p>
            <w:pPr>
              <w:rPr>
                <w:szCs w:val="21"/>
              </w:rPr>
            </w:pPr>
            <w:r>
              <w:rPr>
                <w:rFonts w:hint="eastAsia"/>
                <w:szCs w:val="21"/>
              </w:rPr>
              <w:t>废矿物油</w:t>
            </w:r>
          </w:p>
        </w:tc>
        <w:tc>
          <w:tcPr>
            <w:tcW w:w="3260" w:type="dxa"/>
            <w:vMerge w:val="continue"/>
            <w:tcBorders>
              <w:right w:val="single" w:color="auto" w:sz="4" w:space="0"/>
            </w:tcBorders>
            <w:noWrap w:val="0"/>
            <w:vAlign w:val="center"/>
          </w:tcPr>
          <w:p>
            <w:pPr>
              <w:jc w:val="center"/>
              <w:rPr>
                <w:color w:val="000000"/>
                <w:szCs w:val="21"/>
              </w:rPr>
            </w:pPr>
          </w:p>
        </w:tc>
        <w:tc>
          <w:tcPr>
            <w:tcW w:w="2410" w:type="dxa"/>
            <w:vMerge w:val="continue"/>
            <w:tcBorders>
              <w:right w:val="single" w:color="auto" w:sz="4" w:space="0"/>
            </w:tcBorders>
            <w:noWrap w:val="0"/>
            <w:vAlign w:val="center"/>
          </w:tcPr>
          <w:p>
            <w:pPr>
              <w:ind w:firstLine="420" w:firstLineChars="200"/>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80" w:hRule="atLeast"/>
        </w:trPr>
        <w:tc>
          <w:tcPr>
            <w:tcW w:w="807" w:type="dxa"/>
            <w:noWrap w:val="0"/>
            <w:vAlign w:val="center"/>
          </w:tcPr>
          <w:p>
            <w:pPr>
              <w:jc w:val="center"/>
              <w:rPr>
                <w:b/>
                <w:bCs/>
                <w:color w:val="000000"/>
                <w:szCs w:val="21"/>
              </w:rPr>
            </w:pPr>
            <w:r>
              <w:rPr>
                <w:b/>
                <w:bCs/>
                <w:color w:val="000000"/>
                <w:szCs w:val="21"/>
              </w:rPr>
              <w:t>噪</w:t>
            </w:r>
          </w:p>
          <w:p>
            <w:pPr>
              <w:jc w:val="center"/>
              <w:rPr>
                <w:b/>
                <w:bCs/>
                <w:color w:val="000000"/>
                <w:szCs w:val="21"/>
              </w:rPr>
            </w:pPr>
            <w:r>
              <w:rPr>
                <w:b/>
                <w:bCs/>
                <w:color w:val="000000"/>
                <w:szCs w:val="21"/>
              </w:rPr>
              <w:t>声</w:t>
            </w:r>
          </w:p>
        </w:tc>
        <w:tc>
          <w:tcPr>
            <w:tcW w:w="8549" w:type="dxa"/>
            <w:gridSpan w:val="4"/>
            <w:noWrap w:val="0"/>
            <w:vAlign w:val="center"/>
          </w:tcPr>
          <w:p>
            <w:pPr>
              <w:ind w:firstLine="420" w:firstLineChars="200"/>
              <w:rPr>
                <w:color w:val="000000"/>
                <w:szCs w:val="21"/>
              </w:rPr>
            </w:pPr>
            <w:r>
              <w:rPr>
                <w:color w:val="000000"/>
                <w:szCs w:val="21"/>
              </w:rPr>
              <w:t>通过对噪声源采取减振、消声及墙体隔音等治理后，边界噪声能够达到《工业企业厂界环境噪声排放标准》（GB12348-2008）2类标准，不会对周围声环境造成明显影响。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80" w:hRule="atLeast"/>
        </w:trPr>
        <w:tc>
          <w:tcPr>
            <w:tcW w:w="9356" w:type="dxa"/>
            <w:gridSpan w:val="5"/>
            <w:noWrap w:val="0"/>
            <w:vAlign w:val="center"/>
          </w:tcPr>
          <w:p>
            <w:pPr>
              <w:rPr>
                <w:b/>
                <w:bCs/>
                <w:color w:val="000000"/>
                <w:sz w:val="24"/>
              </w:rPr>
            </w:pPr>
            <w:r>
              <w:rPr>
                <w:b/>
                <w:bCs/>
                <w:color w:val="000000"/>
                <w:sz w:val="24"/>
              </w:rPr>
              <w:t>生态保护措施及预期效果：</w:t>
            </w:r>
          </w:p>
          <w:p>
            <w:pPr>
              <w:ind w:firstLine="420" w:firstLineChars="200"/>
              <w:rPr>
                <w:color w:val="000000"/>
                <w:szCs w:val="21"/>
              </w:rPr>
            </w:pPr>
            <w:r>
              <w:rPr>
                <w:color w:val="000000"/>
                <w:szCs w:val="21"/>
              </w:rPr>
              <w:t>1、合理布局，防治</w:t>
            </w:r>
            <w:r>
              <w:rPr>
                <w:rFonts w:hint="eastAsia"/>
                <w:color w:val="000000"/>
                <w:szCs w:val="21"/>
              </w:rPr>
              <w:t>场内</w:t>
            </w:r>
            <w:r>
              <w:rPr>
                <w:color w:val="000000"/>
                <w:szCs w:val="21"/>
              </w:rPr>
              <w:t>环境的污染。</w:t>
            </w:r>
          </w:p>
          <w:p>
            <w:pPr>
              <w:ind w:firstLine="420" w:firstLineChars="200"/>
              <w:rPr>
                <w:color w:val="000000"/>
                <w:szCs w:val="21"/>
              </w:rPr>
            </w:pPr>
            <w:r>
              <w:rPr>
                <w:color w:val="000000"/>
                <w:szCs w:val="21"/>
              </w:rPr>
              <w:t>2、按上述措施对各种污染物进行有效的治理，可降低其对周围生态环境的影响，并搞好周围的绿化、美化，以减少对附近区域生态环境的影响。</w:t>
            </w:r>
          </w:p>
          <w:p>
            <w:pPr>
              <w:ind w:firstLine="420" w:firstLineChars="200"/>
              <w:rPr>
                <w:color w:val="000000"/>
                <w:szCs w:val="21"/>
              </w:rPr>
            </w:pPr>
            <w:r>
              <w:rPr>
                <w:color w:val="000000"/>
                <w:szCs w:val="21"/>
              </w:rPr>
              <w:t>3、加强生态建设，实行综合利用和资源化再生产。</w:t>
            </w:r>
          </w:p>
          <w:p>
            <w:pPr>
              <w:ind w:firstLine="420" w:firstLineChars="200"/>
              <w:rPr>
                <w:color w:val="000000"/>
                <w:szCs w:val="21"/>
              </w:rPr>
            </w:pPr>
          </w:p>
          <w:p>
            <w:pPr>
              <w:ind w:firstLine="420" w:firstLineChars="200"/>
              <w:rPr>
                <w:color w:val="000000"/>
                <w:szCs w:val="21"/>
              </w:rPr>
            </w:pPr>
          </w:p>
          <w:p>
            <w:pPr>
              <w:ind w:firstLine="420" w:firstLineChars="200"/>
              <w:rPr>
                <w:color w:val="000000"/>
                <w:szCs w:val="21"/>
              </w:rPr>
            </w:pPr>
          </w:p>
        </w:tc>
      </w:tr>
    </w:tbl>
    <w:p/>
    <w:p>
      <w:pPr>
        <w:rPr>
          <w:rFonts w:hint="eastAsia"/>
        </w:rPr>
      </w:pPr>
    </w:p>
    <w:p>
      <w:pPr>
        <w:pStyle w:val="52"/>
        <w:jc w:val="both"/>
        <w:rPr>
          <w:rFonts w:hint="eastAsia"/>
        </w:rPr>
      </w:pPr>
      <w:r>
        <w:rPr>
          <w:rFonts w:hint="eastAsia"/>
        </w:rPr>
        <w:t xml:space="preserve">结论与建议 </w:t>
      </w:r>
      <w:r>
        <w:t xml:space="preserve">                                </w:t>
      </w:r>
      <w:r>
        <w:rPr>
          <w:rFonts w:hint="eastAsia"/>
          <w:lang w:val="en-US" w:eastAsia="zh-CN"/>
        </w:rPr>
        <w:t xml:space="preserve">     </w:t>
      </w:r>
      <w:r>
        <w:t xml:space="preserve">      </w:t>
      </w:r>
      <w:r>
        <w:rPr>
          <w:rFonts w:hint="eastAsia"/>
        </w:rPr>
        <w:t>表（九）</w:t>
      </w:r>
    </w:p>
    <w:tbl>
      <w:tblPr>
        <w:tblStyle w:val="69"/>
        <w:tblW w:w="9360"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609" w:hRule="atLeast"/>
        </w:trPr>
        <w:tc>
          <w:tcPr>
            <w:tcW w:w="9360" w:type="dxa"/>
            <w:tcBorders>
              <w:bottom w:val="single" w:color="000000" w:sz="6" w:space="0"/>
            </w:tcBorders>
            <w:noWrap w:val="0"/>
            <w:vAlign w:val="top"/>
          </w:tcPr>
          <w:p>
            <w:pPr>
              <w:pStyle w:val="24"/>
              <w:spacing w:line="360" w:lineRule="auto"/>
              <w:rPr>
                <w:b/>
                <w:bCs/>
                <w:color w:val="000000"/>
              </w:rPr>
            </w:pPr>
            <w:r>
              <w:rPr>
                <w:b/>
                <w:color w:val="000000"/>
              </w:rPr>
              <w:t>一、结论</w:t>
            </w:r>
          </w:p>
          <w:p>
            <w:pPr>
              <w:adjustRightInd w:val="0"/>
              <w:snapToGrid w:val="0"/>
              <w:spacing w:line="360" w:lineRule="auto"/>
              <w:ind w:firstLine="431"/>
              <w:rPr>
                <w:b/>
                <w:bCs/>
                <w:color w:val="000000"/>
                <w:sz w:val="24"/>
              </w:rPr>
            </w:pPr>
            <w:r>
              <w:rPr>
                <w:b/>
                <w:color w:val="000000"/>
                <w:sz w:val="24"/>
              </w:rPr>
              <w:t>1、</w:t>
            </w:r>
            <w:r>
              <w:rPr>
                <w:b/>
                <w:bCs/>
                <w:color w:val="000000"/>
                <w:sz w:val="24"/>
              </w:rPr>
              <w:t>项目概况</w:t>
            </w:r>
          </w:p>
          <w:p>
            <w:pPr>
              <w:pStyle w:val="160"/>
              <w:ind w:firstLine="480"/>
              <w:textAlignment w:val="center"/>
              <w:rPr>
                <w:rFonts w:ascii="Times New Roman" w:hAnsi="Times New Roman"/>
                <w:b w:val="0"/>
                <w:bCs w:val="0"/>
                <w:sz w:val="24"/>
                <w:szCs w:val="24"/>
              </w:rPr>
            </w:pPr>
            <w:r>
              <w:rPr>
                <w:rFonts w:hint="eastAsia"/>
                <w:b w:val="0"/>
                <w:color w:val="000000"/>
                <w:sz w:val="24"/>
              </w:rPr>
              <w:t>本项目属于新建项目，建设</w:t>
            </w:r>
            <w:r>
              <w:rPr>
                <w:rFonts w:hint="eastAsia"/>
                <w:b w:val="0"/>
                <w:sz w:val="24"/>
              </w:rPr>
              <w:t>地址</w:t>
            </w:r>
            <w:r>
              <w:rPr>
                <w:b w:val="0"/>
                <w:sz w:val="24"/>
              </w:rPr>
              <w:t>位于</w:t>
            </w:r>
            <w:r>
              <w:rPr>
                <w:rFonts w:hint="eastAsia"/>
                <w:b w:val="0"/>
                <w:sz w:val="24"/>
              </w:rPr>
              <w:t>乐山市市中区悦来乡龙岩村二组</w:t>
            </w:r>
            <w:r>
              <w:rPr>
                <w:b w:val="0"/>
                <w:sz w:val="24"/>
              </w:rPr>
              <w:t>，</w:t>
            </w:r>
            <w:r>
              <w:rPr>
                <w:rFonts w:hint="eastAsia"/>
                <w:b w:val="0"/>
                <w:sz w:val="24"/>
              </w:rPr>
              <w:t>项目</w:t>
            </w:r>
            <w:r>
              <w:rPr>
                <w:b w:val="0"/>
                <w:sz w:val="24"/>
              </w:rPr>
              <w:t>占地面积</w:t>
            </w:r>
            <w:r>
              <w:rPr>
                <w:rFonts w:hint="eastAsia"/>
                <w:b w:val="0"/>
                <w:sz w:val="24"/>
              </w:rPr>
              <w:t>约</w:t>
            </w:r>
            <w:r>
              <w:rPr>
                <w:b w:val="0"/>
                <w:sz w:val="24"/>
              </w:rPr>
              <w:t>20</w:t>
            </w:r>
            <w:r>
              <w:rPr>
                <w:rFonts w:hint="eastAsia"/>
                <w:b w:val="0"/>
                <w:sz w:val="24"/>
              </w:rPr>
              <w:t>亩，</w:t>
            </w:r>
            <w:r>
              <w:rPr>
                <w:b w:val="0"/>
                <w:sz w:val="24"/>
              </w:rPr>
              <w:t>总投资</w:t>
            </w:r>
            <w:r>
              <w:rPr>
                <w:b w:val="0"/>
                <w:color w:val="000000"/>
                <w:sz w:val="24"/>
              </w:rPr>
              <w:t>100万元，</w:t>
            </w:r>
            <w:r>
              <w:rPr>
                <w:rFonts w:hint="eastAsia" w:ascii="Times New Roman" w:hAnsi="Times New Roman"/>
                <w:b w:val="0"/>
                <w:bCs w:val="0"/>
                <w:sz w:val="24"/>
                <w:szCs w:val="24"/>
              </w:rPr>
              <w:t>租用厂房3000平方米，购置安装醇基燃料发热炉、打磨机、抛光机等设备，外购刀坯半成品，建设家用刀具传统手工艺制作体验项目。</w:t>
            </w:r>
          </w:p>
          <w:p>
            <w:pPr>
              <w:pStyle w:val="160"/>
              <w:ind w:firstLine="482"/>
              <w:textAlignment w:val="center"/>
              <w:rPr>
                <w:rFonts w:ascii="Times New Roman" w:hAnsi="Times New Roman"/>
                <w:sz w:val="24"/>
                <w:szCs w:val="24"/>
              </w:rPr>
            </w:pPr>
            <w:r>
              <w:rPr>
                <w:rFonts w:ascii="Times New Roman" w:hAnsi="Times New Roman"/>
                <w:sz w:val="24"/>
                <w:szCs w:val="24"/>
              </w:rPr>
              <w:t>2、项目建设的可行性</w:t>
            </w:r>
          </w:p>
          <w:p>
            <w:pPr>
              <w:spacing w:line="360" w:lineRule="auto"/>
              <w:ind w:firstLine="480" w:firstLineChars="200"/>
              <w:jc w:val="left"/>
              <w:textAlignment w:val="center"/>
              <w:rPr>
                <w:b/>
                <w:sz w:val="24"/>
              </w:rPr>
            </w:pPr>
            <w:r>
              <w:rPr>
                <w:rFonts w:hint="eastAsia"/>
                <w:b/>
                <w:sz w:val="24"/>
              </w:rPr>
              <w:t>（1）</w:t>
            </w:r>
            <w:r>
              <w:rPr>
                <w:b/>
                <w:sz w:val="24"/>
              </w:rPr>
              <w:t>产业政策符合性分析</w:t>
            </w:r>
          </w:p>
          <w:p>
            <w:pPr>
              <w:spacing w:line="360" w:lineRule="auto"/>
              <w:ind w:firstLine="480" w:firstLineChars="200"/>
              <w:rPr>
                <w:sz w:val="24"/>
              </w:rPr>
            </w:pPr>
            <w:r>
              <w:rPr>
                <w:rFonts w:hint="eastAsia"/>
                <w:sz w:val="24"/>
              </w:rPr>
              <w:t>本项目租用厂房</w:t>
            </w:r>
            <w:r>
              <w:rPr>
                <w:sz w:val="24"/>
              </w:rPr>
              <w:t>3000</w:t>
            </w:r>
            <w:r>
              <w:rPr>
                <w:rFonts w:hint="eastAsia"/>
                <w:sz w:val="24"/>
              </w:rPr>
              <w:t>平方米，建设铁匠世家传统手工艺体验项目。根据</w:t>
            </w:r>
            <w:r>
              <w:rPr>
                <w:sz w:val="24"/>
              </w:rPr>
              <w:t>《产业结调整指导目录(2011年本)修订版》</w:t>
            </w:r>
            <w:r>
              <w:rPr>
                <w:rFonts w:hint="eastAsia" w:ascii="宋体" w:hAnsi="宋体" w:eastAsia="宋体" w:cs="宋体"/>
                <w:color w:val="000000"/>
                <w:spacing w:val="20"/>
                <w:kern w:val="2"/>
                <w:sz w:val="24"/>
                <w:szCs w:val="28"/>
                <w:lang w:val="en-US" w:eastAsia="zh-CN" w:bidi="ar"/>
              </w:rPr>
              <w:t>，本项目不属于其中的鼓励类、限制类和淘汰类，属于允许类。</w:t>
            </w:r>
            <w:r>
              <w:rPr>
                <w:rFonts w:hint="eastAsia"/>
                <w:sz w:val="24"/>
              </w:rPr>
              <w:t>且</w:t>
            </w:r>
            <w:r>
              <w:rPr>
                <w:rFonts w:hint="eastAsia" w:ascii="宋体" w:hAnsi="宋体" w:cs="宋体"/>
                <w:sz w:val="24"/>
              </w:rPr>
              <w:t>本项目具有乐山市市中区发展和改革局核发的企业投资项目备案通知书</w:t>
            </w:r>
            <w:r>
              <w:rPr>
                <w:rFonts w:hint="eastAsia"/>
                <w:sz w:val="24"/>
              </w:rPr>
              <w:t>，川投资备【2018-511102-87-03-297542】FGQB-0152号，项目建设符合产业政策。</w:t>
            </w:r>
          </w:p>
          <w:p>
            <w:pPr>
              <w:spacing w:line="360" w:lineRule="auto"/>
              <w:ind w:firstLine="480" w:firstLineChars="200"/>
              <w:jc w:val="left"/>
              <w:textAlignment w:val="center"/>
              <w:rPr>
                <w:sz w:val="24"/>
              </w:rPr>
            </w:pPr>
            <w:r>
              <w:rPr>
                <w:sz w:val="24"/>
              </w:rPr>
              <w:t>因此本项目的建设符合国家的产业政策。</w:t>
            </w:r>
          </w:p>
          <w:p>
            <w:pPr>
              <w:spacing w:line="360" w:lineRule="auto"/>
              <w:ind w:firstLine="480" w:firstLineChars="200"/>
              <w:jc w:val="left"/>
              <w:textAlignment w:val="center"/>
              <w:rPr>
                <w:rFonts w:hAnsi="宋体"/>
                <w:b/>
                <w:sz w:val="24"/>
              </w:rPr>
            </w:pPr>
            <w:r>
              <w:rPr>
                <w:rFonts w:hint="eastAsia" w:hAnsi="宋体"/>
                <w:b/>
                <w:sz w:val="24"/>
              </w:rPr>
              <w:t>（2）</w:t>
            </w:r>
            <w:r>
              <w:rPr>
                <w:rFonts w:hAnsi="宋体"/>
                <w:b/>
                <w:sz w:val="24"/>
              </w:rPr>
              <w:t>规划相符性</w:t>
            </w:r>
          </w:p>
          <w:p>
            <w:pPr>
              <w:spacing w:line="360" w:lineRule="auto"/>
              <w:ind w:firstLine="480" w:firstLineChars="200"/>
              <w:jc w:val="left"/>
              <w:textAlignment w:val="center"/>
              <w:rPr>
                <w:rFonts w:hint="eastAsia" w:eastAsia="宋体"/>
                <w:sz w:val="24"/>
                <w:lang w:eastAsia="zh-CN"/>
              </w:rPr>
            </w:pPr>
            <w:r>
              <w:rPr>
                <w:rFonts w:hint="eastAsia"/>
                <w:sz w:val="24"/>
              </w:rPr>
              <w:t>项目建设于乐山市市中区悦来乡龙岩村二组3</w:t>
            </w:r>
            <w:r>
              <w:rPr>
                <w:sz w:val="24"/>
              </w:rPr>
              <w:t>98</w:t>
            </w:r>
            <w:r>
              <w:rPr>
                <w:rFonts w:hint="eastAsia"/>
                <w:sz w:val="24"/>
              </w:rPr>
              <w:t>号（原中铁五局</w:t>
            </w:r>
            <w:r>
              <w:rPr>
                <w:rFonts w:hint="eastAsia"/>
                <w:sz w:val="24"/>
                <w:lang w:eastAsia="zh-CN"/>
              </w:rPr>
              <w:t>拌和站</w:t>
            </w:r>
            <w:r>
              <w:rPr>
                <w:rFonts w:hint="eastAsia"/>
                <w:sz w:val="24"/>
              </w:rPr>
              <w:t>占地），占地约</w:t>
            </w:r>
            <w:r>
              <w:rPr>
                <w:rFonts w:hint="eastAsia"/>
                <w:sz w:val="24"/>
                <w:lang w:val="en-US" w:eastAsia="zh-CN"/>
              </w:rPr>
              <w:t>20亩</w:t>
            </w:r>
            <w:r>
              <w:rPr>
                <w:rFonts w:hint="eastAsia"/>
                <w:sz w:val="24"/>
              </w:rPr>
              <w:t>。乐山市市中区规划分局出具关于该项目地块规划情况说明中明确，该地块属于国有建设用地。</w:t>
            </w:r>
            <w:r>
              <w:rPr>
                <w:rFonts w:hint="eastAsia"/>
                <w:sz w:val="24"/>
                <w:lang w:eastAsia="zh-CN"/>
              </w:rPr>
              <w:t>项目建设符合相关规划。</w:t>
            </w:r>
          </w:p>
          <w:p>
            <w:pPr>
              <w:spacing w:line="360" w:lineRule="auto"/>
              <w:ind w:firstLine="480" w:firstLineChars="200"/>
              <w:jc w:val="left"/>
              <w:textAlignment w:val="center"/>
              <w:rPr>
                <w:b/>
                <w:sz w:val="24"/>
              </w:rPr>
            </w:pPr>
            <w:r>
              <w:rPr>
                <w:rFonts w:hint="eastAsia" w:hAnsi="宋体"/>
                <w:b/>
                <w:sz w:val="24"/>
              </w:rPr>
              <w:t>（3）</w:t>
            </w:r>
            <w:r>
              <w:rPr>
                <w:rFonts w:hAnsi="宋体"/>
                <w:b/>
                <w:sz w:val="24"/>
              </w:rPr>
              <w:t>选址合理性分析</w:t>
            </w:r>
          </w:p>
          <w:p>
            <w:pPr>
              <w:spacing w:line="360" w:lineRule="auto"/>
              <w:ind w:firstLine="480" w:firstLineChars="200"/>
              <w:rPr>
                <w:rFonts w:hint="eastAsia" w:hAnsi="宋体"/>
                <w:color w:val="000000"/>
                <w:sz w:val="24"/>
              </w:rPr>
            </w:pPr>
            <w:r>
              <w:rPr>
                <w:rFonts w:hint="eastAsia"/>
                <w:sz w:val="24"/>
              </w:rPr>
              <w:t>项目建设于乐山市市中区悦来乡龙岩村二组，该地区交通方便，电力</w:t>
            </w:r>
            <w:r>
              <w:rPr>
                <w:rFonts w:hint="eastAsia"/>
                <w:sz w:val="24"/>
                <w:lang w:eastAsia="zh-CN"/>
              </w:rPr>
              <w:t>通信</w:t>
            </w:r>
            <w:r>
              <w:rPr>
                <w:rFonts w:hint="eastAsia"/>
                <w:sz w:val="24"/>
              </w:rPr>
              <w:t>网络具备，区域内的基础设施正逐步修建完善。</w:t>
            </w:r>
          </w:p>
          <w:p>
            <w:pPr>
              <w:spacing w:line="360" w:lineRule="auto"/>
              <w:ind w:firstLine="480" w:firstLineChars="200"/>
              <w:rPr>
                <w:sz w:val="24"/>
              </w:rPr>
            </w:pPr>
            <w:r>
              <w:rPr>
                <w:rFonts w:hint="eastAsia"/>
                <w:sz w:val="24"/>
              </w:rPr>
              <w:t>根据现场踏勘，项目建设区周围外环境关系具体如下：项目东面紧邻山林地，2</w:t>
            </w:r>
            <w:r>
              <w:rPr>
                <w:sz w:val="24"/>
              </w:rPr>
              <w:t>00m</w:t>
            </w:r>
            <w:r>
              <w:rPr>
                <w:rFonts w:hint="eastAsia"/>
                <w:sz w:val="24"/>
              </w:rPr>
              <w:t>范围内无农户等敏感点；南面紧邻山林地，2</w:t>
            </w:r>
            <w:r>
              <w:rPr>
                <w:sz w:val="24"/>
              </w:rPr>
              <w:t>00m</w:t>
            </w:r>
            <w:r>
              <w:rPr>
                <w:rFonts w:hint="eastAsia"/>
                <w:sz w:val="24"/>
              </w:rPr>
              <w:t>范围内有</w:t>
            </w:r>
            <w:r>
              <w:rPr>
                <w:sz w:val="24"/>
              </w:rPr>
              <w:t>1</w:t>
            </w:r>
            <w:r>
              <w:rPr>
                <w:rFonts w:hint="eastAsia"/>
                <w:sz w:val="24"/>
              </w:rPr>
              <w:t>户住户，距边界最近距离约4</w:t>
            </w:r>
            <w:r>
              <w:rPr>
                <w:sz w:val="24"/>
              </w:rPr>
              <w:t>0m</w:t>
            </w:r>
            <w:r>
              <w:rPr>
                <w:rFonts w:hint="eastAsia"/>
                <w:sz w:val="24"/>
              </w:rPr>
              <w:t>；西面距边界2</w:t>
            </w:r>
            <w:r>
              <w:rPr>
                <w:sz w:val="24"/>
              </w:rPr>
              <w:t>0m</w:t>
            </w:r>
            <w:r>
              <w:rPr>
                <w:rFonts w:hint="eastAsia"/>
                <w:sz w:val="24"/>
              </w:rPr>
              <w:t>处为乐青路，2</w:t>
            </w:r>
            <w:r>
              <w:rPr>
                <w:sz w:val="24"/>
              </w:rPr>
              <w:t>00m</w:t>
            </w:r>
            <w:r>
              <w:rPr>
                <w:rFonts w:hint="eastAsia"/>
                <w:sz w:val="24"/>
              </w:rPr>
              <w:t>范围内无农户等敏感点；北面紧邻木材加工厂，2</w:t>
            </w:r>
            <w:r>
              <w:rPr>
                <w:sz w:val="24"/>
              </w:rPr>
              <w:t>00m</w:t>
            </w:r>
            <w:r>
              <w:rPr>
                <w:rFonts w:hint="eastAsia"/>
                <w:sz w:val="24"/>
              </w:rPr>
              <w:t>范围内无农户等敏感点。</w:t>
            </w:r>
          </w:p>
          <w:p>
            <w:pPr>
              <w:spacing w:line="360" w:lineRule="auto"/>
              <w:ind w:firstLine="480" w:firstLineChars="200"/>
              <w:rPr>
                <w:rFonts w:hint="eastAsia"/>
                <w:sz w:val="24"/>
              </w:rPr>
            </w:pPr>
            <w:r>
              <w:rPr>
                <w:rFonts w:hint="eastAsia"/>
                <w:sz w:val="24"/>
              </w:rPr>
              <w:t>根据调查，项目评价范围内无自然保护区、风景名胜区、文化遗产保护区、世界文化自然遗产和森林公园、地质公园、湿地公园等保护地，因此外环境无明显环境制约因素。项目建设与周边外环境基本相容。</w:t>
            </w:r>
          </w:p>
          <w:p>
            <w:pPr>
              <w:spacing w:line="360" w:lineRule="auto"/>
              <w:ind w:firstLine="480" w:firstLineChars="200"/>
              <w:jc w:val="left"/>
              <w:textAlignment w:val="center"/>
              <w:rPr>
                <w:rFonts w:hint="eastAsia"/>
                <w:sz w:val="24"/>
              </w:rPr>
            </w:pPr>
            <w:r>
              <w:rPr>
                <w:rFonts w:hint="eastAsia"/>
                <w:sz w:val="24"/>
              </w:rPr>
              <w:t>综上所述，本项目外环境无重大环境制约因素，且同区域环境功能具有一定兼容性，从环境保护角度而言，选址合理。</w:t>
            </w:r>
          </w:p>
          <w:p>
            <w:pPr>
              <w:tabs>
                <w:tab w:val="left" w:pos="7344"/>
              </w:tabs>
              <w:adjustRightInd w:val="0"/>
              <w:snapToGrid w:val="0"/>
              <w:spacing w:line="360" w:lineRule="auto"/>
              <w:ind w:firstLine="431"/>
              <w:rPr>
                <w:b/>
                <w:bCs/>
                <w:color w:val="000000"/>
                <w:sz w:val="24"/>
              </w:rPr>
            </w:pPr>
            <w:r>
              <w:rPr>
                <w:b/>
                <w:bCs/>
                <w:color w:val="000000"/>
                <w:sz w:val="24"/>
              </w:rPr>
              <w:t>3、环境质量现状</w:t>
            </w:r>
            <w:r>
              <w:rPr>
                <w:b/>
                <w:bCs/>
                <w:color w:val="000000"/>
                <w:sz w:val="24"/>
              </w:rPr>
              <w:tab/>
            </w:r>
          </w:p>
          <w:p>
            <w:pPr>
              <w:spacing w:line="360" w:lineRule="auto"/>
              <w:ind w:firstLine="480" w:firstLineChars="200"/>
              <w:textAlignment w:val="center"/>
              <w:rPr>
                <w:sz w:val="24"/>
              </w:rPr>
            </w:pPr>
            <w:r>
              <w:rPr>
                <w:sz w:val="24"/>
              </w:rPr>
              <w:t>（1）大气环境质量现状</w:t>
            </w:r>
          </w:p>
          <w:p>
            <w:pPr>
              <w:adjustRightInd w:val="0"/>
              <w:snapToGrid w:val="0"/>
              <w:spacing w:line="360" w:lineRule="auto"/>
              <w:ind w:firstLine="480" w:firstLineChars="200"/>
              <w:rPr>
                <w:sz w:val="24"/>
              </w:rPr>
            </w:pPr>
            <w:r>
              <w:rPr>
                <w:rFonts w:hint="eastAsia"/>
                <w:sz w:val="24"/>
              </w:rPr>
              <w:t>乐山市P</w:t>
            </w:r>
            <w:r>
              <w:rPr>
                <w:sz w:val="24"/>
              </w:rPr>
              <w:t>M</w:t>
            </w:r>
            <w:r>
              <w:rPr>
                <w:sz w:val="24"/>
                <w:vertAlign w:val="subscript"/>
              </w:rPr>
              <w:t>10</w:t>
            </w:r>
            <w:r>
              <w:rPr>
                <w:rFonts w:hint="eastAsia"/>
                <w:sz w:val="24"/>
              </w:rPr>
              <w:t>、P</w:t>
            </w:r>
            <w:r>
              <w:rPr>
                <w:sz w:val="24"/>
              </w:rPr>
              <w:t>M</w:t>
            </w:r>
            <w:r>
              <w:rPr>
                <w:sz w:val="24"/>
                <w:vertAlign w:val="subscript"/>
              </w:rPr>
              <w:t>2.5</w:t>
            </w:r>
            <w:r>
              <w:rPr>
                <w:rFonts w:hint="eastAsia"/>
                <w:sz w:val="24"/>
              </w:rPr>
              <w:t>年平均浓度不满足</w:t>
            </w:r>
            <w:r>
              <w:rPr>
                <w:sz w:val="24"/>
              </w:rPr>
              <w:t>《环境空气质量标准》（GB3095-2012）中二级标准</w:t>
            </w:r>
            <w:r>
              <w:rPr>
                <w:rFonts w:hint="eastAsia"/>
                <w:sz w:val="24"/>
              </w:rPr>
              <w:t>要求，因此本项目所在区域为不达标区。乐山市制定了乐山市大气环境质量限期达标规划（2016年-2025年），明确大气污染防治措施，力争在 2025年底前实现空气质量全面达标。</w:t>
            </w:r>
          </w:p>
          <w:p>
            <w:pPr>
              <w:spacing w:line="360" w:lineRule="auto"/>
              <w:ind w:firstLine="480" w:firstLineChars="200"/>
              <w:textAlignment w:val="center"/>
              <w:rPr>
                <w:sz w:val="24"/>
              </w:rPr>
            </w:pPr>
            <w:r>
              <w:rPr>
                <w:sz w:val="24"/>
              </w:rPr>
              <w:t>（2）地表水质量现状</w:t>
            </w:r>
          </w:p>
          <w:p>
            <w:pPr>
              <w:spacing w:line="360" w:lineRule="auto"/>
              <w:ind w:firstLine="480" w:firstLineChars="200"/>
              <w:textAlignment w:val="center"/>
              <w:rPr>
                <w:sz w:val="24"/>
              </w:rPr>
            </w:pPr>
            <w:r>
              <w:rPr>
                <w:sz w:val="24"/>
              </w:rPr>
              <w:t>项目所在地区地表水质符合《地表水环境质量标准》（GB3838-2002）III类水域标准要求，项目所在地地表水水质良好。</w:t>
            </w:r>
          </w:p>
          <w:p>
            <w:pPr>
              <w:spacing w:line="360" w:lineRule="auto"/>
              <w:ind w:firstLine="480" w:firstLineChars="200"/>
              <w:textAlignment w:val="center"/>
              <w:rPr>
                <w:sz w:val="24"/>
              </w:rPr>
            </w:pPr>
            <w:r>
              <w:rPr>
                <w:sz w:val="24"/>
              </w:rPr>
              <w:t>（3）声学环境质量现状</w:t>
            </w:r>
          </w:p>
          <w:p>
            <w:pPr>
              <w:spacing w:line="360" w:lineRule="auto"/>
              <w:ind w:firstLine="480" w:firstLineChars="200"/>
              <w:textAlignment w:val="center"/>
              <w:rPr>
                <w:sz w:val="24"/>
              </w:rPr>
            </w:pPr>
            <w:r>
              <w:rPr>
                <w:sz w:val="24"/>
              </w:rPr>
              <w:t>监测结果表明：项目所在地声环境质量满足《声环境质量标准》（GB3096-2008）2类区标准。</w:t>
            </w:r>
          </w:p>
          <w:p>
            <w:pPr>
              <w:spacing w:line="360" w:lineRule="auto"/>
              <w:ind w:firstLine="470" w:firstLineChars="196"/>
              <w:rPr>
                <w:color w:val="000000"/>
                <w:sz w:val="24"/>
              </w:rPr>
            </w:pPr>
            <w:bookmarkStart w:id="11" w:name="_Toc407028273"/>
            <w:r>
              <w:rPr>
                <w:b/>
                <w:bCs/>
                <w:color w:val="000000"/>
                <w:sz w:val="24"/>
              </w:rPr>
              <w:t>4、</w:t>
            </w:r>
            <w:bookmarkEnd w:id="11"/>
            <w:r>
              <w:rPr>
                <w:rFonts w:hint="eastAsia"/>
                <w:b/>
                <w:bCs/>
                <w:color w:val="000000"/>
                <w:sz w:val="24"/>
              </w:rPr>
              <w:t>环境影响预测与分析结论</w:t>
            </w:r>
          </w:p>
          <w:p>
            <w:pPr>
              <w:ind w:firstLine="482"/>
              <w:textAlignment w:val="center"/>
              <w:rPr>
                <w:rFonts w:hint="eastAsia"/>
                <w:b/>
                <w:bCs/>
                <w:szCs w:val="30"/>
              </w:rPr>
            </w:pPr>
            <w:r>
              <w:rPr>
                <w:b/>
                <w:bCs/>
                <w:szCs w:val="30"/>
              </w:rPr>
              <w:t>施工期</w:t>
            </w:r>
          </w:p>
          <w:p>
            <w:pPr>
              <w:spacing w:line="360" w:lineRule="auto"/>
              <w:ind w:firstLine="480" w:firstLineChars="200"/>
              <w:textAlignment w:val="center"/>
              <w:rPr>
                <w:rFonts w:hint="eastAsia"/>
                <w:bCs/>
                <w:sz w:val="24"/>
              </w:rPr>
            </w:pPr>
            <w:r>
              <w:rPr>
                <w:rFonts w:hint="eastAsia"/>
                <w:bCs/>
                <w:sz w:val="24"/>
              </w:rPr>
              <w:t xml:space="preserve">废水：项目施工期会产生施工废水及工作人员生活污水。环评要求施工废水经隔油、沉淀除渣后用于设备冲洗和防尘等循环使用；生活污水利用既有环卫设施收集和处理。采取上述措施后，施工期废水能够得到妥善处理，对周围水环境影响较小。  </w:t>
            </w:r>
          </w:p>
          <w:p>
            <w:pPr>
              <w:spacing w:line="360" w:lineRule="auto"/>
              <w:ind w:firstLine="480" w:firstLineChars="200"/>
              <w:textAlignment w:val="center"/>
              <w:rPr>
                <w:rFonts w:hint="eastAsia"/>
                <w:bCs/>
                <w:sz w:val="24"/>
              </w:rPr>
            </w:pPr>
            <w:r>
              <w:rPr>
                <w:rFonts w:hint="eastAsia"/>
                <w:bCs/>
                <w:sz w:val="24"/>
              </w:rPr>
              <w:t xml:space="preserve">废气：项目施工期大气污染物主要来自于堆放，建筑材料的运输、装卸等产生的扬尘、车辆尾气及燃油废气。通过在作业现场采取相应的防护措施，如施工场地进出口使用防尘垫、汽车封闭运输及干燥天气时增加地面湿度等措施可以有效减轻扬尘对周围环境的影响。施工机械采用性能可靠、尾气排放达标的工程机械，尽量选用电动工具，可有效减少施工设备废气和装修废气对环境的影响。  </w:t>
            </w:r>
          </w:p>
          <w:p>
            <w:pPr>
              <w:spacing w:line="360" w:lineRule="auto"/>
              <w:ind w:firstLine="480" w:firstLineChars="200"/>
              <w:textAlignment w:val="center"/>
              <w:rPr>
                <w:bCs/>
                <w:sz w:val="24"/>
              </w:rPr>
            </w:pPr>
            <w:r>
              <w:rPr>
                <w:rFonts w:hint="eastAsia"/>
                <w:bCs/>
                <w:sz w:val="24"/>
              </w:rPr>
              <w:t xml:space="preserve">噪声：项目施工期噪声主要来自于施工设备的机械噪声及运输设备噪声。通过：①高噪声的施工材料加工点（锯木、锯钢筋等）布置在常年主导风向下风向；②进、离场运输汽车限速，不鸣笛；③设备维护，保证运输车辆及施工机械处于良好的工作状态等措施进行噪声的防治，以减轻对周围环境的影响。 </w:t>
            </w:r>
          </w:p>
          <w:p>
            <w:pPr>
              <w:spacing w:line="360" w:lineRule="auto"/>
              <w:ind w:firstLine="480" w:firstLineChars="200"/>
              <w:textAlignment w:val="center"/>
              <w:rPr>
                <w:bCs/>
                <w:sz w:val="24"/>
              </w:rPr>
            </w:pPr>
            <w:r>
              <w:rPr>
                <w:rFonts w:hint="eastAsia"/>
                <w:bCs/>
                <w:sz w:val="24"/>
              </w:rPr>
              <w:t xml:space="preserve">固体废物：施工期产生的固废主要包括建筑垃圾及施工人员生活垃圾。其中，建筑垃圾运到市政部门指定的建筑垃圾处理厂处理；施工人员产生的生活垃圾经袋装收集后由环卫部门统一运送到垃圾处理场集中处理。 </w:t>
            </w:r>
          </w:p>
          <w:p>
            <w:pPr>
              <w:spacing w:line="360" w:lineRule="auto"/>
              <w:ind w:firstLine="480" w:firstLineChars="200"/>
              <w:textAlignment w:val="center"/>
              <w:rPr>
                <w:bCs/>
                <w:sz w:val="24"/>
              </w:rPr>
            </w:pPr>
            <w:r>
              <w:rPr>
                <w:rFonts w:hint="eastAsia"/>
                <w:bCs/>
                <w:sz w:val="24"/>
              </w:rPr>
              <w:t xml:space="preserve"> 综上所述，项目施工期会产生一定的“三废”和噪声，按相应处理措施处理后，对周边环境影响甚微。</w:t>
            </w:r>
          </w:p>
          <w:p>
            <w:pPr>
              <w:ind w:firstLine="482"/>
              <w:textAlignment w:val="center"/>
              <w:rPr>
                <w:b/>
                <w:color w:val="000000"/>
              </w:rPr>
            </w:pPr>
            <w:r>
              <w:rPr>
                <w:rFonts w:hint="eastAsia"/>
                <w:b/>
                <w:color w:val="000000"/>
              </w:rPr>
              <w:t>营</w:t>
            </w:r>
            <w:r>
              <w:rPr>
                <w:b/>
                <w:color w:val="000000"/>
              </w:rPr>
              <w:t>运期</w:t>
            </w:r>
          </w:p>
          <w:p>
            <w:pPr>
              <w:ind w:firstLine="482"/>
              <w:textAlignment w:val="center"/>
              <w:rPr>
                <w:b/>
                <w:color w:val="000000"/>
              </w:rPr>
            </w:pPr>
          </w:p>
          <w:p>
            <w:pPr>
              <w:spacing w:line="360" w:lineRule="auto"/>
              <w:ind w:firstLine="480" w:firstLineChars="200"/>
              <w:textAlignment w:val="center"/>
              <w:rPr>
                <w:rFonts w:hint="eastAsia"/>
                <w:color w:val="000000"/>
                <w:sz w:val="24"/>
              </w:rPr>
            </w:pPr>
            <w:r>
              <w:rPr>
                <w:rFonts w:hint="eastAsia"/>
                <w:color w:val="000000"/>
                <w:sz w:val="24"/>
              </w:rPr>
              <w:t>（1）废水</w:t>
            </w:r>
          </w:p>
          <w:p>
            <w:pPr>
              <w:spacing w:line="360" w:lineRule="auto"/>
              <w:ind w:firstLine="480" w:firstLineChars="200"/>
              <w:textAlignment w:val="center"/>
              <w:rPr>
                <w:rFonts w:hint="eastAsia"/>
                <w:color w:val="000000"/>
                <w:sz w:val="24"/>
              </w:rPr>
            </w:pPr>
            <w:r>
              <w:rPr>
                <w:rFonts w:hint="eastAsia"/>
                <w:color w:val="000000"/>
                <w:sz w:val="24"/>
              </w:rPr>
              <w:t>生活污水经污水预处理池处理后综合利用，不外排。本项目设置有一食堂，食堂废水经隔油池后与生活废水一同处理后综合利用。根据调查，项目周边分布有大量山林地，可消纳项目产生的生活废水，项目生活废水用作农肥可行。磨削机和水磨机用水进入沉淀水池循环使用不外排。</w:t>
            </w:r>
          </w:p>
          <w:p>
            <w:pPr>
              <w:spacing w:line="360" w:lineRule="auto"/>
              <w:ind w:firstLine="480" w:firstLineChars="200"/>
              <w:textAlignment w:val="center"/>
              <w:rPr>
                <w:rFonts w:hint="eastAsia"/>
                <w:color w:val="000000"/>
                <w:sz w:val="24"/>
              </w:rPr>
            </w:pPr>
            <w:r>
              <w:rPr>
                <w:rFonts w:hint="eastAsia"/>
                <w:color w:val="000000"/>
                <w:sz w:val="24"/>
              </w:rPr>
              <w:t>综上，项目运营期废水不会对周边水环境造成较大影响。</w:t>
            </w:r>
          </w:p>
          <w:p>
            <w:pPr>
              <w:spacing w:line="360" w:lineRule="auto"/>
              <w:ind w:firstLine="480" w:firstLineChars="200"/>
              <w:textAlignment w:val="center"/>
              <w:rPr>
                <w:sz w:val="24"/>
              </w:rPr>
            </w:pPr>
            <w:r>
              <w:rPr>
                <w:rFonts w:hint="eastAsia"/>
                <w:sz w:val="24"/>
              </w:rPr>
              <w:t>（2）废气</w:t>
            </w:r>
          </w:p>
          <w:p>
            <w:pPr>
              <w:spacing w:line="360" w:lineRule="auto"/>
              <w:ind w:firstLine="480" w:firstLineChars="200"/>
              <w:textAlignment w:val="center"/>
              <w:rPr>
                <w:sz w:val="24"/>
              </w:rPr>
            </w:pPr>
            <w:r>
              <w:rPr>
                <w:rFonts w:hint="eastAsia"/>
                <w:sz w:val="24"/>
              </w:rPr>
              <w:t>刀身打磨粉尘加强内部机械通风措施；刀柄抛光粉尘经</w:t>
            </w:r>
            <w:r>
              <w:rPr>
                <w:rFonts w:hint="eastAsia"/>
                <w:sz w:val="24"/>
                <w:lang w:eastAsia="zh-CN"/>
              </w:rPr>
              <w:t>布袋收尘装置收集</w:t>
            </w:r>
            <w:r>
              <w:rPr>
                <w:rFonts w:hint="eastAsia"/>
                <w:sz w:val="24"/>
              </w:rPr>
              <w:t>；淬火油烟经“油烟净化器”处理后由15m高以上高空排放；食堂油烟经“油烟净化器”处理后排放。</w:t>
            </w:r>
          </w:p>
          <w:p>
            <w:pPr>
              <w:spacing w:line="360" w:lineRule="auto"/>
              <w:ind w:firstLine="480" w:firstLineChars="200"/>
              <w:textAlignment w:val="center"/>
              <w:rPr>
                <w:sz w:val="24"/>
              </w:rPr>
            </w:pPr>
            <w:r>
              <w:rPr>
                <w:rFonts w:hint="eastAsia"/>
                <w:sz w:val="24"/>
              </w:rPr>
              <w:t>通过上述措施治理后，项目废气对周边大气环境造成影响较小。</w:t>
            </w:r>
          </w:p>
          <w:p>
            <w:pPr>
              <w:spacing w:line="360" w:lineRule="auto"/>
              <w:ind w:firstLine="480" w:firstLineChars="200"/>
              <w:textAlignment w:val="center"/>
              <w:rPr>
                <w:rFonts w:hint="eastAsia"/>
                <w:sz w:val="24"/>
              </w:rPr>
            </w:pPr>
            <w:r>
              <w:rPr>
                <w:rFonts w:hint="eastAsia"/>
                <w:sz w:val="24"/>
              </w:rPr>
              <w:t>（3）噪声</w:t>
            </w:r>
          </w:p>
          <w:p>
            <w:pPr>
              <w:spacing w:line="360" w:lineRule="auto"/>
              <w:ind w:firstLine="480" w:firstLineChars="200"/>
              <w:textAlignment w:val="center"/>
              <w:rPr>
                <w:sz w:val="24"/>
              </w:rPr>
            </w:pPr>
            <w:r>
              <w:rPr>
                <w:rFonts w:hint="eastAsia"/>
                <w:sz w:val="24"/>
              </w:rPr>
              <w:t>营运期间产生的噪声主要为空气锤、打磨机等设备运行的噪声。噪声设备采取隔声、减震等措施，可使厂界噪声达到《工业企业厂界环境噪声排放标准》（GB12348-2008）中的</w:t>
            </w:r>
            <w:r>
              <w:rPr>
                <w:sz w:val="24"/>
              </w:rPr>
              <w:t>2</w:t>
            </w:r>
            <w:r>
              <w:rPr>
                <w:rFonts w:hint="eastAsia"/>
                <w:sz w:val="24"/>
              </w:rPr>
              <w:t>类标准限值要求，对周围环境影响较小。</w:t>
            </w:r>
          </w:p>
          <w:p>
            <w:pPr>
              <w:spacing w:line="360" w:lineRule="auto"/>
              <w:ind w:firstLine="480" w:firstLineChars="200"/>
              <w:textAlignment w:val="center"/>
              <w:rPr>
                <w:sz w:val="24"/>
              </w:rPr>
            </w:pPr>
            <w:r>
              <w:rPr>
                <w:rFonts w:hint="eastAsia"/>
                <w:sz w:val="24"/>
              </w:rPr>
              <w:t>（4）固废</w:t>
            </w:r>
          </w:p>
          <w:p>
            <w:pPr>
              <w:pStyle w:val="104"/>
              <w:spacing w:line="360" w:lineRule="auto"/>
              <w:ind w:firstLine="480" w:firstLineChars="200"/>
              <w:jc w:val="both"/>
              <w:rPr>
                <w:rFonts w:hint="eastAsia" w:ascii="宋体" w:hAnsi="宋体"/>
                <w:b w:val="0"/>
                <w:bCs/>
                <w:sz w:val="24"/>
                <w:lang w:val="en-US" w:eastAsia="zh-CN"/>
              </w:rPr>
            </w:pPr>
            <w:r>
              <w:rPr>
                <w:rFonts w:hint="eastAsia" w:ascii="宋体" w:hAnsi="宋体"/>
                <w:b w:val="0"/>
                <w:sz w:val="24"/>
                <w:lang w:val="en-US" w:eastAsia="zh-CN"/>
              </w:rPr>
              <w:t>除尘器收集粉尘</w:t>
            </w:r>
            <w:r>
              <w:rPr>
                <w:rFonts w:hint="eastAsia" w:ascii="宋体" w:hAnsi="宋体"/>
                <w:b w:val="0"/>
                <w:bCs/>
                <w:sz w:val="24"/>
                <w:lang w:val="en-US" w:eastAsia="zh-CN"/>
              </w:rPr>
              <w:t>经收集后</w:t>
            </w:r>
            <w:r>
              <w:rPr>
                <w:rFonts w:hint="eastAsia"/>
                <w:b w:val="0"/>
                <w:sz w:val="24"/>
                <w:lang w:val="en-US" w:eastAsia="zh-CN"/>
              </w:rPr>
              <w:t>交由当地环卫部门统一清运至垃圾填埋场处置；</w:t>
            </w:r>
            <w:r>
              <w:rPr>
                <w:rFonts w:hint="eastAsia" w:ascii="宋体" w:hAnsi="宋体"/>
                <w:b w:val="0"/>
                <w:sz w:val="24"/>
                <w:lang w:val="en-US" w:eastAsia="zh-CN"/>
              </w:rPr>
              <w:t>生活垃圾</w:t>
            </w:r>
            <w:r>
              <w:rPr>
                <w:rFonts w:hint="eastAsia"/>
                <w:b w:val="0"/>
                <w:sz w:val="24"/>
                <w:lang w:val="en-US" w:eastAsia="zh-CN"/>
              </w:rPr>
              <w:t>经收集后交由当地环卫部门统一清运至垃圾填埋场处置；</w:t>
            </w:r>
            <w:r>
              <w:rPr>
                <w:rFonts w:hint="eastAsia" w:ascii="宋体" w:hAnsi="宋体"/>
                <w:b w:val="0"/>
                <w:sz w:val="24"/>
                <w:lang w:val="en-US" w:eastAsia="zh-CN"/>
              </w:rPr>
              <w:t>污水预处理池污泥</w:t>
            </w:r>
            <w:r>
              <w:rPr>
                <w:rFonts w:hint="eastAsia"/>
                <w:b w:val="0"/>
                <w:sz w:val="24"/>
                <w:lang w:val="en-US" w:eastAsia="zh-CN"/>
              </w:rPr>
              <w:t>定期清掏用作农肥；</w:t>
            </w:r>
            <w:r>
              <w:rPr>
                <w:rFonts w:hint="eastAsia" w:ascii="宋体" w:hAnsi="宋体"/>
                <w:b w:val="0"/>
                <w:sz w:val="24"/>
                <w:lang w:val="en-US" w:eastAsia="zh-CN"/>
              </w:rPr>
              <w:t>不合格产品统一收集后出售给相关回收单位综合利用；油浸淬火废渣经收集后交当地环卫部门统一清运至垃圾填埋场处置；循环水池污泥、废矿物油</w:t>
            </w:r>
            <w:r>
              <w:rPr>
                <w:rFonts w:hint="eastAsia"/>
                <w:b w:val="0"/>
                <w:sz w:val="24"/>
                <w:lang w:val="en-US" w:eastAsia="zh-CN"/>
              </w:rPr>
              <w:t>收集至危废暂存间后交由资质单位处理。</w:t>
            </w:r>
          </w:p>
          <w:p>
            <w:pPr>
              <w:spacing w:line="360" w:lineRule="auto"/>
              <w:ind w:firstLine="480" w:firstLineChars="200"/>
              <w:textAlignment w:val="center"/>
              <w:rPr>
                <w:rFonts w:hint="eastAsia"/>
                <w:sz w:val="24"/>
              </w:rPr>
            </w:pPr>
            <w:r>
              <w:rPr>
                <w:rFonts w:hint="eastAsia"/>
                <w:sz w:val="24"/>
              </w:rPr>
              <w:t>项目</w:t>
            </w:r>
            <w:r>
              <w:rPr>
                <w:sz w:val="24"/>
              </w:rPr>
              <w:t>产生的固体废物经</w:t>
            </w:r>
            <w:r>
              <w:rPr>
                <w:rFonts w:hint="eastAsia"/>
                <w:sz w:val="24"/>
              </w:rPr>
              <w:t>妥善</w:t>
            </w:r>
            <w:r>
              <w:rPr>
                <w:sz w:val="24"/>
              </w:rPr>
              <w:t>处理后不会对环境造成影响。</w:t>
            </w:r>
          </w:p>
          <w:p>
            <w:pPr>
              <w:spacing w:line="360" w:lineRule="auto"/>
              <w:ind w:firstLine="480" w:firstLineChars="200"/>
              <w:textAlignment w:val="center"/>
              <w:rPr>
                <w:b/>
                <w:sz w:val="24"/>
              </w:rPr>
            </w:pPr>
            <w:r>
              <w:rPr>
                <w:b/>
                <w:sz w:val="24"/>
              </w:rPr>
              <w:t>5、达标排放</w:t>
            </w:r>
          </w:p>
          <w:p>
            <w:pPr>
              <w:spacing w:line="360" w:lineRule="auto"/>
              <w:ind w:firstLine="480" w:firstLineChars="200"/>
              <w:textAlignment w:val="center"/>
              <w:rPr>
                <w:bCs/>
                <w:sz w:val="24"/>
              </w:rPr>
            </w:pPr>
            <w:r>
              <w:rPr>
                <w:bCs/>
                <w:sz w:val="24"/>
              </w:rPr>
              <w:t>本项目对产生的废气、噪声及固体废弃物等污染源采取了有针对性的处理及预测表明，各项污染治理措施均经济、技术可行，废气能够</w:t>
            </w:r>
            <w:r>
              <w:rPr>
                <w:rFonts w:hint="eastAsia"/>
                <w:bCs/>
                <w:sz w:val="24"/>
              </w:rPr>
              <w:t>得到达标排放，噪声能够满足《工业企业厂界环境噪声排放标准》（GB12348-2008）中的</w:t>
            </w:r>
            <w:r>
              <w:rPr>
                <w:bCs/>
                <w:sz w:val="24"/>
              </w:rPr>
              <w:t>2</w:t>
            </w:r>
            <w:r>
              <w:rPr>
                <w:rFonts w:hint="eastAsia"/>
                <w:bCs/>
                <w:sz w:val="24"/>
              </w:rPr>
              <w:t>类标准，经过绿化和距离衰减后对周边环境不会造成较大影响，</w:t>
            </w:r>
            <w:r>
              <w:rPr>
                <w:bCs/>
                <w:sz w:val="24"/>
              </w:rPr>
              <w:t>固体废弃物均能够得到妥善处理。</w:t>
            </w:r>
          </w:p>
          <w:p>
            <w:pPr>
              <w:spacing w:line="360" w:lineRule="auto"/>
              <w:ind w:firstLine="480" w:firstLineChars="200"/>
              <w:textAlignment w:val="center"/>
              <w:rPr>
                <w:b/>
                <w:sz w:val="24"/>
              </w:rPr>
            </w:pPr>
            <w:r>
              <w:rPr>
                <w:rFonts w:hint="eastAsia"/>
                <w:b/>
                <w:sz w:val="24"/>
              </w:rPr>
              <w:t>6、总量控制</w:t>
            </w:r>
          </w:p>
          <w:p>
            <w:pPr>
              <w:adjustRightInd w:val="0"/>
              <w:spacing w:line="360" w:lineRule="auto"/>
              <w:ind w:firstLine="480" w:firstLineChars="200"/>
              <w:rPr>
                <w:rFonts w:hint="eastAsia" w:eastAsia="宋体"/>
                <w:color w:val="000000"/>
                <w:sz w:val="24"/>
                <w:lang w:eastAsia="zh-CN"/>
              </w:rPr>
            </w:pPr>
            <w:r>
              <w:rPr>
                <w:rFonts w:hint="eastAsia"/>
                <w:color w:val="000000"/>
                <w:sz w:val="24"/>
              </w:rPr>
              <w:t>项目无</w:t>
            </w:r>
            <w:r>
              <w:rPr>
                <w:rFonts w:hint="eastAsia"/>
                <w:color w:val="000000"/>
                <w:sz w:val="24"/>
                <w:lang w:eastAsia="zh-CN"/>
              </w:rPr>
              <w:t>生产</w:t>
            </w:r>
            <w:r>
              <w:rPr>
                <w:rFonts w:hint="eastAsia"/>
                <w:color w:val="000000"/>
                <w:sz w:val="24"/>
              </w:rPr>
              <w:t>废水排放，生活废水预处理后用作农肥，废水污染物不设总量控制指标；</w:t>
            </w:r>
            <w:r>
              <w:rPr>
                <w:rFonts w:hint="eastAsia"/>
                <w:color w:val="000000"/>
                <w:sz w:val="24"/>
                <w:lang w:eastAsia="zh-CN"/>
              </w:rPr>
              <w:t>运营期无大气污染物总量控制指标产生。</w:t>
            </w:r>
          </w:p>
          <w:p>
            <w:pPr>
              <w:adjustRightInd w:val="0"/>
              <w:spacing w:line="360" w:lineRule="auto"/>
              <w:ind w:firstLine="480" w:firstLineChars="200"/>
              <w:rPr>
                <w:b/>
                <w:bCs/>
                <w:sz w:val="24"/>
              </w:rPr>
            </w:pPr>
            <w:r>
              <w:rPr>
                <w:color w:val="000000"/>
                <w:sz w:val="24"/>
              </w:rPr>
              <w:t xml:space="preserve"> </w:t>
            </w:r>
            <w:r>
              <w:rPr>
                <w:b/>
                <w:bCs/>
                <w:sz w:val="24"/>
              </w:rPr>
              <w:t>7、风险分析</w:t>
            </w:r>
          </w:p>
          <w:p>
            <w:pPr>
              <w:spacing w:line="360" w:lineRule="auto"/>
              <w:ind w:firstLine="480" w:firstLineChars="200"/>
              <w:rPr>
                <w:bCs/>
                <w:sz w:val="24"/>
              </w:rPr>
            </w:pPr>
            <w:r>
              <w:rPr>
                <w:rFonts w:hint="eastAsia"/>
                <w:sz w:val="24"/>
              </w:rPr>
              <w:t>本项目的主要环境风险为发生火灾事故。经分析，在采取环评报告提出的加强操作管理、设置消防</w:t>
            </w:r>
            <w:r>
              <w:rPr>
                <w:rFonts w:hint="eastAsia"/>
                <w:sz w:val="24"/>
                <w:lang w:eastAsia="zh-CN"/>
              </w:rPr>
              <w:t>设施</w:t>
            </w:r>
            <w:r>
              <w:rPr>
                <w:rFonts w:hint="eastAsia"/>
                <w:sz w:val="24"/>
              </w:rPr>
              <w:t>、制定应急预案等一系列消防和安全措施后，可降低项目发生风险事故的概率水平，项目发生事故的环境风险值处于可接受水平，对环境保护目标的影响小，从环境风险角度而言，本项目可行。</w:t>
            </w:r>
            <w:r>
              <w:rPr>
                <w:sz w:val="24"/>
              </w:rPr>
              <w:t>因此，只要严格遵守安全操作规程和制度，加强安全管理，项目</w:t>
            </w:r>
            <w:r>
              <w:rPr>
                <w:rFonts w:hint="eastAsia"/>
                <w:sz w:val="24"/>
              </w:rPr>
              <w:t>建成后运行</w:t>
            </w:r>
            <w:r>
              <w:rPr>
                <w:sz w:val="24"/>
              </w:rPr>
              <w:t>是安全可靠的。</w:t>
            </w:r>
          </w:p>
          <w:p>
            <w:pPr>
              <w:adjustRightInd w:val="0"/>
              <w:snapToGrid w:val="0"/>
              <w:spacing w:line="360" w:lineRule="auto"/>
              <w:ind w:firstLine="477" w:firstLineChars="199"/>
              <w:rPr>
                <w:b/>
                <w:color w:val="000000"/>
                <w:sz w:val="24"/>
              </w:rPr>
            </w:pPr>
            <w:r>
              <w:rPr>
                <w:rFonts w:hint="eastAsia"/>
                <w:b/>
                <w:color w:val="000000"/>
                <w:sz w:val="24"/>
              </w:rPr>
              <w:t>8</w:t>
            </w:r>
            <w:r>
              <w:rPr>
                <w:b/>
                <w:color w:val="000000"/>
                <w:sz w:val="24"/>
              </w:rPr>
              <w:t>、综合结论</w:t>
            </w:r>
          </w:p>
          <w:p>
            <w:pPr>
              <w:adjustRightInd w:val="0"/>
              <w:snapToGrid w:val="0"/>
              <w:spacing w:line="336" w:lineRule="auto"/>
              <w:ind w:firstLine="480" w:firstLineChars="200"/>
              <w:rPr>
                <w:b/>
                <w:color w:val="FF0000"/>
                <w:sz w:val="24"/>
              </w:rPr>
            </w:pPr>
            <w:r>
              <w:rPr>
                <w:rFonts w:hint="eastAsia"/>
                <w:snapToGrid w:val="0"/>
                <w:kern w:val="0"/>
                <w:sz w:val="24"/>
              </w:rPr>
              <w:t>建设单位必须严格遵守“三同时”的管理规定，完成各项报建手续，确实保证本报告提出的各项环保措施的落实，并尽一切可能确保本项目所在区域的环境质量不因本项目的建设而受到不良影响，真正实现环境保护与经济建设的协调发展。项目建成后，须经过环境保护主管部门验收合格后方可投入使用，在投入使用后，应加强对设备的维修保养，确保环保设施的正常运转。在达到本报告所提出的各项要求后，该项目对周围环境将不会产生明显的影响。</w:t>
            </w:r>
            <w:r>
              <w:rPr>
                <w:rFonts w:hint="eastAsia"/>
                <w:b/>
                <w:snapToGrid w:val="0"/>
                <w:kern w:val="0"/>
                <w:sz w:val="24"/>
              </w:rPr>
              <w:t>从环保的角度看，该项目的建设是可行的。</w:t>
            </w:r>
          </w:p>
          <w:p>
            <w:pPr>
              <w:adjustRightInd w:val="0"/>
              <w:snapToGrid w:val="0"/>
              <w:spacing w:line="360" w:lineRule="auto"/>
              <w:ind w:firstLine="470" w:firstLineChars="196"/>
              <w:rPr>
                <w:b/>
                <w:bCs/>
                <w:color w:val="000000"/>
                <w:sz w:val="24"/>
              </w:rPr>
            </w:pPr>
            <w:r>
              <w:rPr>
                <w:b/>
                <w:bCs/>
                <w:color w:val="000000"/>
                <w:sz w:val="24"/>
              </w:rPr>
              <w:t>二、建议</w:t>
            </w:r>
          </w:p>
          <w:p>
            <w:pPr>
              <w:adjustRightInd w:val="0"/>
              <w:snapToGrid w:val="0"/>
              <w:spacing w:line="336" w:lineRule="auto"/>
              <w:ind w:firstLine="480" w:firstLineChars="200"/>
              <w:rPr>
                <w:sz w:val="24"/>
              </w:rPr>
            </w:pPr>
            <w:r>
              <w:rPr>
                <w:sz w:val="24"/>
              </w:rPr>
              <w:t>1</w:t>
            </w:r>
            <w:r>
              <w:rPr>
                <w:rFonts w:hint="eastAsia"/>
                <w:sz w:val="24"/>
              </w:rPr>
              <w:t>、</w:t>
            </w:r>
            <w:r>
              <w:rPr>
                <w:rFonts w:hAnsi="宋体"/>
                <w:sz w:val="24"/>
              </w:rPr>
              <w:t>根据环评要求，落实</w:t>
            </w:r>
            <w:r>
              <w:rPr>
                <w:sz w:val="24"/>
              </w:rPr>
              <w:t>“</w:t>
            </w:r>
            <w:r>
              <w:rPr>
                <w:rFonts w:hAnsi="宋体"/>
                <w:sz w:val="24"/>
              </w:rPr>
              <w:t>三废治理</w:t>
            </w:r>
            <w:r>
              <w:rPr>
                <w:sz w:val="24"/>
              </w:rPr>
              <w:t>”</w:t>
            </w:r>
            <w:r>
              <w:rPr>
                <w:rFonts w:hAnsi="宋体"/>
                <w:sz w:val="24"/>
              </w:rPr>
              <w:t>费用，做到专款专用，项目实施后应保证足够的环保资金，确保污染防治措施有效地运行，保证污染物达标排放</w:t>
            </w:r>
            <w:r>
              <w:rPr>
                <w:rFonts w:hint="eastAsia" w:hAnsi="宋体"/>
                <w:sz w:val="24"/>
              </w:rPr>
              <w:t>。</w:t>
            </w:r>
          </w:p>
          <w:p>
            <w:pPr>
              <w:spacing w:line="336" w:lineRule="auto"/>
              <w:ind w:firstLine="480" w:firstLineChars="200"/>
              <w:rPr>
                <w:sz w:val="24"/>
              </w:rPr>
            </w:pPr>
            <w:r>
              <w:rPr>
                <w:sz w:val="24"/>
              </w:rPr>
              <w:t>2</w:t>
            </w:r>
            <w:r>
              <w:rPr>
                <w:rFonts w:hint="eastAsia"/>
                <w:sz w:val="24"/>
              </w:rPr>
              <w:t>、</w:t>
            </w:r>
            <w:r>
              <w:rPr>
                <w:rFonts w:hAnsi="宋体"/>
                <w:snapToGrid w:val="0"/>
                <w:color w:val="000000"/>
                <w:kern w:val="0"/>
                <w:sz w:val="24"/>
              </w:rPr>
              <w:t>加强</w:t>
            </w:r>
            <w:r>
              <w:rPr>
                <w:rFonts w:hint="eastAsia" w:hAnsi="宋体"/>
                <w:snapToGrid w:val="0"/>
                <w:color w:val="000000"/>
                <w:kern w:val="0"/>
                <w:sz w:val="24"/>
              </w:rPr>
              <w:t>制作</w:t>
            </w:r>
            <w:r>
              <w:rPr>
                <w:rFonts w:hAnsi="宋体"/>
                <w:snapToGrid w:val="0"/>
                <w:color w:val="000000"/>
                <w:kern w:val="0"/>
                <w:sz w:val="24"/>
              </w:rPr>
              <w:t>通风透气措施，保持空气顺畅，做好员工的保护措施，以保护员工的身体健康</w:t>
            </w:r>
            <w:r>
              <w:rPr>
                <w:rFonts w:hint="eastAsia" w:hAnsi="宋体"/>
                <w:snapToGrid w:val="0"/>
                <w:color w:val="000000"/>
                <w:kern w:val="0"/>
                <w:sz w:val="24"/>
              </w:rPr>
              <w:t>。</w:t>
            </w:r>
          </w:p>
          <w:p>
            <w:pPr>
              <w:spacing w:line="336" w:lineRule="auto"/>
              <w:ind w:firstLine="480" w:firstLineChars="200"/>
              <w:rPr>
                <w:sz w:val="24"/>
              </w:rPr>
            </w:pPr>
            <w:r>
              <w:rPr>
                <w:rFonts w:hint="eastAsia"/>
                <w:sz w:val="24"/>
              </w:rPr>
              <w:t>3、</w:t>
            </w:r>
            <w:r>
              <w:rPr>
                <w:sz w:val="24"/>
              </w:rPr>
              <w:t>建立健全一套完善的环境管理</w:t>
            </w:r>
            <w:r>
              <w:rPr>
                <w:rFonts w:hint="eastAsia"/>
                <w:sz w:val="24"/>
              </w:rPr>
              <w:t>和安全制作责任</w:t>
            </w:r>
            <w:r>
              <w:rPr>
                <w:sz w:val="24"/>
              </w:rPr>
              <w:t>制度，并严格按管理制度执行</w:t>
            </w:r>
            <w:r>
              <w:rPr>
                <w:rFonts w:hint="eastAsia"/>
                <w:sz w:val="24"/>
              </w:rPr>
              <w:t>。</w:t>
            </w:r>
          </w:p>
          <w:p>
            <w:pPr>
              <w:spacing w:line="336" w:lineRule="auto"/>
              <w:ind w:firstLine="480" w:firstLineChars="200"/>
              <w:rPr>
                <w:sz w:val="24"/>
              </w:rPr>
            </w:pPr>
            <w:r>
              <w:rPr>
                <w:rFonts w:hint="eastAsia"/>
                <w:sz w:val="24"/>
              </w:rPr>
              <w:t>4、</w:t>
            </w:r>
            <w:r>
              <w:rPr>
                <w:sz w:val="24"/>
              </w:rPr>
              <w:t>合理</w:t>
            </w:r>
            <w:r>
              <w:rPr>
                <w:rFonts w:hint="eastAsia"/>
                <w:sz w:val="24"/>
              </w:rPr>
              <w:t>布局</w:t>
            </w:r>
            <w:r>
              <w:rPr>
                <w:sz w:val="24"/>
              </w:rPr>
              <w:t>，建立设备管理网络体系，形成保证设备正常运行和正常维修保养的一系列工程程序，确保设备完好，尽可能减少污染物排放量</w:t>
            </w:r>
            <w:r>
              <w:rPr>
                <w:rFonts w:hint="eastAsia"/>
                <w:sz w:val="24"/>
              </w:rPr>
              <w:t>。</w:t>
            </w:r>
          </w:p>
          <w:p>
            <w:pPr>
              <w:adjustRightInd w:val="0"/>
              <w:snapToGrid w:val="0"/>
              <w:spacing w:line="336" w:lineRule="auto"/>
              <w:ind w:firstLine="456" w:firstLineChars="190"/>
              <w:jc w:val="center"/>
              <w:rPr>
                <w:color w:val="000000"/>
                <w:sz w:val="24"/>
              </w:rPr>
            </w:pPr>
          </w:p>
          <w:p>
            <w:pPr>
              <w:rPr>
                <w:b/>
                <w:sz w:val="24"/>
              </w:rPr>
            </w:pPr>
          </w:p>
          <w:p>
            <w:pPr>
              <w:rPr>
                <w:b/>
                <w:sz w:val="24"/>
              </w:rPr>
            </w:pPr>
          </w:p>
          <w:p>
            <w:pPr>
              <w:rPr>
                <w:b/>
                <w:sz w:val="24"/>
              </w:rPr>
            </w:pPr>
          </w:p>
          <w:p>
            <w:pPr>
              <w:rPr>
                <w:b/>
                <w:sz w:val="24"/>
              </w:rPr>
            </w:pPr>
          </w:p>
          <w:p>
            <w:pPr>
              <w:rPr>
                <w:b/>
                <w:sz w:val="24"/>
              </w:rPr>
            </w:pPr>
          </w:p>
          <w:p>
            <w:pPr>
              <w:tabs>
                <w:tab w:val="left" w:pos="1490"/>
              </w:tabs>
              <w:rPr>
                <w:rFonts w:hint="eastAsia"/>
                <w:b/>
                <w:sz w:val="24"/>
              </w:rPr>
            </w:pPr>
          </w:p>
        </w:tc>
      </w:tr>
    </w:tbl>
    <w:p>
      <w:pPr>
        <w:tabs>
          <w:tab w:val="left" w:pos="2625"/>
        </w:tabs>
        <w:ind w:right="-1587"/>
        <w:rPr>
          <w:rFonts w:hint="eastAsia"/>
          <w:color w:val="000000"/>
        </w:rPr>
      </w:pPr>
    </w:p>
    <w:p>
      <w:pPr>
        <w:jc w:val="center"/>
        <w:rPr>
          <w:rFonts w:hint="eastAsia" w:eastAsia="黑体"/>
          <w:bCs/>
          <w:w w:val="90"/>
          <w:sz w:val="72"/>
          <w:szCs w:val="72"/>
        </w:rPr>
      </w:pPr>
    </w:p>
    <w:p>
      <w:pPr>
        <w:jc w:val="center"/>
        <w:rPr>
          <w:rFonts w:hint="eastAsia" w:eastAsia="黑体"/>
          <w:bCs/>
          <w:w w:val="90"/>
          <w:sz w:val="72"/>
          <w:szCs w:val="72"/>
        </w:rPr>
      </w:pPr>
    </w:p>
    <w:p>
      <w:pPr>
        <w:spacing w:after="120" w:line="800" w:lineRule="exact"/>
        <w:jc w:val="center"/>
        <w:rPr>
          <w:b/>
          <w:sz w:val="52"/>
          <w:szCs w:val="52"/>
        </w:rPr>
      </w:pPr>
      <w:r>
        <w:rPr>
          <w:rFonts w:hint="eastAsia"/>
          <w:b/>
          <w:sz w:val="52"/>
          <w:szCs w:val="52"/>
        </w:rPr>
        <w:t>建设项目环境影响报告表</w:t>
      </w:r>
    </w:p>
    <w:p>
      <w:pPr>
        <w:topLinePunct/>
        <w:spacing w:line="360" w:lineRule="auto"/>
        <w:jc w:val="center"/>
        <w:rPr>
          <w:rFonts w:hint="eastAsia"/>
          <w:b/>
          <w:snapToGrid w:val="0"/>
          <w:sz w:val="36"/>
          <w:szCs w:val="36"/>
        </w:rPr>
      </w:pPr>
      <w:r>
        <w:rPr>
          <w:rFonts w:hint="eastAsia"/>
          <w:b/>
          <w:snapToGrid w:val="0"/>
          <w:sz w:val="36"/>
          <w:szCs w:val="36"/>
        </w:rPr>
        <w:t>（</w:t>
      </w:r>
      <w:r>
        <w:rPr>
          <w:rFonts w:hint="eastAsia"/>
          <w:b/>
          <w:snapToGrid w:val="0"/>
          <w:sz w:val="36"/>
          <w:szCs w:val="36"/>
          <w:lang w:val="en-US" w:eastAsia="zh-CN"/>
        </w:rPr>
        <w:t>送审本</w:t>
      </w:r>
      <w:r>
        <w:rPr>
          <w:rFonts w:hint="eastAsia"/>
          <w:b/>
          <w:snapToGrid w:val="0"/>
          <w:sz w:val="36"/>
          <w:szCs w:val="36"/>
        </w:rPr>
        <w:t>）</w:t>
      </w:r>
    </w:p>
    <w:p>
      <w:pPr>
        <w:topLinePunct/>
        <w:spacing w:line="360" w:lineRule="auto"/>
        <w:rPr>
          <w:b/>
          <w:snapToGrid w:val="0"/>
          <w:sz w:val="44"/>
          <w:szCs w:val="44"/>
        </w:rPr>
      </w:pPr>
    </w:p>
    <w:p>
      <w:pPr>
        <w:rPr>
          <w:rFonts w:hint="eastAsia" w:eastAsia="黑体"/>
          <w:sz w:val="32"/>
        </w:rPr>
      </w:pPr>
    </w:p>
    <w:p>
      <w:pPr>
        <w:rPr>
          <w:rFonts w:hint="eastAsia" w:eastAsia="黑体"/>
          <w:sz w:val="32"/>
        </w:rPr>
      </w:pPr>
    </w:p>
    <w:p>
      <w:pPr>
        <w:rPr>
          <w:rFonts w:hint="eastAsia" w:eastAsia="黑体"/>
          <w:sz w:val="32"/>
        </w:rPr>
      </w:pPr>
    </w:p>
    <w:p>
      <w:pPr>
        <w:spacing w:line="360" w:lineRule="auto"/>
        <w:rPr>
          <w:rFonts w:hint="eastAsia" w:eastAsia="宋体"/>
          <w:b/>
          <w:sz w:val="32"/>
          <w:szCs w:val="32"/>
          <w:u w:val="thick"/>
          <w:lang w:val="en-US" w:eastAsia="zh-CN"/>
        </w:rPr>
      </w:pPr>
      <w:r>
        <w:rPr>
          <w:rFonts w:hint="eastAsia"/>
          <w:b/>
          <w:sz w:val="32"/>
          <w:szCs w:val="32"/>
        </w:rPr>
        <mc:AlternateContent>
          <mc:Choice Requires="wps">
            <w:drawing>
              <wp:anchor distT="0" distB="0" distL="114300" distR="114300" simplePos="0" relativeHeight="251667456" behindDoc="0" locked="0" layoutInCell="1" allowOverlap="1">
                <wp:simplePos x="0" y="0"/>
                <wp:positionH relativeFrom="column">
                  <wp:posOffset>1041400</wp:posOffset>
                </wp:positionH>
                <wp:positionV relativeFrom="paragraph">
                  <wp:posOffset>307340</wp:posOffset>
                </wp:positionV>
                <wp:extent cx="4292600" cy="0"/>
                <wp:effectExtent l="0" t="0" r="0" b="0"/>
                <wp:wrapNone/>
                <wp:docPr id="17" name="直接连接符 17"/>
                <wp:cNvGraphicFramePr/>
                <a:graphic xmlns:a="http://schemas.openxmlformats.org/drawingml/2006/main">
                  <a:graphicData uri="http://schemas.microsoft.com/office/word/2010/wordprocessingShape">
                    <wps:wsp>
                      <wps:cNvSpPr/>
                      <wps:spPr>
                        <a:xfrm>
                          <a:off x="0" y="0"/>
                          <a:ext cx="4292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pt;margin-top:24.2pt;height:0pt;width:338pt;z-index:251667456;mso-width-relative:page;mso-height-relative:page;" filled="f" stroked="t" coordsize="21600,21600" o:gfxdata="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fCTa3VAAAACQEAAA8AAAAAAAAA&#10;AQAgAAAAIgAAAGRycy9kb3ducmV2LnhtbFBLAQIUABQAAAAIAIdO4kC7TwNh2wEAAJgDAAAOAAAA&#10;AAAAAAEAIAAAACQBAABkcnMvZTJvRG9jLnhtbFBLBQYAAAAABgAGAFkBAABxBQAAAAA=&#10;">
                <v:fill on="f" focussize="0,0"/>
                <v:stroke color="#000000" joinstyle="round"/>
                <v:imagedata o:title=""/>
                <o:lock v:ext="edit" aspectratio="f"/>
              </v:line>
            </w:pict>
          </mc:Fallback>
        </mc:AlternateContent>
      </w:r>
      <w:r>
        <w:rPr>
          <w:rFonts w:hint="eastAsia"/>
          <w:b/>
          <w:sz w:val="32"/>
          <w:szCs w:val="32"/>
        </w:rPr>
        <w:t xml:space="preserve">项目名称： </w:t>
      </w:r>
      <w:r>
        <w:rPr>
          <w:rFonts w:hint="eastAsia"/>
          <w:b/>
          <w:sz w:val="32"/>
          <w:szCs w:val="32"/>
          <w:lang w:val="en-US" w:eastAsia="zh-CN"/>
        </w:rPr>
        <w:t xml:space="preserve">       </w:t>
      </w:r>
      <w:r>
        <w:rPr>
          <w:rFonts w:hint="eastAsia"/>
          <w:b/>
          <w:sz w:val="32"/>
          <w:szCs w:val="32"/>
        </w:rPr>
        <w:t>人造板加工项目</w:t>
      </w:r>
      <w:r>
        <w:rPr>
          <w:rFonts w:hint="eastAsia"/>
          <w:b/>
          <w:sz w:val="32"/>
          <w:szCs w:val="32"/>
          <w:lang w:eastAsia="zh-CN"/>
        </w:rPr>
        <w:t>搬迁工程</w:t>
      </w:r>
    </w:p>
    <w:p>
      <w:pPr>
        <w:spacing w:line="360" w:lineRule="auto"/>
        <w:rPr>
          <w:rFonts w:hint="eastAsia" w:eastAsia="黑体"/>
          <w:sz w:val="32"/>
          <w:szCs w:val="32"/>
        </w:rPr>
      </w:pPr>
      <w:r>
        <w:rPr>
          <w:rFonts w:hint="eastAsia"/>
          <w:b/>
          <w:sz w:val="32"/>
          <w:szCs w:val="32"/>
        </w:rPr>
        <mc:AlternateContent>
          <mc:Choice Requires="wps">
            <w:drawing>
              <wp:anchor distT="0" distB="0" distL="114300" distR="114300" simplePos="0" relativeHeight="251668480" behindDoc="0" locked="0" layoutInCell="1" allowOverlap="1">
                <wp:simplePos x="0" y="0"/>
                <wp:positionH relativeFrom="column">
                  <wp:posOffset>1041400</wp:posOffset>
                </wp:positionH>
                <wp:positionV relativeFrom="paragraph">
                  <wp:posOffset>307340</wp:posOffset>
                </wp:positionV>
                <wp:extent cx="4292600" cy="0"/>
                <wp:effectExtent l="0" t="0" r="0" b="0"/>
                <wp:wrapNone/>
                <wp:docPr id="19" name="直接连接符 19"/>
                <wp:cNvGraphicFramePr/>
                <a:graphic xmlns:a="http://schemas.openxmlformats.org/drawingml/2006/main">
                  <a:graphicData uri="http://schemas.microsoft.com/office/word/2010/wordprocessingShape">
                    <wps:wsp>
                      <wps:cNvSpPr/>
                      <wps:spPr>
                        <a:xfrm>
                          <a:off x="0" y="0"/>
                          <a:ext cx="4292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pt;margin-top:24.2pt;height:0pt;width:338pt;z-index:251668480;mso-width-relative:page;mso-height-relative:page;" filled="f" stroked="t" coordsize="21600,21600" o:gfxdata="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fCTa3VAAAACQEAAA8AAAAAAAAA&#10;AQAgAAAAIgAAAGRycy9kb3ducmV2LnhtbFBLAQIUABQAAAAIAIdO4kCbHZ852wEAAJgDAAAOAAAA&#10;AAAAAAEAIAAAACQBAABkcnMvZTJvRG9jLnhtbFBLBQYAAAAABgAGAFkBAABxBQAAAAA=&#10;">
                <v:fill on="f" focussize="0,0"/>
                <v:stroke color="#000000" joinstyle="round"/>
                <v:imagedata o:title=""/>
                <o:lock v:ext="edit" aspectratio="f"/>
              </v:line>
            </w:pict>
          </mc:Fallback>
        </mc:AlternateContent>
      </w:r>
      <w:r>
        <w:rPr>
          <w:rFonts w:hint="eastAsia"/>
          <w:b/>
          <w:sz w:val="32"/>
          <w:szCs w:val="32"/>
        </w:rPr>
        <w:t>建设单位</w:t>
      </w:r>
      <w:r>
        <w:rPr>
          <w:b/>
          <w:sz w:val="32"/>
          <w:szCs w:val="32"/>
        </w:rPr>
        <w:t>：</w:t>
      </w:r>
      <w:r>
        <w:rPr>
          <w:rFonts w:hint="eastAsia"/>
          <w:b/>
          <w:bCs/>
          <w:sz w:val="32"/>
          <w:szCs w:val="32"/>
        </w:rPr>
        <w:t xml:space="preserve">       乐山市林泉木业有限责任公司   </w:t>
      </w:r>
    </w:p>
    <w:p>
      <w:pPr>
        <w:rPr>
          <w:rFonts w:hint="eastAsia" w:eastAsia="黑体"/>
          <w:sz w:val="32"/>
        </w:rPr>
      </w:pPr>
    </w:p>
    <w:p>
      <w:pPr>
        <w:spacing w:line="360" w:lineRule="exact"/>
        <w:rPr>
          <w:rFonts w:hint="eastAsia"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p>
    <w:p>
      <w:pPr>
        <w:spacing w:line="360" w:lineRule="auto"/>
        <w:jc w:val="center"/>
        <w:rPr>
          <w:sz w:val="36"/>
        </w:rPr>
      </w:pPr>
      <w:r>
        <w:rPr>
          <w:rFonts w:hint="eastAsia"/>
          <w:b/>
          <w:sz w:val="32"/>
        </w:rPr>
        <w:t xml:space="preserve">  编制单位：重庆</w:t>
      </w:r>
      <w:r>
        <w:rPr>
          <w:rFonts w:hint="eastAsia"/>
          <w:b/>
          <w:sz w:val="32"/>
          <w:lang w:eastAsia="zh-CN"/>
        </w:rPr>
        <w:t>丰达环境影响评价</w:t>
      </w:r>
      <w:r>
        <w:rPr>
          <w:rFonts w:hint="eastAsia"/>
          <w:b/>
          <w:sz w:val="32"/>
        </w:rPr>
        <w:t>有限公司</w:t>
      </w:r>
    </w:p>
    <w:p>
      <w:pPr>
        <w:spacing w:line="360" w:lineRule="auto"/>
        <w:jc w:val="center"/>
        <w:rPr>
          <w:b/>
          <w:sz w:val="32"/>
        </w:rPr>
      </w:pPr>
      <w:r>
        <w:rPr>
          <w:rFonts w:hint="eastAsia"/>
          <w:b/>
          <w:sz w:val="32"/>
        </w:rPr>
        <w:t xml:space="preserve">  编制日期：二〇一</w:t>
      </w:r>
      <w:r>
        <w:rPr>
          <w:rFonts w:hint="eastAsia"/>
          <w:b/>
          <w:sz w:val="32"/>
          <w:lang w:eastAsia="zh-CN"/>
        </w:rPr>
        <w:t>九</w:t>
      </w:r>
      <w:r>
        <w:rPr>
          <w:b/>
          <w:sz w:val="32"/>
        </w:rPr>
        <w:t xml:space="preserve"> </w:t>
      </w:r>
      <w:r>
        <w:rPr>
          <w:rFonts w:hint="eastAsia"/>
          <w:b/>
          <w:sz w:val="32"/>
        </w:rPr>
        <w:t>年</w:t>
      </w:r>
      <w:r>
        <w:rPr>
          <w:b/>
          <w:sz w:val="32"/>
        </w:rPr>
        <w:t xml:space="preserve"> </w:t>
      </w:r>
      <w:r>
        <w:rPr>
          <w:rFonts w:hint="eastAsia"/>
          <w:b/>
          <w:sz w:val="32"/>
          <w:lang w:eastAsia="zh-CN"/>
        </w:rPr>
        <w:t>八</w:t>
      </w:r>
      <w:r>
        <w:rPr>
          <w:b/>
          <w:sz w:val="32"/>
        </w:rPr>
        <w:t xml:space="preserve"> </w:t>
      </w:r>
      <w:r>
        <w:rPr>
          <w:rFonts w:hint="eastAsia"/>
          <w:b/>
          <w:sz w:val="32"/>
        </w:rPr>
        <w:t>月</w:t>
      </w:r>
    </w:p>
    <w:p>
      <w:pPr>
        <w:rPr>
          <w:rFonts w:hint="eastAsia"/>
          <w:b/>
          <w:sz w:val="32"/>
        </w:rPr>
      </w:pPr>
      <w:r>
        <w:rPr>
          <w:b/>
          <w:sz w:val="32"/>
        </w:rPr>
        <w:br w:type="page"/>
      </w:r>
    </w:p>
    <w:p>
      <w:pPr>
        <w:jc w:val="center"/>
        <w:rPr>
          <w:rFonts w:hint="eastAsia"/>
        </w:rPr>
      </w:pPr>
      <w:r>
        <w:rPr>
          <w:rFonts w:hint="eastAsia"/>
          <w:b/>
          <w:sz w:val="32"/>
        </w:rPr>
        <w:t>《建设项目环境影响报告表》编制说明</w:t>
      </w:r>
    </w:p>
    <w:p>
      <w:pPr>
        <w:pStyle w:val="33"/>
        <w:tabs>
          <w:tab w:val="left" w:pos="3300"/>
        </w:tabs>
        <w:spacing w:line="240" w:lineRule="auto"/>
        <w:ind w:firstLine="560"/>
        <w:rPr>
          <w:rFonts w:hint="eastAsia"/>
          <w:sz w:val="28"/>
        </w:rPr>
      </w:pPr>
      <w:r>
        <w:rPr>
          <w:rFonts w:hint="eastAsia"/>
          <w:sz w:val="28"/>
        </w:rPr>
        <w:t>《建设项目环境影响报告表》由具有从事环境影响评价工作资质的单位编制。</w:t>
      </w:r>
    </w:p>
    <w:p>
      <w:pPr>
        <w:ind w:firstLine="560" w:firstLineChars="200"/>
        <w:rPr>
          <w:rFonts w:ascii="宋体" w:hAnsi="宋体"/>
          <w:sz w:val="28"/>
        </w:rPr>
      </w:pPr>
      <w:r>
        <w:rPr>
          <w:rFonts w:ascii="宋体" w:hAnsi="宋体"/>
          <w:sz w:val="28"/>
        </w:rPr>
        <w:t>1.</w:t>
      </w:r>
      <w:r>
        <w:rPr>
          <w:rFonts w:hint="eastAsia" w:ascii="宋体" w:hAnsi="宋体"/>
          <w:sz w:val="28"/>
        </w:rPr>
        <w:t>项目名称——指项目立项批复时的名称，应不超过</w:t>
      </w:r>
      <w:r>
        <w:rPr>
          <w:rFonts w:ascii="宋体" w:hAnsi="宋体"/>
          <w:sz w:val="28"/>
        </w:rPr>
        <w:t>30</w:t>
      </w:r>
      <w:r>
        <w:rPr>
          <w:rFonts w:hint="eastAsia" w:ascii="宋体" w:hAnsi="宋体"/>
          <w:sz w:val="28"/>
        </w:rPr>
        <w:t>个字（两个英文字段作一个汉字）。</w:t>
      </w:r>
    </w:p>
    <w:p>
      <w:pPr>
        <w:ind w:firstLine="560" w:firstLineChars="200"/>
        <w:rPr>
          <w:rFonts w:ascii="宋体" w:hAnsi="宋体"/>
          <w:sz w:val="28"/>
        </w:rPr>
      </w:pPr>
      <w:r>
        <w:rPr>
          <w:rFonts w:ascii="宋体" w:hAnsi="宋体"/>
          <w:sz w:val="28"/>
        </w:rPr>
        <w:t>2.</w:t>
      </w:r>
      <w:r>
        <w:rPr>
          <w:rFonts w:hint="eastAsia" w:ascii="宋体" w:hAnsi="宋体"/>
          <w:sz w:val="28"/>
        </w:rPr>
        <w:t>建设地点——指项目所在地详细地址，公路、铁路应填写起止地点。</w:t>
      </w:r>
    </w:p>
    <w:p>
      <w:pPr>
        <w:ind w:firstLine="560" w:firstLineChars="200"/>
        <w:rPr>
          <w:rFonts w:ascii="宋体" w:hAnsi="宋体"/>
          <w:sz w:val="28"/>
        </w:rPr>
      </w:pPr>
      <w:r>
        <w:rPr>
          <w:rFonts w:ascii="宋体" w:hAnsi="宋体"/>
          <w:sz w:val="28"/>
        </w:rPr>
        <w:t>3.</w:t>
      </w:r>
      <w:r>
        <w:rPr>
          <w:rFonts w:hint="eastAsia" w:ascii="宋体" w:hAnsi="宋体"/>
          <w:sz w:val="28"/>
        </w:rPr>
        <w:t>行业类别——按国标填写。</w:t>
      </w:r>
    </w:p>
    <w:p>
      <w:pPr>
        <w:ind w:firstLine="560" w:firstLineChars="200"/>
        <w:rPr>
          <w:rFonts w:ascii="宋体" w:hAnsi="宋体"/>
          <w:sz w:val="28"/>
        </w:rPr>
      </w:pPr>
      <w:r>
        <w:rPr>
          <w:rFonts w:ascii="宋体" w:hAnsi="宋体"/>
          <w:sz w:val="28"/>
        </w:rPr>
        <w:t>4.</w:t>
      </w:r>
      <w:r>
        <w:rPr>
          <w:rFonts w:hint="eastAsia" w:ascii="宋体" w:hAnsi="宋体"/>
          <w:sz w:val="28"/>
        </w:rPr>
        <w:t>总投资——指项目投资总额。</w:t>
      </w:r>
    </w:p>
    <w:p>
      <w:pPr>
        <w:ind w:firstLine="560" w:firstLineChars="200"/>
        <w:rPr>
          <w:rFonts w:ascii="宋体" w:hAnsi="宋体"/>
          <w:sz w:val="28"/>
        </w:rPr>
      </w:pPr>
      <w:r>
        <w:rPr>
          <w:rFonts w:ascii="宋体" w:hAnsi="宋体"/>
          <w:sz w:val="28"/>
        </w:rPr>
        <w:t>5.</w:t>
      </w:r>
      <w:r>
        <w:rPr>
          <w:rFonts w:hint="eastAsia" w:ascii="宋体" w:hAnsi="宋体"/>
          <w:sz w:val="28"/>
        </w:rPr>
        <w:t>主要环境保护目标——指项目区周围一定范围内集中居民住宅区、学校、医院、保护文物、风景名胜区、水源地和生态敏感点等，应尽可能给出保护目标、性质、规模和距厂界距离等。</w:t>
      </w:r>
    </w:p>
    <w:p>
      <w:pPr>
        <w:ind w:firstLine="560" w:firstLineChars="200"/>
        <w:rPr>
          <w:rFonts w:ascii="宋体" w:hAnsi="宋体"/>
          <w:sz w:val="28"/>
        </w:rPr>
      </w:pPr>
      <w:r>
        <w:rPr>
          <w:rFonts w:ascii="宋体" w:hAnsi="宋体"/>
          <w:sz w:val="28"/>
        </w:rPr>
        <w:t>6.</w:t>
      </w:r>
      <w:r>
        <w:rPr>
          <w:rFonts w:hint="eastAsia" w:ascii="宋体" w:hAnsi="宋体"/>
          <w:sz w:val="28"/>
        </w:rPr>
        <w:t>结论与建议——给出本项目清洁生产、达标排放和总量控制的分析结论，确定污染防治措施的有效性，说明本项目对环境造成的影响，给出建设项目环境可行性的明确结论。同时提出减少环境影响的其它建议。</w:t>
      </w:r>
    </w:p>
    <w:p>
      <w:pPr>
        <w:ind w:firstLine="560" w:firstLineChars="200"/>
        <w:rPr>
          <w:rFonts w:ascii="宋体" w:hAnsi="宋体"/>
          <w:sz w:val="28"/>
        </w:rPr>
      </w:pPr>
      <w:r>
        <w:rPr>
          <w:rFonts w:ascii="宋体" w:hAnsi="宋体"/>
          <w:sz w:val="28"/>
        </w:rPr>
        <w:t>7.</w:t>
      </w:r>
      <w:r>
        <w:rPr>
          <w:rFonts w:hint="eastAsia" w:ascii="宋体" w:hAnsi="宋体"/>
          <w:sz w:val="28"/>
        </w:rPr>
        <w:t>预审意见——由行业主管部门填写答复意见，无主管部门项目，可不填。</w:t>
      </w:r>
    </w:p>
    <w:p>
      <w:pPr>
        <w:ind w:firstLine="560" w:firstLineChars="200"/>
        <w:rPr>
          <w:rFonts w:hint="eastAsia" w:ascii="宋体" w:hAnsi="宋体"/>
          <w:sz w:val="28"/>
        </w:rPr>
      </w:pPr>
      <w:r>
        <w:rPr>
          <w:rFonts w:ascii="宋体" w:hAnsi="宋体"/>
          <w:sz w:val="28"/>
        </w:rPr>
        <w:t>8.</w:t>
      </w:r>
      <w:r>
        <w:rPr>
          <w:rFonts w:hint="eastAsia" w:ascii="宋体" w:hAnsi="宋体"/>
          <w:sz w:val="28"/>
        </w:rPr>
        <w:t>审批意见——由负责审批该项目的环境保护行政主管部门批复。</w:t>
      </w:r>
    </w:p>
    <w:p>
      <w:pPr>
        <w:ind w:firstLine="560" w:firstLineChars="200"/>
        <w:rPr>
          <w:rFonts w:hint="eastAsia" w:ascii="宋体" w:hAnsi="宋体"/>
          <w:sz w:val="28"/>
        </w:rPr>
      </w:pPr>
    </w:p>
    <w:p>
      <w:pPr>
        <w:outlineLvl w:val="0"/>
        <w:rPr>
          <w:rFonts w:hint="eastAsia" w:ascii="宋体" w:hAnsi="宋体" w:cs="黑体"/>
          <w:b/>
          <w:bCs/>
          <w:sz w:val="30"/>
          <w:szCs w:val="30"/>
        </w:rPr>
        <w:sectPr>
          <w:pgSz w:w="11906" w:h="16838"/>
          <w:pgMar w:top="1440" w:right="1797" w:bottom="1440" w:left="1797" w:header="851" w:footer="992" w:gutter="0"/>
          <w:pgNumType w:start="1"/>
          <w:cols w:space="720" w:num="1"/>
          <w:docGrid w:type="linesAndChars" w:linePitch="312" w:charSpace="0"/>
        </w:sectPr>
      </w:pPr>
    </w:p>
    <w:p>
      <w:pPr>
        <w:outlineLvl w:val="0"/>
        <w:rPr>
          <w:rFonts w:hint="eastAsia" w:ascii="宋体" w:hAnsi="宋体" w:cs="黑体"/>
          <w:b/>
          <w:bCs/>
          <w:sz w:val="30"/>
          <w:szCs w:val="30"/>
        </w:rPr>
      </w:pPr>
      <w:r>
        <w:rPr>
          <w:rFonts w:hint="eastAsia" w:ascii="宋体" w:hAnsi="宋体" w:cs="黑体"/>
          <w:b/>
          <w:bCs/>
          <w:sz w:val="30"/>
          <w:szCs w:val="30"/>
        </w:rPr>
        <w:t>建设项目基本情况                                (表一)</w:t>
      </w:r>
    </w:p>
    <w:tbl>
      <w:tblPr>
        <w:tblStyle w:val="69"/>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191"/>
        <w:gridCol w:w="868"/>
        <w:gridCol w:w="849"/>
        <w:gridCol w:w="1799"/>
        <w:gridCol w:w="1650"/>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12" w:type="dxa"/>
            <w:noWrap w:val="0"/>
            <w:vAlign w:val="center"/>
          </w:tcPr>
          <w:p>
            <w:pPr>
              <w:jc w:val="center"/>
              <w:rPr>
                <w:sz w:val="24"/>
              </w:rPr>
            </w:pPr>
            <w:r>
              <w:rPr>
                <w:sz w:val="24"/>
              </w:rPr>
              <w:t>项目名称</w:t>
            </w:r>
          </w:p>
        </w:tc>
        <w:tc>
          <w:tcPr>
            <w:tcW w:w="7475" w:type="dxa"/>
            <w:gridSpan w:val="6"/>
            <w:noWrap w:val="0"/>
            <w:vAlign w:val="center"/>
          </w:tcPr>
          <w:p>
            <w:pPr>
              <w:jc w:val="center"/>
              <w:rPr>
                <w:rFonts w:hint="eastAsia" w:eastAsia="宋体"/>
                <w:bCs/>
                <w:sz w:val="24"/>
                <w:lang w:eastAsia="zh-CN"/>
              </w:rPr>
            </w:pPr>
            <w:r>
              <w:rPr>
                <w:rFonts w:hint="eastAsia"/>
                <w:bCs/>
                <w:sz w:val="24"/>
              </w:rPr>
              <w:t>人造板加工项目</w:t>
            </w:r>
            <w:r>
              <w:rPr>
                <w:rFonts w:hint="eastAsia"/>
                <w:bCs/>
                <w:sz w:val="24"/>
                <w:lang w:eastAsia="zh-CN"/>
              </w:rPr>
              <w:t>搬迁工程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12" w:type="dxa"/>
            <w:noWrap w:val="0"/>
            <w:vAlign w:val="center"/>
          </w:tcPr>
          <w:p>
            <w:pPr>
              <w:jc w:val="center"/>
              <w:rPr>
                <w:sz w:val="24"/>
              </w:rPr>
            </w:pPr>
            <w:r>
              <w:rPr>
                <w:sz w:val="24"/>
              </w:rPr>
              <w:t>建设单位</w:t>
            </w:r>
          </w:p>
        </w:tc>
        <w:tc>
          <w:tcPr>
            <w:tcW w:w="7475" w:type="dxa"/>
            <w:gridSpan w:val="6"/>
            <w:noWrap w:val="0"/>
            <w:vAlign w:val="center"/>
          </w:tcPr>
          <w:p>
            <w:pPr>
              <w:jc w:val="center"/>
              <w:rPr>
                <w:rFonts w:hint="eastAsia"/>
                <w:bCs/>
                <w:sz w:val="24"/>
              </w:rPr>
            </w:pPr>
            <w:r>
              <w:rPr>
                <w:rFonts w:hint="eastAsia"/>
                <w:bCs/>
                <w:sz w:val="24"/>
              </w:rPr>
              <w:t>乐山市林泉木业有限责任公司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12" w:type="dxa"/>
            <w:noWrap w:val="0"/>
            <w:vAlign w:val="center"/>
          </w:tcPr>
          <w:p>
            <w:pPr>
              <w:jc w:val="center"/>
              <w:rPr>
                <w:sz w:val="24"/>
              </w:rPr>
            </w:pPr>
            <w:r>
              <w:rPr>
                <w:sz w:val="24"/>
              </w:rPr>
              <w:t>法人代表</w:t>
            </w:r>
          </w:p>
        </w:tc>
        <w:tc>
          <w:tcPr>
            <w:tcW w:w="2908" w:type="dxa"/>
            <w:gridSpan w:val="3"/>
            <w:noWrap w:val="0"/>
            <w:vAlign w:val="center"/>
          </w:tcPr>
          <w:p>
            <w:pPr>
              <w:jc w:val="center"/>
              <w:rPr>
                <w:rFonts w:hint="eastAsia"/>
                <w:bCs/>
                <w:sz w:val="24"/>
              </w:rPr>
            </w:pPr>
            <w:r>
              <w:rPr>
                <w:rFonts w:hint="eastAsia"/>
                <w:bCs/>
                <w:sz w:val="24"/>
              </w:rPr>
              <w:t>祝双丽</w:t>
            </w:r>
          </w:p>
        </w:tc>
        <w:tc>
          <w:tcPr>
            <w:tcW w:w="1799" w:type="dxa"/>
            <w:noWrap w:val="0"/>
            <w:vAlign w:val="center"/>
          </w:tcPr>
          <w:p>
            <w:pPr>
              <w:jc w:val="center"/>
              <w:rPr>
                <w:sz w:val="24"/>
              </w:rPr>
            </w:pPr>
            <w:r>
              <w:rPr>
                <w:sz w:val="24"/>
              </w:rPr>
              <w:t>联系人</w:t>
            </w:r>
          </w:p>
        </w:tc>
        <w:tc>
          <w:tcPr>
            <w:tcW w:w="2768" w:type="dxa"/>
            <w:gridSpan w:val="2"/>
            <w:noWrap w:val="0"/>
            <w:vAlign w:val="center"/>
          </w:tcPr>
          <w:p>
            <w:pPr>
              <w:jc w:val="center"/>
              <w:rPr>
                <w:rFonts w:hint="eastAsia" w:eastAsia="宋体"/>
                <w:sz w:val="24"/>
                <w:lang w:eastAsia="zh-CN"/>
              </w:rPr>
            </w:pPr>
            <w:r>
              <w:rPr>
                <w:rFonts w:hint="eastAsia"/>
                <w:sz w:val="24"/>
                <w:lang w:eastAsia="zh-CN"/>
              </w:rPr>
              <w:t>刘盼飞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12" w:type="dxa"/>
            <w:noWrap w:val="0"/>
            <w:vAlign w:val="center"/>
          </w:tcPr>
          <w:p>
            <w:pPr>
              <w:jc w:val="center"/>
              <w:rPr>
                <w:rFonts w:hint="eastAsia" w:eastAsia="宋体"/>
                <w:sz w:val="24"/>
                <w:lang w:eastAsia="zh-CN"/>
              </w:rPr>
            </w:pPr>
            <w:r>
              <w:rPr>
                <w:rFonts w:hint="eastAsia"/>
                <w:sz w:val="24"/>
                <w:lang w:eastAsia="zh-CN"/>
              </w:rPr>
              <w:t>通信地址</w:t>
            </w:r>
          </w:p>
        </w:tc>
        <w:tc>
          <w:tcPr>
            <w:tcW w:w="7475" w:type="dxa"/>
            <w:gridSpan w:val="6"/>
            <w:noWrap w:val="0"/>
            <w:vAlign w:val="center"/>
          </w:tcPr>
          <w:p>
            <w:pPr>
              <w:jc w:val="center"/>
              <w:rPr>
                <w:rFonts w:hint="eastAsia"/>
                <w:bCs/>
                <w:sz w:val="24"/>
              </w:rPr>
            </w:pPr>
            <w:r>
              <w:rPr>
                <w:rFonts w:hint="eastAsia"/>
                <w:bCs/>
                <w:sz w:val="24"/>
                <w:lang w:eastAsia="zh-CN"/>
              </w:rPr>
              <w:t>乐山市市中区土主镇红岩坝村六组</w:t>
            </w:r>
            <w:r>
              <w:rPr>
                <w:rFonts w:hint="eastAsia"/>
                <w:bCs/>
                <w:sz w:val="24"/>
                <w:lang w:val="en-US" w:eastAsia="zh-CN"/>
              </w:rPr>
              <w:t>478号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12" w:type="dxa"/>
            <w:noWrap w:val="0"/>
            <w:vAlign w:val="center"/>
          </w:tcPr>
          <w:p>
            <w:pPr>
              <w:jc w:val="center"/>
              <w:rPr>
                <w:sz w:val="24"/>
              </w:rPr>
            </w:pPr>
            <w:r>
              <w:rPr>
                <w:sz w:val="24"/>
              </w:rPr>
              <w:t>联系电话</w:t>
            </w:r>
          </w:p>
        </w:tc>
        <w:tc>
          <w:tcPr>
            <w:tcW w:w="2059" w:type="dxa"/>
            <w:gridSpan w:val="2"/>
            <w:noWrap w:val="0"/>
            <w:vAlign w:val="center"/>
          </w:tcPr>
          <w:p>
            <w:pPr>
              <w:jc w:val="center"/>
              <w:rPr>
                <w:rFonts w:hint="default" w:eastAsia="宋体"/>
                <w:sz w:val="24"/>
                <w:lang w:val="en-US" w:eastAsia="zh-CN"/>
              </w:rPr>
            </w:pPr>
            <w:r>
              <w:rPr>
                <w:rFonts w:hint="eastAsia"/>
                <w:sz w:val="24"/>
                <w:lang w:val="en-US" w:eastAsia="zh-CN"/>
              </w:rPr>
              <w:t>18111456883</w:t>
            </w:r>
          </w:p>
        </w:tc>
        <w:tc>
          <w:tcPr>
            <w:tcW w:w="849" w:type="dxa"/>
            <w:noWrap w:val="0"/>
            <w:vAlign w:val="center"/>
          </w:tcPr>
          <w:p>
            <w:pPr>
              <w:jc w:val="center"/>
              <w:rPr>
                <w:sz w:val="24"/>
              </w:rPr>
            </w:pPr>
            <w:r>
              <w:rPr>
                <w:sz w:val="24"/>
              </w:rPr>
              <w:t>传 真</w:t>
            </w:r>
          </w:p>
        </w:tc>
        <w:tc>
          <w:tcPr>
            <w:tcW w:w="1799" w:type="dxa"/>
            <w:noWrap w:val="0"/>
            <w:vAlign w:val="center"/>
          </w:tcPr>
          <w:p>
            <w:pPr>
              <w:jc w:val="center"/>
              <w:rPr>
                <w:sz w:val="24"/>
              </w:rPr>
            </w:pPr>
            <w:r>
              <w:rPr>
                <w:rFonts w:hint="eastAsia"/>
                <w:sz w:val="24"/>
              </w:rPr>
              <w:t>/</w:t>
            </w:r>
          </w:p>
        </w:tc>
        <w:tc>
          <w:tcPr>
            <w:tcW w:w="1650" w:type="dxa"/>
            <w:noWrap w:val="0"/>
            <w:vAlign w:val="center"/>
          </w:tcPr>
          <w:p>
            <w:pPr>
              <w:jc w:val="center"/>
              <w:rPr>
                <w:sz w:val="24"/>
              </w:rPr>
            </w:pPr>
            <w:r>
              <w:rPr>
                <w:sz w:val="24"/>
              </w:rPr>
              <w:t>邮政编码</w:t>
            </w:r>
          </w:p>
        </w:tc>
        <w:tc>
          <w:tcPr>
            <w:tcW w:w="1118" w:type="dxa"/>
            <w:noWrap w:val="0"/>
            <w:vAlign w:val="center"/>
          </w:tcPr>
          <w:p>
            <w:pPr>
              <w:jc w:val="center"/>
              <w:rPr>
                <w:rFonts w:hint="eastAsia"/>
                <w:sz w:val="24"/>
              </w:rPr>
            </w:pPr>
            <w:r>
              <w:rPr>
                <w:rFonts w:hint="eastAsia"/>
                <w:sz w:val="24"/>
              </w:rPr>
              <w:t>614013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12" w:type="dxa"/>
            <w:noWrap w:val="0"/>
            <w:vAlign w:val="center"/>
          </w:tcPr>
          <w:p>
            <w:pPr>
              <w:jc w:val="center"/>
              <w:rPr>
                <w:sz w:val="24"/>
              </w:rPr>
            </w:pPr>
            <w:r>
              <w:rPr>
                <w:sz w:val="24"/>
              </w:rPr>
              <w:t>建设地点</w:t>
            </w:r>
          </w:p>
        </w:tc>
        <w:tc>
          <w:tcPr>
            <w:tcW w:w="7475" w:type="dxa"/>
            <w:gridSpan w:val="6"/>
            <w:noWrap w:val="0"/>
            <w:vAlign w:val="center"/>
          </w:tcPr>
          <w:p>
            <w:pPr>
              <w:jc w:val="center"/>
              <w:rPr>
                <w:rFonts w:hint="default" w:eastAsia="宋体"/>
                <w:bCs/>
                <w:sz w:val="24"/>
                <w:lang w:val="en-US" w:eastAsia="zh-CN"/>
              </w:rPr>
            </w:pPr>
            <w:r>
              <w:rPr>
                <w:rFonts w:hint="eastAsia"/>
                <w:bCs/>
                <w:sz w:val="24"/>
                <w:lang w:eastAsia="zh-CN"/>
              </w:rPr>
              <w:t>乐山市市中区土主镇红岩坝村六组</w:t>
            </w:r>
            <w:r>
              <w:rPr>
                <w:rFonts w:hint="eastAsia"/>
                <w:bCs/>
                <w:sz w:val="24"/>
                <w:lang w:val="en-US" w:eastAsia="zh-CN"/>
              </w:rPr>
              <w:t>478号</w:t>
            </w:r>
          </w:p>
          <w:p>
            <w:pPr>
              <w:jc w:val="center"/>
              <w:rPr>
                <w:sz w:val="24"/>
              </w:rPr>
            </w:pPr>
            <w:r>
              <w:rPr>
                <w:sz w:val="24"/>
              </w:rPr>
              <w:t>经度</w:t>
            </w:r>
            <w:r>
              <w:rPr>
                <w:rFonts w:hint="eastAsia"/>
                <w:sz w:val="24"/>
              </w:rPr>
              <w:t>103.</w:t>
            </w:r>
            <w:r>
              <w:rPr>
                <w:rFonts w:hint="eastAsia"/>
                <w:sz w:val="24"/>
                <w:lang w:val="en-US" w:eastAsia="zh-CN"/>
              </w:rPr>
              <w:t>8458</w:t>
            </w:r>
            <w:r>
              <w:rPr>
                <w:sz w:val="24"/>
              </w:rPr>
              <w:t>°</w:t>
            </w:r>
            <w:r>
              <w:rPr>
                <w:rFonts w:hAnsi="宋体"/>
                <w:sz w:val="24"/>
              </w:rPr>
              <w:t>，纬度</w:t>
            </w:r>
            <w:r>
              <w:rPr>
                <w:rFonts w:hint="eastAsia"/>
                <w:sz w:val="24"/>
              </w:rPr>
              <w:t>29.</w:t>
            </w:r>
            <w:r>
              <w:rPr>
                <w:rFonts w:hint="eastAsia"/>
                <w:sz w:val="24"/>
                <w:lang w:val="en-US" w:eastAsia="zh-CN"/>
              </w:rPr>
              <w:t>6519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12" w:type="dxa"/>
            <w:noWrap w:val="0"/>
            <w:vAlign w:val="center"/>
          </w:tcPr>
          <w:p>
            <w:pPr>
              <w:jc w:val="center"/>
              <w:rPr>
                <w:spacing w:val="-2"/>
                <w:kern w:val="15"/>
                <w:sz w:val="24"/>
              </w:rPr>
            </w:pPr>
            <w:r>
              <w:rPr>
                <w:spacing w:val="-2"/>
                <w:kern w:val="15"/>
                <w:sz w:val="24"/>
              </w:rPr>
              <w:t>立项审批</w:t>
            </w:r>
          </w:p>
          <w:p>
            <w:pPr>
              <w:jc w:val="center"/>
              <w:rPr>
                <w:spacing w:val="-2"/>
                <w:kern w:val="15"/>
                <w:sz w:val="24"/>
              </w:rPr>
            </w:pPr>
            <w:r>
              <w:rPr>
                <w:spacing w:val="-2"/>
                <w:kern w:val="15"/>
                <w:sz w:val="24"/>
              </w:rPr>
              <w:t>部门</w:t>
            </w:r>
          </w:p>
        </w:tc>
        <w:tc>
          <w:tcPr>
            <w:tcW w:w="2908" w:type="dxa"/>
            <w:gridSpan w:val="3"/>
            <w:noWrap w:val="0"/>
            <w:vAlign w:val="center"/>
          </w:tcPr>
          <w:p>
            <w:pPr>
              <w:jc w:val="center"/>
              <w:rPr>
                <w:rFonts w:hint="eastAsia"/>
                <w:sz w:val="24"/>
              </w:rPr>
            </w:pPr>
            <w:r>
              <w:rPr>
                <w:rFonts w:hint="eastAsia"/>
                <w:sz w:val="24"/>
              </w:rPr>
              <w:t>乐山市市中区发展改革局</w:t>
            </w:r>
          </w:p>
        </w:tc>
        <w:tc>
          <w:tcPr>
            <w:tcW w:w="1799" w:type="dxa"/>
            <w:noWrap w:val="0"/>
            <w:vAlign w:val="center"/>
          </w:tcPr>
          <w:p>
            <w:pPr>
              <w:jc w:val="center"/>
              <w:rPr>
                <w:sz w:val="24"/>
              </w:rPr>
            </w:pPr>
            <w:r>
              <w:rPr>
                <w:sz w:val="24"/>
              </w:rPr>
              <w:t>批准文号</w:t>
            </w:r>
          </w:p>
        </w:tc>
        <w:tc>
          <w:tcPr>
            <w:tcW w:w="2768" w:type="dxa"/>
            <w:gridSpan w:val="2"/>
            <w:noWrap w:val="0"/>
            <w:vAlign w:val="center"/>
          </w:tcPr>
          <w:p>
            <w:pPr>
              <w:jc w:val="center"/>
              <w:rPr>
                <w:rFonts w:hint="eastAsia"/>
                <w:sz w:val="24"/>
              </w:rPr>
            </w:pPr>
            <w:r>
              <w:rPr>
                <w:rFonts w:hint="eastAsia"/>
                <w:sz w:val="24"/>
              </w:rPr>
              <w:t>川投资备【201</w:t>
            </w:r>
            <w:r>
              <w:rPr>
                <w:rFonts w:hint="eastAsia"/>
                <w:sz w:val="24"/>
                <w:lang w:val="en-US" w:eastAsia="zh-CN"/>
              </w:rPr>
              <w:t>9</w:t>
            </w:r>
            <w:r>
              <w:rPr>
                <w:rFonts w:hint="eastAsia"/>
                <w:sz w:val="24"/>
              </w:rPr>
              <w:t>-511102-</w:t>
            </w:r>
            <w:r>
              <w:rPr>
                <w:rFonts w:hint="eastAsia"/>
                <w:sz w:val="24"/>
                <w:lang w:val="en-US" w:eastAsia="zh-CN"/>
              </w:rPr>
              <w:t>20</w:t>
            </w:r>
            <w:r>
              <w:rPr>
                <w:rFonts w:hint="eastAsia"/>
                <w:sz w:val="24"/>
              </w:rPr>
              <w:t>-03-</w:t>
            </w:r>
            <w:r>
              <w:rPr>
                <w:rFonts w:hint="eastAsia"/>
                <w:sz w:val="24"/>
                <w:lang w:val="en-US" w:eastAsia="zh-CN"/>
              </w:rPr>
              <w:t>371074</w:t>
            </w:r>
            <w:r>
              <w:rPr>
                <w:rFonts w:hint="eastAsia"/>
                <w:sz w:val="24"/>
              </w:rPr>
              <w:t>】FGQB-00</w:t>
            </w:r>
            <w:r>
              <w:rPr>
                <w:rFonts w:hint="eastAsia"/>
                <w:sz w:val="24"/>
                <w:lang w:val="en-US" w:eastAsia="zh-CN"/>
              </w:rPr>
              <w:t>9</w:t>
            </w:r>
            <w:r>
              <w:rPr>
                <w:rFonts w:hint="eastAsia"/>
                <w:sz w:val="24"/>
              </w:rPr>
              <w:t>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12" w:type="dxa"/>
            <w:noWrap w:val="0"/>
            <w:vAlign w:val="center"/>
          </w:tcPr>
          <w:p>
            <w:pPr>
              <w:jc w:val="center"/>
              <w:rPr>
                <w:sz w:val="24"/>
              </w:rPr>
            </w:pPr>
            <w:r>
              <w:rPr>
                <w:sz w:val="24"/>
              </w:rPr>
              <w:t>建设性质</w:t>
            </w:r>
          </w:p>
        </w:tc>
        <w:tc>
          <w:tcPr>
            <w:tcW w:w="2908" w:type="dxa"/>
            <w:gridSpan w:val="3"/>
            <w:noWrap w:val="0"/>
            <w:vAlign w:val="center"/>
          </w:tcPr>
          <w:p>
            <w:pPr>
              <w:jc w:val="center"/>
              <w:rPr>
                <w:rFonts w:ascii="宋体" w:hAnsi="宋体"/>
                <w:sz w:val="24"/>
              </w:rPr>
            </w:pPr>
            <w:r>
              <w:rPr>
                <w:rFonts w:hint="eastAsia" w:ascii="宋体" w:hAnsi="宋体"/>
                <w:sz w:val="24"/>
              </w:rPr>
              <w:t>新建</w:t>
            </w:r>
          </w:p>
        </w:tc>
        <w:tc>
          <w:tcPr>
            <w:tcW w:w="1799" w:type="dxa"/>
            <w:noWrap w:val="0"/>
            <w:vAlign w:val="center"/>
          </w:tcPr>
          <w:p>
            <w:pPr>
              <w:jc w:val="center"/>
              <w:rPr>
                <w:sz w:val="24"/>
              </w:rPr>
            </w:pPr>
            <w:r>
              <w:rPr>
                <w:sz w:val="24"/>
              </w:rPr>
              <w:t>行业类别</w:t>
            </w:r>
          </w:p>
          <w:p>
            <w:pPr>
              <w:jc w:val="center"/>
              <w:rPr>
                <w:sz w:val="24"/>
              </w:rPr>
            </w:pPr>
            <w:r>
              <w:rPr>
                <w:sz w:val="24"/>
              </w:rPr>
              <w:t>及代码</w:t>
            </w:r>
          </w:p>
        </w:tc>
        <w:tc>
          <w:tcPr>
            <w:tcW w:w="2768" w:type="dxa"/>
            <w:gridSpan w:val="2"/>
            <w:noWrap w:val="0"/>
            <w:vAlign w:val="center"/>
          </w:tcPr>
          <w:p>
            <w:pPr>
              <w:jc w:val="center"/>
              <w:rPr>
                <w:sz w:val="24"/>
              </w:rPr>
            </w:pPr>
            <w:r>
              <w:rPr>
                <w:rFonts w:hint="eastAsia"/>
                <w:sz w:val="24"/>
              </w:rPr>
              <w:t>单板加工（</w:t>
            </w:r>
            <w:r>
              <w:rPr>
                <w:sz w:val="24"/>
              </w:rPr>
              <w:t>C2013</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12" w:type="dxa"/>
            <w:noWrap w:val="0"/>
            <w:vAlign w:val="center"/>
          </w:tcPr>
          <w:p>
            <w:pPr>
              <w:jc w:val="center"/>
              <w:rPr>
                <w:sz w:val="24"/>
              </w:rPr>
            </w:pPr>
            <w:r>
              <w:rPr>
                <w:sz w:val="24"/>
              </w:rPr>
              <w:t>占地面积(m</w:t>
            </w:r>
            <w:r>
              <w:rPr>
                <w:sz w:val="24"/>
                <w:vertAlign w:val="superscript"/>
              </w:rPr>
              <w:t>2</w:t>
            </w:r>
            <w:r>
              <w:rPr>
                <w:sz w:val="24"/>
              </w:rPr>
              <w:t>)</w:t>
            </w:r>
          </w:p>
        </w:tc>
        <w:tc>
          <w:tcPr>
            <w:tcW w:w="1191" w:type="dxa"/>
            <w:noWrap w:val="0"/>
            <w:vAlign w:val="center"/>
          </w:tcPr>
          <w:p>
            <w:pPr>
              <w:jc w:val="center"/>
              <w:rPr>
                <w:rFonts w:hint="default" w:eastAsia="宋体"/>
                <w:sz w:val="24"/>
                <w:lang w:val="en-US" w:eastAsia="zh-CN"/>
              </w:rPr>
            </w:pPr>
            <w:r>
              <w:rPr>
                <w:rFonts w:hint="eastAsia"/>
                <w:sz w:val="24"/>
                <w:lang w:val="en-US" w:eastAsia="zh-CN"/>
              </w:rPr>
              <w:t>1423.24</w:t>
            </w:r>
          </w:p>
        </w:tc>
        <w:tc>
          <w:tcPr>
            <w:tcW w:w="1717" w:type="dxa"/>
            <w:gridSpan w:val="2"/>
            <w:noWrap w:val="0"/>
            <w:vAlign w:val="center"/>
          </w:tcPr>
          <w:p>
            <w:pPr>
              <w:jc w:val="center"/>
              <w:rPr>
                <w:sz w:val="24"/>
              </w:rPr>
            </w:pPr>
            <w:r>
              <w:rPr>
                <w:sz w:val="24"/>
              </w:rPr>
              <w:t>绿化面积(m</w:t>
            </w:r>
            <w:r>
              <w:rPr>
                <w:sz w:val="24"/>
                <w:vertAlign w:val="superscript"/>
              </w:rPr>
              <w:t>2</w:t>
            </w:r>
            <w:r>
              <w:rPr>
                <w:sz w:val="24"/>
              </w:rPr>
              <w:t>)</w:t>
            </w:r>
          </w:p>
        </w:tc>
        <w:tc>
          <w:tcPr>
            <w:tcW w:w="1799" w:type="dxa"/>
            <w:noWrap w:val="0"/>
            <w:vAlign w:val="center"/>
          </w:tcPr>
          <w:p>
            <w:pPr>
              <w:jc w:val="center"/>
              <w:rPr>
                <w:rFonts w:hint="eastAsia"/>
                <w:sz w:val="24"/>
              </w:rPr>
            </w:pPr>
            <w:r>
              <w:rPr>
                <w:rFonts w:hint="eastAsia"/>
                <w:sz w:val="24"/>
              </w:rPr>
              <w:t>/</w:t>
            </w:r>
          </w:p>
        </w:tc>
        <w:tc>
          <w:tcPr>
            <w:tcW w:w="1650" w:type="dxa"/>
            <w:noWrap w:val="0"/>
            <w:vAlign w:val="center"/>
          </w:tcPr>
          <w:p>
            <w:pPr>
              <w:jc w:val="center"/>
              <w:rPr>
                <w:sz w:val="24"/>
              </w:rPr>
            </w:pPr>
            <w:r>
              <w:rPr>
                <w:sz w:val="24"/>
              </w:rPr>
              <w:t>绿化率</w:t>
            </w:r>
          </w:p>
        </w:tc>
        <w:tc>
          <w:tcPr>
            <w:tcW w:w="1118" w:type="dxa"/>
            <w:noWrap w:val="0"/>
            <w:vAlign w:val="center"/>
          </w:tcPr>
          <w:p>
            <w:pPr>
              <w:jc w:val="center"/>
              <w:rPr>
                <w:rFonts w:hint="eastAsia"/>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12" w:type="dxa"/>
            <w:noWrap w:val="0"/>
            <w:vAlign w:val="center"/>
          </w:tcPr>
          <w:p>
            <w:pPr>
              <w:jc w:val="center"/>
              <w:rPr>
                <w:sz w:val="24"/>
              </w:rPr>
            </w:pPr>
            <w:r>
              <w:rPr>
                <w:sz w:val="24"/>
              </w:rPr>
              <w:t>总投资</w:t>
            </w:r>
          </w:p>
          <w:p>
            <w:pPr>
              <w:jc w:val="center"/>
              <w:rPr>
                <w:sz w:val="24"/>
              </w:rPr>
            </w:pPr>
            <w:r>
              <w:rPr>
                <w:sz w:val="24"/>
              </w:rPr>
              <w:t>(万元)</w:t>
            </w:r>
          </w:p>
        </w:tc>
        <w:tc>
          <w:tcPr>
            <w:tcW w:w="1191" w:type="dxa"/>
            <w:noWrap w:val="0"/>
            <w:vAlign w:val="center"/>
          </w:tcPr>
          <w:p>
            <w:pPr>
              <w:jc w:val="center"/>
              <w:rPr>
                <w:rFonts w:hint="default" w:eastAsia="宋体"/>
                <w:sz w:val="24"/>
                <w:lang w:val="en-US" w:eastAsia="zh-CN"/>
              </w:rPr>
            </w:pPr>
            <w:r>
              <w:rPr>
                <w:rFonts w:hint="eastAsia"/>
                <w:sz w:val="24"/>
                <w:lang w:val="en-US" w:eastAsia="zh-CN"/>
              </w:rPr>
              <w:t>100</w:t>
            </w:r>
          </w:p>
        </w:tc>
        <w:tc>
          <w:tcPr>
            <w:tcW w:w="1717" w:type="dxa"/>
            <w:gridSpan w:val="2"/>
            <w:noWrap w:val="0"/>
            <w:vAlign w:val="center"/>
          </w:tcPr>
          <w:p>
            <w:pPr>
              <w:jc w:val="center"/>
              <w:rPr>
                <w:sz w:val="24"/>
              </w:rPr>
            </w:pPr>
            <w:r>
              <w:rPr>
                <w:sz w:val="24"/>
              </w:rPr>
              <w:t>其中：环保投资(万元)</w:t>
            </w:r>
          </w:p>
        </w:tc>
        <w:tc>
          <w:tcPr>
            <w:tcW w:w="1799" w:type="dxa"/>
            <w:noWrap w:val="0"/>
            <w:vAlign w:val="center"/>
          </w:tcPr>
          <w:p>
            <w:pPr>
              <w:jc w:val="center"/>
              <w:rPr>
                <w:rFonts w:hint="default" w:eastAsia="宋体"/>
                <w:color w:val="auto"/>
                <w:sz w:val="24"/>
                <w:lang w:val="en-US" w:eastAsia="zh-CN"/>
              </w:rPr>
            </w:pPr>
            <w:r>
              <w:rPr>
                <w:rFonts w:hint="eastAsia" w:eastAsia="宋体"/>
                <w:color w:val="auto"/>
                <w:sz w:val="24"/>
                <w:lang w:val="en-US" w:eastAsia="zh-CN"/>
              </w:rPr>
              <w:t>20</w:t>
            </w:r>
          </w:p>
        </w:tc>
        <w:tc>
          <w:tcPr>
            <w:tcW w:w="1650" w:type="dxa"/>
            <w:noWrap w:val="0"/>
            <w:vAlign w:val="center"/>
          </w:tcPr>
          <w:p>
            <w:pPr>
              <w:jc w:val="center"/>
              <w:rPr>
                <w:color w:val="auto"/>
                <w:sz w:val="24"/>
              </w:rPr>
            </w:pPr>
            <w:r>
              <w:rPr>
                <w:color w:val="auto"/>
                <w:sz w:val="24"/>
              </w:rPr>
              <w:t>环保投资占总投资比例</w:t>
            </w:r>
          </w:p>
        </w:tc>
        <w:tc>
          <w:tcPr>
            <w:tcW w:w="1118" w:type="dxa"/>
            <w:noWrap w:val="0"/>
            <w:vAlign w:val="center"/>
          </w:tcPr>
          <w:p>
            <w:pPr>
              <w:spacing w:line="360" w:lineRule="auto"/>
              <w:jc w:val="center"/>
              <w:rPr>
                <w:rFonts w:hint="eastAsia"/>
                <w:color w:val="auto"/>
                <w:sz w:val="24"/>
              </w:rPr>
            </w:pPr>
            <w:r>
              <w:rPr>
                <w:rFonts w:hint="eastAsia"/>
                <w:color w:val="auto"/>
                <w:sz w:val="24"/>
                <w:lang w:val="en-US" w:eastAsia="zh-CN"/>
              </w:rPr>
              <w:t>20</w:t>
            </w:r>
            <w:r>
              <w:rPr>
                <w:rFonts w:hint="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12" w:type="dxa"/>
            <w:noWrap w:val="0"/>
            <w:vAlign w:val="center"/>
          </w:tcPr>
          <w:p>
            <w:pPr>
              <w:jc w:val="center"/>
              <w:rPr>
                <w:sz w:val="24"/>
              </w:rPr>
            </w:pPr>
            <w:r>
              <w:rPr>
                <w:sz w:val="24"/>
              </w:rPr>
              <w:t>评价经费</w:t>
            </w:r>
          </w:p>
          <w:p>
            <w:pPr>
              <w:jc w:val="center"/>
              <w:rPr>
                <w:sz w:val="24"/>
              </w:rPr>
            </w:pPr>
            <w:r>
              <w:rPr>
                <w:sz w:val="24"/>
              </w:rPr>
              <w:t>(万元)</w:t>
            </w:r>
          </w:p>
        </w:tc>
        <w:tc>
          <w:tcPr>
            <w:tcW w:w="1191" w:type="dxa"/>
            <w:noWrap w:val="0"/>
            <w:vAlign w:val="center"/>
          </w:tcPr>
          <w:p>
            <w:pPr>
              <w:jc w:val="center"/>
              <w:rPr>
                <w:sz w:val="24"/>
              </w:rPr>
            </w:pPr>
            <w:r>
              <w:rPr>
                <w:rFonts w:hint="eastAsia"/>
                <w:sz w:val="24"/>
              </w:rPr>
              <w:t>/</w:t>
            </w:r>
          </w:p>
        </w:tc>
        <w:tc>
          <w:tcPr>
            <w:tcW w:w="1717" w:type="dxa"/>
            <w:gridSpan w:val="2"/>
            <w:noWrap w:val="0"/>
            <w:vAlign w:val="center"/>
          </w:tcPr>
          <w:p>
            <w:pPr>
              <w:jc w:val="center"/>
              <w:rPr>
                <w:sz w:val="24"/>
              </w:rPr>
            </w:pPr>
            <w:r>
              <w:rPr>
                <w:rFonts w:hint="eastAsia"/>
                <w:sz w:val="24"/>
                <w:lang w:eastAsia="zh-CN"/>
              </w:rPr>
              <w:t>预计</w:t>
            </w:r>
            <w:r>
              <w:rPr>
                <w:sz w:val="24"/>
              </w:rPr>
              <w:t>投产日期</w:t>
            </w:r>
          </w:p>
        </w:tc>
        <w:tc>
          <w:tcPr>
            <w:tcW w:w="4567" w:type="dxa"/>
            <w:gridSpan w:val="3"/>
            <w:noWrap w:val="0"/>
            <w:vAlign w:val="center"/>
          </w:tcPr>
          <w:p>
            <w:pPr>
              <w:jc w:val="center"/>
              <w:rPr>
                <w:rFonts w:hint="default" w:eastAsia="宋体"/>
                <w:sz w:val="24"/>
                <w:lang w:val="en-US" w:eastAsia="zh-CN"/>
              </w:rPr>
            </w:pPr>
            <w:r>
              <w:rPr>
                <w:rFonts w:hint="eastAsia"/>
                <w:sz w:val="24"/>
                <w:lang w:val="en-US" w:eastAsia="zh-CN"/>
              </w:rPr>
              <w:t>2019年09月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787" w:type="dxa"/>
            <w:gridSpan w:val="7"/>
            <w:noWrap w:val="0"/>
            <w:vAlign w:val="top"/>
          </w:tcPr>
          <w:p>
            <w:pPr>
              <w:snapToGrid w:val="0"/>
              <w:spacing w:before="240"/>
              <w:ind w:left="-2" w:leftChars="-6" w:hanging="11" w:hangingChars="4"/>
              <w:rPr>
                <w:rFonts w:ascii="宋体" w:hAnsi="宋体"/>
                <w:b/>
                <w:bCs/>
                <w:sz w:val="28"/>
              </w:rPr>
            </w:pPr>
            <w:r>
              <w:rPr>
                <w:rFonts w:ascii="宋体" w:hAnsi="宋体"/>
                <w:b/>
                <w:bCs/>
                <w:sz w:val="28"/>
              </w:rPr>
              <w:t>项目内容及规模：</w:t>
            </w:r>
          </w:p>
          <w:p>
            <w:pPr>
              <w:spacing w:line="360" w:lineRule="auto"/>
              <w:outlineLvl w:val="0"/>
              <w:rPr>
                <w:rFonts w:hint="eastAsia" w:ascii="宋体" w:hAnsi="宋体"/>
                <w:b/>
                <w:bCs/>
                <w:sz w:val="28"/>
                <w:szCs w:val="28"/>
              </w:rPr>
            </w:pPr>
            <w:r>
              <w:rPr>
                <w:rFonts w:ascii="宋体" w:hAnsi="宋体"/>
                <w:b/>
                <w:bCs/>
                <w:sz w:val="28"/>
                <w:szCs w:val="28"/>
              </w:rPr>
              <w:t>一</w:t>
            </w:r>
            <w:r>
              <w:rPr>
                <w:rFonts w:hint="eastAsia" w:ascii="宋体" w:hAnsi="宋体"/>
                <w:b/>
                <w:bCs/>
                <w:sz w:val="28"/>
                <w:szCs w:val="28"/>
              </w:rPr>
              <w:t>、</w:t>
            </w:r>
            <w:r>
              <w:rPr>
                <w:rFonts w:ascii="宋体" w:hAnsi="宋体"/>
                <w:b/>
                <w:bCs/>
                <w:sz w:val="28"/>
                <w:szCs w:val="28"/>
              </w:rPr>
              <w:t>项目由来</w:t>
            </w:r>
          </w:p>
          <w:p>
            <w:pPr>
              <w:spacing w:line="360" w:lineRule="auto"/>
              <w:ind w:firstLine="480" w:firstLineChars="200"/>
              <w:rPr>
                <w:rFonts w:hint="default" w:hAnsi="宋体"/>
                <w:bCs/>
                <w:sz w:val="24"/>
                <w:lang w:val="en-US" w:eastAsia="zh-CN"/>
              </w:rPr>
            </w:pPr>
            <w:r>
              <w:rPr>
                <w:rFonts w:hint="eastAsia" w:hAnsi="宋体"/>
                <w:bCs/>
                <w:sz w:val="24"/>
                <w:lang w:eastAsia="zh-CN"/>
              </w:rPr>
              <w:t>林泉木业人造板加工项目原位于</w:t>
            </w:r>
            <w:r>
              <w:rPr>
                <w:rFonts w:hint="eastAsia" w:hAnsi="宋体"/>
                <w:bCs/>
                <w:sz w:val="24"/>
              </w:rPr>
              <w:t>乐山市工业集中区水口-罗汉工业园区</w:t>
            </w:r>
            <w:r>
              <w:rPr>
                <w:rFonts w:hint="eastAsia" w:hAnsi="宋体"/>
                <w:bCs/>
                <w:sz w:val="24"/>
                <w:lang w:eastAsia="zh-CN"/>
              </w:rPr>
              <w:t>，项目于</w:t>
            </w:r>
            <w:r>
              <w:rPr>
                <w:rFonts w:hint="eastAsia" w:hAnsi="宋体"/>
                <w:bCs/>
                <w:sz w:val="24"/>
                <w:lang w:val="en-US" w:eastAsia="zh-CN"/>
              </w:rPr>
              <w:t>2018年5月9日取得《乐山市林泉木业有限责任公司人造板加工项目环境影响报告表》的批复（乐中环审[2018]14号），并于2018年8月15日完成验收，原项目备案号为</w:t>
            </w:r>
            <w:r>
              <w:rPr>
                <w:rFonts w:hint="eastAsia"/>
                <w:sz w:val="24"/>
              </w:rPr>
              <w:t>川投资备【2018-511102-02-03-251660】FGQB-0033号</w:t>
            </w:r>
            <w:r>
              <w:rPr>
                <w:rFonts w:hint="eastAsia" w:hAnsi="宋体"/>
                <w:bCs/>
                <w:sz w:val="24"/>
                <w:lang w:val="en-US" w:eastAsia="zh-CN"/>
              </w:rPr>
              <w:t>。由于工业集中区用地指标等原因，林泉木业决定搬迁至</w:t>
            </w:r>
            <w:r>
              <w:rPr>
                <w:rFonts w:hint="eastAsia" w:hAnsi="宋体"/>
                <w:bCs/>
                <w:sz w:val="24"/>
                <w:lang w:eastAsia="zh-CN"/>
              </w:rPr>
              <w:t>乐山市市中区土主镇红岩坝村六组</w:t>
            </w:r>
            <w:r>
              <w:rPr>
                <w:rFonts w:hint="eastAsia" w:hAnsi="宋体"/>
                <w:bCs/>
                <w:sz w:val="24"/>
                <w:lang w:val="en-US" w:eastAsia="zh-CN"/>
              </w:rPr>
              <w:t>478号（</w:t>
            </w:r>
            <w:r>
              <w:rPr>
                <w:rFonts w:hint="eastAsia" w:hAnsi="宋体"/>
                <w:bCs/>
                <w:sz w:val="24"/>
              </w:rPr>
              <w:t>乐山市</w:t>
            </w:r>
            <w:r>
              <w:rPr>
                <w:rFonts w:hint="eastAsia" w:hAnsi="宋体"/>
                <w:bCs/>
                <w:sz w:val="24"/>
                <w:lang w:eastAsia="zh-CN"/>
              </w:rPr>
              <w:t>鑫瑞纺织有限公司闲置厂房</w:t>
            </w:r>
            <w:r>
              <w:rPr>
                <w:rFonts w:hint="eastAsia" w:hAnsi="宋体"/>
                <w:bCs/>
                <w:sz w:val="24"/>
                <w:lang w:val="en-US" w:eastAsia="zh-CN"/>
              </w:rPr>
              <w:t>）。</w:t>
            </w:r>
          </w:p>
          <w:p>
            <w:pPr>
              <w:spacing w:line="360" w:lineRule="auto"/>
              <w:ind w:firstLine="480" w:firstLineChars="200"/>
              <w:rPr>
                <w:rFonts w:hint="default" w:hAnsi="宋体"/>
                <w:bCs/>
                <w:sz w:val="24"/>
                <w:lang w:val="en-US" w:eastAsia="zh-CN"/>
              </w:rPr>
            </w:pPr>
            <w:r>
              <w:rPr>
                <w:rFonts w:hint="eastAsia" w:hAnsi="宋体"/>
                <w:bCs/>
                <w:sz w:val="24"/>
              </w:rPr>
              <w:t>乐山市</w:t>
            </w:r>
            <w:r>
              <w:rPr>
                <w:rFonts w:hint="eastAsia" w:hAnsi="宋体"/>
                <w:bCs/>
                <w:sz w:val="24"/>
                <w:lang w:eastAsia="zh-CN"/>
              </w:rPr>
              <w:t>鑫瑞纺织有限公司成立于</w:t>
            </w:r>
            <w:r>
              <w:rPr>
                <w:rFonts w:hint="eastAsia" w:hAnsi="宋体"/>
                <w:bCs/>
                <w:sz w:val="24"/>
                <w:lang w:val="en-US" w:eastAsia="zh-CN"/>
              </w:rPr>
              <w:t>2013年9月25日，经营范围包括</w:t>
            </w:r>
            <w:r>
              <w:rPr>
                <w:rFonts w:hint="eastAsia" w:hAnsi="宋体"/>
                <w:bCs/>
                <w:sz w:val="24"/>
                <w:lang w:eastAsia="zh-CN"/>
              </w:rPr>
              <w:t>制造、销售股线纱；销售纺织品、针织品及原料、纺织器材；仓储服务。因公司自身原因，停产多年，经协议，将部分闲置厂房租用给林泉木业。</w:t>
            </w:r>
          </w:p>
          <w:p>
            <w:pPr>
              <w:spacing w:line="360" w:lineRule="auto"/>
              <w:ind w:firstLine="480" w:firstLineChars="200"/>
              <w:rPr>
                <w:rFonts w:hint="eastAsia" w:hAnsi="宋体"/>
                <w:bCs/>
                <w:sz w:val="24"/>
                <w:lang w:val="en-US" w:eastAsia="zh-CN"/>
              </w:rPr>
            </w:pPr>
            <w:r>
              <w:rPr>
                <w:rFonts w:hint="eastAsia" w:hAnsi="宋体"/>
                <w:bCs/>
                <w:sz w:val="24"/>
                <w:lang w:eastAsia="zh-CN"/>
              </w:rPr>
              <w:t>本项目涉及</w:t>
            </w:r>
            <w:r>
              <w:rPr>
                <w:rFonts w:hint="eastAsia" w:hAnsi="宋体"/>
                <w:bCs/>
                <w:sz w:val="24"/>
                <w:lang w:val="en-US" w:eastAsia="zh-CN"/>
              </w:rPr>
              <w:t>VOCs的排放，</w:t>
            </w:r>
            <w:r>
              <w:rPr>
                <w:rFonts w:hint="eastAsia" w:hAnsi="宋体"/>
                <w:bCs/>
                <w:sz w:val="24"/>
                <w:lang w:eastAsia="zh-CN"/>
              </w:rPr>
              <w:t>按照《四川省挥发性有机物污染防治实施方案（</w:t>
            </w:r>
            <w:r>
              <w:rPr>
                <w:rFonts w:hint="eastAsia" w:hAnsi="宋体"/>
                <w:bCs/>
                <w:sz w:val="24"/>
                <w:lang w:val="en-US" w:eastAsia="zh-CN"/>
              </w:rPr>
              <w:t>2018-2020年</w:t>
            </w:r>
            <w:r>
              <w:rPr>
                <w:rFonts w:hint="eastAsia" w:hAnsi="宋体"/>
                <w:bCs/>
                <w:sz w:val="24"/>
                <w:lang w:eastAsia="zh-CN"/>
              </w:rPr>
              <w:t>）》的要求，新建涉</w:t>
            </w:r>
            <w:r>
              <w:rPr>
                <w:rFonts w:hint="eastAsia" w:hAnsi="宋体"/>
                <w:bCs/>
                <w:sz w:val="24"/>
                <w:lang w:val="en-US" w:eastAsia="zh-CN"/>
              </w:rPr>
              <w:t>VOCs排放的工业企业要入园区，但环境部《关于无工业园区就不能新建涉VOCs工业企业的回复》中提出，防治方案</w:t>
            </w:r>
            <w:r>
              <w:rPr>
                <w:rFonts w:hint="eastAsia" w:hAnsi="宋体"/>
                <w:bCs/>
                <w:sz w:val="24"/>
                <w:lang w:eastAsia="zh-CN"/>
              </w:rPr>
              <w:t>中提到“新建涉VOCs排放的工业企业要入园区”，是指全国新建涉高VOCs排放的建设项目，即石化、化工、包装印刷、工业涂装等重点行业及其他工业行业VOCs排放量大、排放强度高的新建项目，原则上要进入园区。本项目因用地指标原因需迁出园区，且不属于重点行业及排放量大的项目，因此，本项目具有合法性。</w:t>
            </w:r>
          </w:p>
          <w:p>
            <w:pPr>
              <w:spacing w:line="360" w:lineRule="auto"/>
              <w:ind w:firstLine="480" w:firstLineChars="200"/>
              <w:rPr>
                <w:rFonts w:hint="eastAsia"/>
                <w:bCs/>
                <w:sz w:val="24"/>
              </w:rPr>
            </w:pPr>
            <w:r>
              <w:rPr>
                <w:rFonts w:hint="eastAsia" w:hAnsi="宋体"/>
                <w:bCs/>
                <w:sz w:val="24"/>
                <w:lang w:eastAsia="zh-CN"/>
              </w:rPr>
              <w:t>林泉木业</w:t>
            </w:r>
            <w:r>
              <w:rPr>
                <w:rFonts w:hint="eastAsia" w:hAnsi="宋体"/>
                <w:bCs/>
                <w:sz w:val="24"/>
              </w:rPr>
              <w:t>租用乐山市</w:t>
            </w:r>
            <w:r>
              <w:rPr>
                <w:rFonts w:hint="eastAsia" w:hAnsi="宋体"/>
                <w:bCs/>
                <w:sz w:val="24"/>
                <w:lang w:eastAsia="zh-CN"/>
              </w:rPr>
              <w:t>鑫瑞纺织有限公司</w:t>
            </w:r>
            <w:r>
              <w:rPr>
                <w:rFonts w:hint="eastAsia" w:hAnsi="宋体"/>
                <w:bCs/>
                <w:sz w:val="24"/>
              </w:rPr>
              <w:t>位于乐山市</w:t>
            </w:r>
            <w:r>
              <w:rPr>
                <w:rFonts w:hint="eastAsia" w:hAnsi="宋体"/>
                <w:bCs/>
                <w:sz w:val="24"/>
                <w:lang w:eastAsia="zh-CN"/>
              </w:rPr>
              <w:t>市中区土主镇红岩坝村六组</w:t>
            </w:r>
            <w:r>
              <w:rPr>
                <w:rFonts w:hint="eastAsia" w:hAnsi="宋体"/>
                <w:bCs/>
                <w:sz w:val="24"/>
                <w:lang w:val="en-US" w:eastAsia="zh-CN"/>
              </w:rPr>
              <w:t>478号</w:t>
            </w:r>
            <w:r>
              <w:rPr>
                <w:rFonts w:hint="eastAsia" w:hAnsi="宋体"/>
                <w:bCs/>
                <w:sz w:val="24"/>
              </w:rPr>
              <w:t>的闲置厂房进行免漆装饰板（生态板）生产，</w:t>
            </w:r>
            <w:r>
              <w:rPr>
                <w:rFonts w:hint="eastAsia"/>
                <w:sz w:val="24"/>
              </w:rPr>
              <w:t>项目</w:t>
            </w:r>
            <w:r>
              <w:rPr>
                <w:rFonts w:hint="eastAsia"/>
                <w:sz w:val="24"/>
                <w:lang w:eastAsia="zh-CN"/>
              </w:rPr>
              <w:t>具有</w:t>
            </w:r>
            <w:r>
              <w:rPr>
                <w:rFonts w:hint="eastAsia" w:hAnsi="宋体"/>
                <w:bCs/>
                <w:sz w:val="24"/>
              </w:rPr>
              <w:t>年产30万张的加工能力。</w:t>
            </w:r>
            <w:r>
              <w:rPr>
                <w:rFonts w:hint="eastAsia" w:hAnsi="宋体"/>
                <w:b/>
                <w:bCs/>
                <w:sz w:val="24"/>
              </w:rPr>
              <w:t>本项目不涉及三聚氰胺浸渍纸的制作、粘胶剂胶合以及喷漆工序。</w:t>
            </w:r>
            <w:r>
              <w:rPr>
                <w:rFonts w:hint="eastAsia" w:hAnsi="宋体"/>
                <w:bCs/>
                <w:sz w:val="24"/>
              </w:rPr>
              <w:t>该项目已取得乐山市市中区发展和改革局的备案，备案号：</w:t>
            </w:r>
            <w:r>
              <w:rPr>
                <w:rFonts w:hint="eastAsia"/>
                <w:sz w:val="24"/>
              </w:rPr>
              <w:t>川投资备【201</w:t>
            </w:r>
            <w:r>
              <w:rPr>
                <w:rFonts w:hint="eastAsia"/>
                <w:sz w:val="24"/>
                <w:lang w:val="en-US" w:eastAsia="zh-CN"/>
              </w:rPr>
              <w:t>9</w:t>
            </w:r>
            <w:r>
              <w:rPr>
                <w:rFonts w:hint="eastAsia"/>
                <w:sz w:val="24"/>
              </w:rPr>
              <w:t>-511102-</w:t>
            </w:r>
            <w:r>
              <w:rPr>
                <w:rFonts w:hint="eastAsia"/>
                <w:sz w:val="24"/>
                <w:lang w:val="en-US" w:eastAsia="zh-CN"/>
              </w:rPr>
              <w:t>20</w:t>
            </w:r>
            <w:r>
              <w:rPr>
                <w:rFonts w:hint="eastAsia"/>
                <w:sz w:val="24"/>
              </w:rPr>
              <w:t>-03-</w:t>
            </w:r>
            <w:r>
              <w:rPr>
                <w:rFonts w:hint="eastAsia"/>
                <w:sz w:val="24"/>
                <w:lang w:val="en-US" w:eastAsia="zh-CN"/>
              </w:rPr>
              <w:t>371074</w:t>
            </w:r>
            <w:r>
              <w:rPr>
                <w:rFonts w:hint="eastAsia"/>
                <w:sz w:val="24"/>
              </w:rPr>
              <w:t>】FGQB-00</w:t>
            </w:r>
            <w:r>
              <w:rPr>
                <w:rFonts w:hint="eastAsia"/>
                <w:sz w:val="24"/>
                <w:lang w:val="en-US" w:eastAsia="zh-CN"/>
              </w:rPr>
              <w:t>9</w:t>
            </w:r>
            <w:r>
              <w:rPr>
                <w:rFonts w:hint="eastAsia"/>
                <w:sz w:val="24"/>
              </w:rPr>
              <w:t>3号。</w:t>
            </w:r>
          </w:p>
          <w:p>
            <w:pPr>
              <w:spacing w:line="360" w:lineRule="auto"/>
              <w:ind w:firstLine="480" w:firstLineChars="200"/>
              <w:rPr>
                <w:rFonts w:hint="eastAsia"/>
                <w:kern w:val="0"/>
                <w:sz w:val="24"/>
              </w:rPr>
            </w:pPr>
            <w:r>
              <w:rPr>
                <w:rFonts w:hint="eastAsia"/>
                <w:kern w:val="0"/>
                <w:sz w:val="24"/>
              </w:rPr>
              <w:t>根据《建设项目环境保护管理条例》（国务院令第682号）和《建设项目环境影响评价分类管理名录》中的有关规定，本项目应编制环境影响评价报告表。</w:t>
            </w:r>
            <w:r>
              <w:rPr>
                <w:bCs/>
                <w:sz w:val="24"/>
              </w:rPr>
              <w:t>为此，</w:t>
            </w:r>
            <w:r>
              <w:rPr>
                <w:rFonts w:hint="eastAsia"/>
                <w:bCs/>
                <w:sz w:val="24"/>
              </w:rPr>
              <w:t>乐山市林泉木业有限责任公司将“人造板加工项目</w:t>
            </w:r>
            <w:r>
              <w:rPr>
                <w:rFonts w:hint="eastAsia"/>
                <w:bCs/>
                <w:sz w:val="24"/>
                <w:lang w:eastAsia="zh-CN"/>
              </w:rPr>
              <w:t>搬迁工程</w:t>
            </w:r>
            <w:r>
              <w:rPr>
                <w:rFonts w:hint="eastAsia"/>
                <w:bCs/>
                <w:sz w:val="24"/>
              </w:rPr>
              <w:t>”</w:t>
            </w:r>
            <w:r>
              <w:rPr>
                <w:bCs/>
                <w:sz w:val="24"/>
              </w:rPr>
              <w:t>委托给</w:t>
            </w:r>
            <w:r>
              <w:rPr>
                <w:rFonts w:hint="eastAsia"/>
                <w:bCs/>
                <w:sz w:val="24"/>
              </w:rPr>
              <w:t>重庆</w:t>
            </w:r>
            <w:r>
              <w:rPr>
                <w:rFonts w:hint="eastAsia"/>
                <w:bCs/>
                <w:sz w:val="24"/>
                <w:lang w:eastAsia="zh-CN"/>
              </w:rPr>
              <w:t>丰达环境影响评价</w:t>
            </w:r>
            <w:r>
              <w:rPr>
                <w:rFonts w:hint="eastAsia"/>
                <w:bCs/>
                <w:sz w:val="24"/>
              </w:rPr>
              <w:t>有限公司</w:t>
            </w:r>
            <w:r>
              <w:rPr>
                <w:bCs/>
                <w:sz w:val="24"/>
              </w:rPr>
              <w:t>进行编制。我单位在接受该项目环境影响报告表编制工作后，积极开展了现场踏勘、资料收集、整理工作。在掌握了充分的资料数据基础上，对有关环境现状和可能</w:t>
            </w:r>
            <w:r>
              <w:rPr>
                <w:rFonts w:hint="eastAsia" w:ascii="宋体" w:hAnsi="宋体" w:cs="宋体"/>
                <w:bCs/>
                <w:sz w:val="24"/>
              </w:rPr>
              <w:t>产生的环境影响进行分析后，按照《环境影响评价技术导则》相关标准和规范的要求，编制完成该项目环境影响报告表。</w:t>
            </w:r>
          </w:p>
          <w:p>
            <w:pPr>
              <w:spacing w:line="360" w:lineRule="auto"/>
              <w:rPr>
                <w:rFonts w:hint="eastAsia"/>
                <w:b/>
                <w:bCs/>
                <w:sz w:val="28"/>
              </w:rPr>
            </w:pPr>
            <w:r>
              <w:rPr>
                <w:rFonts w:hint="eastAsia" w:ascii="宋体" w:hAnsi="宋体" w:cs="宋体"/>
                <w:b/>
                <w:sz w:val="28"/>
                <w:szCs w:val="28"/>
              </w:rPr>
              <w:t>二、</w:t>
            </w:r>
            <w:r>
              <w:rPr>
                <w:rFonts w:hint="eastAsia"/>
                <w:b/>
                <w:bCs/>
                <w:sz w:val="28"/>
              </w:rPr>
              <w:t>产业政策符合性分析</w:t>
            </w:r>
          </w:p>
          <w:p>
            <w:pPr>
              <w:spacing w:line="360" w:lineRule="auto"/>
              <w:ind w:firstLine="480" w:firstLineChars="200"/>
              <w:rPr>
                <w:rFonts w:hint="eastAsia"/>
                <w:sz w:val="24"/>
              </w:rPr>
            </w:pPr>
            <w:r>
              <w:rPr>
                <w:kern w:val="0"/>
                <w:sz w:val="24"/>
              </w:rPr>
              <w:t>本项目属于</w:t>
            </w:r>
            <w:r>
              <w:rPr>
                <w:rFonts w:hint="eastAsia"/>
                <w:kern w:val="0"/>
                <w:sz w:val="24"/>
              </w:rPr>
              <w:t>单板加工（C2013）行业</w:t>
            </w:r>
            <w:r>
              <w:rPr>
                <w:bCs/>
                <w:sz w:val="24"/>
              </w:rPr>
              <w:t>，</w:t>
            </w:r>
            <w:r>
              <w:rPr>
                <w:iCs/>
                <w:sz w:val="24"/>
              </w:rPr>
              <w:t>根据国家发展和改革委员会第21号令《产业结构调整指导目录（2011年本）（修正）》，本项目不属于其中鼓励类、限制类和淘汰类，因此本项目属于允许类</w:t>
            </w:r>
            <w:r>
              <w:rPr>
                <w:rFonts w:hint="eastAsia"/>
                <w:iCs/>
                <w:sz w:val="24"/>
              </w:rPr>
              <w:t>建设项目</w:t>
            </w:r>
            <w:r>
              <w:rPr>
                <w:iCs/>
                <w:sz w:val="24"/>
              </w:rPr>
              <w:t>。</w:t>
            </w:r>
            <w:r>
              <w:rPr>
                <w:rFonts w:hint="eastAsia"/>
                <w:sz w:val="24"/>
              </w:rPr>
              <w:t>同时，乐山市市中区发展和改革局对本项目以备案号川投资备【201</w:t>
            </w:r>
            <w:r>
              <w:rPr>
                <w:rFonts w:hint="eastAsia"/>
                <w:sz w:val="24"/>
                <w:lang w:val="en-US" w:eastAsia="zh-CN"/>
              </w:rPr>
              <w:t>9</w:t>
            </w:r>
            <w:r>
              <w:rPr>
                <w:rFonts w:hint="eastAsia"/>
                <w:sz w:val="24"/>
              </w:rPr>
              <w:t>-511102-</w:t>
            </w:r>
            <w:r>
              <w:rPr>
                <w:rFonts w:hint="eastAsia"/>
                <w:sz w:val="24"/>
                <w:lang w:val="en-US" w:eastAsia="zh-CN"/>
              </w:rPr>
              <w:t>20</w:t>
            </w:r>
            <w:r>
              <w:rPr>
                <w:rFonts w:hint="eastAsia"/>
                <w:sz w:val="24"/>
              </w:rPr>
              <w:t>-03-</w:t>
            </w:r>
            <w:r>
              <w:rPr>
                <w:rFonts w:hint="eastAsia"/>
                <w:sz w:val="24"/>
                <w:lang w:val="en-US" w:eastAsia="zh-CN"/>
              </w:rPr>
              <w:t>371074</w:t>
            </w:r>
            <w:r>
              <w:rPr>
                <w:rFonts w:hint="eastAsia"/>
                <w:sz w:val="24"/>
              </w:rPr>
              <w:t>】FGQB-00</w:t>
            </w:r>
            <w:r>
              <w:rPr>
                <w:rFonts w:hint="eastAsia"/>
                <w:sz w:val="24"/>
                <w:lang w:val="en-US" w:eastAsia="zh-CN"/>
              </w:rPr>
              <w:t>9</w:t>
            </w:r>
            <w:r>
              <w:rPr>
                <w:rFonts w:hint="eastAsia"/>
                <w:sz w:val="24"/>
              </w:rPr>
              <w:t>3号文出具了建设单位投资项目备案通知书，同意项目备案。</w:t>
            </w:r>
          </w:p>
          <w:p>
            <w:pPr>
              <w:spacing w:line="360" w:lineRule="auto"/>
              <w:ind w:firstLine="482" w:firstLineChars="200"/>
              <w:rPr>
                <w:rFonts w:hint="eastAsia"/>
                <w:b/>
                <w:sz w:val="24"/>
                <w:szCs w:val="28"/>
              </w:rPr>
            </w:pPr>
            <w:r>
              <w:rPr>
                <w:b/>
                <w:sz w:val="24"/>
                <w:szCs w:val="28"/>
              </w:rPr>
              <w:t>综上所述，本项目符合国家现行产业政策。</w:t>
            </w:r>
          </w:p>
          <w:p>
            <w:pPr>
              <w:spacing w:line="360" w:lineRule="auto"/>
              <w:rPr>
                <w:rFonts w:hint="eastAsia"/>
                <w:b/>
                <w:bCs/>
                <w:sz w:val="28"/>
              </w:rPr>
            </w:pPr>
            <w:r>
              <w:rPr>
                <w:rFonts w:hint="eastAsia" w:ascii="宋体" w:hAnsi="宋体" w:cs="宋体"/>
                <w:b/>
                <w:sz w:val="28"/>
                <w:szCs w:val="28"/>
              </w:rPr>
              <w:t>三</w:t>
            </w:r>
            <w:r>
              <w:rPr>
                <w:rFonts w:hint="eastAsia"/>
                <w:b/>
                <w:bCs/>
                <w:sz w:val="28"/>
              </w:rPr>
              <w:t>、三线一单符合性分析</w:t>
            </w:r>
          </w:p>
          <w:p>
            <w:pPr>
              <w:spacing w:line="360" w:lineRule="auto"/>
              <w:rPr>
                <w:rFonts w:hint="eastAsia" w:hAnsi="宋体"/>
                <w:bCs/>
                <w:sz w:val="24"/>
              </w:rPr>
            </w:pPr>
            <w:r>
              <w:rPr>
                <w:rFonts w:hint="eastAsia" w:hAnsi="宋体"/>
                <w:bCs/>
                <w:sz w:val="24"/>
              </w:rPr>
              <w:t>1、与生态红线符合性分析</w:t>
            </w:r>
          </w:p>
          <w:p>
            <w:pPr>
              <w:spacing w:line="360" w:lineRule="auto"/>
              <w:ind w:firstLine="480" w:firstLineChars="200"/>
              <w:rPr>
                <w:rFonts w:hint="eastAsia" w:hAnsi="宋体"/>
                <w:bCs/>
                <w:sz w:val="24"/>
              </w:rPr>
            </w:pPr>
            <w:r>
              <w:rPr>
                <w:rFonts w:hint="eastAsia" w:hAnsi="宋体"/>
                <w:bCs/>
                <w:sz w:val="24"/>
              </w:rPr>
              <w:t>本项目位于乐山市</w:t>
            </w:r>
            <w:r>
              <w:rPr>
                <w:rFonts w:hint="eastAsia" w:hAnsi="宋体"/>
                <w:bCs/>
                <w:sz w:val="24"/>
                <w:lang w:eastAsia="zh-CN"/>
              </w:rPr>
              <w:t>市中区土主镇红岩坝村六组</w:t>
            </w:r>
            <w:r>
              <w:rPr>
                <w:rFonts w:hint="eastAsia" w:hAnsi="宋体"/>
                <w:bCs/>
                <w:sz w:val="24"/>
                <w:lang w:val="en-US" w:eastAsia="zh-CN"/>
              </w:rPr>
              <w:t>478号</w:t>
            </w:r>
            <w:r>
              <w:rPr>
                <w:rFonts w:hint="eastAsia" w:hAnsi="宋体"/>
                <w:bCs/>
                <w:sz w:val="24"/>
              </w:rPr>
              <w:t>，根据</w:t>
            </w:r>
            <w:r>
              <w:rPr>
                <w:rFonts w:hint="eastAsia" w:hAnsi="宋体"/>
                <w:bCs/>
                <w:sz w:val="24"/>
                <w:lang w:eastAsia="zh-CN"/>
              </w:rPr>
              <w:t>《四川省人民政府关于印发四川省生态红线保护方案的通知》（川府发</w:t>
            </w:r>
            <w:r>
              <w:rPr>
                <w:rFonts w:hint="eastAsia" w:hAnsi="宋体"/>
                <w:bCs/>
                <w:sz w:val="24"/>
                <w:lang w:val="en-US" w:eastAsia="zh-CN"/>
              </w:rPr>
              <w:t>[2018]24号</w:t>
            </w:r>
            <w:r>
              <w:rPr>
                <w:rFonts w:hint="eastAsia" w:hAnsi="宋体"/>
                <w:bCs/>
                <w:sz w:val="24"/>
                <w:lang w:eastAsia="zh-CN"/>
              </w:rPr>
              <w:t>）</w:t>
            </w:r>
            <w:r>
              <w:rPr>
                <w:rFonts w:hint="eastAsia" w:hAnsi="宋体"/>
                <w:bCs/>
                <w:sz w:val="24"/>
              </w:rPr>
              <w:t>，</w:t>
            </w:r>
            <w:r>
              <w:rPr>
                <w:rFonts w:hint="eastAsia" w:hAnsi="宋体"/>
                <w:bCs/>
                <w:sz w:val="24"/>
                <w:lang w:eastAsia="zh-CN"/>
              </w:rPr>
              <w:t>查阅四川省下发的生态保护红线范围图，</w:t>
            </w:r>
            <w:r>
              <w:rPr>
                <w:rFonts w:hint="eastAsia" w:hAnsi="宋体"/>
                <w:bCs/>
                <w:sz w:val="24"/>
              </w:rPr>
              <w:t>本项目不在生态红线范围内。</w:t>
            </w:r>
          </w:p>
          <w:p>
            <w:pPr>
              <w:spacing w:line="360" w:lineRule="auto"/>
              <w:rPr>
                <w:rFonts w:hint="eastAsia" w:hAnsi="宋体"/>
                <w:bCs/>
                <w:sz w:val="24"/>
              </w:rPr>
            </w:pPr>
            <w:r>
              <w:rPr>
                <w:rFonts w:hint="eastAsia" w:hAnsi="宋体"/>
                <w:bCs/>
                <w:sz w:val="24"/>
              </w:rPr>
              <w:t>2、与资源利用上限符合性分析</w:t>
            </w:r>
          </w:p>
          <w:p>
            <w:pPr>
              <w:spacing w:line="360" w:lineRule="auto"/>
              <w:ind w:firstLine="480" w:firstLineChars="200"/>
              <w:rPr>
                <w:rFonts w:hint="eastAsia"/>
                <w:sz w:val="24"/>
              </w:rPr>
            </w:pPr>
            <w:r>
              <w:rPr>
                <w:rFonts w:hint="eastAsia" w:hAnsi="宋体"/>
                <w:bCs/>
                <w:sz w:val="24"/>
              </w:rPr>
              <w:t>本项目是对人造板进行贴面加工，该项目位于乐山市</w:t>
            </w:r>
            <w:r>
              <w:rPr>
                <w:rFonts w:hint="eastAsia" w:hAnsi="宋体"/>
                <w:bCs/>
                <w:sz w:val="24"/>
                <w:lang w:eastAsia="zh-CN"/>
              </w:rPr>
              <w:t>土主镇红岩坝村</w:t>
            </w:r>
            <w:r>
              <w:rPr>
                <w:rFonts w:hint="eastAsia" w:hAnsi="宋体"/>
                <w:bCs/>
                <w:sz w:val="24"/>
              </w:rPr>
              <w:t>，</w:t>
            </w:r>
            <w:r>
              <w:rPr>
                <w:rFonts w:hint="eastAsia"/>
                <w:sz w:val="24"/>
              </w:rPr>
              <w:t>项目建设区域不涉及自然保护区、风景名胜区、饮用水源保护区、基本农田保护区和其他需要特别保护的区域。并且本项目所使用的原材料均为外购成品木材，与外购成品三聚氰胺浸渍纸，不涉及采伐。因此本项目符合资源利用上限。</w:t>
            </w:r>
          </w:p>
          <w:p>
            <w:pPr>
              <w:spacing w:line="360" w:lineRule="auto"/>
              <w:rPr>
                <w:rFonts w:hint="eastAsia" w:hAnsi="宋体"/>
                <w:bCs/>
                <w:sz w:val="24"/>
              </w:rPr>
            </w:pPr>
            <w:r>
              <w:rPr>
                <w:rFonts w:hint="eastAsia" w:hAnsi="宋体"/>
                <w:bCs/>
                <w:sz w:val="24"/>
              </w:rPr>
              <w:t>3、与环境质量底线分析</w:t>
            </w:r>
          </w:p>
          <w:p>
            <w:pPr>
              <w:spacing w:line="360" w:lineRule="auto"/>
              <w:ind w:firstLine="480" w:firstLineChars="200"/>
              <w:rPr>
                <w:rFonts w:hint="eastAsia" w:hAnsi="宋体"/>
                <w:bCs/>
                <w:sz w:val="24"/>
              </w:rPr>
            </w:pPr>
            <w:r>
              <w:rPr>
                <w:rFonts w:hint="eastAsia" w:hAnsi="宋体"/>
                <w:bCs/>
                <w:sz w:val="24"/>
              </w:rPr>
              <w:t>本项目位于乐山市</w:t>
            </w:r>
            <w:r>
              <w:rPr>
                <w:rFonts w:hint="eastAsia" w:hAnsi="宋体"/>
                <w:bCs/>
                <w:sz w:val="24"/>
                <w:lang w:eastAsia="zh-CN"/>
              </w:rPr>
              <w:t>土主镇红岩坝村</w:t>
            </w:r>
            <w:r>
              <w:rPr>
                <w:rFonts w:hint="eastAsia" w:hAnsi="宋体"/>
                <w:bCs/>
                <w:sz w:val="24"/>
              </w:rPr>
              <w:t>，</w:t>
            </w:r>
            <w:r>
              <w:rPr>
                <w:rFonts w:hint="eastAsia" w:hAnsi="宋体"/>
                <w:bCs/>
                <w:sz w:val="24"/>
                <w:lang w:eastAsia="zh-CN"/>
              </w:rPr>
              <w:t>四川成检环境检测有限公司</w:t>
            </w:r>
            <w:r>
              <w:rPr>
                <w:rFonts w:hint="eastAsia" w:hAnsi="宋体"/>
                <w:bCs/>
                <w:sz w:val="24"/>
              </w:rPr>
              <w:t>对项目所在区域大气环境和噪声环境进行了监测，根据检测结果显示，项目区域大气环境和声学环境均符合相应类别要求，有一定环境容量，能够接纳本项目产生污染物。</w:t>
            </w:r>
          </w:p>
          <w:p>
            <w:pPr>
              <w:spacing w:line="360" w:lineRule="auto"/>
              <w:rPr>
                <w:rFonts w:hint="eastAsia" w:hAnsi="宋体"/>
                <w:bCs/>
                <w:sz w:val="24"/>
              </w:rPr>
            </w:pPr>
            <w:r>
              <w:rPr>
                <w:rFonts w:hint="eastAsia" w:hAnsi="宋体"/>
                <w:bCs/>
                <w:sz w:val="24"/>
              </w:rPr>
              <w:t>4、与环境准入负面清单符合性分析</w:t>
            </w:r>
          </w:p>
          <w:p>
            <w:pPr>
              <w:spacing w:line="360" w:lineRule="auto"/>
              <w:ind w:firstLine="480" w:firstLineChars="200"/>
              <w:rPr>
                <w:rFonts w:hAnsi="宋体"/>
                <w:bCs/>
                <w:sz w:val="24"/>
              </w:rPr>
            </w:pPr>
            <w:r>
              <w:rPr>
                <w:rFonts w:hint="eastAsia" w:hAnsi="宋体"/>
                <w:bCs/>
                <w:sz w:val="24"/>
              </w:rPr>
              <w:t>本项目属于单板加工项目，根据乐山市环境保护局关于印发《乐山市建设项目环境准入负面清单（试行）的通知》，项目不属于其中规定的环境准入负面清单所列。</w:t>
            </w:r>
          </w:p>
          <w:p>
            <w:pPr>
              <w:spacing w:line="360" w:lineRule="auto"/>
              <w:rPr>
                <w:rFonts w:hint="eastAsia"/>
                <w:b/>
                <w:bCs/>
                <w:sz w:val="28"/>
              </w:rPr>
            </w:pPr>
            <w:r>
              <w:rPr>
                <w:rFonts w:hint="eastAsia"/>
                <w:b/>
                <w:bCs/>
                <w:sz w:val="28"/>
              </w:rPr>
              <w:t>四、规划及</w:t>
            </w:r>
            <w:r>
              <w:rPr>
                <w:b/>
                <w:bCs/>
                <w:sz w:val="28"/>
              </w:rPr>
              <w:t>选址</w:t>
            </w:r>
            <w:r>
              <w:rPr>
                <w:rFonts w:hint="eastAsia"/>
                <w:b/>
                <w:bCs/>
                <w:sz w:val="28"/>
              </w:rPr>
              <w:t>符合性分析</w:t>
            </w:r>
          </w:p>
          <w:p>
            <w:pPr>
              <w:tabs>
                <w:tab w:val="left" w:pos="474"/>
              </w:tabs>
              <w:spacing w:line="360" w:lineRule="auto"/>
              <w:ind w:firstLine="482" w:firstLineChars="200"/>
              <w:rPr>
                <w:rFonts w:hint="eastAsia" w:ascii="宋体" w:hAnsi="宋体" w:cs="宋体"/>
                <w:b/>
                <w:sz w:val="24"/>
              </w:rPr>
            </w:pPr>
            <w:r>
              <w:rPr>
                <w:rFonts w:hint="eastAsia"/>
                <w:b/>
                <w:sz w:val="24"/>
              </w:rPr>
              <w:t>（1）</w:t>
            </w:r>
            <w:r>
              <w:rPr>
                <w:rFonts w:hint="eastAsia" w:ascii="宋体" w:hAnsi="宋体" w:cs="宋体"/>
                <w:b/>
                <w:sz w:val="24"/>
              </w:rPr>
              <w:t>规划符合性分析</w:t>
            </w:r>
          </w:p>
          <w:p>
            <w:pPr>
              <w:tabs>
                <w:tab w:val="left" w:pos="474"/>
              </w:tabs>
              <w:spacing w:line="360" w:lineRule="auto"/>
              <w:ind w:firstLine="480" w:firstLineChars="200"/>
              <w:rPr>
                <w:rFonts w:hint="eastAsia" w:ascii="宋体" w:hAnsi="宋体" w:cs="宋体"/>
                <w:sz w:val="24"/>
                <w:lang w:eastAsia="zh-CN"/>
              </w:rPr>
            </w:pPr>
            <w:r>
              <w:rPr>
                <w:rFonts w:hint="eastAsia" w:ascii="宋体" w:hAnsi="宋体" w:cs="宋体"/>
                <w:sz w:val="24"/>
              </w:rPr>
              <w:t>本项目位于乐山市</w:t>
            </w:r>
            <w:r>
              <w:rPr>
                <w:rFonts w:hint="eastAsia" w:ascii="宋体" w:hAnsi="宋体" w:cs="宋体"/>
                <w:sz w:val="24"/>
                <w:lang w:eastAsia="zh-CN"/>
              </w:rPr>
              <w:t>土主镇红岩坝村六组，利用现有闲置厂房进行生产，其土地类型为工业用地，且本项目是通过对刨花板、多层实木板、中密度纤维板与外购成品三聚氰胺浸渍纸进行热压加工，冷却后使之成为装饰免漆板（生态板）。生产工艺不涉及断料、旋切、抛光等工序，也不涉及喷漆、刷漆工序以及木材的烘干等工序，属于单板加工行业，是允许建设项目。</w:t>
            </w:r>
          </w:p>
          <w:p>
            <w:pPr>
              <w:tabs>
                <w:tab w:val="left" w:pos="474"/>
              </w:tabs>
              <w:spacing w:line="360" w:lineRule="auto"/>
              <w:ind w:firstLine="480" w:firstLineChars="200"/>
              <w:rPr>
                <w:rFonts w:hint="eastAsia" w:ascii="宋体" w:hAnsi="宋体" w:cs="宋体"/>
                <w:sz w:val="24"/>
                <w:lang w:eastAsia="zh-CN"/>
              </w:rPr>
            </w:pPr>
            <w:r>
              <w:rPr>
                <w:rFonts w:hint="eastAsia" w:ascii="宋体" w:hAnsi="宋体" w:cs="宋体"/>
                <w:sz w:val="24"/>
                <w:lang w:eastAsia="zh-CN"/>
              </w:rPr>
              <w:t>综上所述，该项目符合当地规划。</w:t>
            </w:r>
          </w:p>
          <w:p>
            <w:pPr>
              <w:spacing w:line="360" w:lineRule="auto"/>
              <w:ind w:firstLine="482" w:firstLineChars="200"/>
              <w:rPr>
                <w:rFonts w:hint="eastAsia"/>
                <w:b/>
                <w:sz w:val="24"/>
              </w:rPr>
            </w:pPr>
            <w:r>
              <w:rPr>
                <w:rFonts w:hint="eastAsia"/>
                <w:b/>
                <w:sz w:val="24"/>
              </w:rPr>
              <w:t>（2）土地利用性质符合性分析</w:t>
            </w:r>
          </w:p>
          <w:p>
            <w:pPr>
              <w:spacing w:line="360" w:lineRule="auto"/>
              <w:ind w:firstLine="480" w:firstLineChars="200"/>
              <w:rPr>
                <w:rFonts w:hint="eastAsia"/>
                <w:sz w:val="24"/>
              </w:rPr>
            </w:pPr>
            <w:r>
              <w:rPr>
                <w:rFonts w:hint="eastAsia"/>
                <w:sz w:val="24"/>
              </w:rPr>
              <w:t>本项目租用</w:t>
            </w:r>
            <w:r>
              <w:rPr>
                <w:rFonts w:hint="eastAsia" w:hAnsi="宋体"/>
                <w:bCs/>
                <w:sz w:val="24"/>
              </w:rPr>
              <w:t>乐山市</w:t>
            </w:r>
            <w:r>
              <w:rPr>
                <w:rFonts w:hint="eastAsia" w:hAnsi="宋体"/>
                <w:bCs/>
                <w:sz w:val="24"/>
                <w:lang w:eastAsia="zh-CN"/>
              </w:rPr>
              <w:t>鑫瑞纺织有限公司</w:t>
            </w:r>
            <w:r>
              <w:rPr>
                <w:rFonts w:hint="eastAsia" w:hAnsi="宋体"/>
                <w:bCs/>
                <w:sz w:val="24"/>
              </w:rPr>
              <w:t>位于乐山市</w:t>
            </w:r>
            <w:r>
              <w:rPr>
                <w:rFonts w:hint="eastAsia" w:hAnsi="宋体"/>
                <w:bCs/>
                <w:sz w:val="24"/>
                <w:lang w:eastAsia="zh-CN"/>
              </w:rPr>
              <w:t>市中区土主镇红岩坝村六组</w:t>
            </w:r>
            <w:r>
              <w:rPr>
                <w:rFonts w:hint="eastAsia" w:hAnsi="宋体"/>
                <w:bCs/>
                <w:sz w:val="24"/>
                <w:lang w:val="en-US" w:eastAsia="zh-CN"/>
              </w:rPr>
              <w:t>478号</w:t>
            </w:r>
            <w:r>
              <w:rPr>
                <w:rFonts w:hint="eastAsia" w:hAnsi="宋体"/>
                <w:bCs/>
                <w:sz w:val="24"/>
              </w:rPr>
              <w:t>的闲置厂房</w:t>
            </w:r>
            <w:r>
              <w:rPr>
                <w:rFonts w:hint="eastAsia" w:hAnsi="宋体"/>
                <w:bCs/>
                <w:sz w:val="24"/>
                <w:lang w:val="en-US" w:eastAsia="zh-CN"/>
              </w:rPr>
              <w:t>1423.24</w:t>
            </w:r>
            <w:r>
              <w:rPr>
                <w:rFonts w:hint="eastAsia" w:hAnsi="宋体"/>
                <w:bCs/>
                <w:sz w:val="24"/>
              </w:rPr>
              <w:t>m</w:t>
            </w:r>
            <w:r>
              <w:rPr>
                <w:rFonts w:hint="eastAsia" w:hAnsi="宋体"/>
                <w:bCs/>
                <w:sz w:val="24"/>
                <w:vertAlign w:val="superscript"/>
                <w:lang w:val="en-US" w:eastAsia="zh-CN"/>
              </w:rPr>
              <w:t>2</w:t>
            </w:r>
            <w:r>
              <w:rPr>
                <w:rFonts w:hint="eastAsia" w:hAnsi="宋体"/>
                <w:bCs/>
                <w:sz w:val="24"/>
              </w:rPr>
              <w:t>进行人造板加工为生态板的项目，是新建项目，根据乐山市</w:t>
            </w:r>
            <w:r>
              <w:rPr>
                <w:rFonts w:hint="eastAsia" w:hAnsi="宋体"/>
                <w:bCs/>
                <w:sz w:val="24"/>
                <w:lang w:eastAsia="zh-CN"/>
              </w:rPr>
              <w:t>鑫瑞纺织有限公司</w:t>
            </w:r>
            <w:r>
              <w:rPr>
                <w:rFonts w:hint="eastAsia"/>
                <w:sz w:val="24"/>
              </w:rPr>
              <w:t>《中华人民共和国国有土地使用证》（乐中国用（201</w:t>
            </w:r>
            <w:r>
              <w:rPr>
                <w:rFonts w:hint="eastAsia"/>
                <w:sz w:val="24"/>
                <w:lang w:val="en-US" w:eastAsia="zh-CN"/>
              </w:rPr>
              <w:t>3</w:t>
            </w:r>
            <w:r>
              <w:rPr>
                <w:rFonts w:hint="eastAsia"/>
                <w:sz w:val="24"/>
              </w:rPr>
              <w:t>）第0</w:t>
            </w:r>
            <w:r>
              <w:rPr>
                <w:rFonts w:hint="eastAsia"/>
                <w:sz w:val="24"/>
                <w:lang w:val="en-US" w:eastAsia="zh-CN"/>
              </w:rPr>
              <w:t>2569</w:t>
            </w:r>
            <w:r>
              <w:rPr>
                <w:rFonts w:hint="eastAsia"/>
                <w:sz w:val="24"/>
              </w:rPr>
              <w:t>号），本项目占地为工业用地，因此本项目用地性质合理。</w:t>
            </w:r>
          </w:p>
          <w:p>
            <w:pPr>
              <w:spacing w:line="360" w:lineRule="auto"/>
              <w:ind w:firstLine="482" w:firstLineChars="200"/>
              <w:rPr>
                <w:rFonts w:hint="eastAsia" w:ascii="宋体" w:hAnsi="宋体" w:cs="宋体"/>
                <w:b/>
                <w:sz w:val="24"/>
              </w:rPr>
            </w:pPr>
            <w:r>
              <w:rPr>
                <w:rFonts w:hint="eastAsia"/>
                <w:b/>
                <w:sz w:val="24"/>
              </w:rPr>
              <w:t>（3）</w:t>
            </w:r>
            <w:r>
              <w:rPr>
                <w:rFonts w:hint="eastAsia" w:ascii="宋体" w:hAnsi="宋体" w:cs="宋体"/>
                <w:b/>
                <w:sz w:val="24"/>
              </w:rPr>
              <w:t>外环境关系合理性分析</w:t>
            </w:r>
          </w:p>
          <w:p>
            <w:pPr>
              <w:spacing w:line="360" w:lineRule="auto"/>
              <w:ind w:firstLine="480" w:firstLineChars="200"/>
              <w:rPr>
                <w:rFonts w:hint="eastAsia"/>
                <w:bCs/>
                <w:sz w:val="24"/>
              </w:rPr>
            </w:pPr>
            <w:r>
              <w:rPr>
                <w:rFonts w:hint="eastAsia"/>
                <w:sz w:val="24"/>
              </w:rPr>
              <w:t>本项目位于</w:t>
            </w:r>
            <w:r>
              <w:rPr>
                <w:rFonts w:hint="eastAsia"/>
                <w:bCs/>
                <w:sz w:val="24"/>
              </w:rPr>
              <w:t>乐山市</w:t>
            </w:r>
            <w:r>
              <w:rPr>
                <w:rFonts w:hint="eastAsia"/>
                <w:bCs/>
                <w:sz w:val="24"/>
                <w:lang w:eastAsia="zh-CN"/>
              </w:rPr>
              <w:t>市中区土主镇红岩坝村六组</w:t>
            </w:r>
            <w:r>
              <w:rPr>
                <w:sz w:val="24"/>
              </w:rPr>
              <w:t>（经度</w:t>
            </w:r>
            <w:r>
              <w:rPr>
                <w:rFonts w:hint="eastAsia"/>
                <w:sz w:val="24"/>
              </w:rPr>
              <w:t>103.</w:t>
            </w:r>
            <w:r>
              <w:rPr>
                <w:rFonts w:hint="eastAsia"/>
                <w:sz w:val="24"/>
                <w:lang w:val="en-US" w:eastAsia="zh-CN"/>
              </w:rPr>
              <w:t>8458</w:t>
            </w:r>
            <w:r>
              <w:rPr>
                <w:sz w:val="24"/>
              </w:rPr>
              <w:t>°</w:t>
            </w:r>
            <w:r>
              <w:rPr>
                <w:rFonts w:hAnsi="宋体"/>
                <w:sz w:val="24"/>
              </w:rPr>
              <w:t>，纬度</w:t>
            </w:r>
            <w:r>
              <w:rPr>
                <w:rFonts w:hint="eastAsia"/>
                <w:sz w:val="24"/>
              </w:rPr>
              <w:t>29.</w:t>
            </w:r>
            <w:r>
              <w:rPr>
                <w:rFonts w:hint="eastAsia"/>
                <w:sz w:val="24"/>
                <w:lang w:val="en-US" w:eastAsia="zh-CN"/>
              </w:rPr>
              <w:t>6519</w:t>
            </w:r>
            <w:r>
              <w:rPr>
                <w:sz w:val="24"/>
              </w:rPr>
              <w:t>°）</w:t>
            </w:r>
            <w:r>
              <w:rPr>
                <w:rFonts w:hint="eastAsia"/>
                <w:bCs/>
                <w:sz w:val="24"/>
              </w:rPr>
              <w:t>，租用</w:t>
            </w:r>
            <w:r>
              <w:rPr>
                <w:rFonts w:hint="eastAsia" w:hAnsi="宋体"/>
                <w:bCs/>
                <w:sz w:val="24"/>
              </w:rPr>
              <w:t>乐山市</w:t>
            </w:r>
            <w:r>
              <w:rPr>
                <w:rFonts w:hint="eastAsia" w:hAnsi="宋体"/>
                <w:bCs/>
                <w:sz w:val="24"/>
                <w:lang w:eastAsia="zh-CN"/>
              </w:rPr>
              <w:t>鑫瑞纺织有限公司的</w:t>
            </w:r>
            <w:r>
              <w:rPr>
                <w:rFonts w:hint="eastAsia"/>
                <w:sz w:val="24"/>
              </w:rPr>
              <w:t>厂房。</w:t>
            </w:r>
            <w:r>
              <w:rPr>
                <w:rFonts w:hint="eastAsia"/>
                <w:bCs/>
                <w:sz w:val="24"/>
              </w:rPr>
              <w:t>项目</w:t>
            </w:r>
            <w:r>
              <w:rPr>
                <w:rFonts w:hint="eastAsia"/>
                <w:bCs/>
                <w:sz w:val="24"/>
                <w:lang w:eastAsia="zh-CN"/>
              </w:rPr>
              <w:t>西面紧邻乐山佳利来纺织厂</w:t>
            </w:r>
            <w:r>
              <w:rPr>
                <w:rFonts w:hint="eastAsia"/>
                <w:bCs/>
                <w:sz w:val="24"/>
              </w:rPr>
              <w:t>；</w:t>
            </w:r>
            <w:r>
              <w:rPr>
                <w:rFonts w:hint="eastAsia"/>
                <w:bCs/>
                <w:sz w:val="24"/>
                <w:lang w:eastAsia="zh-CN"/>
              </w:rPr>
              <w:t>西面约</w:t>
            </w:r>
            <w:r>
              <w:rPr>
                <w:rFonts w:hint="eastAsia"/>
                <w:bCs/>
                <w:sz w:val="24"/>
                <w:lang w:val="en-US" w:eastAsia="zh-CN"/>
              </w:rPr>
              <w:t>150</w:t>
            </w:r>
            <w:r>
              <w:rPr>
                <w:rFonts w:hint="eastAsia"/>
                <w:bCs/>
                <w:sz w:val="24"/>
              </w:rPr>
              <w:t>m处为</w:t>
            </w:r>
            <w:r>
              <w:rPr>
                <w:rFonts w:hint="eastAsia"/>
                <w:bCs/>
                <w:sz w:val="24"/>
                <w:lang w:eastAsia="zh-CN"/>
              </w:rPr>
              <w:t>搏乐织布厂</w:t>
            </w:r>
            <w:r>
              <w:rPr>
                <w:rFonts w:hint="eastAsia"/>
                <w:bCs/>
                <w:sz w:val="24"/>
              </w:rPr>
              <w:t>；项目</w:t>
            </w:r>
            <w:r>
              <w:rPr>
                <w:rFonts w:hint="eastAsia"/>
                <w:bCs/>
                <w:sz w:val="24"/>
                <w:lang w:eastAsia="zh-CN"/>
              </w:rPr>
              <w:t>北</w:t>
            </w:r>
            <w:r>
              <w:rPr>
                <w:rFonts w:hint="eastAsia"/>
                <w:bCs/>
                <w:sz w:val="24"/>
              </w:rPr>
              <w:t>紧邻</w:t>
            </w:r>
            <w:r>
              <w:rPr>
                <w:rFonts w:hint="eastAsia"/>
                <w:bCs/>
                <w:sz w:val="24"/>
                <w:lang w:eastAsia="zh-CN"/>
              </w:rPr>
              <w:t>乐井路；东面约</w:t>
            </w:r>
            <w:r>
              <w:rPr>
                <w:rFonts w:hint="eastAsia"/>
                <w:bCs/>
                <w:sz w:val="24"/>
                <w:lang w:val="en-US" w:eastAsia="zh-CN"/>
              </w:rPr>
              <w:t>100m处为剑锋河；</w:t>
            </w:r>
            <w:r>
              <w:rPr>
                <w:rFonts w:hint="eastAsia"/>
                <w:bCs/>
                <w:sz w:val="24"/>
              </w:rPr>
              <w:t>西</w:t>
            </w:r>
            <w:r>
              <w:rPr>
                <w:rFonts w:hint="eastAsia"/>
                <w:bCs/>
                <w:sz w:val="24"/>
                <w:lang w:eastAsia="zh-CN"/>
              </w:rPr>
              <w:t>北</w:t>
            </w:r>
            <w:r>
              <w:rPr>
                <w:rFonts w:hint="eastAsia"/>
                <w:bCs/>
                <w:sz w:val="24"/>
              </w:rPr>
              <w:t>面</w:t>
            </w:r>
            <w:r>
              <w:rPr>
                <w:rFonts w:hint="eastAsia"/>
                <w:bCs/>
                <w:sz w:val="24"/>
                <w:lang w:val="en-US" w:eastAsia="zh-CN"/>
              </w:rPr>
              <w:t>176m</w:t>
            </w:r>
            <w:r>
              <w:rPr>
                <w:rFonts w:hint="eastAsia"/>
                <w:bCs/>
                <w:sz w:val="24"/>
              </w:rPr>
              <w:t>处为</w:t>
            </w:r>
            <w:r>
              <w:rPr>
                <w:rFonts w:hint="eastAsia"/>
                <w:bCs/>
                <w:sz w:val="24"/>
                <w:lang w:eastAsia="zh-CN"/>
              </w:rPr>
              <w:t>永盛纺织</w:t>
            </w:r>
            <w:r>
              <w:rPr>
                <w:rFonts w:hint="eastAsia"/>
                <w:bCs/>
                <w:sz w:val="24"/>
              </w:rPr>
              <w:t>；西北面</w:t>
            </w:r>
            <w:r>
              <w:rPr>
                <w:rFonts w:hint="eastAsia"/>
                <w:bCs/>
                <w:sz w:val="24"/>
                <w:lang w:val="en-US" w:eastAsia="zh-CN"/>
              </w:rPr>
              <w:t>290m</w:t>
            </w:r>
            <w:r>
              <w:rPr>
                <w:rFonts w:hint="eastAsia"/>
                <w:bCs/>
                <w:sz w:val="24"/>
                <w:lang w:eastAsia="zh-CN"/>
              </w:rPr>
              <w:t>是永逸汽修</w:t>
            </w:r>
            <w:r>
              <w:rPr>
                <w:rFonts w:hint="eastAsia"/>
                <w:bCs/>
                <w:sz w:val="24"/>
              </w:rPr>
              <w:t>；项目建设区域周围200m范围内</w:t>
            </w:r>
            <w:r>
              <w:rPr>
                <w:rFonts w:hint="eastAsia"/>
                <w:bCs/>
                <w:sz w:val="24"/>
                <w:lang w:eastAsia="zh-CN"/>
              </w:rPr>
              <w:t>有大约</w:t>
            </w:r>
            <w:r>
              <w:rPr>
                <w:rFonts w:hint="eastAsia"/>
                <w:bCs/>
                <w:sz w:val="24"/>
                <w:lang w:val="en-US" w:eastAsia="zh-CN"/>
              </w:rPr>
              <w:t>10户居民</w:t>
            </w:r>
            <w:r>
              <w:rPr>
                <w:rFonts w:hint="eastAsia"/>
                <w:bCs/>
                <w:sz w:val="24"/>
              </w:rPr>
              <w:t>，最近住户位于本项目</w:t>
            </w:r>
            <w:r>
              <w:rPr>
                <w:rFonts w:hint="eastAsia"/>
                <w:bCs/>
                <w:sz w:val="24"/>
                <w:lang w:eastAsia="zh-CN"/>
              </w:rPr>
              <w:t>东</w:t>
            </w:r>
            <w:r>
              <w:rPr>
                <w:rFonts w:hint="eastAsia"/>
                <w:bCs/>
                <w:sz w:val="24"/>
              </w:rPr>
              <w:t>南面，距离厂界</w:t>
            </w:r>
            <w:r>
              <w:rPr>
                <w:rFonts w:hint="eastAsia"/>
                <w:bCs/>
                <w:sz w:val="24"/>
                <w:lang w:val="en-US" w:eastAsia="zh-CN"/>
              </w:rPr>
              <w:t>90</w:t>
            </w:r>
            <w:r>
              <w:rPr>
                <w:rFonts w:hint="eastAsia"/>
                <w:bCs/>
                <w:sz w:val="24"/>
              </w:rPr>
              <w:t>m，项目</w:t>
            </w:r>
            <w:r>
              <w:rPr>
                <w:rFonts w:hint="eastAsia"/>
                <w:bCs/>
                <w:sz w:val="24"/>
                <w:lang w:eastAsia="zh-CN"/>
              </w:rPr>
              <w:t>西</w:t>
            </w:r>
            <w:r>
              <w:rPr>
                <w:rFonts w:hint="eastAsia"/>
                <w:bCs/>
                <w:sz w:val="24"/>
              </w:rPr>
              <w:t>面</w:t>
            </w:r>
            <w:r>
              <w:rPr>
                <w:rFonts w:hint="eastAsia"/>
                <w:bCs/>
                <w:sz w:val="24"/>
                <w:lang w:val="en-US" w:eastAsia="zh-CN"/>
              </w:rPr>
              <w:t>250-350</w:t>
            </w:r>
            <w:r>
              <w:rPr>
                <w:rFonts w:hint="eastAsia"/>
                <w:bCs/>
                <w:sz w:val="24"/>
              </w:rPr>
              <w:t>m为居民聚居地。</w:t>
            </w:r>
          </w:p>
          <w:p>
            <w:pPr>
              <w:spacing w:line="360" w:lineRule="auto"/>
              <w:ind w:firstLine="480" w:firstLineChars="200"/>
              <w:rPr>
                <w:rFonts w:hint="eastAsia"/>
                <w:sz w:val="24"/>
              </w:rPr>
            </w:pPr>
            <w:r>
              <w:rPr>
                <w:rFonts w:hint="eastAsia"/>
                <w:sz w:val="24"/>
              </w:rPr>
              <w:t>本项目建设区域不涉及自然保护区、风景名胜区、饮用水源保护区、基本农田保护区和其他需要特别保护的区域，无重大制约因素。</w:t>
            </w:r>
          </w:p>
          <w:p>
            <w:pPr>
              <w:spacing w:line="360" w:lineRule="auto"/>
              <w:ind w:firstLine="480" w:firstLineChars="200"/>
              <w:rPr>
                <w:rFonts w:hint="eastAsia"/>
                <w:sz w:val="24"/>
              </w:rPr>
            </w:pPr>
            <w:r>
              <w:rPr>
                <w:rFonts w:hint="eastAsia"/>
                <w:sz w:val="24"/>
              </w:rPr>
              <w:t>根据项目所在区域环境质量现状监测资料可知，项目所在区域声学环境、大气环境质量较好，有一定的环境容量。项目所在地交通便利，便于本项目原辅材料和产品的运输；区域内水、电等基础设施完善，可满足本项目运营期生产、办公需求。从项目所处的外环境关系，周边均为已有的生产企业或拟建生产企业，项目周围无食品厂及农副产品加工制造行业；无对外环境要求较高的企业存在；项目拟建地均使用自来水做生活饮用水，项目所在处附近无地下水取水口及水源保护地等环境敏感区。企业之间具有一定的相容性，外环境制约因素较小。</w:t>
            </w:r>
          </w:p>
          <w:p>
            <w:pPr>
              <w:spacing w:line="360" w:lineRule="auto"/>
              <w:ind w:firstLine="570"/>
              <w:rPr>
                <w:sz w:val="24"/>
              </w:rPr>
            </w:pPr>
            <w:r>
              <w:rPr>
                <w:rFonts w:hint="eastAsia"/>
                <w:sz w:val="24"/>
              </w:rPr>
              <w:t>因此本项目对周围影响较小，与外环境较相容。</w:t>
            </w:r>
          </w:p>
          <w:p>
            <w:pPr>
              <w:spacing w:line="360" w:lineRule="auto"/>
              <w:ind w:firstLine="570"/>
              <w:rPr>
                <w:sz w:val="24"/>
              </w:rPr>
            </w:pPr>
            <w:r>
              <w:rPr>
                <w:rFonts w:hint="eastAsia"/>
                <w:sz w:val="24"/>
              </w:rPr>
              <w:t>综上所述，本项目</w:t>
            </w:r>
            <w:r>
              <w:rPr>
                <w:rFonts w:hint="eastAsia"/>
                <w:sz w:val="24"/>
                <w:lang w:eastAsia="zh-CN"/>
              </w:rPr>
              <w:t>当地</w:t>
            </w:r>
            <w:r>
              <w:rPr>
                <w:rFonts w:hint="eastAsia"/>
                <w:sz w:val="24"/>
              </w:rPr>
              <w:t>发展规划，土地利用性质合理，与外环境相容。</w:t>
            </w:r>
          </w:p>
          <w:p>
            <w:pPr>
              <w:spacing w:line="360" w:lineRule="auto"/>
              <w:ind w:right="78" w:rightChars="37"/>
              <w:rPr>
                <w:rFonts w:hint="eastAsia" w:ascii="宋体" w:hAnsi="宋体" w:cs="宋体"/>
                <w:b/>
                <w:bCs/>
                <w:sz w:val="28"/>
                <w:szCs w:val="28"/>
              </w:rPr>
            </w:pPr>
            <w:r>
              <w:rPr>
                <w:rFonts w:hint="eastAsia" w:ascii="宋体" w:hAnsi="宋体" w:cs="宋体"/>
                <w:b/>
                <w:bCs/>
                <w:sz w:val="28"/>
                <w:szCs w:val="28"/>
              </w:rPr>
              <w:t>五、平面布置合理性分析</w:t>
            </w:r>
          </w:p>
          <w:p>
            <w:pPr>
              <w:adjustRightInd w:val="0"/>
              <w:spacing w:line="360" w:lineRule="auto"/>
              <w:ind w:firstLine="480" w:firstLineChars="200"/>
              <w:rPr>
                <w:rFonts w:hint="eastAsia"/>
                <w:sz w:val="24"/>
              </w:rPr>
            </w:pPr>
            <w:r>
              <w:rPr>
                <w:rFonts w:hint="eastAsia"/>
                <w:bCs/>
                <w:sz w:val="24"/>
              </w:rPr>
              <w:t>本项目位于乐山市</w:t>
            </w:r>
            <w:r>
              <w:rPr>
                <w:rFonts w:hint="eastAsia"/>
                <w:bCs/>
                <w:sz w:val="24"/>
                <w:lang w:eastAsia="zh-CN"/>
              </w:rPr>
              <w:t>市中区土主镇红岩坝村六组</w:t>
            </w:r>
            <w:r>
              <w:rPr>
                <w:sz w:val="24"/>
              </w:rPr>
              <w:t>（经度</w:t>
            </w:r>
            <w:r>
              <w:rPr>
                <w:rFonts w:hint="eastAsia"/>
                <w:sz w:val="24"/>
              </w:rPr>
              <w:t>103.</w:t>
            </w:r>
            <w:r>
              <w:rPr>
                <w:rFonts w:hint="eastAsia"/>
                <w:sz w:val="24"/>
                <w:lang w:val="en-US" w:eastAsia="zh-CN"/>
              </w:rPr>
              <w:t>8458</w:t>
            </w:r>
            <w:r>
              <w:rPr>
                <w:sz w:val="24"/>
              </w:rPr>
              <w:t>°</w:t>
            </w:r>
            <w:r>
              <w:rPr>
                <w:rFonts w:hAnsi="宋体"/>
                <w:sz w:val="24"/>
              </w:rPr>
              <w:t>，纬度</w:t>
            </w:r>
            <w:r>
              <w:rPr>
                <w:rFonts w:hint="eastAsia"/>
                <w:sz w:val="24"/>
              </w:rPr>
              <w:t>29.</w:t>
            </w:r>
            <w:r>
              <w:rPr>
                <w:rFonts w:hint="eastAsia"/>
                <w:sz w:val="24"/>
                <w:lang w:val="en-US" w:eastAsia="zh-CN"/>
              </w:rPr>
              <w:t>6519</w:t>
            </w:r>
            <w:r>
              <w:rPr>
                <w:sz w:val="24"/>
              </w:rPr>
              <w:t>°）</w:t>
            </w:r>
            <w:r>
              <w:rPr>
                <w:rFonts w:hint="eastAsia"/>
                <w:bCs/>
                <w:sz w:val="24"/>
              </w:rPr>
              <w:t>，项目</w:t>
            </w:r>
            <w:r>
              <w:rPr>
                <w:rFonts w:hint="eastAsia"/>
                <w:sz w:val="24"/>
              </w:rPr>
              <w:t>用地格局呈长方形，</w:t>
            </w:r>
            <w:r>
              <w:rPr>
                <w:rFonts w:hint="eastAsia"/>
                <w:bCs/>
                <w:sz w:val="24"/>
              </w:rPr>
              <w:t>项目占地约</w:t>
            </w:r>
            <w:r>
              <w:rPr>
                <w:rFonts w:hint="eastAsia"/>
                <w:bCs/>
                <w:sz w:val="24"/>
                <w:lang w:val="en-US" w:eastAsia="zh-CN"/>
              </w:rPr>
              <w:t>1423.24</w:t>
            </w:r>
            <w:r>
              <w:rPr>
                <w:rFonts w:hint="eastAsia"/>
                <w:bCs/>
                <w:sz w:val="24"/>
              </w:rPr>
              <w:t>m</w:t>
            </w:r>
            <w:r>
              <w:rPr>
                <w:rFonts w:hint="eastAsia"/>
                <w:bCs/>
                <w:sz w:val="24"/>
                <w:vertAlign w:val="superscript"/>
              </w:rPr>
              <w:t>2</w:t>
            </w:r>
            <w:r>
              <w:rPr>
                <w:rFonts w:hint="eastAsia"/>
                <w:bCs/>
                <w:sz w:val="24"/>
              </w:rPr>
              <w:t>。厂区东南面为辅料区和原料区，</w:t>
            </w:r>
            <w:r>
              <w:rPr>
                <w:rFonts w:hint="eastAsia"/>
                <w:bCs/>
                <w:sz w:val="24"/>
                <w:lang w:eastAsia="zh-CN"/>
              </w:rPr>
              <w:t>北面为</w:t>
            </w:r>
            <w:r>
              <w:rPr>
                <w:rFonts w:hint="eastAsia"/>
                <w:bCs/>
                <w:sz w:val="24"/>
              </w:rPr>
              <w:t>成品区，生产区设置在厂区中心，</w:t>
            </w:r>
            <w:r>
              <w:rPr>
                <w:rFonts w:hint="eastAsia"/>
                <w:bCs/>
                <w:sz w:val="24"/>
                <w:lang w:eastAsia="zh-CN"/>
              </w:rPr>
              <w:t>生产厂区北面有一栋办公楼，</w:t>
            </w:r>
            <w:r>
              <w:rPr>
                <w:rFonts w:hint="eastAsia"/>
                <w:sz w:val="24"/>
              </w:rPr>
              <w:t>厂区内部交通设计简捷流畅，出入口设置合理，彼此相互无干扰，减少各个建筑单体之间的交通干扰，满足生产的工业流程需要。</w:t>
            </w:r>
            <w:r>
              <w:rPr>
                <w:rFonts w:hint="eastAsia"/>
                <w:sz w:val="24"/>
                <w:szCs w:val="28"/>
              </w:rPr>
              <w:t>高噪声设备产噪位置相对集中，设置在厂区中心的生产区，远离厂界布设，以减少生声对环境影响。并且厂区周围</w:t>
            </w:r>
            <w:r>
              <w:rPr>
                <w:rFonts w:hint="eastAsia"/>
                <w:sz w:val="24"/>
                <w:szCs w:val="28"/>
                <w:lang w:eastAsia="zh-CN"/>
              </w:rPr>
              <w:t>有</w:t>
            </w:r>
            <w:r>
              <w:rPr>
                <w:rFonts w:hint="eastAsia"/>
                <w:sz w:val="24"/>
                <w:szCs w:val="28"/>
              </w:rPr>
              <w:t>一定面积绿化，既能吸尘降噪，又美化环境。</w:t>
            </w:r>
          </w:p>
          <w:p>
            <w:pPr>
              <w:spacing w:line="360" w:lineRule="auto"/>
              <w:ind w:firstLine="480" w:firstLineChars="200"/>
              <w:rPr>
                <w:sz w:val="24"/>
                <w:szCs w:val="28"/>
              </w:rPr>
            </w:pPr>
            <w:r>
              <w:rPr>
                <w:sz w:val="24"/>
                <w:szCs w:val="28"/>
              </w:rPr>
              <w:t>综上分析，项目各功能分区明确、间距合理，避免了相互干扰，在生产厂房布局时满足工艺流程，也满足功能分区要求及运输作业要求，项目总平面布置合理。</w:t>
            </w:r>
          </w:p>
          <w:p>
            <w:pPr>
              <w:spacing w:line="360" w:lineRule="auto"/>
              <w:ind w:right="78" w:rightChars="37"/>
              <w:rPr>
                <w:rFonts w:hint="eastAsia" w:ascii="宋体" w:hAnsi="宋体" w:cs="宋体"/>
                <w:b/>
                <w:bCs/>
                <w:sz w:val="28"/>
                <w:szCs w:val="28"/>
              </w:rPr>
            </w:pPr>
            <w:r>
              <w:rPr>
                <w:rFonts w:hint="eastAsia" w:hAnsi="宋体"/>
                <w:b/>
                <w:bCs/>
                <w:sz w:val="28"/>
                <w:szCs w:val="28"/>
              </w:rPr>
              <w:t>六</w:t>
            </w:r>
            <w:r>
              <w:rPr>
                <w:rFonts w:hint="eastAsia" w:ascii="宋体" w:hAnsi="宋体" w:cs="宋体"/>
                <w:b/>
                <w:bCs/>
                <w:sz w:val="28"/>
                <w:szCs w:val="28"/>
              </w:rPr>
              <w:t>、建设项目概况</w:t>
            </w:r>
          </w:p>
          <w:p>
            <w:pPr>
              <w:spacing w:line="360" w:lineRule="auto"/>
              <w:ind w:firstLine="482" w:firstLineChars="200"/>
              <w:rPr>
                <w:b/>
                <w:bCs/>
                <w:sz w:val="24"/>
              </w:rPr>
            </w:pPr>
            <w:r>
              <w:rPr>
                <w:b/>
                <w:bCs/>
                <w:sz w:val="24"/>
              </w:rPr>
              <w:t>1、</w:t>
            </w:r>
            <w:r>
              <w:rPr>
                <w:rFonts w:hint="eastAsia"/>
                <w:b/>
                <w:bCs/>
                <w:sz w:val="24"/>
              </w:rPr>
              <w:t>项目</w:t>
            </w:r>
            <w:r>
              <w:rPr>
                <w:b/>
                <w:bCs/>
                <w:sz w:val="24"/>
              </w:rPr>
              <w:t>基本情况</w:t>
            </w:r>
          </w:p>
          <w:p>
            <w:pPr>
              <w:spacing w:line="360" w:lineRule="auto"/>
              <w:ind w:firstLine="480" w:firstLineChars="200"/>
              <w:rPr>
                <w:rFonts w:hint="eastAsia" w:hAnsi="宋体" w:eastAsia="宋体"/>
                <w:bCs/>
                <w:sz w:val="24"/>
                <w:lang w:eastAsia="zh-CN"/>
              </w:rPr>
            </w:pPr>
            <w:r>
              <w:rPr>
                <w:rFonts w:hAnsi="宋体"/>
                <w:bCs/>
                <w:sz w:val="24"/>
              </w:rPr>
              <w:t>项目名称：</w:t>
            </w:r>
            <w:r>
              <w:rPr>
                <w:rFonts w:hint="eastAsia" w:hAnsi="宋体"/>
                <w:bCs/>
                <w:sz w:val="24"/>
              </w:rPr>
              <w:t>人造板加工项目</w:t>
            </w:r>
            <w:r>
              <w:rPr>
                <w:rFonts w:hint="eastAsia" w:hAnsi="宋体"/>
                <w:bCs/>
                <w:sz w:val="24"/>
                <w:lang w:eastAsia="zh-CN"/>
              </w:rPr>
              <w:t>搬迁工程</w:t>
            </w:r>
          </w:p>
          <w:p>
            <w:pPr>
              <w:spacing w:line="360" w:lineRule="auto"/>
              <w:ind w:firstLine="480" w:firstLineChars="200"/>
              <w:rPr>
                <w:rFonts w:hint="eastAsia"/>
                <w:bCs/>
                <w:sz w:val="24"/>
              </w:rPr>
            </w:pPr>
            <w:r>
              <w:rPr>
                <w:rFonts w:hint="eastAsia"/>
                <w:bCs/>
                <w:sz w:val="24"/>
              </w:rPr>
              <w:t>建设单位：乐山市林泉木业有限公司</w:t>
            </w:r>
          </w:p>
          <w:p>
            <w:pPr>
              <w:spacing w:line="360" w:lineRule="auto"/>
              <w:ind w:firstLine="480" w:firstLineChars="200"/>
              <w:rPr>
                <w:rFonts w:hint="eastAsia"/>
                <w:sz w:val="24"/>
              </w:rPr>
            </w:pPr>
            <w:r>
              <w:rPr>
                <w:bCs/>
                <w:sz w:val="24"/>
              </w:rPr>
              <w:t>建设地点：</w:t>
            </w:r>
            <w:r>
              <w:rPr>
                <w:rFonts w:hint="eastAsia"/>
                <w:bCs/>
                <w:sz w:val="24"/>
              </w:rPr>
              <w:t>乐山市</w:t>
            </w:r>
            <w:r>
              <w:rPr>
                <w:rFonts w:hint="eastAsia"/>
                <w:bCs/>
                <w:sz w:val="24"/>
                <w:lang w:eastAsia="zh-CN"/>
              </w:rPr>
              <w:t>市中区土主镇红岩坝村六组</w:t>
            </w:r>
            <w:r>
              <w:rPr>
                <w:sz w:val="24"/>
              </w:rPr>
              <w:t>（经度</w:t>
            </w:r>
            <w:r>
              <w:rPr>
                <w:rFonts w:hint="eastAsia"/>
                <w:sz w:val="24"/>
              </w:rPr>
              <w:t>103.</w:t>
            </w:r>
            <w:r>
              <w:rPr>
                <w:rFonts w:hint="eastAsia"/>
                <w:sz w:val="24"/>
                <w:lang w:val="en-US" w:eastAsia="zh-CN"/>
              </w:rPr>
              <w:t>8458</w:t>
            </w:r>
            <w:r>
              <w:rPr>
                <w:sz w:val="24"/>
              </w:rPr>
              <w:t>°</w:t>
            </w:r>
            <w:r>
              <w:rPr>
                <w:rFonts w:hAnsi="宋体"/>
                <w:sz w:val="24"/>
              </w:rPr>
              <w:t>，纬度</w:t>
            </w:r>
            <w:r>
              <w:rPr>
                <w:rFonts w:hint="eastAsia"/>
                <w:sz w:val="24"/>
              </w:rPr>
              <w:t>29.</w:t>
            </w:r>
            <w:r>
              <w:rPr>
                <w:rFonts w:hint="eastAsia"/>
                <w:sz w:val="24"/>
                <w:lang w:val="en-US" w:eastAsia="zh-CN"/>
              </w:rPr>
              <w:t>6519</w:t>
            </w:r>
            <w:r>
              <w:rPr>
                <w:sz w:val="24"/>
              </w:rPr>
              <w:t>°）</w:t>
            </w:r>
          </w:p>
          <w:p>
            <w:pPr>
              <w:spacing w:line="360" w:lineRule="auto"/>
              <w:ind w:firstLine="480" w:firstLineChars="200"/>
              <w:rPr>
                <w:rFonts w:hint="eastAsia" w:hAnsi="宋体"/>
                <w:sz w:val="24"/>
              </w:rPr>
            </w:pPr>
            <w:r>
              <w:rPr>
                <w:rFonts w:hAnsi="宋体"/>
                <w:sz w:val="24"/>
              </w:rPr>
              <w:t>项目性质：</w:t>
            </w:r>
            <w:r>
              <w:rPr>
                <w:rFonts w:hint="eastAsia" w:hAnsi="宋体"/>
                <w:sz w:val="24"/>
              </w:rPr>
              <w:t>新建</w:t>
            </w:r>
          </w:p>
          <w:p>
            <w:pPr>
              <w:spacing w:line="360" w:lineRule="auto"/>
              <w:ind w:firstLine="480" w:firstLineChars="200"/>
              <w:rPr>
                <w:rFonts w:hint="eastAsia"/>
                <w:sz w:val="24"/>
              </w:rPr>
            </w:pPr>
            <w:r>
              <w:rPr>
                <w:rFonts w:hint="eastAsia"/>
                <w:sz w:val="24"/>
              </w:rPr>
              <w:t>总投资：</w:t>
            </w:r>
            <w:r>
              <w:rPr>
                <w:rFonts w:hint="eastAsia"/>
                <w:sz w:val="24"/>
                <w:lang w:val="en-US" w:eastAsia="zh-CN"/>
              </w:rPr>
              <w:t>100</w:t>
            </w:r>
            <w:r>
              <w:rPr>
                <w:rFonts w:hint="eastAsia"/>
                <w:sz w:val="24"/>
              </w:rPr>
              <w:t>万元</w:t>
            </w:r>
          </w:p>
          <w:p>
            <w:pPr>
              <w:spacing w:line="360" w:lineRule="auto"/>
              <w:ind w:firstLine="480" w:firstLineChars="200"/>
              <w:rPr>
                <w:rFonts w:hint="eastAsia"/>
                <w:b/>
                <w:sz w:val="24"/>
              </w:rPr>
            </w:pPr>
            <w:r>
              <w:rPr>
                <w:rFonts w:hint="eastAsia"/>
                <w:sz w:val="24"/>
              </w:rPr>
              <w:t>本项目厂房生产区拟设置两条生产线，分别使用多层单面热压机和单层双面热压机以加工人造板。</w:t>
            </w:r>
          </w:p>
          <w:p>
            <w:pPr>
              <w:spacing w:line="360" w:lineRule="auto"/>
              <w:ind w:firstLine="482" w:firstLineChars="200"/>
              <w:rPr>
                <w:rFonts w:hint="eastAsia"/>
                <w:b/>
                <w:sz w:val="24"/>
              </w:rPr>
            </w:pPr>
            <w:r>
              <w:rPr>
                <w:rFonts w:hint="eastAsia"/>
                <w:b/>
                <w:sz w:val="24"/>
              </w:rPr>
              <w:t>2、建设规模</w:t>
            </w:r>
          </w:p>
          <w:p>
            <w:pPr>
              <w:spacing w:line="360" w:lineRule="auto"/>
              <w:ind w:firstLine="480" w:firstLineChars="200"/>
              <w:rPr>
                <w:rFonts w:hint="eastAsia"/>
                <w:sz w:val="24"/>
              </w:rPr>
            </w:pPr>
            <w:r>
              <w:rPr>
                <w:rFonts w:hint="eastAsia"/>
                <w:sz w:val="24"/>
              </w:rPr>
              <w:t>本项目租用</w:t>
            </w:r>
            <w:r>
              <w:rPr>
                <w:rFonts w:hint="eastAsia" w:hAnsi="宋体"/>
                <w:bCs/>
                <w:sz w:val="24"/>
                <w:lang w:eastAsia="zh-CN"/>
              </w:rPr>
              <w:t>鑫瑞纺织</w:t>
            </w:r>
            <w:r>
              <w:rPr>
                <w:rFonts w:hint="eastAsia"/>
                <w:sz w:val="24"/>
              </w:rPr>
              <w:t>厂房</w:t>
            </w:r>
            <w:r>
              <w:rPr>
                <w:rFonts w:hint="eastAsia"/>
                <w:sz w:val="24"/>
                <w:lang w:val="en-US" w:eastAsia="zh-CN"/>
              </w:rPr>
              <w:t>1423.24</w:t>
            </w:r>
            <w:r>
              <w:rPr>
                <w:rFonts w:hint="eastAsia"/>
                <w:sz w:val="24"/>
              </w:rPr>
              <w:t>m</w:t>
            </w:r>
            <w:r>
              <w:rPr>
                <w:rFonts w:hint="eastAsia"/>
                <w:sz w:val="24"/>
                <w:vertAlign w:val="superscript"/>
              </w:rPr>
              <w:t>2</w:t>
            </w:r>
            <w:r>
              <w:rPr>
                <w:rFonts w:hint="eastAsia"/>
                <w:sz w:val="24"/>
                <w:vertAlign w:val="baseline"/>
                <w:lang w:eastAsia="zh-CN"/>
              </w:rPr>
              <w:t>（仅租用其厂房部分区域，厂房南部仍为原厂仓库）</w:t>
            </w:r>
            <w:r>
              <w:rPr>
                <w:sz w:val="24"/>
              </w:rPr>
              <w:t>，</w:t>
            </w:r>
            <w:r>
              <w:rPr>
                <w:rFonts w:hint="eastAsia"/>
                <w:sz w:val="24"/>
                <w:lang w:eastAsia="zh-CN"/>
              </w:rPr>
              <w:t>搬迁</w:t>
            </w:r>
            <w:r>
              <w:rPr>
                <w:sz w:val="24"/>
              </w:rPr>
              <w:t>安装</w:t>
            </w:r>
            <w:r>
              <w:rPr>
                <w:rFonts w:hint="eastAsia"/>
                <w:sz w:val="24"/>
              </w:rPr>
              <w:t>多层单面热压机1台，单层多面热压机1台，天然气导热油炉（模温机）2台，另有3.5吨叉车1台。外购刨花板、多层实木板、高中密度纤维板为原料，外购三聚氰胺浸</w:t>
            </w:r>
            <w:r>
              <w:rPr>
                <w:rFonts w:hint="eastAsia" w:hAnsi="宋体"/>
                <w:bCs/>
                <w:sz w:val="24"/>
              </w:rPr>
              <w:t>渍</w:t>
            </w:r>
            <w:r>
              <w:rPr>
                <w:rFonts w:hint="eastAsia"/>
                <w:sz w:val="24"/>
              </w:rPr>
              <w:t>纸，形成年产30万张生态免漆板的加工能力。</w:t>
            </w:r>
          </w:p>
          <w:p>
            <w:pPr>
              <w:spacing w:line="360" w:lineRule="auto"/>
              <w:ind w:firstLine="482" w:firstLineChars="200"/>
              <w:rPr>
                <w:rFonts w:hint="eastAsia"/>
                <w:b/>
                <w:sz w:val="24"/>
              </w:rPr>
            </w:pPr>
            <w:r>
              <w:rPr>
                <w:rFonts w:hint="eastAsia"/>
                <w:b/>
                <w:sz w:val="24"/>
              </w:rPr>
              <w:t>3、项目组成</w:t>
            </w:r>
          </w:p>
          <w:p>
            <w:pPr>
              <w:pStyle w:val="15"/>
              <w:spacing w:after="0" w:line="360" w:lineRule="auto"/>
              <w:ind w:firstLine="480" w:firstLineChars="200"/>
              <w:rPr>
                <w:rFonts w:ascii="宋体" w:hAnsi="宋体" w:cs="宋体"/>
                <w:sz w:val="24"/>
              </w:rPr>
            </w:pPr>
            <w:r>
              <w:rPr>
                <w:rFonts w:hint="eastAsia" w:ascii="宋体" w:hAnsi="宋体" w:cs="宋体"/>
                <w:sz w:val="24"/>
              </w:rPr>
              <w:t>本项目为将人造板加工成生态免漆装饰板的人造板加工项目，本</w:t>
            </w:r>
            <w:r>
              <w:rPr>
                <w:rFonts w:hint="eastAsia" w:ascii="宋体" w:hAnsi="宋体" w:eastAsia="宋体" w:cs="宋体"/>
                <w:sz w:val="24"/>
                <w:lang w:eastAsia="zh-CN"/>
              </w:rPr>
              <w:t>项目</w:t>
            </w:r>
            <w:r>
              <w:rPr>
                <w:rFonts w:hint="eastAsia" w:ascii="宋体" w:hAnsi="宋体" w:cs="宋体"/>
                <w:sz w:val="24"/>
              </w:rPr>
              <w:t>组成见下表</w:t>
            </w:r>
            <w:r>
              <w:rPr>
                <w:rFonts w:hint="eastAsia" w:ascii="宋体" w:hAnsi="宋体" w:cs="宋体"/>
                <w:sz w:val="24"/>
                <w:lang w:eastAsia="zh-CN"/>
              </w:rPr>
              <w:t>1-1</w:t>
            </w:r>
            <w:r>
              <w:rPr>
                <w:rFonts w:hint="eastAsia" w:ascii="宋体" w:hAnsi="宋体" w:cs="宋体"/>
                <w:sz w:val="24"/>
              </w:rPr>
              <w:t>：</w:t>
            </w:r>
          </w:p>
          <w:p>
            <w:pPr>
              <w:spacing w:line="360" w:lineRule="auto"/>
              <w:jc w:val="center"/>
              <w:rPr>
                <w:rFonts w:hint="eastAsia" w:ascii="宋体" w:hAnsi="宋体" w:cs="宋体"/>
                <w:b/>
                <w:sz w:val="21"/>
                <w:szCs w:val="21"/>
              </w:rPr>
            </w:pPr>
            <w:r>
              <w:rPr>
                <w:rFonts w:hAnsi="宋体"/>
                <w:b/>
                <w:sz w:val="21"/>
                <w:szCs w:val="21"/>
              </w:rPr>
              <w:t>表</w:t>
            </w:r>
            <w:r>
              <w:rPr>
                <w:b/>
                <w:sz w:val="21"/>
                <w:szCs w:val="21"/>
              </w:rPr>
              <w:t xml:space="preserve">1-1  </w:t>
            </w:r>
            <w:r>
              <w:rPr>
                <w:rFonts w:hAnsi="宋体"/>
                <w:b/>
                <w:sz w:val="21"/>
                <w:szCs w:val="21"/>
              </w:rPr>
              <w:t>项目工程组</w:t>
            </w:r>
            <w:r>
              <w:rPr>
                <w:rFonts w:hint="eastAsia" w:ascii="宋体" w:hAnsi="宋体" w:cs="宋体"/>
                <w:b/>
                <w:sz w:val="21"/>
                <w:szCs w:val="21"/>
              </w:rPr>
              <w:t>成及主要环境问题</w:t>
            </w:r>
            <w:r>
              <w:rPr>
                <w:rFonts w:hint="eastAsia" w:ascii="宋体" w:hAnsi="宋体" w:cs="宋体"/>
                <w:b/>
                <w:sz w:val="21"/>
                <w:szCs w:val="21"/>
              </w:rP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page">
                        <wp:posOffset>13335635</wp:posOffset>
                      </wp:positionV>
                      <wp:extent cx="5717540" cy="8975725"/>
                      <wp:effectExtent l="5080" t="4445" r="11430" b="11430"/>
                      <wp:wrapNone/>
                      <wp:docPr id="18" name="矩形 18"/>
                      <wp:cNvGraphicFramePr/>
                      <a:graphic xmlns:a="http://schemas.openxmlformats.org/drawingml/2006/main">
                        <a:graphicData uri="http://schemas.microsoft.com/office/word/2010/wordprocessingShape">
                          <wps:wsp>
                            <wps:cNvSpPr/>
                            <wps:spPr>
                              <a:xfrm>
                                <a:off x="0" y="0"/>
                                <a:ext cx="5717540" cy="8975725"/>
                              </a:xfrm>
                              <a:prstGeom prst="rect">
                                <a:avLst/>
                              </a:prstGeom>
                              <a:noFill/>
                              <a:ln w="9525" cap="flat" cmpd="sng">
                                <a:solidFill>
                                  <a:srgbClr val="000000"/>
                                </a:solidFill>
                                <a:prstDash val="solid"/>
                                <a:miter/>
                                <a:headEnd type="none" w="med" len="med"/>
                                <a:tailEnd type="none" w="med" len="med"/>
                              </a:ln>
                            </wps:spPr>
                            <wps:bodyPr lIns="0" tIns="10800" rIns="0" bIns="10800" upright="1"/>
                          </wps:wsp>
                        </a:graphicData>
                      </a:graphic>
                    </wp:anchor>
                  </w:drawing>
                </mc:Choice>
                <mc:Fallback>
                  <w:pict>
                    <v:rect id="_x0000_s1026" o:spid="_x0000_s1026" o:spt="1" style="position:absolute;left:0pt;margin-left:0pt;margin-top:1050.05pt;height:706.75pt;width:450.2pt;mso-position-horizontal-relative:margin;mso-position-vertical-relative:page;z-index:251666432;mso-width-relative:page;mso-height-relative:page;" filled="f" stroked="t" coordsize="21600,21600" o:gfxdata="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55uan2QAAAAoBAAAPAAAAAAAAAAEAIAAAACIAAABkcnMvZG93bnJldi54bWxQSwECFAAU&#10;AAAACACHTuJAkbvvFvABAADWAwAADgAAAAAAAAABACAAAAAoAQAAZHJzL2Uyb0RvYy54bWxQSwUG&#10;AAAAAAYABgBZAQAAigUAAAAA&#10;">
                      <v:fill on="f" focussize="0,0"/>
                      <v:stroke color="#000000" joinstyle="miter"/>
                      <v:imagedata o:title=""/>
                      <o:lock v:ext="edit" aspectratio="f"/>
                      <v:textbox inset="0mm,0.3mm,0mm,0.3mm"/>
                      <w10:anchorlock/>
                    </v:rect>
                  </w:pict>
                </mc:Fallback>
              </mc:AlternateContent>
            </w:r>
            <w:r>
              <w:rPr>
                <w:rFonts w:hint="eastAsia" w:ascii="宋体" w:hAnsi="宋体" w:cs="宋体"/>
                <w:b/>
                <w:sz w:val="21"/>
                <w:szCs w:val="21"/>
              </w:rPr>
              <w:t>一览表</w:t>
            </w:r>
          </w:p>
          <w:tbl>
            <w:tblPr>
              <w:tblStyle w:val="69"/>
              <w:tblW w:w="8526"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98"/>
              <w:gridCol w:w="850"/>
              <w:gridCol w:w="1290"/>
              <w:gridCol w:w="2305"/>
              <w:gridCol w:w="1132"/>
              <w:gridCol w:w="1350"/>
              <w:gridCol w:w="100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9" w:hRule="atLeast"/>
                <w:jc w:val="center"/>
              </w:trPr>
              <w:tc>
                <w:tcPr>
                  <w:tcW w:w="5043"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jc w:val="center"/>
                    <w:rPr>
                      <w:b/>
                      <w:szCs w:val="21"/>
                    </w:rPr>
                  </w:pPr>
                  <w:r>
                    <w:rPr>
                      <w:rFonts w:hAnsi="宋体"/>
                      <w:b/>
                      <w:szCs w:val="21"/>
                    </w:rPr>
                    <w:t>建设内容及规模</w:t>
                  </w:r>
                </w:p>
              </w:tc>
              <w:tc>
                <w:tcPr>
                  <w:tcW w:w="24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
                      <w:szCs w:val="21"/>
                    </w:rPr>
                  </w:pPr>
                  <w:r>
                    <w:rPr>
                      <w:rFonts w:hAnsi="宋体"/>
                      <w:b/>
                      <w:szCs w:val="21"/>
                    </w:rPr>
                    <w:t>可能产生的环境问题</w:t>
                  </w:r>
                </w:p>
              </w:tc>
              <w:tc>
                <w:tcPr>
                  <w:tcW w:w="1001" w:type="dxa"/>
                  <w:vMerge w:val="restart"/>
                  <w:tcBorders>
                    <w:top w:val="single" w:color="auto" w:sz="4" w:space="0"/>
                    <w:left w:val="single" w:color="auto" w:sz="4" w:space="0"/>
                    <w:right w:val="single" w:color="auto" w:sz="4" w:space="0"/>
                  </w:tcBorders>
                  <w:noWrap w:val="0"/>
                  <w:vAlign w:val="center"/>
                </w:tcPr>
                <w:p>
                  <w:pPr>
                    <w:jc w:val="center"/>
                    <w:rPr>
                      <w:rFonts w:hint="eastAsia" w:hAnsi="宋体" w:eastAsia="宋体"/>
                      <w:b/>
                      <w:szCs w:val="21"/>
                      <w:lang w:eastAsia="zh-CN"/>
                    </w:rPr>
                  </w:pPr>
                  <w:r>
                    <w:rPr>
                      <w:rFonts w:hint="eastAsia" w:hAnsi="宋体"/>
                      <w:b/>
                      <w:szCs w:val="21"/>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9" w:hRule="atLeast"/>
                <w:jc w:val="center"/>
              </w:trPr>
              <w:tc>
                <w:tcPr>
                  <w:tcW w:w="5043"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jc w:val="center"/>
                    <w:rPr>
                      <w:b/>
                      <w:szCs w:val="21"/>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jc w:val="center"/>
                    <w:rPr>
                      <w:b/>
                      <w:szCs w:val="21"/>
                    </w:rPr>
                  </w:pPr>
                  <w:r>
                    <w:rPr>
                      <w:rFonts w:hAnsi="宋体"/>
                      <w:b/>
                      <w:szCs w:val="21"/>
                    </w:rPr>
                    <w:t>施工期</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b/>
                      <w:szCs w:val="21"/>
                    </w:rPr>
                  </w:pPr>
                  <w:r>
                    <w:rPr>
                      <w:rFonts w:hAnsi="宋体"/>
                      <w:b/>
                      <w:szCs w:val="21"/>
                    </w:rPr>
                    <w:t>营运期</w:t>
                  </w:r>
                </w:p>
              </w:tc>
              <w:tc>
                <w:tcPr>
                  <w:tcW w:w="1001" w:type="dxa"/>
                  <w:vMerge w:val="continue"/>
                  <w:tcBorders>
                    <w:left w:val="single" w:color="auto" w:sz="4" w:space="0"/>
                    <w:bottom w:val="single" w:color="auto" w:sz="4" w:space="0"/>
                    <w:right w:val="single" w:color="auto" w:sz="4" w:space="0"/>
                  </w:tcBorders>
                  <w:noWrap w:val="0"/>
                  <w:vAlign w:val="center"/>
                </w:tcPr>
                <w:p>
                  <w:pPr>
                    <w:jc w:val="center"/>
                    <w:rPr>
                      <w:rFonts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638" w:hRule="atLeast"/>
                <w:jc w:val="center"/>
              </w:trPr>
              <w:tc>
                <w:tcPr>
                  <w:tcW w:w="598" w:type="dxa"/>
                  <w:tcBorders>
                    <w:top w:val="single" w:color="auto" w:sz="4" w:space="0"/>
                    <w:left w:val="single" w:color="auto" w:sz="4" w:space="0"/>
                    <w:bottom w:val="single" w:color="auto" w:sz="4" w:space="0"/>
                    <w:right w:val="single" w:color="auto" w:sz="4" w:space="0"/>
                  </w:tcBorders>
                  <w:noWrap w:val="0"/>
                  <w:vAlign w:val="center"/>
                </w:tcPr>
                <w:p>
                  <w:pPr>
                    <w:ind w:right="4" w:rightChars="2"/>
                    <w:jc w:val="center"/>
                    <w:rPr>
                      <w:szCs w:val="21"/>
                    </w:rPr>
                  </w:pPr>
                  <w:r>
                    <w:rPr>
                      <w:rFonts w:hAnsi="宋体"/>
                      <w:szCs w:val="21"/>
                    </w:rPr>
                    <w:t>主体工程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iCs/>
                      <w:szCs w:val="21"/>
                    </w:rPr>
                  </w:pPr>
                  <w:r>
                    <w:rPr>
                      <w:rFonts w:hint="eastAsia"/>
                      <w:iCs/>
                      <w:szCs w:val="21"/>
                    </w:rPr>
                    <w:t>生产</w:t>
                  </w:r>
                </w:p>
                <w:p>
                  <w:pPr>
                    <w:jc w:val="center"/>
                    <w:rPr>
                      <w:rFonts w:hint="eastAsia"/>
                      <w:iCs/>
                      <w:szCs w:val="21"/>
                    </w:rPr>
                  </w:pPr>
                  <w:r>
                    <w:rPr>
                      <w:rFonts w:hint="eastAsia"/>
                      <w:iCs/>
                      <w:szCs w:val="21"/>
                    </w:rPr>
                    <w:t>车间</w:t>
                  </w:r>
                </w:p>
              </w:tc>
              <w:tc>
                <w:tcPr>
                  <w:tcW w:w="3595" w:type="dxa"/>
                  <w:gridSpan w:val="2"/>
                  <w:tcBorders>
                    <w:top w:val="single" w:color="auto" w:sz="4" w:space="0"/>
                    <w:left w:val="single" w:color="auto" w:sz="4" w:space="0"/>
                    <w:right w:val="single" w:color="auto" w:sz="4" w:space="0"/>
                  </w:tcBorders>
                  <w:noWrap w:val="0"/>
                  <w:vAlign w:val="center"/>
                </w:tcPr>
                <w:p>
                  <w:pPr>
                    <w:rPr>
                      <w:rFonts w:hint="eastAsia"/>
                      <w:iCs/>
                      <w:szCs w:val="21"/>
                    </w:rPr>
                  </w:pPr>
                  <w:r>
                    <w:rPr>
                      <w:rFonts w:hint="eastAsia"/>
                      <w:iCs/>
                      <w:szCs w:val="21"/>
                    </w:rPr>
                    <w:t>生产车间位于厂区中心，内设置层单面热压机1台，单层多面热压机1台，天然气导热油炉（模温机）2台。主要用于人造板的加工，生产成品生态板。占地面积240m</w:t>
                  </w:r>
                  <w:r>
                    <w:rPr>
                      <w:rFonts w:hint="eastAsia"/>
                      <w:iCs/>
                      <w:szCs w:val="21"/>
                      <w:vertAlign w:val="superscript"/>
                    </w:rPr>
                    <w:t>2</w:t>
                  </w:r>
                  <w:r>
                    <w:rPr>
                      <w:rFonts w:hint="eastAsia"/>
                      <w:iCs/>
                      <w:szCs w:val="21"/>
                    </w:rPr>
                    <w:t>。</w:t>
                  </w:r>
                </w:p>
              </w:tc>
              <w:tc>
                <w:tcPr>
                  <w:tcW w:w="1132" w:type="dxa"/>
                  <w:vMerge w:val="restart"/>
                  <w:tcBorders>
                    <w:top w:val="single" w:color="auto" w:sz="4" w:space="0"/>
                    <w:left w:val="single" w:color="auto" w:sz="4" w:space="0"/>
                    <w:right w:val="single" w:color="auto" w:sz="4" w:space="0"/>
                  </w:tcBorders>
                  <w:noWrap w:val="0"/>
                  <w:vAlign w:val="center"/>
                </w:tcPr>
                <w:p>
                  <w:pPr>
                    <w:jc w:val="center"/>
                    <w:rPr>
                      <w:rFonts w:hint="eastAsia"/>
                      <w:szCs w:val="21"/>
                    </w:rPr>
                  </w:pPr>
                  <w:r>
                    <w:rPr>
                      <w:rFonts w:hint="eastAsia" w:hAnsi="宋体"/>
                      <w:szCs w:val="21"/>
                    </w:rPr>
                    <w:t>本项目不进行土建施工</w:t>
                  </w:r>
                </w:p>
              </w:tc>
              <w:tc>
                <w:tcPr>
                  <w:tcW w:w="1350" w:type="dxa"/>
                  <w:tcBorders>
                    <w:top w:val="single" w:color="auto" w:sz="4" w:space="0"/>
                    <w:left w:val="single" w:color="auto" w:sz="4" w:space="0"/>
                    <w:right w:val="single" w:color="auto" w:sz="4" w:space="0"/>
                  </w:tcBorders>
                  <w:noWrap w:val="0"/>
                  <w:vAlign w:val="center"/>
                </w:tcPr>
                <w:p>
                  <w:pPr>
                    <w:jc w:val="center"/>
                    <w:rPr>
                      <w:rFonts w:hint="eastAsia"/>
                      <w:szCs w:val="21"/>
                    </w:rPr>
                  </w:pPr>
                  <w:r>
                    <w:rPr>
                      <w:rFonts w:hint="eastAsia"/>
                      <w:szCs w:val="21"/>
                    </w:rPr>
                    <w:t>噪声、固废、废气</w:t>
                  </w:r>
                </w:p>
              </w:tc>
              <w:tc>
                <w:tcPr>
                  <w:tcW w:w="1001" w:type="dxa"/>
                  <w:tcBorders>
                    <w:top w:val="single" w:color="auto" w:sz="4" w:space="0"/>
                    <w:left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为项目原设备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9" w:hRule="atLeast"/>
                <w:jc w:val="center"/>
              </w:trPr>
              <w:tc>
                <w:tcPr>
                  <w:tcW w:w="598" w:type="dxa"/>
                  <w:vMerge w:val="restart"/>
                  <w:tcBorders>
                    <w:top w:val="single" w:color="auto" w:sz="4" w:space="0"/>
                    <w:left w:val="single" w:color="auto" w:sz="4" w:space="0"/>
                    <w:right w:val="single" w:color="auto" w:sz="4" w:space="0"/>
                  </w:tcBorders>
                  <w:noWrap w:val="0"/>
                  <w:vAlign w:val="center"/>
                </w:tcPr>
                <w:p>
                  <w:pPr>
                    <w:ind w:right="4" w:rightChars="2"/>
                    <w:jc w:val="center"/>
                    <w:rPr>
                      <w:rFonts w:hint="eastAsia"/>
                      <w:szCs w:val="21"/>
                    </w:rPr>
                  </w:pPr>
                  <w:r>
                    <w:rPr>
                      <w:rFonts w:hint="eastAsia"/>
                      <w:szCs w:val="21"/>
                    </w:rPr>
                    <w:t>辅助工程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原料</w:t>
                  </w:r>
                </w:p>
                <w:p>
                  <w:pPr>
                    <w:jc w:val="center"/>
                    <w:rPr>
                      <w:rFonts w:hint="eastAsia"/>
                      <w:szCs w:val="21"/>
                    </w:rPr>
                  </w:pPr>
                  <w:r>
                    <w:rPr>
                      <w:rFonts w:hint="eastAsia"/>
                      <w:szCs w:val="21"/>
                    </w:rPr>
                    <w:t>堆场</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color w:val="auto"/>
                      <w:szCs w:val="21"/>
                    </w:rPr>
                  </w:pPr>
                  <w:r>
                    <w:rPr>
                      <w:rFonts w:hint="eastAsia"/>
                      <w:color w:val="auto"/>
                      <w:szCs w:val="21"/>
                    </w:rPr>
                    <w:t>占地面积约为</w:t>
                  </w:r>
                  <w:r>
                    <w:rPr>
                      <w:rFonts w:hint="eastAsia"/>
                      <w:color w:val="auto"/>
                      <w:szCs w:val="21"/>
                      <w:lang w:val="en-US" w:eastAsia="zh-CN"/>
                    </w:rPr>
                    <w:t>500</w:t>
                  </w:r>
                  <w:r>
                    <w:rPr>
                      <w:rFonts w:hint="eastAsia"/>
                      <w:color w:val="auto"/>
                      <w:szCs w:val="21"/>
                    </w:rPr>
                    <w:t>m</w:t>
                  </w:r>
                  <w:r>
                    <w:rPr>
                      <w:rFonts w:hint="eastAsia"/>
                      <w:color w:val="auto"/>
                      <w:szCs w:val="21"/>
                      <w:vertAlign w:val="superscript"/>
                    </w:rPr>
                    <w:t>2</w:t>
                  </w:r>
                  <w:r>
                    <w:rPr>
                      <w:rFonts w:hint="eastAsia"/>
                      <w:color w:val="auto"/>
                      <w:szCs w:val="21"/>
                    </w:rPr>
                    <w:t>，位于厂区</w:t>
                  </w:r>
                  <w:r>
                    <w:rPr>
                      <w:rFonts w:hint="eastAsia"/>
                      <w:color w:val="auto"/>
                      <w:szCs w:val="21"/>
                      <w:lang w:eastAsia="zh-CN"/>
                    </w:rPr>
                    <w:t>东南</w:t>
                  </w:r>
                  <w:r>
                    <w:rPr>
                      <w:rFonts w:hint="eastAsia"/>
                      <w:color w:val="auto"/>
                      <w:szCs w:val="21"/>
                    </w:rPr>
                    <w:t>面。用于堆放外购人造板，包括刨花板、纤维板、多层板。</w:t>
                  </w:r>
                </w:p>
              </w:tc>
              <w:tc>
                <w:tcPr>
                  <w:tcW w:w="1132" w:type="dxa"/>
                  <w:vMerge w:val="continue"/>
                  <w:tcBorders>
                    <w:left w:val="single" w:color="auto" w:sz="4" w:space="0"/>
                    <w:right w:val="single" w:color="auto" w:sz="4" w:space="0"/>
                  </w:tcBorders>
                  <w:noWrap w:val="0"/>
                  <w:vAlign w:val="center"/>
                </w:tcPr>
                <w:p>
                  <w:pPr>
                    <w:jc w:val="center"/>
                    <w:rPr>
                      <w:szCs w:val="21"/>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噪声</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9" w:hRule="atLeast"/>
                <w:jc w:val="center"/>
              </w:trPr>
              <w:tc>
                <w:tcPr>
                  <w:tcW w:w="598" w:type="dxa"/>
                  <w:vMerge w:val="continue"/>
                  <w:tcBorders>
                    <w:left w:val="single" w:color="auto" w:sz="4" w:space="0"/>
                    <w:right w:val="single" w:color="auto" w:sz="4" w:space="0"/>
                  </w:tcBorders>
                  <w:noWrap w:val="0"/>
                  <w:vAlign w:val="center"/>
                </w:tcPr>
                <w:p>
                  <w:pPr>
                    <w:jc w:val="center"/>
                    <w:rPr>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辅料</w:t>
                  </w:r>
                </w:p>
                <w:p>
                  <w:pPr>
                    <w:jc w:val="center"/>
                    <w:rPr>
                      <w:rFonts w:hint="eastAsia"/>
                      <w:szCs w:val="21"/>
                    </w:rPr>
                  </w:pPr>
                  <w:r>
                    <w:rPr>
                      <w:rFonts w:hint="eastAsia"/>
                      <w:szCs w:val="21"/>
                    </w:rPr>
                    <w:t>堆场</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rPr>
                  </w:pPr>
                  <w:r>
                    <w:rPr>
                      <w:rFonts w:hint="eastAsia"/>
                      <w:color w:val="auto"/>
                      <w:szCs w:val="21"/>
                    </w:rPr>
                    <w:t>占地面积约为</w:t>
                  </w:r>
                  <w:r>
                    <w:rPr>
                      <w:rFonts w:hint="eastAsia"/>
                      <w:color w:val="auto"/>
                      <w:szCs w:val="21"/>
                      <w:lang w:val="en-US" w:eastAsia="zh-CN"/>
                    </w:rPr>
                    <w:t>120</w:t>
                  </w:r>
                  <w:r>
                    <w:rPr>
                      <w:rFonts w:hint="eastAsia"/>
                      <w:color w:val="auto"/>
                      <w:szCs w:val="21"/>
                    </w:rPr>
                    <w:t>m</w:t>
                  </w:r>
                  <w:r>
                    <w:rPr>
                      <w:rFonts w:hint="eastAsia"/>
                      <w:color w:val="auto"/>
                      <w:szCs w:val="21"/>
                      <w:vertAlign w:val="superscript"/>
                    </w:rPr>
                    <w:t>2</w:t>
                  </w:r>
                  <w:r>
                    <w:rPr>
                      <w:rFonts w:hint="eastAsia"/>
                      <w:color w:val="auto"/>
                      <w:szCs w:val="21"/>
                    </w:rPr>
                    <w:t>,位于厂区东南面，主要用于堆放外购的三聚氰胺浸</w:t>
                  </w:r>
                  <w:r>
                    <w:rPr>
                      <w:rFonts w:hint="eastAsia" w:hAnsi="宋体"/>
                      <w:bCs/>
                      <w:color w:val="auto"/>
                      <w:sz w:val="24"/>
                    </w:rPr>
                    <w:t>渍</w:t>
                  </w:r>
                  <w:r>
                    <w:rPr>
                      <w:rFonts w:hint="eastAsia"/>
                      <w:color w:val="auto"/>
                      <w:szCs w:val="21"/>
                    </w:rPr>
                    <w:t>纸。</w:t>
                  </w:r>
                </w:p>
              </w:tc>
              <w:tc>
                <w:tcPr>
                  <w:tcW w:w="1132" w:type="dxa"/>
                  <w:vMerge w:val="continue"/>
                  <w:tcBorders>
                    <w:left w:val="single" w:color="auto" w:sz="4" w:space="0"/>
                    <w:right w:val="single" w:color="auto" w:sz="4" w:space="0"/>
                  </w:tcBorders>
                  <w:noWrap w:val="0"/>
                  <w:vAlign w:val="center"/>
                </w:tcPr>
                <w:p>
                  <w:pPr>
                    <w:jc w:val="center"/>
                    <w:rPr>
                      <w:szCs w:val="21"/>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噪声</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9" w:hRule="atLeast"/>
                <w:jc w:val="center"/>
              </w:trPr>
              <w:tc>
                <w:tcPr>
                  <w:tcW w:w="598" w:type="dxa"/>
                  <w:vMerge w:val="continue"/>
                  <w:tcBorders>
                    <w:left w:val="single" w:color="auto" w:sz="4" w:space="0"/>
                    <w:bottom w:val="single" w:color="auto" w:sz="6" w:space="0"/>
                    <w:right w:val="single" w:color="auto" w:sz="4" w:space="0"/>
                  </w:tcBorders>
                  <w:noWrap w:val="0"/>
                  <w:vAlign w:val="center"/>
                </w:tcPr>
                <w:p>
                  <w:pPr>
                    <w:jc w:val="center"/>
                    <w:rPr>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rPr>
                    <w:t>成品</w:t>
                  </w:r>
                  <w:r>
                    <w:rPr>
                      <w:rFonts w:hint="eastAsia"/>
                      <w:szCs w:val="21"/>
                      <w:lang w:eastAsia="zh-CN"/>
                    </w:rPr>
                    <w:t>区</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rPr>
                  </w:pPr>
                  <w:r>
                    <w:rPr>
                      <w:rFonts w:hint="eastAsia"/>
                      <w:color w:val="auto"/>
                      <w:szCs w:val="21"/>
                    </w:rPr>
                    <w:t>占地面积约为</w:t>
                  </w:r>
                  <w:r>
                    <w:rPr>
                      <w:rFonts w:hint="eastAsia"/>
                      <w:color w:val="auto"/>
                      <w:szCs w:val="21"/>
                      <w:lang w:val="en-US" w:eastAsia="zh-CN"/>
                    </w:rPr>
                    <w:t>500</w:t>
                  </w:r>
                  <w:r>
                    <w:rPr>
                      <w:rFonts w:hint="eastAsia"/>
                      <w:color w:val="auto"/>
                      <w:szCs w:val="21"/>
                    </w:rPr>
                    <w:t>m</w:t>
                  </w:r>
                  <w:r>
                    <w:rPr>
                      <w:rFonts w:hint="eastAsia"/>
                      <w:color w:val="auto"/>
                      <w:szCs w:val="21"/>
                      <w:vertAlign w:val="superscript"/>
                    </w:rPr>
                    <w:t>2</w:t>
                  </w:r>
                  <w:r>
                    <w:rPr>
                      <w:rFonts w:hint="eastAsia"/>
                      <w:color w:val="auto"/>
                      <w:szCs w:val="21"/>
                    </w:rPr>
                    <w:t>,位于厂房的西南侧，用于堆放成品免漆板。</w:t>
                  </w:r>
                </w:p>
              </w:tc>
              <w:tc>
                <w:tcPr>
                  <w:tcW w:w="1132" w:type="dxa"/>
                  <w:vMerge w:val="continue"/>
                  <w:tcBorders>
                    <w:left w:val="single" w:color="auto" w:sz="4" w:space="0"/>
                    <w:right w:val="single" w:color="auto" w:sz="4" w:space="0"/>
                  </w:tcBorders>
                  <w:noWrap w:val="0"/>
                  <w:vAlign w:val="center"/>
                </w:tcPr>
                <w:p>
                  <w:pPr>
                    <w:jc w:val="center"/>
                    <w:rPr>
                      <w:szCs w:val="21"/>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噪声</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598" w:type="dxa"/>
                  <w:vMerge w:val="restart"/>
                  <w:tcBorders>
                    <w:top w:val="single" w:color="auto" w:sz="6" w:space="0"/>
                    <w:left w:val="single" w:color="auto" w:sz="4" w:space="0"/>
                    <w:right w:val="single" w:color="auto" w:sz="4" w:space="0"/>
                  </w:tcBorders>
                  <w:noWrap w:val="0"/>
                  <w:vAlign w:val="center"/>
                </w:tcPr>
                <w:p>
                  <w:pPr>
                    <w:jc w:val="center"/>
                    <w:rPr>
                      <w:rFonts w:hint="eastAsia"/>
                      <w:szCs w:val="21"/>
                    </w:rPr>
                  </w:pPr>
                  <w:r>
                    <w:rPr>
                      <w:rFonts w:hint="eastAsia"/>
                      <w:szCs w:val="21"/>
                    </w:rPr>
                    <w:t>公用工程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供水</w:t>
                  </w:r>
                </w:p>
              </w:tc>
              <w:tc>
                <w:tcPr>
                  <w:tcW w:w="3595" w:type="dxa"/>
                  <w:gridSpan w:val="2"/>
                  <w:tcBorders>
                    <w:top w:val="single" w:color="auto" w:sz="4" w:space="0"/>
                    <w:left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厂区供水管网</w:t>
                  </w:r>
                </w:p>
              </w:tc>
              <w:tc>
                <w:tcPr>
                  <w:tcW w:w="1132" w:type="dxa"/>
                  <w:vMerge w:val="continue"/>
                  <w:tcBorders>
                    <w:left w:val="single" w:color="auto" w:sz="4" w:space="0"/>
                    <w:right w:val="single" w:color="auto" w:sz="4" w:space="0"/>
                  </w:tcBorders>
                  <w:noWrap w:val="0"/>
                  <w:vAlign w:val="center"/>
                </w:tcPr>
                <w:p>
                  <w:pPr>
                    <w:jc w:val="center"/>
                    <w:rPr>
                      <w:szCs w:val="21"/>
                    </w:rPr>
                  </w:pPr>
                </w:p>
              </w:tc>
              <w:tc>
                <w:tcPr>
                  <w:tcW w:w="1350" w:type="dxa"/>
                  <w:tcBorders>
                    <w:top w:val="single" w:color="auto" w:sz="4" w:space="0"/>
                    <w:left w:val="single" w:color="auto" w:sz="4" w:space="0"/>
                    <w:right w:val="single" w:color="auto" w:sz="4" w:space="0"/>
                  </w:tcBorders>
                  <w:noWrap w:val="0"/>
                  <w:vAlign w:val="center"/>
                </w:tcPr>
                <w:p>
                  <w:pPr>
                    <w:jc w:val="center"/>
                    <w:rPr>
                      <w:rFonts w:hint="eastAsia"/>
                      <w:szCs w:val="21"/>
                    </w:rPr>
                  </w:pPr>
                  <w:r>
                    <w:rPr>
                      <w:rFonts w:hint="eastAsia"/>
                      <w:szCs w:val="21"/>
                    </w:rPr>
                    <w:t>/</w:t>
                  </w:r>
                </w:p>
              </w:tc>
              <w:tc>
                <w:tcPr>
                  <w:tcW w:w="1001" w:type="dxa"/>
                  <w:tcBorders>
                    <w:top w:val="single" w:color="auto" w:sz="4" w:space="0"/>
                    <w:left w:val="single" w:color="auto" w:sz="4" w:space="0"/>
                    <w:right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81" w:hRule="atLeast"/>
                <w:jc w:val="center"/>
              </w:trPr>
              <w:tc>
                <w:tcPr>
                  <w:tcW w:w="598" w:type="dxa"/>
                  <w:vMerge w:val="continue"/>
                  <w:tcBorders>
                    <w:left w:val="single" w:color="auto" w:sz="4" w:space="0"/>
                    <w:right w:val="single" w:color="auto" w:sz="4" w:space="0"/>
                  </w:tcBorders>
                  <w:noWrap w:val="0"/>
                  <w:vAlign w:val="center"/>
                </w:tcPr>
                <w:p>
                  <w:pPr>
                    <w:jc w:val="center"/>
                    <w:rPr>
                      <w:rFonts w:hint="eastAsia"/>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供电</w:t>
                  </w:r>
                </w:p>
              </w:tc>
              <w:tc>
                <w:tcPr>
                  <w:tcW w:w="3595" w:type="dxa"/>
                  <w:gridSpan w:val="2"/>
                  <w:tcBorders>
                    <w:left w:val="single" w:color="auto" w:sz="4" w:space="0"/>
                    <w:right w:val="single" w:color="auto" w:sz="4" w:space="0"/>
                  </w:tcBorders>
                  <w:noWrap w:val="0"/>
                  <w:vAlign w:val="center"/>
                </w:tcPr>
                <w:p>
                  <w:pPr>
                    <w:jc w:val="center"/>
                    <w:rPr>
                      <w:rFonts w:hint="eastAsia"/>
                      <w:color w:val="auto"/>
                      <w:szCs w:val="21"/>
                    </w:rPr>
                  </w:pPr>
                  <w:r>
                    <w:rPr>
                      <w:rFonts w:hint="eastAsia"/>
                      <w:color w:val="auto"/>
                      <w:szCs w:val="21"/>
                      <w:lang w:eastAsia="zh-CN"/>
                    </w:rPr>
                    <w:t>厂</w:t>
                  </w:r>
                  <w:r>
                    <w:rPr>
                      <w:rFonts w:hint="eastAsia"/>
                      <w:color w:val="auto"/>
                      <w:szCs w:val="21"/>
                    </w:rPr>
                    <w:t>区供电系统</w:t>
                  </w:r>
                </w:p>
              </w:tc>
              <w:tc>
                <w:tcPr>
                  <w:tcW w:w="1132" w:type="dxa"/>
                  <w:vMerge w:val="continue"/>
                  <w:tcBorders>
                    <w:left w:val="single" w:color="auto" w:sz="4" w:space="0"/>
                    <w:right w:val="single" w:color="auto" w:sz="4" w:space="0"/>
                  </w:tcBorders>
                  <w:noWrap w:val="0"/>
                  <w:vAlign w:val="center"/>
                </w:tcPr>
                <w:p>
                  <w:pPr>
                    <w:jc w:val="center"/>
                    <w:rPr>
                      <w:szCs w:val="21"/>
                    </w:rPr>
                  </w:pPr>
                </w:p>
              </w:tc>
              <w:tc>
                <w:tcPr>
                  <w:tcW w:w="1350" w:type="dxa"/>
                  <w:tcBorders>
                    <w:left w:val="single" w:color="auto" w:sz="4" w:space="0"/>
                    <w:right w:val="single" w:color="auto" w:sz="4" w:space="0"/>
                  </w:tcBorders>
                  <w:noWrap w:val="0"/>
                  <w:vAlign w:val="center"/>
                </w:tcPr>
                <w:p>
                  <w:pPr>
                    <w:jc w:val="center"/>
                    <w:rPr>
                      <w:rFonts w:hint="eastAsia"/>
                      <w:szCs w:val="21"/>
                    </w:rPr>
                  </w:pPr>
                  <w:r>
                    <w:rPr>
                      <w:rFonts w:hint="eastAsia"/>
                      <w:szCs w:val="21"/>
                    </w:rPr>
                    <w:t>/</w:t>
                  </w:r>
                </w:p>
              </w:tc>
              <w:tc>
                <w:tcPr>
                  <w:tcW w:w="1001" w:type="dxa"/>
                  <w:tcBorders>
                    <w:left w:val="single" w:color="auto" w:sz="4" w:space="0"/>
                    <w:right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2" w:hRule="atLeast"/>
                <w:jc w:val="center"/>
              </w:trPr>
              <w:tc>
                <w:tcPr>
                  <w:tcW w:w="598" w:type="dxa"/>
                  <w:vMerge w:val="continue"/>
                  <w:tcBorders>
                    <w:left w:val="single" w:color="auto" w:sz="4" w:space="0"/>
                    <w:bottom w:val="single" w:color="auto" w:sz="6" w:space="0"/>
                    <w:right w:val="single" w:color="auto" w:sz="4" w:space="0"/>
                  </w:tcBorders>
                  <w:noWrap w:val="0"/>
                  <w:vAlign w:val="center"/>
                </w:tcPr>
                <w:p>
                  <w:pPr>
                    <w:jc w:val="center"/>
                    <w:rPr>
                      <w:rFonts w:hint="eastAsia"/>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供燃气</w:t>
                  </w:r>
                </w:p>
              </w:tc>
              <w:tc>
                <w:tcPr>
                  <w:tcW w:w="3595" w:type="dxa"/>
                  <w:gridSpan w:val="2"/>
                  <w:tcBorders>
                    <w:left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当地燃气管道</w:t>
                  </w:r>
                </w:p>
              </w:tc>
              <w:tc>
                <w:tcPr>
                  <w:tcW w:w="1132" w:type="dxa"/>
                  <w:vMerge w:val="continue"/>
                  <w:tcBorders>
                    <w:left w:val="single" w:color="auto" w:sz="4" w:space="0"/>
                    <w:right w:val="single" w:color="auto" w:sz="4" w:space="0"/>
                  </w:tcBorders>
                  <w:noWrap w:val="0"/>
                  <w:vAlign w:val="center"/>
                </w:tcPr>
                <w:p>
                  <w:pPr>
                    <w:jc w:val="center"/>
                    <w:rPr>
                      <w:szCs w:val="21"/>
                    </w:rPr>
                  </w:pPr>
                </w:p>
              </w:tc>
              <w:tc>
                <w:tcPr>
                  <w:tcW w:w="1350" w:type="dxa"/>
                  <w:tcBorders>
                    <w:left w:val="single" w:color="auto" w:sz="4" w:space="0"/>
                    <w:right w:val="single" w:color="auto" w:sz="4" w:space="0"/>
                  </w:tcBorders>
                  <w:noWrap w:val="0"/>
                  <w:vAlign w:val="center"/>
                </w:tcPr>
                <w:p>
                  <w:pPr>
                    <w:jc w:val="center"/>
                    <w:rPr>
                      <w:rFonts w:hint="eastAsia"/>
                      <w:szCs w:val="21"/>
                    </w:rPr>
                  </w:pPr>
                  <w:r>
                    <w:rPr>
                      <w:rFonts w:hint="eastAsia"/>
                      <w:szCs w:val="21"/>
                    </w:rPr>
                    <w:t>/</w:t>
                  </w:r>
                </w:p>
              </w:tc>
              <w:tc>
                <w:tcPr>
                  <w:tcW w:w="1001" w:type="dxa"/>
                  <w:tcBorders>
                    <w:left w:val="single" w:color="auto" w:sz="4" w:space="0"/>
                    <w:right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2" w:hRule="atLeast"/>
                <w:jc w:val="center"/>
              </w:trPr>
              <w:tc>
                <w:tcPr>
                  <w:tcW w:w="1448" w:type="dxa"/>
                  <w:gridSpan w:val="2"/>
                  <w:tcBorders>
                    <w:left w:val="single" w:color="auto" w:sz="4" w:space="0"/>
                    <w:bottom w:val="single" w:color="auto" w:sz="6" w:space="0"/>
                    <w:right w:val="single" w:color="auto" w:sz="4" w:space="0"/>
                  </w:tcBorders>
                  <w:noWrap w:val="0"/>
                  <w:vAlign w:val="center"/>
                </w:tcPr>
                <w:p>
                  <w:pPr>
                    <w:jc w:val="center"/>
                    <w:rPr>
                      <w:rFonts w:hint="eastAsia"/>
                      <w:szCs w:val="21"/>
                    </w:rPr>
                  </w:pPr>
                  <w:r>
                    <w:rPr>
                      <w:rFonts w:hint="eastAsia"/>
                      <w:szCs w:val="21"/>
                    </w:rPr>
                    <w:t>办公及生活设施</w:t>
                  </w:r>
                </w:p>
              </w:tc>
              <w:tc>
                <w:tcPr>
                  <w:tcW w:w="3595" w:type="dxa"/>
                  <w:gridSpan w:val="2"/>
                  <w:tcBorders>
                    <w:left w:val="single" w:color="auto" w:sz="4" w:space="0"/>
                    <w:right w:val="single" w:color="auto" w:sz="4" w:space="0"/>
                  </w:tcBorders>
                  <w:noWrap w:val="0"/>
                  <w:vAlign w:val="center"/>
                </w:tcPr>
                <w:p>
                  <w:pPr>
                    <w:jc w:val="center"/>
                    <w:rPr>
                      <w:rFonts w:hint="eastAsia"/>
                      <w:color w:val="auto"/>
                      <w:szCs w:val="21"/>
                      <w:vertAlign w:val="superscript"/>
                    </w:rPr>
                  </w:pPr>
                  <w:r>
                    <w:rPr>
                      <w:rFonts w:hint="eastAsia"/>
                      <w:color w:val="auto"/>
                      <w:szCs w:val="21"/>
                    </w:rPr>
                    <w:t>占地面积为</w:t>
                  </w:r>
                  <w:r>
                    <w:rPr>
                      <w:rFonts w:hint="eastAsia"/>
                      <w:color w:val="auto"/>
                      <w:szCs w:val="21"/>
                      <w:lang w:val="en-US" w:eastAsia="zh-CN"/>
                    </w:rPr>
                    <w:t>60</w:t>
                  </w:r>
                  <w:r>
                    <w:rPr>
                      <w:rFonts w:hint="eastAsia"/>
                      <w:color w:val="auto"/>
                      <w:szCs w:val="21"/>
                    </w:rPr>
                    <w:t>m</w:t>
                  </w:r>
                  <w:r>
                    <w:rPr>
                      <w:rFonts w:hint="eastAsia"/>
                      <w:color w:val="auto"/>
                      <w:szCs w:val="21"/>
                      <w:vertAlign w:val="superscript"/>
                    </w:rPr>
                    <w:t>2</w:t>
                  </w:r>
                </w:p>
              </w:tc>
              <w:tc>
                <w:tcPr>
                  <w:tcW w:w="1132" w:type="dxa"/>
                  <w:vMerge w:val="continue"/>
                  <w:tcBorders>
                    <w:left w:val="single" w:color="auto" w:sz="4" w:space="0"/>
                    <w:right w:val="single" w:color="auto" w:sz="4" w:space="0"/>
                  </w:tcBorders>
                  <w:noWrap w:val="0"/>
                  <w:vAlign w:val="center"/>
                </w:tcPr>
                <w:p>
                  <w:pPr>
                    <w:jc w:val="center"/>
                    <w:rPr>
                      <w:szCs w:val="21"/>
                    </w:rPr>
                  </w:pPr>
                </w:p>
              </w:tc>
              <w:tc>
                <w:tcPr>
                  <w:tcW w:w="1350" w:type="dxa"/>
                  <w:tcBorders>
                    <w:left w:val="single" w:color="auto" w:sz="4" w:space="0"/>
                    <w:right w:val="single" w:color="auto" w:sz="4" w:space="0"/>
                  </w:tcBorders>
                  <w:noWrap w:val="0"/>
                  <w:vAlign w:val="center"/>
                </w:tcPr>
                <w:p>
                  <w:pPr>
                    <w:jc w:val="center"/>
                    <w:rPr>
                      <w:rFonts w:hint="eastAsia"/>
                      <w:szCs w:val="21"/>
                    </w:rPr>
                  </w:pPr>
                  <w:r>
                    <w:rPr>
                      <w:rFonts w:hint="eastAsia"/>
                      <w:szCs w:val="21"/>
                    </w:rPr>
                    <w:t>废水、固废</w:t>
                  </w:r>
                </w:p>
              </w:tc>
              <w:tc>
                <w:tcPr>
                  <w:tcW w:w="1001" w:type="dxa"/>
                  <w:tcBorders>
                    <w:left w:val="single" w:color="auto" w:sz="4" w:space="0"/>
                    <w:right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89" w:hRule="atLeast"/>
                <w:jc w:val="center"/>
              </w:trPr>
              <w:tc>
                <w:tcPr>
                  <w:tcW w:w="598" w:type="dxa"/>
                  <w:vMerge w:val="restart"/>
                  <w:tcBorders>
                    <w:top w:val="single" w:color="auto" w:sz="6" w:space="0"/>
                    <w:left w:val="single" w:color="auto" w:sz="4" w:space="0"/>
                    <w:right w:val="single" w:color="auto" w:sz="4" w:space="0"/>
                  </w:tcBorders>
                  <w:noWrap w:val="0"/>
                  <w:vAlign w:val="center"/>
                </w:tcPr>
                <w:p>
                  <w:pPr>
                    <w:jc w:val="center"/>
                    <w:rPr>
                      <w:rFonts w:hint="eastAsia"/>
                      <w:szCs w:val="21"/>
                    </w:rPr>
                  </w:pPr>
                  <w:r>
                    <w:rPr>
                      <w:rFonts w:hint="eastAsia"/>
                      <w:szCs w:val="21"/>
                    </w:rPr>
                    <w:t>环保工程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废水</w:t>
                  </w:r>
                </w:p>
              </w:tc>
              <w:tc>
                <w:tcPr>
                  <w:tcW w:w="3595" w:type="dxa"/>
                  <w:gridSpan w:val="2"/>
                  <w:tcBorders>
                    <w:left w:val="single" w:color="auto" w:sz="4" w:space="0"/>
                    <w:right w:val="single" w:color="auto" w:sz="4" w:space="0"/>
                  </w:tcBorders>
                  <w:noWrap w:val="0"/>
                  <w:vAlign w:val="center"/>
                </w:tcPr>
                <w:p>
                  <w:pPr>
                    <w:jc w:val="center"/>
                    <w:rPr>
                      <w:rFonts w:hint="eastAsia" w:eastAsia="宋体"/>
                      <w:color w:val="auto"/>
                      <w:szCs w:val="21"/>
                      <w:lang w:eastAsia="zh-CN"/>
                    </w:rPr>
                  </w:pPr>
                  <w:r>
                    <w:rPr>
                      <w:rFonts w:hint="eastAsia"/>
                      <w:color w:val="auto"/>
                      <w:szCs w:val="21"/>
                      <w:lang w:eastAsia="zh-CN"/>
                    </w:rPr>
                    <w:t>生活污水作农灌，无生产废水。</w:t>
                  </w:r>
                </w:p>
              </w:tc>
              <w:tc>
                <w:tcPr>
                  <w:tcW w:w="1132" w:type="dxa"/>
                  <w:vMerge w:val="continue"/>
                  <w:tcBorders>
                    <w:left w:val="single" w:color="auto" w:sz="4" w:space="0"/>
                    <w:right w:val="single" w:color="auto" w:sz="4" w:space="0"/>
                  </w:tcBorders>
                  <w:noWrap w:val="0"/>
                  <w:vAlign w:val="center"/>
                </w:tcPr>
                <w:p>
                  <w:pPr>
                    <w:jc w:val="center"/>
                    <w:rPr>
                      <w:rFonts w:hint="eastAsia"/>
                      <w:szCs w:val="21"/>
                    </w:rPr>
                  </w:pPr>
                </w:p>
              </w:tc>
              <w:tc>
                <w:tcPr>
                  <w:tcW w:w="1350" w:type="dxa"/>
                  <w:tcBorders>
                    <w:left w:val="single" w:color="auto" w:sz="4" w:space="0"/>
                    <w:right w:val="single" w:color="auto" w:sz="4" w:space="0"/>
                  </w:tcBorders>
                  <w:noWrap w:val="0"/>
                  <w:vAlign w:val="center"/>
                </w:tcPr>
                <w:p>
                  <w:pPr>
                    <w:jc w:val="center"/>
                    <w:rPr>
                      <w:rFonts w:hint="eastAsia"/>
                      <w:szCs w:val="21"/>
                    </w:rPr>
                  </w:pPr>
                  <w:r>
                    <w:rPr>
                      <w:rFonts w:hint="eastAsia"/>
                      <w:szCs w:val="21"/>
                    </w:rPr>
                    <w:t>废水</w:t>
                  </w:r>
                </w:p>
              </w:tc>
              <w:tc>
                <w:tcPr>
                  <w:tcW w:w="1001" w:type="dxa"/>
                  <w:tcBorders>
                    <w:left w:val="single" w:color="auto" w:sz="4" w:space="0"/>
                    <w:right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54" w:hRule="atLeast"/>
                <w:jc w:val="center"/>
              </w:trPr>
              <w:tc>
                <w:tcPr>
                  <w:tcW w:w="598" w:type="dxa"/>
                  <w:vMerge w:val="continue"/>
                  <w:tcBorders>
                    <w:left w:val="single" w:color="auto" w:sz="4" w:space="0"/>
                    <w:right w:val="single" w:color="auto" w:sz="4" w:space="0"/>
                  </w:tcBorders>
                  <w:noWrap w:val="0"/>
                  <w:vAlign w:val="center"/>
                </w:tcPr>
                <w:p>
                  <w:pPr>
                    <w:jc w:val="center"/>
                    <w:rPr>
                      <w:rFonts w:hint="eastAsia"/>
                      <w:szCs w:val="21"/>
                    </w:rPr>
                  </w:pPr>
                </w:p>
              </w:tc>
              <w:tc>
                <w:tcPr>
                  <w:tcW w:w="850" w:type="dxa"/>
                  <w:vMerge w:val="restart"/>
                  <w:tcBorders>
                    <w:top w:val="single" w:color="auto" w:sz="4" w:space="0"/>
                    <w:left w:val="single" w:color="auto" w:sz="4" w:space="0"/>
                    <w:right w:val="single" w:color="auto" w:sz="4" w:space="0"/>
                  </w:tcBorders>
                  <w:noWrap w:val="0"/>
                  <w:vAlign w:val="center"/>
                </w:tcPr>
                <w:p>
                  <w:pPr>
                    <w:jc w:val="center"/>
                    <w:rPr>
                      <w:rFonts w:hint="eastAsia"/>
                      <w:szCs w:val="21"/>
                    </w:rPr>
                  </w:pPr>
                  <w:r>
                    <w:rPr>
                      <w:rFonts w:hint="eastAsia"/>
                      <w:szCs w:val="21"/>
                    </w:rPr>
                    <w:t>废气</w:t>
                  </w:r>
                </w:p>
              </w:tc>
              <w:tc>
                <w:tcPr>
                  <w:tcW w:w="3595" w:type="dxa"/>
                  <w:gridSpan w:val="2"/>
                  <w:tcBorders>
                    <w:left w:val="single" w:color="auto" w:sz="4" w:space="0"/>
                    <w:right w:val="single" w:color="auto" w:sz="4" w:space="0"/>
                  </w:tcBorders>
                  <w:noWrap w:val="0"/>
                  <w:vAlign w:val="center"/>
                </w:tcPr>
                <w:p>
                  <w:pPr>
                    <w:jc w:val="center"/>
                    <w:rPr>
                      <w:rFonts w:hint="eastAsia"/>
                      <w:color w:val="000000"/>
                      <w:szCs w:val="21"/>
                    </w:rPr>
                  </w:pPr>
                  <w:r>
                    <w:rPr>
                      <w:rFonts w:hint="eastAsia"/>
                      <w:color w:val="000000"/>
                      <w:szCs w:val="21"/>
                    </w:rPr>
                    <w:t>热压工序有机废气通过集气罩收集后经过UV光解设施</w:t>
                  </w:r>
                  <w:r>
                    <w:rPr>
                      <w:rFonts w:hint="eastAsia"/>
                      <w:color w:val="000000"/>
                      <w:szCs w:val="21"/>
                      <w:lang w:val="en-US" w:eastAsia="zh-CN"/>
                    </w:rPr>
                    <w:t>+活性炭</w:t>
                  </w:r>
                  <w:r>
                    <w:rPr>
                      <w:rFonts w:hint="eastAsia"/>
                      <w:color w:val="000000"/>
                      <w:szCs w:val="21"/>
                    </w:rPr>
                    <w:t>处理后通过</w:t>
                  </w:r>
                  <w:r>
                    <w:rPr>
                      <w:rFonts w:hint="eastAsia"/>
                      <w:color w:val="000000"/>
                      <w:szCs w:val="21"/>
                      <w:lang w:val="en-US" w:eastAsia="zh-CN"/>
                    </w:rPr>
                    <w:t>15m</w:t>
                  </w:r>
                  <w:r>
                    <w:rPr>
                      <w:rFonts w:hint="eastAsia"/>
                      <w:color w:val="000000"/>
                      <w:szCs w:val="21"/>
                    </w:rPr>
                    <w:t>排气筒排放</w:t>
                  </w:r>
                </w:p>
              </w:tc>
              <w:tc>
                <w:tcPr>
                  <w:tcW w:w="1132" w:type="dxa"/>
                  <w:vMerge w:val="continue"/>
                  <w:tcBorders>
                    <w:left w:val="single" w:color="auto" w:sz="4" w:space="0"/>
                    <w:right w:val="single" w:color="auto" w:sz="4" w:space="0"/>
                  </w:tcBorders>
                  <w:noWrap w:val="0"/>
                  <w:vAlign w:val="center"/>
                </w:tcPr>
                <w:p>
                  <w:pPr>
                    <w:jc w:val="center"/>
                    <w:rPr>
                      <w:rFonts w:hint="eastAsia"/>
                      <w:szCs w:val="21"/>
                    </w:rPr>
                  </w:pPr>
                </w:p>
              </w:tc>
              <w:tc>
                <w:tcPr>
                  <w:tcW w:w="1350" w:type="dxa"/>
                  <w:vMerge w:val="restart"/>
                  <w:tcBorders>
                    <w:left w:val="single" w:color="auto" w:sz="4" w:space="0"/>
                    <w:right w:val="single" w:color="auto" w:sz="4" w:space="0"/>
                  </w:tcBorders>
                  <w:noWrap w:val="0"/>
                  <w:vAlign w:val="center"/>
                </w:tcPr>
                <w:p>
                  <w:pPr>
                    <w:jc w:val="center"/>
                    <w:rPr>
                      <w:rFonts w:hint="eastAsia"/>
                      <w:szCs w:val="21"/>
                    </w:rPr>
                  </w:pPr>
                  <w:r>
                    <w:rPr>
                      <w:rFonts w:hint="eastAsia"/>
                      <w:szCs w:val="21"/>
                    </w:rPr>
                    <w:t>废气</w:t>
                  </w:r>
                </w:p>
              </w:tc>
              <w:tc>
                <w:tcPr>
                  <w:tcW w:w="1001" w:type="dxa"/>
                  <w:vMerge w:val="restart"/>
                  <w:tcBorders>
                    <w:left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活性炭为新增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6" w:hRule="atLeast"/>
                <w:jc w:val="center"/>
              </w:trPr>
              <w:tc>
                <w:tcPr>
                  <w:tcW w:w="598" w:type="dxa"/>
                  <w:vMerge w:val="continue"/>
                  <w:tcBorders>
                    <w:left w:val="single" w:color="auto" w:sz="4" w:space="0"/>
                    <w:right w:val="single" w:color="auto" w:sz="4" w:space="0"/>
                  </w:tcBorders>
                  <w:noWrap w:val="0"/>
                  <w:vAlign w:val="center"/>
                </w:tcPr>
                <w:p>
                  <w:pPr>
                    <w:jc w:val="center"/>
                    <w:rPr>
                      <w:rFonts w:hint="eastAsia"/>
                      <w:szCs w:val="21"/>
                    </w:rPr>
                  </w:pPr>
                </w:p>
              </w:tc>
              <w:tc>
                <w:tcPr>
                  <w:tcW w:w="850" w:type="dxa"/>
                  <w:vMerge w:val="continue"/>
                  <w:tcBorders>
                    <w:left w:val="single" w:color="auto" w:sz="4" w:space="0"/>
                    <w:right w:val="single" w:color="auto" w:sz="4" w:space="0"/>
                  </w:tcBorders>
                  <w:noWrap w:val="0"/>
                  <w:vAlign w:val="center"/>
                </w:tcPr>
                <w:p>
                  <w:pPr>
                    <w:jc w:val="center"/>
                    <w:rPr>
                      <w:rFonts w:hint="eastAsia"/>
                      <w:szCs w:val="21"/>
                    </w:rPr>
                  </w:pPr>
                </w:p>
              </w:tc>
              <w:tc>
                <w:tcPr>
                  <w:tcW w:w="3595" w:type="dxa"/>
                  <w:gridSpan w:val="2"/>
                  <w:tcBorders>
                    <w:left w:val="single" w:color="auto" w:sz="4" w:space="0"/>
                    <w:right w:val="single" w:color="auto" w:sz="4" w:space="0"/>
                  </w:tcBorders>
                  <w:noWrap w:val="0"/>
                  <w:vAlign w:val="center"/>
                </w:tcPr>
                <w:p>
                  <w:pPr>
                    <w:jc w:val="center"/>
                    <w:rPr>
                      <w:rFonts w:hint="eastAsia" w:eastAsia="宋体"/>
                      <w:color w:val="000000"/>
                      <w:szCs w:val="21"/>
                      <w:lang w:eastAsia="zh-CN"/>
                    </w:rPr>
                  </w:pPr>
                  <w:r>
                    <w:rPr>
                      <w:rFonts w:hint="eastAsia"/>
                      <w:color w:val="000000"/>
                      <w:szCs w:val="21"/>
                      <w:lang w:eastAsia="zh-CN"/>
                    </w:rPr>
                    <w:t>热压工序工作过程未完全封闭，有少量有机废气无组织排放</w:t>
                  </w:r>
                </w:p>
              </w:tc>
              <w:tc>
                <w:tcPr>
                  <w:tcW w:w="1132" w:type="dxa"/>
                  <w:vMerge w:val="continue"/>
                  <w:tcBorders>
                    <w:left w:val="single" w:color="auto" w:sz="4" w:space="0"/>
                    <w:right w:val="single" w:color="auto" w:sz="4" w:space="0"/>
                  </w:tcBorders>
                  <w:noWrap w:val="0"/>
                  <w:vAlign w:val="center"/>
                </w:tcPr>
                <w:p>
                  <w:pPr>
                    <w:jc w:val="center"/>
                    <w:rPr>
                      <w:rFonts w:hint="eastAsia"/>
                      <w:szCs w:val="21"/>
                    </w:rPr>
                  </w:pPr>
                </w:p>
              </w:tc>
              <w:tc>
                <w:tcPr>
                  <w:tcW w:w="1350" w:type="dxa"/>
                  <w:vMerge w:val="continue"/>
                  <w:tcBorders>
                    <w:left w:val="single" w:color="auto" w:sz="4" w:space="0"/>
                    <w:right w:val="single" w:color="auto" w:sz="4" w:space="0"/>
                  </w:tcBorders>
                  <w:noWrap w:val="0"/>
                  <w:vAlign w:val="center"/>
                </w:tcPr>
                <w:p>
                  <w:pPr>
                    <w:jc w:val="center"/>
                    <w:rPr>
                      <w:rFonts w:hint="eastAsia"/>
                      <w:szCs w:val="21"/>
                    </w:rPr>
                  </w:pPr>
                </w:p>
              </w:tc>
              <w:tc>
                <w:tcPr>
                  <w:tcW w:w="1001" w:type="dxa"/>
                  <w:vMerge w:val="continue"/>
                  <w:tcBorders>
                    <w:left w:val="single" w:color="auto" w:sz="4" w:space="0"/>
                    <w:right w:val="single" w:color="auto" w:sz="4" w:space="0"/>
                  </w:tcBorders>
                  <w:noWrap w:val="0"/>
                  <w:vAlign w:val="center"/>
                </w:tcPr>
                <w:p>
                  <w:pPr>
                    <w:jc w:val="center"/>
                    <w:rPr>
                      <w:rFonts w:hint="eastAsia"/>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58" w:hRule="atLeast"/>
                <w:jc w:val="center"/>
              </w:trPr>
              <w:tc>
                <w:tcPr>
                  <w:tcW w:w="598" w:type="dxa"/>
                  <w:vMerge w:val="continue"/>
                  <w:tcBorders>
                    <w:left w:val="single" w:color="auto" w:sz="4" w:space="0"/>
                    <w:right w:val="single" w:color="auto" w:sz="4" w:space="0"/>
                  </w:tcBorders>
                  <w:noWrap w:val="0"/>
                  <w:vAlign w:val="center"/>
                </w:tcPr>
                <w:p>
                  <w:pPr>
                    <w:jc w:val="center"/>
                    <w:rPr>
                      <w:rFonts w:hint="eastAsia"/>
                      <w:szCs w:val="21"/>
                    </w:rPr>
                  </w:pPr>
                </w:p>
              </w:tc>
              <w:tc>
                <w:tcPr>
                  <w:tcW w:w="850" w:type="dxa"/>
                  <w:vMerge w:val="continue"/>
                  <w:tcBorders>
                    <w:left w:val="single" w:color="auto" w:sz="4" w:space="0"/>
                    <w:bottom w:val="single" w:color="auto" w:sz="4" w:space="0"/>
                    <w:right w:val="single" w:color="auto" w:sz="4" w:space="0"/>
                  </w:tcBorders>
                  <w:noWrap w:val="0"/>
                  <w:vAlign w:val="center"/>
                </w:tcPr>
                <w:p>
                  <w:pPr>
                    <w:jc w:val="center"/>
                    <w:rPr>
                      <w:rFonts w:hint="eastAsia"/>
                      <w:szCs w:val="21"/>
                    </w:rPr>
                  </w:pPr>
                </w:p>
              </w:tc>
              <w:tc>
                <w:tcPr>
                  <w:tcW w:w="3595" w:type="dxa"/>
                  <w:gridSpan w:val="2"/>
                  <w:tcBorders>
                    <w:left w:val="single" w:color="auto" w:sz="4" w:space="0"/>
                    <w:right w:val="single" w:color="auto" w:sz="4" w:space="0"/>
                  </w:tcBorders>
                  <w:noWrap w:val="0"/>
                  <w:vAlign w:val="center"/>
                </w:tcPr>
                <w:p>
                  <w:pPr>
                    <w:jc w:val="center"/>
                    <w:rPr>
                      <w:rFonts w:hint="eastAsia"/>
                      <w:color w:val="000000"/>
                      <w:szCs w:val="21"/>
                    </w:rPr>
                  </w:pPr>
                  <w:r>
                    <w:rPr>
                      <w:rFonts w:hint="eastAsia"/>
                      <w:color w:val="000000"/>
                      <w:szCs w:val="21"/>
                    </w:rPr>
                    <w:t>导热油炉</w:t>
                  </w:r>
                  <w:r>
                    <w:rPr>
                      <w:rFonts w:hint="eastAsia"/>
                      <w:color w:val="000000"/>
                      <w:szCs w:val="21"/>
                      <w:lang w:eastAsia="zh-CN"/>
                    </w:rPr>
                    <w:t>天然气</w:t>
                  </w:r>
                  <w:r>
                    <w:rPr>
                      <w:rFonts w:hint="eastAsia"/>
                      <w:color w:val="000000"/>
                      <w:szCs w:val="21"/>
                    </w:rPr>
                    <w:t>燃烧废气：经抽风机引出通过</w:t>
                  </w:r>
                  <w:r>
                    <w:rPr>
                      <w:rFonts w:hint="eastAsia"/>
                      <w:color w:val="000000"/>
                      <w:szCs w:val="21"/>
                      <w:lang w:val="en-US" w:eastAsia="zh-CN"/>
                    </w:rPr>
                    <w:t>8m</w:t>
                  </w:r>
                  <w:r>
                    <w:rPr>
                      <w:rFonts w:hint="eastAsia"/>
                      <w:color w:val="000000"/>
                      <w:szCs w:val="21"/>
                    </w:rPr>
                    <w:t>排气筒排放</w:t>
                  </w:r>
                </w:p>
              </w:tc>
              <w:tc>
                <w:tcPr>
                  <w:tcW w:w="1132" w:type="dxa"/>
                  <w:vMerge w:val="continue"/>
                  <w:tcBorders>
                    <w:left w:val="single" w:color="auto" w:sz="4" w:space="0"/>
                    <w:right w:val="single" w:color="auto" w:sz="4" w:space="0"/>
                  </w:tcBorders>
                  <w:noWrap w:val="0"/>
                  <w:vAlign w:val="center"/>
                </w:tcPr>
                <w:p>
                  <w:pPr>
                    <w:jc w:val="center"/>
                    <w:rPr>
                      <w:rFonts w:hint="eastAsia"/>
                      <w:szCs w:val="21"/>
                    </w:rPr>
                  </w:pPr>
                </w:p>
              </w:tc>
              <w:tc>
                <w:tcPr>
                  <w:tcW w:w="1350" w:type="dxa"/>
                  <w:vMerge w:val="continue"/>
                  <w:tcBorders>
                    <w:left w:val="single" w:color="auto" w:sz="4" w:space="0"/>
                    <w:right w:val="single" w:color="auto" w:sz="4" w:space="0"/>
                  </w:tcBorders>
                  <w:noWrap w:val="0"/>
                  <w:vAlign w:val="center"/>
                </w:tcPr>
                <w:p>
                  <w:pPr>
                    <w:jc w:val="center"/>
                    <w:rPr>
                      <w:rFonts w:hint="eastAsia"/>
                      <w:szCs w:val="21"/>
                    </w:rPr>
                  </w:pPr>
                </w:p>
              </w:tc>
              <w:tc>
                <w:tcPr>
                  <w:tcW w:w="1001" w:type="dxa"/>
                  <w:vMerge w:val="continue"/>
                  <w:tcBorders>
                    <w:left w:val="single" w:color="auto" w:sz="4" w:space="0"/>
                    <w:right w:val="single" w:color="auto" w:sz="4" w:space="0"/>
                  </w:tcBorders>
                  <w:noWrap w:val="0"/>
                  <w:vAlign w:val="center"/>
                </w:tcPr>
                <w:p>
                  <w:pPr>
                    <w:jc w:val="center"/>
                    <w:rPr>
                      <w:rFonts w:hint="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06" w:hRule="atLeast"/>
                <w:jc w:val="center"/>
              </w:trPr>
              <w:tc>
                <w:tcPr>
                  <w:tcW w:w="598" w:type="dxa"/>
                  <w:vMerge w:val="continue"/>
                  <w:tcBorders>
                    <w:left w:val="single" w:color="auto" w:sz="4" w:space="0"/>
                    <w:right w:val="single" w:color="auto" w:sz="4" w:space="0"/>
                  </w:tcBorders>
                  <w:noWrap w:val="0"/>
                  <w:vAlign w:val="center"/>
                </w:tcPr>
                <w:p>
                  <w:pPr>
                    <w:jc w:val="center"/>
                    <w:rPr>
                      <w:rFonts w:hint="eastAsia"/>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噪声</w:t>
                  </w:r>
                </w:p>
              </w:tc>
              <w:tc>
                <w:tcPr>
                  <w:tcW w:w="3595" w:type="dxa"/>
                  <w:gridSpan w:val="2"/>
                  <w:tcBorders>
                    <w:left w:val="single" w:color="auto" w:sz="4" w:space="0"/>
                    <w:right w:val="single" w:color="auto" w:sz="4" w:space="0"/>
                  </w:tcBorders>
                  <w:noWrap w:val="0"/>
                  <w:vAlign w:val="center"/>
                </w:tcPr>
                <w:p>
                  <w:pPr>
                    <w:jc w:val="center"/>
                    <w:rPr>
                      <w:rFonts w:hint="eastAsia"/>
                      <w:szCs w:val="21"/>
                    </w:rPr>
                  </w:pPr>
                  <w:r>
                    <w:rPr>
                      <w:rFonts w:hint="eastAsia"/>
                      <w:szCs w:val="21"/>
                    </w:rPr>
                    <w:t>基底减震、室内隔声及采用低噪声设备、加强人员管理</w:t>
                  </w:r>
                </w:p>
              </w:tc>
              <w:tc>
                <w:tcPr>
                  <w:tcW w:w="1132" w:type="dxa"/>
                  <w:vMerge w:val="continue"/>
                  <w:tcBorders>
                    <w:left w:val="single" w:color="auto" w:sz="4" w:space="0"/>
                    <w:right w:val="single" w:color="auto" w:sz="4" w:space="0"/>
                  </w:tcBorders>
                  <w:noWrap w:val="0"/>
                  <w:vAlign w:val="center"/>
                </w:tcPr>
                <w:p>
                  <w:pPr>
                    <w:jc w:val="center"/>
                    <w:rPr>
                      <w:rFonts w:hint="eastAsia"/>
                      <w:szCs w:val="21"/>
                    </w:rPr>
                  </w:pPr>
                </w:p>
              </w:tc>
              <w:tc>
                <w:tcPr>
                  <w:tcW w:w="1350" w:type="dxa"/>
                  <w:tcBorders>
                    <w:left w:val="single" w:color="auto" w:sz="4" w:space="0"/>
                    <w:bottom w:val="single" w:color="auto" w:sz="6" w:space="0"/>
                    <w:right w:val="single" w:color="auto" w:sz="4" w:space="0"/>
                  </w:tcBorders>
                  <w:noWrap w:val="0"/>
                  <w:vAlign w:val="center"/>
                </w:tcPr>
                <w:p>
                  <w:pPr>
                    <w:jc w:val="center"/>
                    <w:rPr>
                      <w:rFonts w:hint="eastAsia"/>
                      <w:szCs w:val="21"/>
                    </w:rPr>
                  </w:pPr>
                  <w:r>
                    <w:rPr>
                      <w:rFonts w:hint="eastAsia"/>
                      <w:szCs w:val="21"/>
                    </w:rPr>
                    <w:t>噪声</w:t>
                  </w:r>
                </w:p>
              </w:tc>
              <w:tc>
                <w:tcPr>
                  <w:tcW w:w="1001" w:type="dxa"/>
                  <w:tcBorders>
                    <w:left w:val="single" w:color="auto" w:sz="4" w:space="0"/>
                    <w:bottom w:val="single" w:color="auto" w:sz="6" w:space="0"/>
                    <w:right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26" w:hRule="atLeast"/>
                <w:jc w:val="center"/>
              </w:trPr>
              <w:tc>
                <w:tcPr>
                  <w:tcW w:w="598" w:type="dxa"/>
                  <w:vMerge w:val="continue"/>
                  <w:tcBorders>
                    <w:left w:val="single" w:color="auto" w:sz="4" w:space="0"/>
                    <w:right w:val="single" w:color="auto" w:sz="4" w:space="0"/>
                  </w:tcBorders>
                  <w:noWrap w:val="0"/>
                  <w:vAlign w:val="center"/>
                </w:tcPr>
                <w:p>
                  <w:pPr>
                    <w:jc w:val="center"/>
                    <w:rPr>
                      <w:rFonts w:hint="eastAsia"/>
                      <w:szCs w:val="21"/>
                    </w:rPr>
                  </w:pPr>
                </w:p>
              </w:tc>
              <w:tc>
                <w:tcPr>
                  <w:tcW w:w="850" w:type="dxa"/>
                  <w:vMerge w:val="restart"/>
                  <w:tcBorders>
                    <w:top w:val="single" w:color="auto" w:sz="4" w:space="0"/>
                    <w:left w:val="single" w:color="auto" w:sz="4" w:space="0"/>
                    <w:right w:val="single" w:color="auto" w:sz="4" w:space="0"/>
                  </w:tcBorders>
                  <w:noWrap w:val="0"/>
                  <w:vAlign w:val="center"/>
                </w:tcPr>
                <w:p>
                  <w:pPr>
                    <w:jc w:val="center"/>
                    <w:rPr>
                      <w:rFonts w:hint="eastAsia"/>
                      <w:szCs w:val="21"/>
                    </w:rPr>
                  </w:pPr>
                  <w:r>
                    <w:rPr>
                      <w:rFonts w:hint="eastAsia"/>
                      <w:szCs w:val="21"/>
                    </w:rPr>
                    <w:t>固废</w:t>
                  </w:r>
                  <w:r>
                    <w:rPr>
                      <w:rFonts w:hint="eastAsia"/>
                      <w:szCs w:val="21"/>
                    </w:rPr>
                    <w:cr/>
                  </w:r>
                </w:p>
              </w:tc>
              <w:tc>
                <w:tcPr>
                  <w:tcW w:w="1290" w:type="dxa"/>
                  <w:tcBorders>
                    <w:left w:val="single" w:color="auto" w:sz="4" w:space="0"/>
                    <w:bottom w:val="single" w:color="auto" w:sz="6" w:space="0"/>
                    <w:right w:val="single" w:color="auto" w:sz="4" w:space="0"/>
                  </w:tcBorders>
                  <w:noWrap w:val="0"/>
                  <w:vAlign w:val="center"/>
                </w:tcPr>
                <w:p>
                  <w:pPr>
                    <w:jc w:val="center"/>
                    <w:rPr>
                      <w:rFonts w:hint="eastAsia"/>
                      <w:szCs w:val="21"/>
                    </w:rPr>
                  </w:pPr>
                  <w:r>
                    <w:rPr>
                      <w:rFonts w:hint="eastAsia"/>
                      <w:szCs w:val="21"/>
                    </w:rPr>
                    <w:t>生活垃圾</w:t>
                  </w:r>
                </w:p>
              </w:tc>
              <w:tc>
                <w:tcPr>
                  <w:tcW w:w="2305" w:type="dxa"/>
                  <w:tcBorders>
                    <w:left w:val="single" w:color="auto" w:sz="4" w:space="0"/>
                    <w:bottom w:val="single" w:color="auto" w:sz="6" w:space="0"/>
                    <w:right w:val="single" w:color="auto" w:sz="4" w:space="0"/>
                  </w:tcBorders>
                  <w:noWrap w:val="0"/>
                  <w:vAlign w:val="center"/>
                </w:tcPr>
                <w:p>
                  <w:pPr>
                    <w:jc w:val="center"/>
                    <w:rPr>
                      <w:rFonts w:hint="eastAsia"/>
                      <w:szCs w:val="21"/>
                    </w:rPr>
                  </w:pPr>
                  <w:r>
                    <w:rPr>
                      <w:rFonts w:hint="eastAsia" w:ascii="宋体" w:hAnsi="宋体"/>
                      <w:szCs w:val="21"/>
                    </w:rPr>
                    <w:t>交由环卫部门处理</w:t>
                  </w:r>
                </w:p>
              </w:tc>
              <w:tc>
                <w:tcPr>
                  <w:tcW w:w="1132" w:type="dxa"/>
                  <w:vMerge w:val="continue"/>
                  <w:tcBorders>
                    <w:left w:val="single" w:color="auto" w:sz="4" w:space="0"/>
                    <w:right w:val="single" w:color="auto" w:sz="4" w:space="0"/>
                  </w:tcBorders>
                  <w:noWrap w:val="0"/>
                  <w:vAlign w:val="center"/>
                </w:tcPr>
                <w:p>
                  <w:pPr>
                    <w:jc w:val="center"/>
                    <w:rPr>
                      <w:rFonts w:hint="eastAsia"/>
                      <w:szCs w:val="21"/>
                    </w:rPr>
                  </w:pPr>
                </w:p>
              </w:tc>
              <w:tc>
                <w:tcPr>
                  <w:tcW w:w="1350" w:type="dxa"/>
                  <w:vMerge w:val="restart"/>
                  <w:tcBorders>
                    <w:top w:val="single" w:color="auto" w:sz="6" w:space="0"/>
                    <w:left w:val="single" w:color="auto" w:sz="4" w:space="0"/>
                    <w:right w:val="single" w:color="auto" w:sz="4" w:space="0"/>
                  </w:tcBorders>
                  <w:noWrap w:val="0"/>
                  <w:vAlign w:val="center"/>
                </w:tcPr>
                <w:p>
                  <w:pPr>
                    <w:jc w:val="center"/>
                    <w:rPr>
                      <w:rFonts w:hint="eastAsia"/>
                      <w:szCs w:val="21"/>
                    </w:rPr>
                  </w:pPr>
                  <w:r>
                    <w:rPr>
                      <w:rFonts w:hint="eastAsia"/>
                      <w:szCs w:val="21"/>
                    </w:rPr>
                    <w:t>固废</w:t>
                  </w:r>
                </w:p>
              </w:tc>
              <w:tc>
                <w:tcPr>
                  <w:tcW w:w="1001" w:type="dxa"/>
                  <w:tcBorders>
                    <w:top w:val="single" w:color="auto" w:sz="6" w:space="0"/>
                    <w:left w:val="single" w:color="auto" w:sz="4" w:space="0"/>
                    <w:right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39" w:hRule="atLeast"/>
                <w:jc w:val="center"/>
              </w:trPr>
              <w:tc>
                <w:tcPr>
                  <w:tcW w:w="598" w:type="dxa"/>
                  <w:vMerge w:val="continue"/>
                  <w:tcBorders>
                    <w:left w:val="single" w:color="auto" w:sz="4" w:space="0"/>
                    <w:right w:val="single" w:color="auto" w:sz="4" w:space="0"/>
                  </w:tcBorders>
                  <w:noWrap w:val="0"/>
                  <w:vAlign w:val="center"/>
                </w:tcPr>
                <w:p>
                  <w:pPr>
                    <w:jc w:val="center"/>
                    <w:rPr>
                      <w:rFonts w:hint="eastAsia"/>
                      <w:szCs w:val="21"/>
                    </w:rPr>
                  </w:pPr>
                </w:p>
              </w:tc>
              <w:tc>
                <w:tcPr>
                  <w:tcW w:w="850" w:type="dxa"/>
                  <w:vMerge w:val="continue"/>
                  <w:tcBorders>
                    <w:left w:val="single" w:color="auto" w:sz="4" w:space="0"/>
                    <w:right w:val="single" w:color="auto" w:sz="4" w:space="0"/>
                  </w:tcBorders>
                  <w:noWrap w:val="0"/>
                  <w:vAlign w:val="center"/>
                </w:tcPr>
                <w:p>
                  <w:pPr>
                    <w:jc w:val="center"/>
                    <w:rPr>
                      <w:rFonts w:hint="eastAsia"/>
                      <w:szCs w:val="21"/>
                    </w:rPr>
                  </w:pPr>
                </w:p>
              </w:tc>
              <w:tc>
                <w:tcPr>
                  <w:tcW w:w="1290"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szCs w:val="21"/>
                    </w:rPr>
                  </w:pPr>
                  <w:r>
                    <w:rPr>
                      <w:rFonts w:hint="eastAsia"/>
                      <w:szCs w:val="21"/>
                    </w:rPr>
                    <w:t>废品木材</w:t>
                  </w:r>
                </w:p>
              </w:tc>
              <w:tc>
                <w:tcPr>
                  <w:tcW w:w="2305"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szCs w:val="21"/>
                    </w:rPr>
                  </w:pPr>
                  <w:r>
                    <w:rPr>
                      <w:rFonts w:hint="eastAsia"/>
                      <w:szCs w:val="21"/>
                    </w:rPr>
                    <w:t>交由原料厂商处理</w:t>
                  </w:r>
                </w:p>
              </w:tc>
              <w:tc>
                <w:tcPr>
                  <w:tcW w:w="1132" w:type="dxa"/>
                  <w:vMerge w:val="continue"/>
                  <w:tcBorders>
                    <w:left w:val="single" w:color="auto" w:sz="4" w:space="0"/>
                    <w:right w:val="single" w:color="auto" w:sz="4" w:space="0"/>
                  </w:tcBorders>
                  <w:noWrap w:val="0"/>
                  <w:vAlign w:val="center"/>
                </w:tcPr>
                <w:p>
                  <w:pPr>
                    <w:jc w:val="center"/>
                    <w:rPr>
                      <w:rFonts w:hint="eastAsia"/>
                      <w:szCs w:val="21"/>
                    </w:rPr>
                  </w:pPr>
                </w:p>
              </w:tc>
              <w:tc>
                <w:tcPr>
                  <w:tcW w:w="1350" w:type="dxa"/>
                  <w:vMerge w:val="continue"/>
                  <w:tcBorders>
                    <w:left w:val="single" w:color="auto" w:sz="4" w:space="0"/>
                    <w:right w:val="single" w:color="auto" w:sz="4" w:space="0"/>
                  </w:tcBorders>
                  <w:noWrap w:val="0"/>
                  <w:vAlign w:val="center"/>
                </w:tcPr>
                <w:p>
                  <w:pPr>
                    <w:jc w:val="center"/>
                    <w:rPr>
                      <w:rFonts w:hint="eastAsia"/>
                      <w:szCs w:val="21"/>
                    </w:rPr>
                  </w:pPr>
                </w:p>
              </w:tc>
              <w:tc>
                <w:tcPr>
                  <w:tcW w:w="1001" w:type="dxa"/>
                  <w:tcBorders>
                    <w:left w:val="single" w:color="auto" w:sz="4" w:space="0"/>
                    <w:right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598" w:type="dxa"/>
                  <w:vMerge w:val="continue"/>
                  <w:tcBorders>
                    <w:left w:val="single" w:color="auto" w:sz="4" w:space="0"/>
                    <w:right w:val="single" w:color="auto" w:sz="4" w:space="0"/>
                  </w:tcBorders>
                  <w:noWrap w:val="0"/>
                  <w:vAlign w:val="center"/>
                </w:tcPr>
                <w:p>
                  <w:pPr>
                    <w:jc w:val="center"/>
                    <w:rPr>
                      <w:rFonts w:hint="eastAsia"/>
                      <w:szCs w:val="21"/>
                    </w:rPr>
                  </w:pPr>
                </w:p>
              </w:tc>
              <w:tc>
                <w:tcPr>
                  <w:tcW w:w="850" w:type="dxa"/>
                  <w:vMerge w:val="continue"/>
                  <w:tcBorders>
                    <w:left w:val="single" w:color="auto" w:sz="4" w:space="0"/>
                    <w:right w:val="single" w:color="auto" w:sz="4" w:space="0"/>
                  </w:tcBorders>
                  <w:noWrap w:val="0"/>
                  <w:vAlign w:val="center"/>
                </w:tcPr>
                <w:p>
                  <w:pPr>
                    <w:jc w:val="center"/>
                    <w:rPr>
                      <w:rFonts w:hint="eastAsia"/>
                      <w:szCs w:val="21"/>
                    </w:rPr>
                  </w:pPr>
                </w:p>
              </w:tc>
              <w:tc>
                <w:tcPr>
                  <w:tcW w:w="1290"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szCs w:val="21"/>
                    </w:rPr>
                  </w:pPr>
                  <w:r>
                    <w:rPr>
                      <w:rFonts w:hint="eastAsia"/>
                      <w:szCs w:val="21"/>
                    </w:rPr>
                    <w:t>导热油</w:t>
                  </w:r>
                </w:p>
              </w:tc>
              <w:tc>
                <w:tcPr>
                  <w:tcW w:w="2305" w:type="dxa"/>
                  <w:vMerge w:val="restart"/>
                  <w:tcBorders>
                    <w:top w:val="single" w:color="auto" w:sz="6" w:space="0"/>
                    <w:left w:val="single" w:color="auto" w:sz="4" w:space="0"/>
                    <w:right w:val="single" w:color="auto" w:sz="4" w:space="0"/>
                  </w:tcBorders>
                  <w:noWrap w:val="0"/>
                  <w:vAlign w:val="center"/>
                </w:tcPr>
                <w:p>
                  <w:pPr>
                    <w:jc w:val="center"/>
                    <w:rPr>
                      <w:rFonts w:hint="eastAsia"/>
                      <w:szCs w:val="21"/>
                    </w:rPr>
                  </w:pPr>
                  <w:r>
                    <w:rPr>
                      <w:rFonts w:hint="eastAsia"/>
                      <w:szCs w:val="21"/>
                    </w:rPr>
                    <w:t>评价要求建设单位设立危废暂存点，经暂存点收集后交由有危废处理资质的单位处理</w:t>
                  </w:r>
                </w:p>
              </w:tc>
              <w:tc>
                <w:tcPr>
                  <w:tcW w:w="1132" w:type="dxa"/>
                  <w:vMerge w:val="continue"/>
                  <w:tcBorders>
                    <w:left w:val="single" w:color="auto" w:sz="4" w:space="0"/>
                    <w:right w:val="single" w:color="auto" w:sz="4" w:space="0"/>
                  </w:tcBorders>
                  <w:noWrap w:val="0"/>
                  <w:vAlign w:val="center"/>
                </w:tcPr>
                <w:p>
                  <w:pPr>
                    <w:jc w:val="center"/>
                    <w:rPr>
                      <w:rFonts w:hint="eastAsia"/>
                      <w:szCs w:val="21"/>
                    </w:rPr>
                  </w:pPr>
                </w:p>
              </w:tc>
              <w:tc>
                <w:tcPr>
                  <w:tcW w:w="1350" w:type="dxa"/>
                  <w:vMerge w:val="continue"/>
                  <w:tcBorders>
                    <w:left w:val="single" w:color="auto" w:sz="4" w:space="0"/>
                    <w:right w:val="single" w:color="auto" w:sz="4" w:space="0"/>
                  </w:tcBorders>
                  <w:noWrap w:val="0"/>
                  <w:vAlign w:val="center"/>
                </w:tcPr>
                <w:p>
                  <w:pPr>
                    <w:jc w:val="center"/>
                    <w:rPr>
                      <w:rFonts w:hint="eastAsia"/>
                      <w:szCs w:val="21"/>
                    </w:rPr>
                  </w:pPr>
                </w:p>
              </w:tc>
              <w:tc>
                <w:tcPr>
                  <w:tcW w:w="1001" w:type="dxa"/>
                  <w:vMerge w:val="restart"/>
                  <w:tcBorders>
                    <w:left w:val="single" w:color="auto" w:sz="4" w:space="0"/>
                    <w:right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598" w:type="dxa"/>
                  <w:vMerge w:val="continue"/>
                  <w:tcBorders>
                    <w:left w:val="single" w:color="auto" w:sz="4" w:space="0"/>
                    <w:right w:val="single" w:color="auto" w:sz="4" w:space="0"/>
                  </w:tcBorders>
                  <w:noWrap w:val="0"/>
                  <w:vAlign w:val="center"/>
                </w:tcPr>
                <w:p>
                  <w:pPr>
                    <w:jc w:val="center"/>
                  </w:pPr>
                </w:p>
              </w:tc>
              <w:tc>
                <w:tcPr>
                  <w:tcW w:w="850" w:type="dxa"/>
                  <w:vMerge w:val="continue"/>
                  <w:tcBorders>
                    <w:left w:val="single" w:color="auto" w:sz="4" w:space="0"/>
                    <w:right w:val="single" w:color="auto" w:sz="4" w:space="0"/>
                  </w:tcBorders>
                  <w:noWrap w:val="0"/>
                  <w:vAlign w:val="center"/>
                </w:tcPr>
                <w:p>
                  <w:pPr>
                    <w:jc w:val="center"/>
                  </w:pPr>
                </w:p>
              </w:tc>
              <w:tc>
                <w:tcPr>
                  <w:tcW w:w="1290"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废活性炭</w:t>
                  </w:r>
                </w:p>
              </w:tc>
              <w:tc>
                <w:tcPr>
                  <w:tcW w:w="2305" w:type="dxa"/>
                  <w:vMerge w:val="continue"/>
                  <w:tcBorders>
                    <w:left w:val="single" w:color="auto" w:sz="4" w:space="0"/>
                    <w:bottom w:val="single" w:color="auto" w:sz="6" w:space="0"/>
                    <w:right w:val="single" w:color="auto" w:sz="4" w:space="0"/>
                  </w:tcBorders>
                  <w:noWrap w:val="0"/>
                  <w:vAlign w:val="center"/>
                </w:tcPr>
                <w:p>
                  <w:pPr>
                    <w:jc w:val="center"/>
                    <w:rPr>
                      <w:rFonts w:hint="eastAsia"/>
                      <w:szCs w:val="21"/>
                    </w:rPr>
                  </w:pPr>
                </w:p>
              </w:tc>
              <w:tc>
                <w:tcPr>
                  <w:tcW w:w="1132" w:type="dxa"/>
                  <w:vMerge w:val="continue"/>
                  <w:tcBorders>
                    <w:left w:val="single" w:color="auto" w:sz="4" w:space="0"/>
                    <w:right w:val="single" w:color="auto" w:sz="4" w:space="0"/>
                  </w:tcBorders>
                  <w:noWrap w:val="0"/>
                  <w:vAlign w:val="center"/>
                </w:tcPr>
                <w:p>
                  <w:pPr>
                    <w:jc w:val="center"/>
                    <w:rPr>
                      <w:rFonts w:hint="eastAsia"/>
                      <w:szCs w:val="21"/>
                    </w:rPr>
                  </w:pPr>
                </w:p>
              </w:tc>
              <w:tc>
                <w:tcPr>
                  <w:tcW w:w="1350" w:type="dxa"/>
                  <w:vMerge w:val="continue"/>
                  <w:tcBorders>
                    <w:left w:val="single" w:color="auto" w:sz="4" w:space="0"/>
                    <w:right w:val="single" w:color="auto" w:sz="4" w:space="0"/>
                  </w:tcBorders>
                  <w:noWrap w:val="0"/>
                  <w:vAlign w:val="center"/>
                </w:tcPr>
                <w:p>
                  <w:pPr>
                    <w:jc w:val="center"/>
                    <w:rPr>
                      <w:rFonts w:hint="eastAsia"/>
                      <w:szCs w:val="21"/>
                    </w:rPr>
                  </w:pPr>
                </w:p>
              </w:tc>
              <w:tc>
                <w:tcPr>
                  <w:tcW w:w="1001" w:type="dxa"/>
                  <w:vMerge w:val="continue"/>
                  <w:tcBorders>
                    <w:left w:val="single" w:color="auto" w:sz="4" w:space="0"/>
                    <w:right w:val="single" w:color="auto" w:sz="4" w:space="0"/>
                  </w:tcBorders>
                  <w:noWrap w:val="0"/>
                  <w:vAlign w:val="center"/>
                </w:tcPr>
                <w:p>
                  <w:pPr>
                    <w:jc w:val="center"/>
                    <w:rPr>
                      <w:rFonts w:hint="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39" w:hRule="atLeast"/>
                <w:jc w:val="center"/>
              </w:trPr>
              <w:tc>
                <w:tcPr>
                  <w:tcW w:w="598" w:type="dxa"/>
                  <w:vMerge w:val="continue"/>
                  <w:tcBorders>
                    <w:left w:val="single" w:color="auto" w:sz="4" w:space="0"/>
                    <w:bottom w:val="single" w:color="auto" w:sz="4" w:space="0"/>
                    <w:right w:val="single" w:color="auto" w:sz="4" w:space="0"/>
                  </w:tcBorders>
                  <w:noWrap w:val="0"/>
                  <w:vAlign w:val="center"/>
                </w:tcPr>
                <w:p>
                  <w:pPr>
                    <w:jc w:val="center"/>
                    <w:rPr>
                      <w:rFonts w:hint="eastAsia"/>
                      <w:szCs w:val="21"/>
                    </w:rPr>
                  </w:pPr>
                </w:p>
              </w:tc>
              <w:tc>
                <w:tcPr>
                  <w:tcW w:w="850" w:type="dxa"/>
                  <w:vMerge w:val="continue"/>
                  <w:tcBorders>
                    <w:left w:val="single" w:color="auto" w:sz="4" w:space="0"/>
                    <w:bottom w:val="single" w:color="auto" w:sz="4" w:space="0"/>
                    <w:right w:val="single" w:color="auto" w:sz="4" w:space="0"/>
                  </w:tcBorders>
                  <w:noWrap w:val="0"/>
                  <w:vAlign w:val="center"/>
                </w:tcPr>
                <w:p>
                  <w:pPr>
                    <w:jc w:val="center"/>
                    <w:rPr>
                      <w:rFonts w:hint="eastAsia"/>
                      <w:szCs w:val="21"/>
                    </w:rPr>
                  </w:pPr>
                </w:p>
              </w:tc>
              <w:tc>
                <w:tcPr>
                  <w:tcW w:w="1290" w:type="dxa"/>
                  <w:tcBorders>
                    <w:top w:val="single" w:color="auto" w:sz="6"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废品浸渍纸</w:t>
                  </w:r>
                </w:p>
              </w:tc>
              <w:tc>
                <w:tcPr>
                  <w:tcW w:w="2305" w:type="dxa"/>
                  <w:tcBorders>
                    <w:top w:val="single" w:color="auto" w:sz="6"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交由环卫部门处理</w:t>
                  </w:r>
                </w:p>
              </w:tc>
              <w:tc>
                <w:tcPr>
                  <w:tcW w:w="1132" w:type="dxa"/>
                  <w:vMerge w:val="continue"/>
                  <w:tcBorders>
                    <w:left w:val="single" w:color="auto" w:sz="4" w:space="0"/>
                    <w:bottom w:val="single" w:color="auto" w:sz="4" w:space="0"/>
                    <w:right w:val="single" w:color="auto" w:sz="4" w:space="0"/>
                  </w:tcBorders>
                  <w:noWrap w:val="0"/>
                  <w:vAlign w:val="center"/>
                </w:tcPr>
                <w:p>
                  <w:pPr>
                    <w:jc w:val="center"/>
                    <w:rPr>
                      <w:rFonts w:hint="eastAsia"/>
                      <w:szCs w:val="21"/>
                    </w:rPr>
                  </w:pPr>
                </w:p>
              </w:tc>
              <w:tc>
                <w:tcPr>
                  <w:tcW w:w="1350" w:type="dxa"/>
                  <w:vMerge w:val="continue"/>
                  <w:tcBorders>
                    <w:left w:val="single" w:color="auto" w:sz="4" w:space="0"/>
                    <w:bottom w:val="single" w:color="auto" w:sz="4" w:space="0"/>
                    <w:right w:val="single" w:color="auto" w:sz="4" w:space="0"/>
                  </w:tcBorders>
                  <w:noWrap w:val="0"/>
                  <w:vAlign w:val="center"/>
                </w:tcPr>
                <w:p>
                  <w:pPr>
                    <w:jc w:val="center"/>
                    <w:rPr>
                      <w:rFonts w:hint="eastAsia"/>
                      <w:szCs w:val="21"/>
                    </w:rPr>
                  </w:pPr>
                </w:p>
              </w:tc>
              <w:tc>
                <w:tcPr>
                  <w:tcW w:w="1001" w:type="dxa"/>
                  <w:tcBorders>
                    <w:left w:val="single" w:color="auto" w:sz="4" w:space="0"/>
                    <w:bottom w:val="single" w:color="auto" w:sz="4" w:space="0"/>
                    <w:right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w:t>
                  </w:r>
                </w:p>
              </w:tc>
            </w:tr>
          </w:tbl>
          <w:p>
            <w:pPr>
              <w:spacing w:line="360" w:lineRule="auto"/>
              <w:rPr>
                <w:rFonts w:hint="eastAsia" w:ascii="宋体" w:hAnsi="宋体" w:cs="宋体"/>
                <w:b/>
                <w:sz w:val="28"/>
                <w:szCs w:val="28"/>
              </w:rPr>
            </w:pPr>
            <w:r>
              <w:rPr>
                <w:rFonts w:hint="eastAsia" w:ascii="宋体" w:hAnsi="宋体" w:cs="宋体"/>
                <w:b/>
                <w:sz w:val="28"/>
                <w:szCs w:val="28"/>
              </w:rPr>
              <w:t>七、产品方案</w:t>
            </w:r>
          </w:p>
          <w:p>
            <w:pPr>
              <w:spacing w:line="360" w:lineRule="auto"/>
              <w:ind w:firstLine="480" w:firstLineChars="200"/>
              <w:rPr>
                <w:rFonts w:hint="eastAsia" w:hAnsi="宋体"/>
                <w:bCs/>
                <w:sz w:val="24"/>
              </w:rPr>
            </w:pPr>
            <w:r>
              <w:rPr>
                <w:rFonts w:hint="eastAsia" w:hAnsi="宋体"/>
                <w:bCs/>
                <w:sz w:val="24"/>
              </w:rPr>
              <w:t>本项目为人造板加工项目，其产品主要为生态免漆装饰板，其产量见下表1-2。</w:t>
            </w:r>
          </w:p>
          <w:p>
            <w:pPr>
              <w:spacing w:line="360" w:lineRule="auto"/>
              <w:jc w:val="center"/>
              <w:rPr>
                <w:rFonts w:hint="eastAsia" w:hAnsi="宋体"/>
                <w:b/>
                <w:bCs/>
                <w:sz w:val="21"/>
                <w:szCs w:val="21"/>
              </w:rPr>
            </w:pPr>
            <w:r>
              <w:rPr>
                <w:rFonts w:hint="eastAsia" w:hAnsi="宋体"/>
                <w:b/>
                <w:bCs/>
                <w:sz w:val="21"/>
                <w:szCs w:val="21"/>
              </w:rPr>
              <w:t>表1-2 项目产品方案一览表</w:t>
            </w:r>
          </w:p>
          <w:tbl>
            <w:tblPr>
              <w:tblStyle w:val="69"/>
              <w:tblW w:w="8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2680"/>
              <w:gridCol w:w="2246"/>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426" w:type="dxa"/>
                  <w:noWrap w:val="0"/>
                  <w:vAlign w:val="center"/>
                </w:tcPr>
                <w:p>
                  <w:pPr>
                    <w:spacing w:line="360" w:lineRule="auto"/>
                    <w:jc w:val="center"/>
                    <w:rPr>
                      <w:rFonts w:hint="eastAsia" w:hAnsi="宋体"/>
                      <w:bCs/>
                      <w:szCs w:val="21"/>
                    </w:rPr>
                  </w:pPr>
                  <w:r>
                    <w:rPr>
                      <w:rFonts w:hint="eastAsia" w:hAnsi="宋体"/>
                      <w:bCs/>
                      <w:szCs w:val="21"/>
                    </w:rPr>
                    <w:t>序号</w:t>
                  </w:r>
                </w:p>
              </w:tc>
              <w:tc>
                <w:tcPr>
                  <w:tcW w:w="2680" w:type="dxa"/>
                  <w:noWrap w:val="0"/>
                  <w:vAlign w:val="center"/>
                </w:tcPr>
                <w:p>
                  <w:pPr>
                    <w:spacing w:line="360" w:lineRule="auto"/>
                    <w:jc w:val="center"/>
                    <w:rPr>
                      <w:rFonts w:hint="eastAsia" w:hAnsi="宋体"/>
                      <w:bCs/>
                      <w:szCs w:val="21"/>
                    </w:rPr>
                  </w:pPr>
                  <w:r>
                    <w:rPr>
                      <w:rFonts w:hint="eastAsia" w:hAnsi="宋体"/>
                      <w:bCs/>
                      <w:szCs w:val="21"/>
                    </w:rPr>
                    <w:t>产品</w:t>
                  </w:r>
                </w:p>
              </w:tc>
              <w:tc>
                <w:tcPr>
                  <w:tcW w:w="2246" w:type="dxa"/>
                  <w:noWrap w:val="0"/>
                  <w:vAlign w:val="center"/>
                </w:tcPr>
                <w:p>
                  <w:pPr>
                    <w:spacing w:line="360" w:lineRule="auto"/>
                    <w:jc w:val="center"/>
                    <w:rPr>
                      <w:rFonts w:hint="eastAsia" w:hAnsi="宋体"/>
                      <w:bCs/>
                      <w:szCs w:val="21"/>
                    </w:rPr>
                  </w:pPr>
                  <w:r>
                    <w:rPr>
                      <w:rFonts w:hint="eastAsia" w:hAnsi="宋体"/>
                      <w:bCs/>
                      <w:szCs w:val="21"/>
                    </w:rPr>
                    <w:t>产量</w:t>
                  </w:r>
                </w:p>
              </w:tc>
              <w:tc>
                <w:tcPr>
                  <w:tcW w:w="2238" w:type="dxa"/>
                  <w:noWrap w:val="0"/>
                  <w:vAlign w:val="center"/>
                </w:tcPr>
                <w:p>
                  <w:pPr>
                    <w:spacing w:line="360" w:lineRule="auto"/>
                    <w:jc w:val="center"/>
                    <w:rPr>
                      <w:rFonts w:hint="eastAsia" w:hAnsi="宋体"/>
                      <w:bCs/>
                      <w:szCs w:val="21"/>
                    </w:rPr>
                  </w:pPr>
                  <w:r>
                    <w:rPr>
                      <w:rFonts w:hint="eastAsia" w:hAnsi="宋体"/>
                      <w:bCs/>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noWrap w:val="0"/>
                  <w:vAlign w:val="center"/>
                </w:tcPr>
                <w:p>
                  <w:pPr>
                    <w:spacing w:line="360" w:lineRule="auto"/>
                    <w:jc w:val="center"/>
                    <w:rPr>
                      <w:rFonts w:hint="eastAsia" w:hAnsi="宋体"/>
                      <w:bCs/>
                      <w:szCs w:val="21"/>
                    </w:rPr>
                  </w:pPr>
                  <w:r>
                    <w:rPr>
                      <w:rFonts w:hint="eastAsia" w:hAnsi="宋体"/>
                      <w:bCs/>
                      <w:szCs w:val="21"/>
                    </w:rPr>
                    <w:t>1</w:t>
                  </w:r>
                </w:p>
              </w:tc>
              <w:tc>
                <w:tcPr>
                  <w:tcW w:w="2680" w:type="dxa"/>
                  <w:noWrap w:val="0"/>
                  <w:vAlign w:val="center"/>
                </w:tcPr>
                <w:p>
                  <w:pPr>
                    <w:spacing w:line="360" w:lineRule="auto"/>
                    <w:jc w:val="center"/>
                    <w:rPr>
                      <w:rFonts w:hint="eastAsia" w:hAnsi="宋体"/>
                      <w:bCs/>
                      <w:szCs w:val="21"/>
                    </w:rPr>
                  </w:pPr>
                  <w:r>
                    <w:rPr>
                      <w:rFonts w:hint="eastAsia" w:hAnsi="宋体"/>
                      <w:bCs/>
                      <w:szCs w:val="21"/>
                    </w:rPr>
                    <w:t>免漆装饰板</w:t>
                  </w:r>
                </w:p>
              </w:tc>
              <w:tc>
                <w:tcPr>
                  <w:tcW w:w="2246" w:type="dxa"/>
                  <w:noWrap w:val="0"/>
                  <w:vAlign w:val="center"/>
                </w:tcPr>
                <w:p>
                  <w:pPr>
                    <w:spacing w:line="360" w:lineRule="auto"/>
                    <w:jc w:val="center"/>
                    <w:rPr>
                      <w:rFonts w:hint="eastAsia" w:hAnsi="宋体"/>
                      <w:bCs/>
                      <w:szCs w:val="21"/>
                    </w:rPr>
                  </w:pPr>
                  <w:r>
                    <w:rPr>
                      <w:rFonts w:hint="eastAsia" w:hAnsi="宋体"/>
                      <w:bCs/>
                      <w:szCs w:val="21"/>
                    </w:rPr>
                    <w:t>30万张/a</w:t>
                  </w:r>
                </w:p>
              </w:tc>
              <w:tc>
                <w:tcPr>
                  <w:tcW w:w="2238" w:type="dxa"/>
                  <w:noWrap w:val="0"/>
                  <w:vAlign w:val="center"/>
                </w:tcPr>
                <w:p>
                  <w:pPr>
                    <w:jc w:val="center"/>
                    <w:rPr>
                      <w:rFonts w:hint="eastAsia" w:hAnsi="宋体"/>
                      <w:bCs/>
                      <w:szCs w:val="21"/>
                    </w:rPr>
                  </w:pPr>
                  <w:r>
                    <w:rPr>
                      <w:rFonts w:hAnsi="宋体"/>
                      <w:bCs/>
                      <w:szCs w:val="21"/>
                    </w:rPr>
                    <w:t>家庭装饰、板式家具、橱柜衣柜、浴室柜</w:t>
                  </w:r>
                </w:p>
              </w:tc>
            </w:tr>
          </w:tbl>
          <w:p>
            <w:pPr>
              <w:spacing w:line="360" w:lineRule="auto"/>
              <w:rPr>
                <w:rFonts w:hint="eastAsia" w:ascii="宋体" w:hAnsi="宋体" w:cs="宋体"/>
                <w:b/>
                <w:sz w:val="28"/>
                <w:szCs w:val="28"/>
              </w:rPr>
            </w:pPr>
            <w:r>
              <w:rPr>
                <w:rFonts w:hint="eastAsia" w:ascii="宋体" w:hAnsi="宋体" w:cs="宋体"/>
                <w:b/>
                <w:sz w:val="28"/>
                <w:szCs w:val="28"/>
              </w:rPr>
              <w:t>八、主要设备和原辅材料、能耗</w:t>
            </w:r>
          </w:p>
          <w:p>
            <w:pPr>
              <w:spacing w:line="360" w:lineRule="auto"/>
              <w:ind w:firstLine="482" w:firstLineChars="200"/>
              <w:rPr>
                <w:rFonts w:hint="eastAsia" w:hAnsi="宋体"/>
                <w:b/>
                <w:bCs/>
                <w:sz w:val="24"/>
              </w:rPr>
            </w:pPr>
            <w:r>
              <w:rPr>
                <w:rFonts w:hint="eastAsia" w:hAnsi="宋体"/>
                <w:b/>
                <w:bCs/>
                <w:sz w:val="24"/>
              </w:rPr>
              <w:t>1、原辅材料</w:t>
            </w:r>
          </w:p>
          <w:p>
            <w:pPr>
              <w:spacing w:line="360" w:lineRule="auto"/>
              <w:ind w:firstLine="480" w:firstLineChars="200"/>
              <w:rPr>
                <w:bCs/>
                <w:sz w:val="24"/>
              </w:rPr>
            </w:pPr>
            <w:r>
              <w:rPr>
                <w:rFonts w:hAnsi="宋体"/>
                <w:bCs/>
                <w:sz w:val="24"/>
              </w:rPr>
              <w:t>该项目涉及的主要原辅材料及能源消耗情况见表</w:t>
            </w:r>
            <w:r>
              <w:rPr>
                <w:bCs/>
                <w:sz w:val="24"/>
              </w:rPr>
              <w:t>1-</w:t>
            </w:r>
            <w:r>
              <w:rPr>
                <w:rFonts w:hint="eastAsia"/>
                <w:bCs/>
                <w:sz w:val="24"/>
              </w:rPr>
              <w:t>3</w:t>
            </w:r>
            <w:r>
              <w:rPr>
                <w:rFonts w:hAnsi="宋体"/>
                <w:bCs/>
                <w:sz w:val="24"/>
              </w:rPr>
              <w:t>。</w:t>
            </w:r>
          </w:p>
          <w:p>
            <w:pPr>
              <w:snapToGrid w:val="0"/>
              <w:spacing w:line="360" w:lineRule="auto"/>
              <w:jc w:val="center"/>
              <w:rPr>
                <w:rFonts w:hint="eastAsia" w:ascii="宋体" w:hAnsi="宋体" w:cs="宋体"/>
                <w:b/>
                <w:bCs/>
                <w:sz w:val="21"/>
                <w:szCs w:val="21"/>
              </w:rPr>
            </w:pPr>
            <w:r>
              <w:rPr>
                <w:b/>
                <w:bCs/>
                <w:sz w:val="21"/>
                <w:szCs w:val="21"/>
              </w:rPr>
              <w:t>表1-</w:t>
            </w:r>
            <w:r>
              <w:rPr>
                <w:rFonts w:hint="eastAsia"/>
                <w:b/>
                <w:bCs/>
                <w:sz w:val="21"/>
                <w:szCs w:val="21"/>
              </w:rPr>
              <w:t>3</w:t>
            </w:r>
            <w:r>
              <w:rPr>
                <w:b/>
                <w:bCs/>
                <w:sz w:val="21"/>
                <w:szCs w:val="21"/>
              </w:rPr>
              <w:t xml:space="preserve">  主要原辅材料及</w:t>
            </w:r>
            <w:r>
              <w:rPr>
                <w:rFonts w:hint="eastAsia" w:ascii="宋体" w:hAnsi="宋体" w:cs="宋体"/>
                <w:b/>
                <w:bCs/>
                <w:sz w:val="21"/>
                <w:szCs w:val="21"/>
              </w:rPr>
              <w:t>能耗情况表</w:t>
            </w:r>
          </w:p>
          <w:tbl>
            <w:tblPr>
              <w:tblStyle w:val="69"/>
              <w:tblW w:w="832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64"/>
              <w:gridCol w:w="1559"/>
              <w:gridCol w:w="1560"/>
              <w:gridCol w:w="1559"/>
              <w:gridCol w:w="13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821" w:type="dxa"/>
                  <w:noWrap w:val="0"/>
                  <w:vAlign w:val="center"/>
                </w:tcPr>
                <w:p>
                  <w:pPr>
                    <w:jc w:val="center"/>
                    <w:rPr>
                      <w:b/>
                      <w:szCs w:val="21"/>
                    </w:rPr>
                  </w:pPr>
                </w:p>
              </w:tc>
              <w:tc>
                <w:tcPr>
                  <w:tcW w:w="1464" w:type="dxa"/>
                  <w:noWrap w:val="0"/>
                  <w:vAlign w:val="center"/>
                </w:tcPr>
                <w:p>
                  <w:pPr>
                    <w:jc w:val="center"/>
                    <w:rPr>
                      <w:rFonts w:hAnsi="宋体"/>
                      <w:b/>
                      <w:szCs w:val="21"/>
                    </w:rPr>
                  </w:pPr>
                  <w:r>
                    <w:rPr>
                      <w:rFonts w:hAnsi="宋体"/>
                      <w:b/>
                      <w:szCs w:val="21"/>
                    </w:rPr>
                    <w:t>原辅料名称</w:t>
                  </w:r>
                </w:p>
              </w:tc>
              <w:tc>
                <w:tcPr>
                  <w:tcW w:w="1559" w:type="dxa"/>
                  <w:noWrap w:val="0"/>
                  <w:vAlign w:val="center"/>
                </w:tcPr>
                <w:p>
                  <w:pPr>
                    <w:jc w:val="center"/>
                    <w:rPr>
                      <w:b/>
                      <w:szCs w:val="21"/>
                    </w:rPr>
                  </w:pPr>
                  <w:r>
                    <w:rPr>
                      <w:rFonts w:hAnsi="宋体"/>
                      <w:b/>
                      <w:szCs w:val="21"/>
                    </w:rPr>
                    <w:t>年消耗量</w:t>
                  </w:r>
                </w:p>
              </w:tc>
              <w:tc>
                <w:tcPr>
                  <w:tcW w:w="1560" w:type="dxa"/>
                  <w:noWrap w:val="0"/>
                  <w:vAlign w:val="center"/>
                </w:tcPr>
                <w:p>
                  <w:pPr>
                    <w:jc w:val="center"/>
                    <w:rPr>
                      <w:b/>
                      <w:szCs w:val="21"/>
                    </w:rPr>
                  </w:pPr>
                  <w:r>
                    <w:rPr>
                      <w:rFonts w:hAnsi="宋体"/>
                      <w:b/>
                      <w:szCs w:val="21"/>
                    </w:rPr>
                    <w:t>主要</w:t>
                  </w:r>
                  <w:r>
                    <w:rPr>
                      <w:rFonts w:hint="eastAsia" w:hAnsi="宋体"/>
                      <w:b/>
                      <w:szCs w:val="21"/>
                    </w:rPr>
                    <w:t>来源</w:t>
                  </w:r>
                </w:p>
              </w:tc>
              <w:tc>
                <w:tcPr>
                  <w:tcW w:w="1559" w:type="dxa"/>
                  <w:noWrap w:val="0"/>
                  <w:vAlign w:val="center"/>
                </w:tcPr>
                <w:p>
                  <w:pPr>
                    <w:jc w:val="center"/>
                    <w:rPr>
                      <w:b/>
                      <w:szCs w:val="21"/>
                    </w:rPr>
                  </w:pPr>
                  <w:r>
                    <w:rPr>
                      <w:rFonts w:hint="eastAsia" w:hAnsi="宋体"/>
                      <w:b/>
                      <w:szCs w:val="21"/>
                    </w:rPr>
                    <w:t>常备库存</w:t>
                  </w:r>
                </w:p>
              </w:tc>
              <w:tc>
                <w:tcPr>
                  <w:tcW w:w="1357" w:type="dxa"/>
                  <w:noWrap w:val="0"/>
                  <w:vAlign w:val="center"/>
                </w:tcPr>
                <w:p>
                  <w:pPr>
                    <w:jc w:val="center"/>
                    <w:rPr>
                      <w:rFonts w:hint="eastAsia" w:hAnsi="宋体"/>
                      <w:b/>
                      <w:szCs w:val="21"/>
                    </w:rPr>
                  </w:pPr>
                  <w:r>
                    <w:rPr>
                      <w:rFonts w:hint="eastAsia" w:hAnsi="宋体"/>
                      <w:b/>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1" w:type="dxa"/>
                  <w:vMerge w:val="restart"/>
                  <w:noWrap w:val="0"/>
                  <w:vAlign w:val="center"/>
                </w:tcPr>
                <w:p>
                  <w:pPr>
                    <w:jc w:val="center"/>
                    <w:rPr>
                      <w:rFonts w:hint="eastAsia" w:hAnsi="宋体"/>
                      <w:szCs w:val="21"/>
                    </w:rPr>
                  </w:pPr>
                  <w:r>
                    <w:rPr>
                      <w:rFonts w:hint="eastAsia" w:hAnsi="宋体"/>
                      <w:szCs w:val="21"/>
                    </w:rPr>
                    <w:t>原</w:t>
                  </w:r>
                  <w:r>
                    <w:rPr>
                      <w:rFonts w:hAnsi="宋体"/>
                      <w:szCs w:val="21"/>
                    </w:rPr>
                    <w:t>（辅）料</w:t>
                  </w:r>
                </w:p>
              </w:tc>
              <w:tc>
                <w:tcPr>
                  <w:tcW w:w="1464" w:type="dxa"/>
                  <w:noWrap w:val="0"/>
                  <w:vAlign w:val="center"/>
                </w:tcPr>
                <w:p>
                  <w:pPr>
                    <w:tabs>
                      <w:tab w:val="left" w:pos="1740"/>
                    </w:tabs>
                    <w:jc w:val="center"/>
                    <w:rPr>
                      <w:rFonts w:hint="eastAsia"/>
                      <w:szCs w:val="21"/>
                    </w:rPr>
                  </w:pPr>
                  <w:r>
                    <w:rPr>
                      <w:rFonts w:hint="eastAsia"/>
                      <w:szCs w:val="21"/>
                    </w:rPr>
                    <w:t>刨花板</w:t>
                  </w:r>
                </w:p>
              </w:tc>
              <w:tc>
                <w:tcPr>
                  <w:tcW w:w="1559" w:type="dxa"/>
                  <w:noWrap w:val="0"/>
                  <w:vAlign w:val="center"/>
                </w:tcPr>
                <w:p>
                  <w:pPr>
                    <w:tabs>
                      <w:tab w:val="left" w:pos="1740"/>
                    </w:tabs>
                    <w:jc w:val="center"/>
                    <w:rPr>
                      <w:rFonts w:hint="eastAsia"/>
                      <w:szCs w:val="21"/>
                    </w:rPr>
                  </w:pPr>
                  <w:r>
                    <w:rPr>
                      <w:rFonts w:hint="eastAsia"/>
                      <w:szCs w:val="21"/>
                    </w:rPr>
                    <w:t>12万张</w:t>
                  </w:r>
                </w:p>
              </w:tc>
              <w:tc>
                <w:tcPr>
                  <w:tcW w:w="1560" w:type="dxa"/>
                  <w:vMerge w:val="restart"/>
                  <w:noWrap w:val="0"/>
                  <w:vAlign w:val="center"/>
                </w:tcPr>
                <w:p>
                  <w:pPr>
                    <w:jc w:val="center"/>
                    <w:rPr>
                      <w:rFonts w:hAnsi="宋体"/>
                      <w:szCs w:val="21"/>
                    </w:rPr>
                  </w:pPr>
                  <w:r>
                    <w:rPr>
                      <w:rFonts w:hAnsi="宋体"/>
                      <w:szCs w:val="21"/>
                    </w:rPr>
                    <w:t>外购</w:t>
                  </w:r>
                </w:p>
              </w:tc>
              <w:tc>
                <w:tcPr>
                  <w:tcW w:w="1559" w:type="dxa"/>
                  <w:noWrap w:val="0"/>
                  <w:vAlign w:val="center"/>
                </w:tcPr>
                <w:p>
                  <w:pPr>
                    <w:tabs>
                      <w:tab w:val="left" w:pos="1740"/>
                    </w:tabs>
                    <w:jc w:val="center"/>
                    <w:rPr>
                      <w:szCs w:val="21"/>
                    </w:rPr>
                  </w:pPr>
                  <w:r>
                    <w:rPr>
                      <w:szCs w:val="21"/>
                    </w:rPr>
                    <w:t>500-1000</w:t>
                  </w:r>
                  <w:r>
                    <w:rPr>
                      <w:rFonts w:hint="eastAsia"/>
                      <w:szCs w:val="21"/>
                    </w:rPr>
                    <w:t>张</w:t>
                  </w:r>
                </w:p>
              </w:tc>
              <w:tc>
                <w:tcPr>
                  <w:tcW w:w="1357" w:type="dxa"/>
                  <w:vMerge w:val="restart"/>
                  <w:noWrap w:val="0"/>
                  <w:vAlign w:val="center"/>
                </w:tcPr>
                <w:p>
                  <w:pPr>
                    <w:tabs>
                      <w:tab w:val="left" w:pos="1740"/>
                    </w:tabs>
                    <w:jc w:val="center"/>
                    <w:rPr>
                      <w:szCs w:val="21"/>
                    </w:rPr>
                  </w:pPr>
                  <w:r>
                    <w:rPr>
                      <w:rFonts w:hint="eastAsia"/>
                      <w:szCs w:val="21"/>
                    </w:rPr>
                    <w:t>生产原料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1" w:type="dxa"/>
                  <w:vMerge w:val="continue"/>
                  <w:noWrap w:val="0"/>
                  <w:vAlign w:val="center"/>
                </w:tcPr>
                <w:p>
                  <w:pPr>
                    <w:jc w:val="center"/>
                    <w:rPr>
                      <w:rFonts w:hAnsi="宋体"/>
                      <w:szCs w:val="21"/>
                    </w:rPr>
                  </w:pPr>
                </w:p>
              </w:tc>
              <w:tc>
                <w:tcPr>
                  <w:tcW w:w="1464" w:type="dxa"/>
                  <w:noWrap w:val="0"/>
                  <w:vAlign w:val="center"/>
                </w:tcPr>
                <w:p>
                  <w:pPr>
                    <w:tabs>
                      <w:tab w:val="left" w:pos="1740"/>
                    </w:tabs>
                    <w:jc w:val="center"/>
                    <w:rPr>
                      <w:szCs w:val="21"/>
                    </w:rPr>
                  </w:pPr>
                  <w:r>
                    <w:rPr>
                      <w:rFonts w:hint="eastAsia"/>
                      <w:szCs w:val="21"/>
                    </w:rPr>
                    <w:t>多层实木板</w:t>
                  </w:r>
                </w:p>
              </w:tc>
              <w:tc>
                <w:tcPr>
                  <w:tcW w:w="1559" w:type="dxa"/>
                  <w:noWrap w:val="0"/>
                  <w:vAlign w:val="center"/>
                </w:tcPr>
                <w:p>
                  <w:pPr>
                    <w:tabs>
                      <w:tab w:val="left" w:pos="1740"/>
                    </w:tabs>
                    <w:jc w:val="center"/>
                    <w:rPr>
                      <w:szCs w:val="21"/>
                    </w:rPr>
                  </w:pPr>
                  <w:r>
                    <w:rPr>
                      <w:szCs w:val="21"/>
                    </w:rPr>
                    <w:t>15</w:t>
                  </w:r>
                  <w:r>
                    <w:rPr>
                      <w:rFonts w:hint="eastAsia"/>
                      <w:szCs w:val="21"/>
                    </w:rPr>
                    <w:t>万张</w:t>
                  </w:r>
                </w:p>
              </w:tc>
              <w:tc>
                <w:tcPr>
                  <w:tcW w:w="1560" w:type="dxa"/>
                  <w:vMerge w:val="continue"/>
                  <w:noWrap w:val="0"/>
                  <w:vAlign w:val="center"/>
                </w:tcPr>
                <w:p>
                  <w:pPr>
                    <w:jc w:val="center"/>
                    <w:rPr>
                      <w:rFonts w:hint="eastAsia"/>
                      <w:szCs w:val="21"/>
                    </w:rPr>
                  </w:pPr>
                </w:p>
              </w:tc>
              <w:tc>
                <w:tcPr>
                  <w:tcW w:w="1559" w:type="dxa"/>
                  <w:noWrap w:val="0"/>
                  <w:vAlign w:val="center"/>
                </w:tcPr>
                <w:p>
                  <w:pPr>
                    <w:tabs>
                      <w:tab w:val="left" w:pos="1740"/>
                    </w:tabs>
                    <w:jc w:val="center"/>
                    <w:rPr>
                      <w:rFonts w:hint="eastAsia"/>
                      <w:szCs w:val="21"/>
                    </w:rPr>
                  </w:pPr>
                  <w:r>
                    <w:rPr>
                      <w:rFonts w:hint="eastAsia"/>
                      <w:szCs w:val="21"/>
                    </w:rPr>
                    <w:t>500张</w:t>
                  </w:r>
                </w:p>
              </w:tc>
              <w:tc>
                <w:tcPr>
                  <w:tcW w:w="1357" w:type="dxa"/>
                  <w:vMerge w:val="continue"/>
                  <w:noWrap w:val="0"/>
                  <w:vAlign w:val="center"/>
                </w:tcPr>
                <w:p>
                  <w:pPr>
                    <w:tabs>
                      <w:tab w:val="left" w:pos="1740"/>
                    </w:tabs>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1" w:type="dxa"/>
                  <w:vMerge w:val="continue"/>
                  <w:noWrap w:val="0"/>
                  <w:vAlign w:val="center"/>
                </w:tcPr>
                <w:p>
                  <w:pPr>
                    <w:jc w:val="center"/>
                    <w:rPr>
                      <w:szCs w:val="21"/>
                    </w:rPr>
                  </w:pPr>
                </w:p>
              </w:tc>
              <w:tc>
                <w:tcPr>
                  <w:tcW w:w="1464" w:type="dxa"/>
                  <w:noWrap w:val="0"/>
                  <w:vAlign w:val="center"/>
                </w:tcPr>
                <w:p>
                  <w:pPr>
                    <w:tabs>
                      <w:tab w:val="left" w:pos="1740"/>
                    </w:tabs>
                    <w:jc w:val="center"/>
                    <w:rPr>
                      <w:szCs w:val="21"/>
                    </w:rPr>
                  </w:pPr>
                  <w:r>
                    <w:rPr>
                      <w:rFonts w:hint="eastAsia"/>
                      <w:szCs w:val="21"/>
                    </w:rPr>
                    <w:t>中密度纤维板</w:t>
                  </w:r>
                </w:p>
              </w:tc>
              <w:tc>
                <w:tcPr>
                  <w:tcW w:w="1559" w:type="dxa"/>
                  <w:noWrap w:val="0"/>
                  <w:vAlign w:val="center"/>
                </w:tcPr>
                <w:p>
                  <w:pPr>
                    <w:tabs>
                      <w:tab w:val="left" w:pos="1740"/>
                    </w:tabs>
                    <w:jc w:val="center"/>
                    <w:rPr>
                      <w:szCs w:val="21"/>
                    </w:rPr>
                  </w:pPr>
                  <w:r>
                    <w:rPr>
                      <w:szCs w:val="21"/>
                    </w:rPr>
                    <w:t>3</w:t>
                  </w:r>
                  <w:r>
                    <w:rPr>
                      <w:rFonts w:hint="eastAsia"/>
                      <w:szCs w:val="21"/>
                    </w:rPr>
                    <w:t>万张</w:t>
                  </w:r>
                </w:p>
              </w:tc>
              <w:tc>
                <w:tcPr>
                  <w:tcW w:w="1560" w:type="dxa"/>
                  <w:vMerge w:val="continue"/>
                  <w:noWrap w:val="0"/>
                  <w:vAlign w:val="center"/>
                </w:tcPr>
                <w:p>
                  <w:pPr>
                    <w:jc w:val="center"/>
                    <w:rPr>
                      <w:szCs w:val="21"/>
                    </w:rPr>
                  </w:pPr>
                </w:p>
              </w:tc>
              <w:tc>
                <w:tcPr>
                  <w:tcW w:w="1559" w:type="dxa"/>
                  <w:noWrap w:val="0"/>
                  <w:vAlign w:val="center"/>
                </w:tcPr>
                <w:p>
                  <w:pPr>
                    <w:tabs>
                      <w:tab w:val="left" w:pos="1740"/>
                    </w:tabs>
                    <w:jc w:val="center"/>
                    <w:rPr>
                      <w:szCs w:val="21"/>
                    </w:rPr>
                  </w:pPr>
                  <w:r>
                    <w:rPr>
                      <w:rFonts w:hint="eastAsia"/>
                      <w:szCs w:val="21"/>
                    </w:rPr>
                    <w:t>不备库存</w:t>
                  </w:r>
                </w:p>
              </w:tc>
              <w:tc>
                <w:tcPr>
                  <w:tcW w:w="1357" w:type="dxa"/>
                  <w:vMerge w:val="continue"/>
                  <w:noWrap w:val="0"/>
                  <w:vAlign w:val="center"/>
                </w:tcPr>
                <w:p>
                  <w:pPr>
                    <w:tabs>
                      <w:tab w:val="left" w:pos="1740"/>
                    </w:tabs>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1" w:type="dxa"/>
                  <w:vMerge w:val="continue"/>
                  <w:noWrap w:val="0"/>
                  <w:vAlign w:val="center"/>
                </w:tcPr>
                <w:p>
                  <w:pPr>
                    <w:jc w:val="center"/>
                    <w:rPr>
                      <w:szCs w:val="21"/>
                    </w:rPr>
                  </w:pPr>
                </w:p>
              </w:tc>
              <w:tc>
                <w:tcPr>
                  <w:tcW w:w="1464" w:type="dxa"/>
                  <w:noWrap w:val="0"/>
                  <w:vAlign w:val="center"/>
                </w:tcPr>
                <w:p>
                  <w:pPr>
                    <w:tabs>
                      <w:tab w:val="left" w:pos="1740"/>
                    </w:tabs>
                    <w:jc w:val="center"/>
                    <w:rPr>
                      <w:szCs w:val="21"/>
                    </w:rPr>
                  </w:pPr>
                  <w:r>
                    <w:rPr>
                      <w:rFonts w:hint="eastAsia"/>
                      <w:szCs w:val="21"/>
                    </w:rPr>
                    <w:t>三聚氰胺浸</w:t>
                  </w:r>
                  <w:r>
                    <w:rPr>
                      <w:rFonts w:hint="eastAsia" w:hAnsi="宋体"/>
                      <w:bCs/>
                      <w:sz w:val="24"/>
                    </w:rPr>
                    <w:t>渍</w:t>
                  </w:r>
                  <w:r>
                    <w:rPr>
                      <w:rFonts w:hint="eastAsia"/>
                      <w:szCs w:val="21"/>
                    </w:rPr>
                    <w:t>纸</w:t>
                  </w:r>
                </w:p>
              </w:tc>
              <w:tc>
                <w:tcPr>
                  <w:tcW w:w="1559" w:type="dxa"/>
                  <w:noWrap w:val="0"/>
                  <w:vAlign w:val="center"/>
                </w:tcPr>
                <w:p>
                  <w:pPr>
                    <w:tabs>
                      <w:tab w:val="left" w:pos="1740"/>
                    </w:tabs>
                    <w:jc w:val="center"/>
                    <w:rPr>
                      <w:szCs w:val="21"/>
                    </w:rPr>
                  </w:pPr>
                  <w:r>
                    <w:rPr>
                      <w:szCs w:val="21"/>
                    </w:rPr>
                    <w:t>40-60</w:t>
                  </w:r>
                  <w:r>
                    <w:rPr>
                      <w:rFonts w:hint="eastAsia"/>
                      <w:szCs w:val="21"/>
                    </w:rPr>
                    <w:t>万张/年</w:t>
                  </w:r>
                </w:p>
              </w:tc>
              <w:tc>
                <w:tcPr>
                  <w:tcW w:w="1560" w:type="dxa"/>
                  <w:vMerge w:val="continue"/>
                  <w:noWrap w:val="0"/>
                  <w:vAlign w:val="center"/>
                </w:tcPr>
                <w:p>
                  <w:pPr>
                    <w:jc w:val="center"/>
                    <w:rPr>
                      <w:szCs w:val="21"/>
                    </w:rPr>
                  </w:pPr>
                </w:p>
              </w:tc>
              <w:tc>
                <w:tcPr>
                  <w:tcW w:w="1559" w:type="dxa"/>
                  <w:noWrap w:val="0"/>
                  <w:vAlign w:val="center"/>
                </w:tcPr>
                <w:p>
                  <w:pPr>
                    <w:tabs>
                      <w:tab w:val="left" w:pos="1740"/>
                    </w:tabs>
                    <w:jc w:val="center"/>
                    <w:rPr>
                      <w:szCs w:val="21"/>
                    </w:rPr>
                  </w:pPr>
                  <w:r>
                    <w:rPr>
                      <w:szCs w:val="21"/>
                    </w:rPr>
                    <w:t>2000-3000</w:t>
                  </w:r>
                  <w:r>
                    <w:rPr>
                      <w:rFonts w:hint="eastAsia"/>
                      <w:szCs w:val="21"/>
                    </w:rPr>
                    <w:t>张</w:t>
                  </w:r>
                </w:p>
              </w:tc>
              <w:tc>
                <w:tcPr>
                  <w:tcW w:w="1357" w:type="dxa"/>
                  <w:noWrap w:val="0"/>
                  <w:vAlign w:val="center"/>
                </w:tcPr>
                <w:p>
                  <w:pPr>
                    <w:tabs>
                      <w:tab w:val="left" w:pos="1740"/>
                    </w:tabs>
                    <w:jc w:val="center"/>
                    <w:rPr>
                      <w:szCs w:val="21"/>
                    </w:rPr>
                  </w:pPr>
                  <w:r>
                    <w:rPr>
                      <w:rFonts w:hint="eastAsia"/>
                      <w:szCs w:val="21"/>
                    </w:rPr>
                    <w:t>生产辅料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1" w:type="dxa"/>
                  <w:vMerge w:val="restart"/>
                  <w:noWrap w:val="0"/>
                  <w:vAlign w:val="center"/>
                </w:tcPr>
                <w:p>
                  <w:pPr>
                    <w:jc w:val="center"/>
                    <w:rPr>
                      <w:szCs w:val="21"/>
                    </w:rPr>
                  </w:pPr>
                  <w:r>
                    <w:rPr>
                      <w:szCs w:val="21"/>
                    </w:rPr>
                    <w:t>能源</w:t>
                  </w:r>
                </w:p>
              </w:tc>
              <w:tc>
                <w:tcPr>
                  <w:tcW w:w="1464" w:type="dxa"/>
                  <w:noWrap w:val="0"/>
                  <w:vAlign w:val="center"/>
                </w:tcPr>
                <w:p>
                  <w:pPr>
                    <w:jc w:val="center"/>
                    <w:rPr>
                      <w:szCs w:val="21"/>
                    </w:rPr>
                  </w:pPr>
                  <w:r>
                    <w:rPr>
                      <w:szCs w:val="21"/>
                    </w:rPr>
                    <w:t>天然气</w:t>
                  </w:r>
                </w:p>
              </w:tc>
              <w:tc>
                <w:tcPr>
                  <w:tcW w:w="1559" w:type="dxa"/>
                  <w:noWrap w:val="0"/>
                  <w:vAlign w:val="center"/>
                </w:tcPr>
                <w:p>
                  <w:pPr>
                    <w:jc w:val="center"/>
                    <w:rPr>
                      <w:szCs w:val="21"/>
                      <w:vertAlign w:val="superscript"/>
                    </w:rPr>
                  </w:pPr>
                  <w:r>
                    <w:rPr>
                      <w:szCs w:val="21"/>
                    </w:rPr>
                    <w:t>6.96</w:t>
                  </w:r>
                  <w:r>
                    <w:rPr>
                      <w:rFonts w:hint="eastAsia"/>
                      <w:szCs w:val="21"/>
                    </w:rPr>
                    <w:t>万Nm</w:t>
                  </w:r>
                  <w:r>
                    <w:rPr>
                      <w:rFonts w:hint="eastAsia"/>
                      <w:szCs w:val="21"/>
                      <w:vertAlign w:val="superscript"/>
                    </w:rPr>
                    <w:t>3</w:t>
                  </w:r>
                </w:p>
              </w:tc>
              <w:tc>
                <w:tcPr>
                  <w:tcW w:w="1560" w:type="dxa"/>
                  <w:noWrap w:val="0"/>
                  <w:vAlign w:val="center"/>
                </w:tcPr>
                <w:p>
                  <w:pPr>
                    <w:jc w:val="center"/>
                    <w:rPr>
                      <w:szCs w:val="21"/>
                    </w:rPr>
                  </w:pPr>
                  <w:r>
                    <w:rPr>
                      <w:rFonts w:hint="eastAsia"/>
                      <w:szCs w:val="21"/>
                    </w:rPr>
                    <w:t>当地燃气管道</w:t>
                  </w:r>
                </w:p>
              </w:tc>
              <w:tc>
                <w:tcPr>
                  <w:tcW w:w="1559" w:type="dxa"/>
                  <w:noWrap w:val="0"/>
                  <w:vAlign w:val="center"/>
                </w:tcPr>
                <w:p>
                  <w:pPr>
                    <w:jc w:val="center"/>
                    <w:rPr>
                      <w:szCs w:val="21"/>
                    </w:rPr>
                  </w:pPr>
                  <w:r>
                    <w:rPr>
                      <w:szCs w:val="21"/>
                    </w:rPr>
                    <w:t>/</w:t>
                  </w:r>
                </w:p>
              </w:tc>
              <w:tc>
                <w:tcPr>
                  <w:tcW w:w="1357" w:type="dxa"/>
                  <w:noWrap w:val="0"/>
                  <w:vAlign w:val="center"/>
                </w:tcPr>
                <w:p>
                  <w:pPr>
                    <w:jc w:val="center"/>
                    <w:rPr>
                      <w:szCs w:val="21"/>
                    </w:rPr>
                  </w:pPr>
                  <w:r>
                    <w:rPr>
                      <w:rFonts w:hint="eastAsia"/>
                      <w:szCs w:val="21"/>
                    </w:rPr>
                    <w:t>用于天然气导热油炉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1" w:type="dxa"/>
                  <w:vMerge w:val="continue"/>
                  <w:noWrap w:val="0"/>
                  <w:vAlign w:val="center"/>
                </w:tcPr>
                <w:p>
                  <w:pPr>
                    <w:jc w:val="center"/>
                    <w:rPr>
                      <w:szCs w:val="21"/>
                    </w:rPr>
                  </w:pPr>
                </w:p>
              </w:tc>
              <w:tc>
                <w:tcPr>
                  <w:tcW w:w="1464" w:type="dxa"/>
                  <w:noWrap w:val="0"/>
                  <w:vAlign w:val="center"/>
                </w:tcPr>
                <w:p>
                  <w:pPr>
                    <w:jc w:val="center"/>
                    <w:rPr>
                      <w:szCs w:val="21"/>
                    </w:rPr>
                  </w:pPr>
                  <w:r>
                    <w:rPr>
                      <w:szCs w:val="21"/>
                    </w:rPr>
                    <w:t>电</w:t>
                  </w:r>
                </w:p>
              </w:tc>
              <w:tc>
                <w:tcPr>
                  <w:tcW w:w="1559" w:type="dxa"/>
                  <w:noWrap w:val="0"/>
                  <w:vAlign w:val="center"/>
                </w:tcPr>
                <w:p>
                  <w:pPr>
                    <w:jc w:val="center"/>
                    <w:rPr>
                      <w:szCs w:val="21"/>
                    </w:rPr>
                  </w:pPr>
                  <w:r>
                    <w:rPr>
                      <w:rFonts w:hint="eastAsia"/>
                      <w:szCs w:val="21"/>
                    </w:rPr>
                    <w:t>40.5</w:t>
                  </w:r>
                  <w:r>
                    <w:rPr>
                      <w:szCs w:val="21"/>
                    </w:rPr>
                    <w:t>万kwh</w:t>
                  </w:r>
                </w:p>
              </w:tc>
              <w:tc>
                <w:tcPr>
                  <w:tcW w:w="1560" w:type="dxa"/>
                  <w:noWrap w:val="0"/>
                  <w:vAlign w:val="center"/>
                </w:tcPr>
                <w:p>
                  <w:pPr>
                    <w:jc w:val="center"/>
                    <w:rPr>
                      <w:szCs w:val="21"/>
                    </w:rPr>
                  </w:pPr>
                  <w:r>
                    <w:rPr>
                      <w:rFonts w:hint="eastAsia"/>
                      <w:szCs w:val="21"/>
                    </w:rPr>
                    <w:t>当地电网</w:t>
                  </w:r>
                </w:p>
              </w:tc>
              <w:tc>
                <w:tcPr>
                  <w:tcW w:w="1559" w:type="dxa"/>
                  <w:noWrap w:val="0"/>
                  <w:vAlign w:val="center"/>
                </w:tcPr>
                <w:p>
                  <w:pPr>
                    <w:jc w:val="center"/>
                    <w:rPr>
                      <w:szCs w:val="21"/>
                    </w:rPr>
                  </w:pPr>
                  <w:r>
                    <w:rPr>
                      <w:szCs w:val="21"/>
                    </w:rPr>
                    <w:t>/</w:t>
                  </w:r>
                </w:p>
              </w:tc>
              <w:tc>
                <w:tcPr>
                  <w:tcW w:w="1357" w:type="dxa"/>
                  <w:noWrap w:val="0"/>
                  <w:vAlign w:val="center"/>
                </w:tcPr>
                <w:p>
                  <w:pPr>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1" w:type="dxa"/>
                  <w:noWrap w:val="0"/>
                  <w:vAlign w:val="center"/>
                </w:tcPr>
                <w:p>
                  <w:pPr>
                    <w:jc w:val="center"/>
                    <w:rPr>
                      <w:szCs w:val="21"/>
                    </w:rPr>
                  </w:pPr>
                  <w:r>
                    <w:rPr>
                      <w:szCs w:val="21"/>
                    </w:rPr>
                    <w:t>水量</w:t>
                  </w:r>
                </w:p>
              </w:tc>
              <w:tc>
                <w:tcPr>
                  <w:tcW w:w="1464" w:type="dxa"/>
                  <w:noWrap w:val="0"/>
                  <w:vAlign w:val="center"/>
                </w:tcPr>
                <w:p>
                  <w:pPr>
                    <w:jc w:val="center"/>
                    <w:rPr>
                      <w:szCs w:val="21"/>
                    </w:rPr>
                  </w:pPr>
                  <w:r>
                    <w:rPr>
                      <w:szCs w:val="21"/>
                    </w:rPr>
                    <w:t>自来水</w:t>
                  </w:r>
                </w:p>
              </w:tc>
              <w:tc>
                <w:tcPr>
                  <w:tcW w:w="1559" w:type="dxa"/>
                  <w:noWrap w:val="0"/>
                  <w:vAlign w:val="center"/>
                </w:tcPr>
                <w:p>
                  <w:pPr>
                    <w:jc w:val="center"/>
                    <w:rPr>
                      <w:szCs w:val="21"/>
                    </w:rPr>
                  </w:pPr>
                  <w:r>
                    <w:rPr>
                      <w:rFonts w:hint="eastAsia"/>
                      <w:szCs w:val="21"/>
                    </w:rPr>
                    <w:t>150</w:t>
                  </w:r>
                  <w:r>
                    <w:rPr>
                      <w:szCs w:val="21"/>
                    </w:rPr>
                    <w:t>m</w:t>
                  </w:r>
                  <w:r>
                    <w:rPr>
                      <w:szCs w:val="21"/>
                      <w:vertAlign w:val="superscript"/>
                    </w:rPr>
                    <w:t>3</w:t>
                  </w:r>
                  <w:r>
                    <w:rPr>
                      <w:szCs w:val="21"/>
                    </w:rPr>
                    <w:t>/a</w:t>
                  </w:r>
                </w:p>
              </w:tc>
              <w:tc>
                <w:tcPr>
                  <w:tcW w:w="1560" w:type="dxa"/>
                  <w:noWrap w:val="0"/>
                  <w:vAlign w:val="center"/>
                </w:tcPr>
                <w:p>
                  <w:pPr>
                    <w:jc w:val="center"/>
                    <w:rPr>
                      <w:szCs w:val="21"/>
                    </w:rPr>
                  </w:pPr>
                  <w:r>
                    <w:rPr>
                      <w:szCs w:val="21"/>
                    </w:rPr>
                    <w:t>自来水</w:t>
                  </w:r>
                  <w:r>
                    <w:rPr>
                      <w:rFonts w:hint="eastAsia"/>
                      <w:szCs w:val="21"/>
                    </w:rPr>
                    <w:t>管网</w:t>
                  </w:r>
                </w:p>
              </w:tc>
              <w:tc>
                <w:tcPr>
                  <w:tcW w:w="1559" w:type="dxa"/>
                  <w:noWrap w:val="0"/>
                  <w:vAlign w:val="center"/>
                </w:tcPr>
                <w:p>
                  <w:pPr>
                    <w:jc w:val="center"/>
                    <w:rPr>
                      <w:szCs w:val="21"/>
                    </w:rPr>
                  </w:pPr>
                  <w:r>
                    <w:rPr>
                      <w:szCs w:val="21"/>
                    </w:rPr>
                    <w:t>/</w:t>
                  </w:r>
                </w:p>
              </w:tc>
              <w:tc>
                <w:tcPr>
                  <w:tcW w:w="1357" w:type="dxa"/>
                  <w:noWrap w:val="0"/>
                  <w:vAlign w:val="center"/>
                </w:tcPr>
                <w:p>
                  <w:pPr>
                    <w:jc w:val="center"/>
                    <w:rPr>
                      <w:szCs w:val="21"/>
                    </w:rPr>
                  </w:pPr>
                  <w:r>
                    <w:rPr>
                      <w:szCs w:val="21"/>
                    </w:rPr>
                    <w:t>/</w:t>
                  </w:r>
                </w:p>
              </w:tc>
            </w:tr>
          </w:tbl>
          <w:p>
            <w:pPr>
              <w:spacing w:line="360" w:lineRule="auto"/>
              <w:ind w:firstLine="482" w:firstLineChars="200"/>
              <w:rPr>
                <w:rFonts w:hint="eastAsia"/>
                <w:b/>
                <w:sz w:val="24"/>
                <w:szCs w:val="28"/>
              </w:rPr>
            </w:pPr>
            <w:r>
              <w:rPr>
                <w:rFonts w:hint="eastAsia"/>
                <w:b/>
                <w:sz w:val="24"/>
                <w:szCs w:val="28"/>
              </w:rPr>
              <w:t>原辅材料理化性质</w:t>
            </w:r>
          </w:p>
          <w:p>
            <w:pPr>
              <w:spacing w:line="360" w:lineRule="auto"/>
              <w:ind w:firstLine="480" w:firstLineChars="200"/>
              <w:rPr>
                <w:rFonts w:hint="eastAsia"/>
                <w:sz w:val="24"/>
                <w:szCs w:val="28"/>
              </w:rPr>
            </w:pPr>
            <w:r>
              <w:rPr>
                <w:rFonts w:hint="eastAsia"/>
                <w:sz w:val="24"/>
                <w:szCs w:val="28"/>
              </w:rPr>
              <w:t>作为本项目原料的人造板包括刨花板、多层实木板、中密度纤维板。其规格为</w:t>
            </w:r>
            <w:r>
              <w:rPr>
                <w:rFonts w:hint="eastAsia"/>
                <w:sz w:val="24"/>
              </w:rPr>
              <w:t>240cm*120cm*1.5cm与240cm*120cm*1.8cm</w:t>
            </w:r>
            <w:r>
              <w:rPr>
                <w:rFonts w:hint="eastAsia"/>
                <w:sz w:val="24"/>
                <w:szCs w:val="28"/>
              </w:rPr>
              <w:t>。采购过程中均购置优质、无粉尘的原料。本项目原辅材料理化性质如下述：</w:t>
            </w:r>
          </w:p>
          <w:p>
            <w:pPr>
              <w:spacing w:line="360" w:lineRule="auto"/>
              <w:ind w:firstLine="482" w:firstLineChars="200"/>
              <w:rPr>
                <w:b/>
                <w:sz w:val="24"/>
              </w:rPr>
            </w:pPr>
            <w:r>
              <w:rPr>
                <w:b/>
                <w:sz w:val="24"/>
                <w:szCs w:val="28"/>
              </w:rPr>
              <w:t>（1）</w:t>
            </w:r>
            <w:r>
              <w:rPr>
                <w:rFonts w:hint="eastAsia"/>
                <w:b/>
                <w:sz w:val="24"/>
              </w:rPr>
              <w:t>刨花板</w:t>
            </w:r>
          </w:p>
          <w:p>
            <w:pPr>
              <w:snapToGrid w:val="0"/>
              <w:spacing w:line="360" w:lineRule="auto"/>
              <w:ind w:firstLine="480" w:firstLineChars="200"/>
              <w:rPr>
                <w:rFonts w:hint="eastAsia"/>
                <w:sz w:val="24"/>
                <w:szCs w:val="28"/>
              </w:rPr>
            </w:pPr>
            <w:r>
              <w:rPr>
                <w:sz w:val="24"/>
                <w:szCs w:val="28"/>
              </w:rPr>
              <w:t>刨花板（Particle board）又叫微粒板、颗粒板、蔗渣板，由木材或其他木质纤维素材料制成的碎料，施加胶粘剂后在热力和压力作用下胶合成的人造板，又称碎料板。主要用于家具制造和建筑工业及火车、汽车车厢制造。因为刨花板结构比较均匀，加工性能好，可以根据需要加工成大幅面的板材，是制作不同规格、样式的家具较好的原材料。</w:t>
            </w:r>
            <w:r>
              <w:rPr>
                <w:rFonts w:hint="eastAsia"/>
                <w:sz w:val="24"/>
                <w:szCs w:val="28"/>
              </w:rPr>
              <w:t>它拥有优秀的隔音和吸音性能</w:t>
            </w:r>
            <w:r>
              <w:rPr>
                <w:sz w:val="24"/>
                <w:szCs w:val="28"/>
              </w:rPr>
              <w:t>，但</w:t>
            </w:r>
            <w:r>
              <w:rPr>
                <w:rFonts w:hint="eastAsia"/>
                <w:sz w:val="24"/>
                <w:szCs w:val="28"/>
              </w:rPr>
              <w:t>因</w:t>
            </w:r>
            <w:r>
              <w:rPr>
                <w:sz w:val="24"/>
                <w:szCs w:val="28"/>
              </w:rPr>
              <w:t>它边缘粗糙，容易吸湿，所以用刨花板制作的家具封边工艺就显得特别重要。</w:t>
            </w:r>
          </w:p>
          <w:p>
            <w:pPr>
              <w:snapToGrid w:val="0"/>
              <w:spacing w:line="360" w:lineRule="auto"/>
              <w:ind w:firstLine="482" w:firstLineChars="200"/>
              <w:rPr>
                <w:rFonts w:hint="eastAsia"/>
                <w:b/>
                <w:sz w:val="24"/>
                <w:szCs w:val="28"/>
              </w:rPr>
            </w:pPr>
            <w:r>
              <w:rPr>
                <w:b/>
                <w:sz w:val="24"/>
                <w:szCs w:val="28"/>
              </w:rPr>
              <w:t>（</w:t>
            </w:r>
            <w:r>
              <w:rPr>
                <w:rFonts w:hint="eastAsia"/>
                <w:b/>
                <w:sz w:val="24"/>
                <w:szCs w:val="28"/>
              </w:rPr>
              <w:t>2</w:t>
            </w:r>
            <w:r>
              <w:rPr>
                <w:b/>
                <w:sz w:val="24"/>
                <w:szCs w:val="28"/>
              </w:rPr>
              <w:t>）</w:t>
            </w:r>
            <w:r>
              <w:rPr>
                <w:rFonts w:hint="eastAsia"/>
                <w:b/>
                <w:sz w:val="24"/>
                <w:szCs w:val="28"/>
              </w:rPr>
              <w:t>多层实木板</w:t>
            </w:r>
          </w:p>
          <w:p>
            <w:pPr>
              <w:snapToGrid w:val="0"/>
              <w:spacing w:line="360" w:lineRule="auto"/>
              <w:ind w:firstLine="480" w:firstLineChars="200"/>
              <w:rPr>
                <w:rFonts w:hint="eastAsia"/>
                <w:sz w:val="24"/>
                <w:szCs w:val="28"/>
              </w:rPr>
            </w:pPr>
            <w:r>
              <w:rPr>
                <w:sz w:val="24"/>
                <w:szCs w:val="28"/>
              </w:rPr>
              <w:fldChar w:fldCharType="begin"/>
            </w:r>
            <w:r>
              <w:rPr>
                <w:sz w:val="24"/>
                <w:szCs w:val="28"/>
              </w:rPr>
              <w:instrText xml:space="preserve"> HYPERLINK "https://baike.baidu.com/item/%E5%A4%9A%E5%B1%82" \t "_blank" </w:instrText>
            </w:r>
            <w:r>
              <w:rPr>
                <w:sz w:val="24"/>
                <w:szCs w:val="28"/>
              </w:rPr>
              <w:fldChar w:fldCharType="separate"/>
            </w:r>
            <w:r>
              <w:rPr>
                <w:sz w:val="24"/>
                <w:szCs w:val="28"/>
              </w:rPr>
              <w:t>多层</w:t>
            </w:r>
            <w:r>
              <w:rPr>
                <w:sz w:val="24"/>
                <w:szCs w:val="28"/>
              </w:rPr>
              <w:fldChar w:fldCharType="end"/>
            </w:r>
            <w:r>
              <w:rPr>
                <w:sz w:val="24"/>
                <w:szCs w:val="28"/>
              </w:rPr>
              <w:t>实木板</w:t>
            </w:r>
            <w:r>
              <w:rPr>
                <w:rFonts w:hint="eastAsia"/>
                <w:sz w:val="24"/>
                <w:szCs w:val="28"/>
              </w:rPr>
              <w:t>又称胶合板</w:t>
            </w:r>
            <w:r>
              <w:rPr>
                <w:sz w:val="24"/>
                <w:szCs w:val="28"/>
              </w:rPr>
              <w:t>是由三层或多层的单板或薄板的木板胶贴热压制而成。</w:t>
            </w:r>
            <w:r>
              <w:rPr>
                <w:rFonts w:hint="eastAsia"/>
                <w:sz w:val="24"/>
                <w:szCs w:val="28"/>
              </w:rPr>
              <w:t>其</w:t>
            </w:r>
            <w:r>
              <w:rPr>
                <w:sz w:val="24"/>
                <w:szCs w:val="28"/>
              </w:rPr>
              <w:t>环保等级达到E1，是目前手工制作家具最为常用的材料。</w:t>
            </w:r>
            <w:r>
              <w:rPr>
                <w:rFonts w:hint="eastAsia"/>
                <w:sz w:val="24"/>
                <w:szCs w:val="28"/>
              </w:rPr>
              <w:t>其特点是变形小，强度大，</w:t>
            </w:r>
            <w:r>
              <w:rPr>
                <w:sz w:val="24"/>
                <w:szCs w:val="28"/>
              </w:rPr>
              <w:t>内在质量好(割锯后孔洞小、不分层)，平整度好。</w:t>
            </w:r>
            <w:r>
              <w:rPr>
                <w:rFonts w:hint="eastAsia"/>
                <w:sz w:val="24"/>
                <w:szCs w:val="28"/>
              </w:rPr>
              <w:t>它具有</w:t>
            </w:r>
            <w:r>
              <w:rPr>
                <w:sz w:val="24"/>
                <w:szCs w:val="28"/>
              </w:rPr>
              <w:t>调节室内温度和湿度的优良性能，</w:t>
            </w:r>
            <w:r>
              <w:rPr>
                <w:rFonts w:hint="eastAsia"/>
                <w:sz w:val="24"/>
                <w:szCs w:val="28"/>
              </w:rPr>
              <w:t>并且其所采用的胶量较小，环保性能较好。</w:t>
            </w:r>
          </w:p>
          <w:p>
            <w:pPr>
              <w:snapToGrid w:val="0"/>
              <w:spacing w:line="360" w:lineRule="auto"/>
              <w:ind w:firstLine="482" w:firstLineChars="200"/>
              <w:rPr>
                <w:rFonts w:hint="eastAsia"/>
                <w:b/>
                <w:sz w:val="24"/>
                <w:szCs w:val="28"/>
              </w:rPr>
            </w:pPr>
            <w:r>
              <w:rPr>
                <w:rFonts w:hint="eastAsia"/>
                <w:b/>
                <w:sz w:val="24"/>
                <w:szCs w:val="28"/>
              </w:rPr>
              <w:t>（3）中密度纤维板</w:t>
            </w:r>
          </w:p>
          <w:p>
            <w:pPr>
              <w:snapToGrid w:val="0"/>
              <w:spacing w:line="360" w:lineRule="auto"/>
              <w:ind w:firstLine="480" w:firstLineChars="200"/>
              <w:rPr>
                <w:rFonts w:hint="eastAsia"/>
                <w:sz w:val="24"/>
                <w:szCs w:val="28"/>
              </w:rPr>
            </w:pPr>
            <w:r>
              <w:rPr>
                <w:sz w:val="24"/>
                <w:szCs w:val="28"/>
              </w:rPr>
              <w:t>中密度</w:t>
            </w:r>
            <w:r>
              <w:rPr>
                <w:sz w:val="24"/>
                <w:szCs w:val="28"/>
              </w:rPr>
              <w:fldChar w:fldCharType="begin"/>
            </w:r>
            <w:r>
              <w:rPr>
                <w:sz w:val="24"/>
                <w:szCs w:val="28"/>
              </w:rPr>
              <w:instrText xml:space="preserve"> HYPERLINK "https://baike.baidu.com/item/%E7%BA%A4%E7%BB%B4%E6%9D%BF" \t "_blank" </w:instrText>
            </w:r>
            <w:r>
              <w:rPr>
                <w:sz w:val="24"/>
                <w:szCs w:val="28"/>
              </w:rPr>
              <w:fldChar w:fldCharType="separate"/>
            </w:r>
            <w:r>
              <w:rPr>
                <w:sz w:val="24"/>
                <w:szCs w:val="28"/>
              </w:rPr>
              <w:t>纤维板</w:t>
            </w:r>
            <w:r>
              <w:rPr>
                <w:sz w:val="24"/>
                <w:szCs w:val="28"/>
              </w:rPr>
              <w:fldChar w:fldCharType="end"/>
            </w:r>
            <w:r>
              <w:rPr>
                <w:sz w:val="24"/>
                <w:szCs w:val="28"/>
              </w:rPr>
              <w:t>是将木材或植物纤维经机械分离和化学处理手段，掺入</w:t>
            </w:r>
            <w:r>
              <w:rPr>
                <w:sz w:val="24"/>
                <w:szCs w:val="28"/>
              </w:rPr>
              <w:fldChar w:fldCharType="begin"/>
            </w:r>
            <w:r>
              <w:rPr>
                <w:sz w:val="24"/>
                <w:szCs w:val="28"/>
              </w:rPr>
              <w:instrText xml:space="preserve"> HYPERLINK "https://baike.baidu.com/item/%E8%83%B6%E7%B2%98%E5%89%82" \t "_blank" </w:instrText>
            </w:r>
            <w:r>
              <w:rPr>
                <w:sz w:val="24"/>
                <w:szCs w:val="28"/>
              </w:rPr>
              <w:fldChar w:fldCharType="separate"/>
            </w:r>
            <w:r>
              <w:rPr>
                <w:sz w:val="24"/>
                <w:szCs w:val="28"/>
              </w:rPr>
              <w:t>胶粘剂</w:t>
            </w:r>
            <w:r>
              <w:rPr>
                <w:sz w:val="24"/>
                <w:szCs w:val="28"/>
              </w:rPr>
              <w:fldChar w:fldCharType="end"/>
            </w:r>
            <w:r>
              <w:rPr>
                <w:sz w:val="24"/>
                <w:szCs w:val="28"/>
              </w:rPr>
              <w:t>和</w:t>
            </w:r>
            <w:r>
              <w:rPr>
                <w:sz w:val="24"/>
                <w:szCs w:val="28"/>
              </w:rPr>
              <w:fldChar w:fldCharType="begin"/>
            </w:r>
            <w:r>
              <w:rPr>
                <w:sz w:val="24"/>
                <w:szCs w:val="28"/>
              </w:rPr>
              <w:instrText xml:space="preserve"> HYPERLINK "https://baike.baidu.com/item/%E9%98%B2%E6%B0%B4%E5%89%82" \t "_blank" </w:instrText>
            </w:r>
            <w:r>
              <w:rPr>
                <w:sz w:val="24"/>
                <w:szCs w:val="28"/>
              </w:rPr>
              <w:fldChar w:fldCharType="separate"/>
            </w:r>
            <w:r>
              <w:rPr>
                <w:sz w:val="24"/>
                <w:szCs w:val="28"/>
              </w:rPr>
              <w:t>防水剂</w:t>
            </w:r>
            <w:r>
              <w:rPr>
                <w:sz w:val="24"/>
                <w:szCs w:val="28"/>
              </w:rPr>
              <w:fldChar w:fldCharType="end"/>
            </w:r>
            <w:r>
              <w:rPr>
                <w:sz w:val="24"/>
                <w:szCs w:val="28"/>
              </w:rPr>
              <w:t>等，再经高温、高压成型制成的一种</w:t>
            </w:r>
            <w:r>
              <w:rPr>
                <w:sz w:val="24"/>
                <w:szCs w:val="28"/>
              </w:rPr>
              <w:fldChar w:fldCharType="begin"/>
            </w:r>
            <w:r>
              <w:rPr>
                <w:sz w:val="24"/>
                <w:szCs w:val="28"/>
              </w:rPr>
              <w:instrText xml:space="preserve"> HYPERLINK "https://baike.baidu.com/item/%E4%BA%BA%E9%80%A0%E6%9D%BF" \t "_blank" </w:instrText>
            </w:r>
            <w:r>
              <w:rPr>
                <w:sz w:val="24"/>
                <w:szCs w:val="28"/>
              </w:rPr>
              <w:fldChar w:fldCharType="separate"/>
            </w:r>
            <w:r>
              <w:rPr>
                <w:sz w:val="24"/>
                <w:szCs w:val="28"/>
              </w:rPr>
              <w:t>人造板</w:t>
            </w:r>
            <w:r>
              <w:rPr>
                <w:sz w:val="24"/>
                <w:szCs w:val="28"/>
              </w:rPr>
              <w:fldChar w:fldCharType="end"/>
            </w:r>
            <w:r>
              <w:rPr>
                <w:sz w:val="24"/>
                <w:szCs w:val="28"/>
              </w:rPr>
              <w:t>材，是制作家具较为理想的人造板材。 中密度纤维板的结构比天然木材均匀，也避免了腐朽、虫蛀等问题，同时它胀缩性小，便于加工。由于中密度纤维板表面平整，易于粘贴各种饰面，可以使制成品家具更加美观。在抗弯曲强度和冲击强度方面，均优于</w:t>
            </w:r>
            <w:r>
              <w:rPr>
                <w:sz w:val="24"/>
                <w:szCs w:val="28"/>
              </w:rPr>
              <w:fldChar w:fldCharType="begin"/>
            </w:r>
            <w:r>
              <w:rPr>
                <w:sz w:val="24"/>
                <w:szCs w:val="28"/>
              </w:rPr>
              <w:instrText xml:space="preserve"> HYPERLINK "https://baike.baidu.com/item/%E5%88%A8%E8%8A%B1%E6%9D%BF" \t "_blank" </w:instrText>
            </w:r>
            <w:r>
              <w:rPr>
                <w:sz w:val="24"/>
                <w:szCs w:val="28"/>
              </w:rPr>
              <w:fldChar w:fldCharType="separate"/>
            </w:r>
            <w:r>
              <w:rPr>
                <w:sz w:val="24"/>
                <w:szCs w:val="28"/>
              </w:rPr>
              <w:t>刨花板</w:t>
            </w:r>
            <w:r>
              <w:rPr>
                <w:sz w:val="24"/>
                <w:szCs w:val="28"/>
              </w:rPr>
              <w:fldChar w:fldCharType="end"/>
            </w:r>
            <w:r>
              <w:rPr>
                <w:sz w:val="24"/>
                <w:szCs w:val="28"/>
              </w:rPr>
              <w:t>。</w:t>
            </w:r>
          </w:p>
          <w:p>
            <w:pPr>
              <w:snapToGrid w:val="0"/>
              <w:spacing w:line="360" w:lineRule="auto"/>
              <w:ind w:firstLine="480" w:firstLineChars="200"/>
              <w:rPr>
                <w:rFonts w:hint="eastAsia"/>
                <w:sz w:val="24"/>
                <w:szCs w:val="28"/>
              </w:rPr>
            </w:pPr>
            <w:r>
              <w:rPr>
                <w:sz w:val="24"/>
                <w:szCs w:val="28"/>
              </w:rPr>
              <w:t>国标GB18580—2001《室内装饰装修材料 人造板及其制品中甲醛释放限量》规定中纤板分为E1级与E2级2个等级，E1级产品的甲醛释放限量值为≤9mg/100g（可直接用于室内），E2级产品为≤30mg/100g（必须饰面处理后可允许用于室内）。</w:t>
            </w:r>
          </w:p>
          <w:p>
            <w:pPr>
              <w:snapToGrid w:val="0"/>
              <w:spacing w:line="360" w:lineRule="auto"/>
              <w:ind w:firstLine="482" w:firstLineChars="200"/>
              <w:rPr>
                <w:rFonts w:hint="eastAsia"/>
                <w:b/>
                <w:sz w:val="24"/>
                <w:szCs w:val="28"/>
              </w:rPr>
            </w:pPr>
            <w:r>
              <w:rPr>
                <w:rFonts w:hint="eastAsia"/>
                <w:b/>
                <w:sz w:val="24"/>
                <w:szCs w:val="28"/>
              </w:rPr>
              <w:t>（4）三聚氰胺浸渍纸</w:t>
            </w:r>
          </w:p>
          <w:p>
            <w:pPr>
              <w:snapToGrid w:val="0"/>
              <w:spacing w:line="360" w:lineRule="auto"/>
              <w:ind w:firstLine="480" w:firstLineChars="200"/>
              <w:rPr>
                <w:rFonts w:hint="eastAsia"/>
                <w:sz w:val="24"/>
                <w:szCs w:val="28"/>
              </w:rPr>
            </w:pPr>
            <w:r>
              <w:rPr>
                <w:sz w:val="24"/>
                <w:szCs w:val="28"/>
              </w:rPr>
              <w:t>全称三聚氰胺浸渍胶膜纸（Melamine-Urea-Formaldehyde Impregnated Bond Paper），也称“蜜胺”纸，是一种素色原纸或印刷装饰纸经浸渍</w:t>
            </w:r>
            <w:r>
              <w:rPr>
                <w:rFonts w:hint="eastAsia"/>
                <w:sz w:val="24"/>
                <w:szCs w:val="28"/>
              </w:rPr>
              <w:t>密胺（又称三聚氰胺）</w:t>
            </w:r>
            <w:r>
              <w:rPr>
                <w:sz w:val="24"/>
                <w:szCs w:val="28"/>
              </w:rPr>
              <w:t>并干燥到一定程度、具有一定树脂含量和挥发物含量的胶纸。</w:t>
            </w:r>
          </w:p>
          <w:p>
            <w:pPr>
              <w:rPr>
                <w:rFonts w:hint="eastAsia" w:ascii="宋体" w:hAnsi="宋体"/>
                <w:b/>
                <w:sz w:val="24"/>
                <w:szCs w:val="28"/>
              </w:rPr>
            </w:pPr>
            <w:r>
              <w:rPr>
                <w:rFonts w:hint="eastAsia"/>
                <w:sz w:val="24"/>
                <w:szCs w:val="28"/>
              </w:rPr>
              <w:t xml:space="preserve">     密胺的理化性质如下表1-4</w:t>
            </w:r>
          </w:p>
          <w:p>
            <w:pPr>
              <w:jc w:val="center"/>
              <w:rPr>
                <w:rFonts w:hint="eastAsia" w:ascii="宋体" w:hAnsi="宋体"/>
                <w:b/>
                <w:sz w:val="21"/>
                <w:szCs w:val="21"/>
              </w:rPr>
            </w:pPr>
          </w:p>
          <w:p>
            <w:pPr>
              <w:jc w:val="center"/>
              <w:rPr>
                <w:rFonts w:hint="eastAsia" w:ascii="宋体" w:hAnsi="宋体"/>
                <w:b/>
                <w:sz w:val="21"/>
                <w:szCs w:val="21"/>
              </w:rPr>
            </w:pPr>
            <w:r>
              <w:rPr>
                <w:rFonts w:hint="eastAsia" w:ascii="宋体" w:hAnsi="宋体"/>
                <w:b/>
                <w:sz w:val="21"/>
                <w:szCs w:val="21"/>
              </w:rPr>
              <w:t>表1-4     三聚氰胺浸渍纸理化性质表</w:t>
            </w:r>
          </w:p>
          <w:tbl>
            <w:tblPr>
              <w:tblStyle w:val="69"/>
              <w:tblW w:w="83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2552"/>
              <w:gridCol w:w="2835"/>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1601" w:type="dxa"/>
                  <w:noWrap w:val="0"/>
                  <w:vAlign w:val="center"/>
                </w:tcPr>
                <w:p>
                  <w:pPr>
                    <w:widowControl/>
                    <w:jc w:val="center"/>
                    <w:rPr>
                      <w:b/>
                      <w:kern w:val="0"/>
                      <w:szCs w:val="21"/>
                    </w:rPr>
                  </w:pPr>
                  <w:r>
                    <w:rPr>
                      <w:rFonts w:hint="eastAsia"/>
                      <w:b/>
                      <w:kern w:val="0"/>
                      <w:szCs w:val="21"/>
                    </w:rPr>
                    <w:t>名称</w:t>
                  </w:r>
                </w:p>
              </w:tc>
              <w:tc>
                <w:tcPr>
                  <w:tcW w:w="2552" w:type="dxa"/>
                  <w:noWrap w:val="0"/>
                  <w:vAlign w:val="center"/>
                </w:tcPr>
                <w:p>
                  <w:pPr>
                    <w:widowControl/>
                    <w:jc w:val="center"/>
                    <w:rPr>
                      <w:b/>
                      <w:kern w:val="0"/>
                      <w:szCs w:val="21"/>
                    </w:rPr>
                  </w:pPr>
                  <w:r>
                    <w:rPr>
                      <w:rFonts w:hint="eastAsia"/>
                      <w:b/>
                      <w:kern w:val="0"/>
                      <w:szCs w:val="21"/>
                    </w:rPr>
                    <w:t>物理特性</w:t>
                  </w:r>
                </w:p>
              </w:tc>
              <w:tc>
                <w:tcPr>
                  <w:tcW w:w="2835" w:type="dxa"/>
                  <w:noWrap w:val="0"/>
                  <w:vAlign w:val="center"/>
                </w:tcPr>
                <w:p>
                  <w:pPr>
                    <w:widowControl/>
                    <w:jc w:val="center"/>
                    <w:rPr>
                      <w:b/>
                      <w:kern w:val="0"/>
                      <w:szCs w:val="21"/>
                    </w:rPr>
                  </w:pPr>
                  <w:r>
                    <w:rPr>
                      <w:rFonts w:hint="eastAsia"/>
                      <w:b/>
                      <w:kern w:val="0"/>
                      <w:szCs w:val="21"/>
                    </w:rPr>
                    <w:t>化学特性</w:t>
                  </w:r>
                </w:p>
              </w:tc>
              <w:tc>
                <w:tcPr>
                  <w:tcW w:w="1383" w:type="dxa"/>
                  <w:noWrap w:val="0"/>
                  <w:vAlign w:val="center"/>
                </w:tcPr>
                <w:p>
                  <w:pPr>
                    <w:widowControl/>
                    <w:jc w:val="center"/>
                    <w:rPr>
                      <w:b/>
                      <w:kern w:val="0"/>
                      <w:szCs w:val="21"/>
                    </w:rPr>
                  </w:pPr>
                  <w:r>
                    <w:rPr>
                      <w:rFonts w:hint="eastAsia"/>
                      <w:b/>
                      <w:kern w:val="0"/>
                      <w:szCs w:val="21"/>
                    </w:rPr>
                    <w:t>毒理毒性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0" w:hRule="atLeast"/>
                <w:jc w:val="center"/>
              </w:trPr>
              <w:tc>
                <w:tcPr>
                  <w:tcW w:w="1601" w:type="dxa"/>
                  <w:noWrap w:val="0"/>
                  <w:vAlign w:val="center"/>
                </w:tcPr>
                <w:p>
                  <w:pPr>
                    <w:widowControl/>
                    <w:jc w:val="center"/>
                    <w:rPr>
                      <w:rFonts w:hint="eastAsia"/>
                      <w:szCs w:val="21"/>
                    </w:rPr>
                  </w:pPr>
                  <w:r>
                    <w:rPr>
                      <w:rFonts w:hint="eastAsia"/>
                      <w:szCs w:val="21"/>
                    </w:rPr>
                    <w:t>密胺</w:t>
                  </w:r>
                </w:p>
                <w:p>
                  <w:pPr>
                    <w:widowControl/>
                    <w:jc w:val="center"/>
                    <w:rPr>
                      <w:rFonts w:hint="eastAsia"/>
                      <w:szCs w:val="21"/>
                    </w:rPr>
                  </w:pPr>
                  <w:r>
                    <w:rPr>
                      <w:rFonts w:hint="eastAsia"/>
                      <w:szCs w:val="21"/>
                    </w:rPr>
                    <w:t>（</w:t>
                  </w:r>
                  <w:r>
                    <w:rPr>
                      <w:rFonts w:ascii="Arial" w:hAnsi="Arial" w:cs="Arial"/>
                      <w:color w:val="333333"/>
                      <w:szCs w:val="21"/>
                    </w:rPr>
                    <w:t>Melamine</w:t>
                  </w:r>
                  <w:r>
                    <w:rPr>
                      <w:rFonts w:hint="eastAsia"/>
                      <w:szCs w:val="21"/>
                    </w:rPr>
                    <w:t>）</w:t>
                  </w:r>
                </w:p>
                <w:p>
                  <w:pPr>
                    <w:widowControl/>
                    <w:jc w:val="center"/>
                    <w:rPr>
                      <w:rFonts w:hint="eastAsia"/>
                      <w:kern w:val="0"/>
                      <w:szCs w:val="21"/>
                    </w:rPr>
                  </w:pPr>
                  <w:r>
                    <w:rPr>
                      <w:rFonts w:ascii="Arial" w:hAnsi="Arial" w:cs="Arial"/>
                      <w:color w:val="333333"/>
                      <w:szCs w:val="21"/>
                    </w:rPr>
                    <w:t>C</w:t>
                  </w:r>
                  <w:r>
                    <w:rPr>
                      <w:rFonts w:ascii="Arial" w:hAnsi="Arial" w:cs="Arial"/>
                      <w:color w:val="333333"/>
                      <w:szCs w:val="21"/>
                      <w:vertAlign w:val="subscript"/>
                    </w:rPr>
                    <w:t>3</w:t>
                  </w:r>
                  <w:r>
                    <w:rPr>
                      <w:rFonts w:ascii="Arial" w:hAnsi="Arial" w:cs="Arial"/>
                      <w:color w:val="333333"/>
                      <w:szCs w:val="21"/>
                    </w:rPr>
                    <w:t>N</w:t>
                  </w:r>
                  <w:r>
                    <w:rPr>
                      <w:rFonts w:ascii="Arial" w:hAnsi="Arial" w:cs="Arial"/>
                      <w:color w:val="333333"/>
                      <w:szCs w:val="21"/>
                      <w:vertAlign w:val="subscript"/>
                    </w:rPr>
                    <w:t>3</w:t>
                  </w:r>
                  <w:r>
                    <w:rPr>
                      <w:rFonts w:ascii="Arial" w:hAnsi="Arial" w:cs="Arial"/>
                      <w:color w:val="333333"/>
                      <w:szCs w:val="21"/>
                    </w:rPr>
                    <w:t>（NH</w:t>
                  </w:r>
                  <w:r>
                    <w:rPr>
                      <w:rFonts w:ascii="Arial" w:hAnsi="Arial" w:cs="Arial"/>
                      <w:color w:val="333333"/>
                      <w:szCs w:val="21"/>
                      <w:vertAlign w:val="subscript"/>
                    </w:rPr>
                    <w:t>2</w:t>
                  </w:r>
                  <w:r>
                    <w:rPr>
                      <w:rFonts w:ascii="Arial" w:hAnsi="Arial" w:cs="Arial"/>
                      <w:color w:val="333333"/>
                      <w:szCs w:val="21"/>
                    </w:rPr>
                    <w:t>）</w:t>
                  </w:r>
                  <w:r>
                    <w:rPr>
                      <w:rFonts w:ascii="Arial" w:hAnsi="Arial" w:cs="Arial"/>
                      <w:color w:val="333333"/>
                      <w:szCs w:val="21"/>
                      <w:vertAlign w:val="subscript"/>
                    </w:rPr>
                    <w:t>3</w:t>
                  </w:r>
                </w:p>
              </w:tc>
              <w:tc>
                <w:tcPr>
                  <w:tcW w:w="2552" w:type="dxa"/>
                  <w:noWrap w:val="0"/>
                  <w:vAlign w:val="center"/>
                </w:tcPr>
                <w:p>
                  <w:pPr>
                    <w:widowControl/>
                    <w:jc w:val="center"/>
                    <w:rPr>
                      <w:szCs w:val="21"/>
                    </w:rPr>
                  </w:pPr>
                  <w:r>
                    <w:rPr>
                      <w:rFonts w:hint="eastAsia"/>
                      <w:szCs w:val="21"/>
                    </w:rPr>
                    <w:t>属于</w:t>
                  </w:r>
                  <w:r>
                    <w:rPr>
                      <w:szCs w:val="21"/>
                    </w:rPr>
                    <w:t>热固性塑料。具有无毒无味，耐磕碰、耐腐蚀、耐高温、耐低温等优点。 结构紧密，有较强的硬度，不易摔破，有很强的耐用性 ，该塑料的一大有点就是容易着色，且颜色非常漂亮。综合性能比较好。</w:t>
                  </w:r>
                </w:p>
                <w:p>
                  <w:pPr>
                    <w:widowControl/>
                    <w:jc w:val="center"/>
                    <w:rPr>
                      <w:rFonts w:hint="eastAsia"/>
                      <w:szCs w:val="21"/>
                    </w:rPr>
                  </w:pPr>
                </w:p>
              </w:tc>
              <w:tc>
                <w:tcPr>
                  <w:tcW w:w="2835" w:type="dxa"/>
                  <w:noWrap w:val="0"/>
                  <w:vAlign w:val="center"/>
                </w:tcPr>
                <w:p>
                  <w:pPr>
                    <w:widowControl/>
                    <w:jc w:val="center"/>
                    <w:rPr>
                      <w:rFonts w:hint="eastAsia"/>
                      <w:szCs w:val="21"/>
                    </w:rPr>
                  </w:pPr>
                  <w:r>
                    <w:rPr>
                      <w:szCs w:val="21"/>
                    </w:rPr>
                    <w:t>不可燃，在常温下性质稳定。水溶液呈</w:t>
                  </w:r>
                  <w:r>
                    <w:rPr>
                      <w:szCs w:val="21"/>
                    </w:rPr>
                    <w:fldChar w:fldCharType="begin"/>
                  </w:r>
                  <w:r>
                    <w:rPr>
                      <w:szCs w:val="21"/>
                    </w:rPr>
                    <w:instrText xml:space="preserve"> HYPERLINK "https://baike.baidu.com/item/%E5%BC%B1%E7%A2%B1%E6%80%A7" \t "_blank" </w:instrText>
                  </w:r>
                  <w:r>
                    <w:rPr>
                      <w:szCs w:val="21"/>
                    </w:rPr>
                    <w:fldChar w:fldCharType="separate"/>
                  </w:r>
                  <w:r>
                    <w:rPr>
                      <w:szCs w:val="21"/>
                    </w:rPr>
                    <w:t>弱碱性</w:t>
                  </w:r>
                  <w:r>
                    <w:rPr>
                      <w:szCs w:val="21"/>
                    </w:rPr>
                    <w:fldChar w:fldCharType="end"/>
                  </w:r>
                  <w:r>
                    <w:rPr>
                      <w:szCs w:val="21"/>
                    </w:rPr>
                    <w:t>（</w:t>
                  </w:r>
                  <w:r>
                    <w:rPr>
                      <w:szCs w:val="21"/>
                    </w:rPr>
                    <w:fldChar w:fldCharType="begin"/>
                  </w:r>
                  <w:r>
                    <w:rPr>
                      <w:szCs w:val="21"/>
                    </w:rPr>
                    <w:instrText xml:space="preserve"> HYPERLINK "https://baike.baidu.com/item/pH%E5%80%BC" \t "_blank" </w:instrText>
                  </w:r>
                  <w:r>
                    <w:rPr>
                      <w:szCs w:val="21"/>
                    </w:rPr>
                    <w:fldChar w:fldCharType="separate"/>
                  </w:r>
                  <w:r>
                    <w:rPr>
                      <w:szCs w:val="21"/>
                    </w:rPr>
                    <w:t>pH值</w:t>
                  </w:r>
                  <w:r>
                    <w:rPr>
                      <w:szCs w:val="21"/>
                    </w:rPr>
                    <w:fldChar w:fldCharType="end"/>
                  </w:r>
                  <w:r>
                    <w:rPr>
                      <w:szCs w:val="21"/>
                    </w:rPr>
                    <w:t>=8），与</w:t>
                  </w:r>
                  <w:r>
                    <w:rPr>
                      <w:szCs w:val="21"/>
                    </w:rPr>
                    <w:fldChar w:fldCharType="begin"/>
                  </w:r>
                  <w:r>
                    <w:rPr>
                      <w:szCs w:val="21"/>
                    </w:rPr>
                    <w:instrText xml:space="preserve"> HYPERLINK "https://baike.baidu.com/item/%E7%9B%90%E9%85%B8" \t "_blank" </w:instrText>
                  </w:r>
                  <w:r>
                    <w:rPr>
                      <w:szCs w:val="21"/>
                    </w:rPr>
                    <w:fldChar w:fldCharType="separate"/>
                  </w:r>
                  <w:r>
                    <w:rPr>
                      <w:szCs w:val="21"/>
                    </w:rPr>
                    <w:t>盐酸</w:t>
                  </w:r>
                  <w:r>
                    <w:rPr>
                      <w:szCs w:val="21"/>
                    </w:rPr>
                    <w:fldChar w:fldCharType="end"/>
                  </w:r>
                  <w:r>
                    <w:rPr>
                      <w:szCs w:val="21"/>
                    </w:rPr>
                    <w:t>、</w:t>
                  </w:r>
                  <w:r>
                    <w:rPr>
                      <w:szCs w:val="21"/>
                    </w:rPr>
                    <w:fldChar w:fldCharType="begin"/>
                  </w:r>
                  <w:r>
                    <w:rPr>
                      <w:szCs w:val="21"/>
                    </w:rPr>
                    <w:instrText xml:space="preserve"> HYPERLINK "https://baike.baidu.com/item/%E7%A1%AB%E9%85%B8" \t "_blank" </w:instrText>
                  </w:r>
                  <w:r>
                    <w:rPr>
                      <w:szCs w:val="21"/>
                    </w:rPr>
                    <w:fldChar w:fldCharType="separate"/>
                  </w:r>
                  <w:r>
                    <w:rPr>
                      <w:szCs w:val="21"/>
                    </w:rPr>
                    <w:t>硫酸</w:t>
                  </w:r>
                  <w:r>
                    <w:rPr>
                      <w:szCs w:val="21"/>
                    </w:rPr>
                    <w:fldChar w:fldCharType="end"/>
                  </w:r>
                  <w:r>
                    <w:rPr>
                      <w:szCs w:val="21"/>
                    </w:rPr>
                    <w:t>、</w:t>
                  </w:r>
                  <w:r>
                    <w:rPr>
                      <w:szCs w:val="21"/>
                    </w:rPr>
                    <w:fldChar w:fldCharType="begin"/>
                  </w:r>
                  <w:r>
                    <w:rPr>
                      <w:szCs w:val="21"/>
                    </w:rPr>
                    <w:instrText xml:space="preserve"> HYPERLINK "https://baike.baidu.com/item/%E7%A1%9D%E9%85%B8" \t "_blank" </w:instrText>
                  </w:r>
                  <w:r>
                    <w:rPr>
                      <w:szCs w:val="21"/>
                    </w:rPr>
                    <w:fldChar w:fldCharType="separate"/>
                  </w:r>
                  <w:r>
                    <w:rPr>
                      <w:szCs w:val="21"/>
                    </w:rPr>
                    <w:t>硝酸</w:t>
                  </w:r>
                  <w:r>
                    <w:rPr>
                      <w:szCs w:val="21"/>
                    </w:rPr>
                    <w:fldChar w:fldCharType="end"/>
                  </w:r>
                  <w:r>
                    <w:rPr>
                      <w:szCs w:val="21"/>
                    </w:rPr>
                    <w:t>、</w:t>
                  </w:r>
                  <w:r>
                    <w:rPr>
                      <w:szCs w:val="21"/>
                    </w:rPr>
                    <w:fldChar w:fldCharType="begin"/>
                  </w:r>
                  <w:r>
                    <w:rPr>
                      <w:szCs w:val="21"/>
                    </w:rPr>
                    <w:instrText xml:space="preserve"> HYPERLINK "https://baike.baidu.com/item/%E4%B9%99%E9%85%B8" \t "_blank" </w:instrText>
                  </w:r>
                  <w:r>
                    <w:rPr>
                      <w:szCs w:val="21"/>
                    </w:rPr>
                    <w:fldChar w:fldCharType="separate"/>
                  </w:r>
                  <w:r>
                    <w:rPr>
                      <w:szCs w:val="21"/>
                    </w:rPr>
                    <w:t>乙酸</w:t>
                  </w:r>
                  <w:r>
                    <w:rPr>
                      <w:szCs w:val="21"/>
                    </w:rPr>
                    <w:fldChar w:fldCharType="end"/>
                  </w:r>
                  <w:r>
                    <w:rPr>
                      <w:szCs w:val="21"/>
                    </w:rPr>
                    <w:t>、</w:t>
                  </w:r>
                  <w:r>
                    <w:rPr>
                      <w:szCs w:val="21"/>
                    </w:rPr>
                    <w:fldChar w:fldCharType="begin"/>
                  </w:r>
                  <w:r>
                    <w:rPr>
                      <w:szCs w:val="21"/>
                    </w:rPr>
                    <w:instrText xml:space="preserve"> HYPERLINK "https://baike.baidu.com/item/%E8%8D%89%E9%85%B8" \t "_blank" </w:instrText>
                  </w:r>
                  <w:r>
                    <w:rPr>
                      <w:szCs w:val="21"/>
                    </w:rPr>
                    <w:fldChar w:fldCharType="separate"/>
                  </w:r>
                  <w:r>
                    <w:rPr>
                      <w:szCs w:val="21"/>
                    </w:rPr>
                    <w:t>草酸</w:t>
                  </w:r>
                  <w:r>
                    <w:rPr>
                      <w:szCs w:val="21"/>
                    </w:rPr>
                    <w:fldChar w:fldCharType="end"/>
                  </w:r>
                  <w:r>
                    <w:rPr>
                      <w:szCs w:val="21"/>
                    </w:rPr>
                    <w:t>等都能形成三聚氰胺盐。在</w:t>
                  </w:r>
                  <w:r>
                    <w:rPr>
                      <w:szCs w:val="21"/>
                    </w:rPr>
                    <w:fldChar w:fldCharType="begin"/>
                  </w:r>
                  <w:r>
                    <w:rPr>
                      <w:szCs w:val="21"/>
                    </w:rPr>
                    <w:instrText xml:space="preserve"> HYPERLINK "https://baike.baidu.com/item/%E4%B8%AD%E6%80%A7" \t "_blank" </w:instrText>
                  </w:r>
                  <w:r>
                    <w:rPr>
                      <w:szCs w:val="21"/>
                    </w:rPr>
                    <w:fldChar w:fldCharType="separate"/>
                  </w:r>
                  <w:r>
                    <w:rPr>
                      <w:szCs w:val="21"/>
                    </w:rPr>
                    <w:t>中性</w:t>
                  </w:r>
                  <w:r>
                    <w:rPr>
                      <w:szCs w:val="21"/>
                    </w:rPr>
                    <w:fldChar w:fldCharType="end"/>
                  </w:r>
                  <w:r>
                    <w:rPr>
                      <w:szCs w:val="21"/>
                    </w:rPr>
                    <w:t>或微</w:t>
                  </w:r>
                  <w:r>
                    <w:rPr>
                      <w:szCs w:val="21"/>
                    </w:rPr>
                    <w:fldChar w:fldCharType="begin"/>
                  </w:r>
                  <w:r>
                    <w:rPr>
                      <w:szCs w:val="21"/>
                    </w:rPr>
                    <w:instrText xml:space="preserve"> HYPERLINK "https://baike.baidu.com/item/%E7%A2%B1%E6%80%A7" \t "_blank" </w:instrText>
                  </w:r>
                  <w:r>
                    <w:rPr>
                      <w:szCs w:val="21"/>
                    </w:rPr>
                    <w:fldChar w:fldCharType="separate"/>
                  </w:r>
                  <w:r>
                    <w:rPr>
                      <w:szCs w:val="21"/>
                    </w:rPr>
                    <w:t>碱性</w:t>
                  </w:r>
                  <w:r>
                    <w:rPr>
                      <w:szCs w:val="21"/>
                    </w:rPr>
                    <w:fldChar w:fldCharType="end"/>
                  </w:r>
                  <w:r>
                    <w:rPr>
                      <w:szCs w:val="21"/>
                    </w:rPr>
                    <w:t>情况下，与</w:t>
                  </w:r>
                  <w:r>
                    <w:rPr>
                      <w:szCs w:val="21"/>
                    </w:rPr>
                    <w:fldChar w:fldCharType="begin"/>
                  </w:r>
                  <w:r>
                    <w:rPr>
                      <w:szCs w:val="21"/>
                    </w:rPr>
                    <w:instrText xml:space="preserve"> HYPERLINK "https://baike.baidu.com/item/%E7%94%B2%E9%86%9B" \t "_blank" </w:instrText>
                  </w:r>
                  <w:r>
                    <w:rPr>
                      <w:szCs w:val="21"/>
                    </w:rPr>
                    <w:fldChar w:fldCharType="separate"/>
                  </w:r>
                  <w:r>
                    <w:rPr>
                      <w:szCs w:val="21"/>
                    </w:rPr>
                    <w:t>甲醛</w:t>
                  </w:r>
                  <w:r>
                    <w:rPr>
                      <w:szCs w:val="21"/>
                    </w:rPr>
                    <w:fldChar w:fldCharType="end"/>
                  </w:r>
                  <w:r>
                    <w:rPr>
                      <w:szCs w:val="21"/>
                    </w:rPr>
                    <w:t>缩合而成各种羟甲基三聚氰胺，但在微酸性中与羟甲基的衍生物进行</w:t>
                  </w:r>
                  <w:r>
                    <w:rPr>
                      <w:szCs w:val="21"/>
                    </w:rPr>
                    <w:fldChar w:fldCharType="begin"/>
                  </w:r>
                  <w:r>
                    <w:rPr>
                      <w:szCs w:val="21"/>
                    </w:rPr>
                    <w:instrText xml:space="preserve"> HYPERLINK "https://baike.baidu.com/item/%E7%BC%A9%E8%81%9A%E5%8F%8D%E5%BA%94" \t "_blank" </w:instrText>
                  </w:r>
                  <w:r>
                    <w:rPr>
                      <w:szCs w:val="21"/>
                    </w:rPr>
                    <w:fldChar w:fldCharType="separate"/>
                  </w:r>
                  <w:r>
                    <w:rPr>
                      <w:szCs w:val="21"/>
                    </w:rPr>
                    <w:t>缩聚反应</w:t>
                  </w:r>
                  <w:r>
                    <w:rPr>
                      <w:szCs w:val="21"/>
                    </w:rPr>
                    <w:fldChar w:fldCharType="end"/>
                  </w:r>
                  <w:r>
                    <w:rPr>
                      <w:szCs w:val="21"/>
                    </w:rPr>
                    <w:t>而生成树脂产物。</w:t>
                  </w:r>
                </w:p>
              </w:tc>
              <w:tc>
                <w:tcPr>
                  <w:tcW w:w="1383" w:type="dxa"/>
                  <w:noWrap w:val="0"/>
                  <w:vAlign w:val="center"/>
                </w:tcPr>
                <w:p>
                  <w:pPr>
                    <w:widowControl/>
                    <w:jc w:val="center"/>
                    <w:rPr>
                      <w:rFonts w:hint="eastAsia"/>
                      <w:szCs w:val="21"/>
                    </w:rPr>
                  </w:pPr>
                  <w:r>
                    <w:rPr>
                      <w:szCs w:val="21"/>
                    </w:rPr>
                    <w:t>未见职业中毒报道，</w:t>
                  </w:r>
                  <w:r>
                    <w:rPr>
                      <w:rFonts w:hint="eastAsia"/>
                      <w:szCs w:val="21"/>
                    </w:rPr>
                    <w:t>但</w:t>
                  </w:r>
                  <w:r>
                    <w:rPr>
                      <w:szCs w:val="21"/>
                    </w:rPr>
                    <w:t>该品在高温下（</w:t>
                  </w:r>
                  <w:r>
                    <w:rPr>
                      <w:rFonts w:hint="eastAsia"/>
                      <w:szCs w:val="21"/>
                    </w:rPr>
                    <w:t>380-400℃</w:t>
                  </w:r>
                  <w:r>
                    <w:rPr>
                      <w:szCs w:val="21"/>
                    </w:rPr>
                    <w:t>）能分解产生高毒的</w:t>
                  </w:r>
                  <w:r>
                    <w:rPr>
                      <w:szCs w:val="21"/>
                    </w:rPr>
                    <w:fldChar w:fldCharType="begin"/>
                  </w:r>
                  <w:r>
                    <w:rPr>
                      <w:szCs w:val="21"/>
                    </w:rPr>
                    <w:instrText xml:space="preserve"> HYPERLINK "https://baike.baidu.com/item/%E6%B0%B0%E5%8C%96%E7%89%A9" \t "_blank" </w:instrText>
                  </w:r>
                  <w:r>
                    <w:rPr>
                      <w:szCs w:val="21"/>
                    </w:rPr>
                    <w:fldChar w:fldCharType="separate"/>
                  </w:r>
                  <w:r>
                    <w:rPr>
                      <w:szCs w:val="21"/>
                    </w:rPr>
                    <w:t>氰化物</w:t>
                  </w:r>
                  <w:r>
                    <w:rPr>
                      <w:szCs w:val="21"/>
                    </w:rPr>
                    <w:fldChar w:fldCharType="end"/>
                  </w:r>
                  <w:r>
                    <w:rPr>
                      <w:szCs w:val="21"/>
                    </w:rPr>
                    <w:t>气体。</w:t>
                  </w:r>
                </w:p>
              </w:tc>
            </w:tr>
          </w:tbl>
          <w:p>
            <w:pPr>
              <w:spacing w:line="360" w:lineRule="auto"/>
              <w:ind w:firstLine="482" w:firstLineChars="200"/>
              <w:rPr>
                <w:rFonts w:hint="eastAsia"/>
                <w:b/>
                <w:bCs/>
                <w:sz w:val="24"/>
              </w:rPr>
            </w:pPr>
            <w:r>
              <w:rPr>
                <w:b/>
                <w:bCs/>
                <w:sz w:val="24"/>
              </w:rPr>
              <w:t>密胺是一种塑料，但属于塑料中的热固性塑料。具有无毒无味，耐磕碰、耐腐蚀、耐高温、耐低温等优点。</w:t>
            </w:r>
            <w:r>
              <w:rPr>
                <w:rFonts w:hint="eastAsia"/>
                <w:b/>
                <w:bCs/>
                <w:sz w:val="24"/>
              </w:rPr>
              <w:t>制作家具的免漆板对空气是否有污染取决于所使用的基材，如果基材有机废气释放量达到环保标准，免漆板的制作是不会加剧材料污染的。</w:t>
            </w:r>
            <w:r>
              <w:rPr>
                <w:rFonts w:hint="eastAsia"/>
                <w:bCs/>
                <w:sz w:val="24"/>
              </w:rPr>
              <w:t>免漆板无任何气味，产生气味的是质量较次的基材中使用的涂料、胶粘剂或添加剂等物质散发的。</w:t>
            </w:r>
          </w:p>
          <w:p>
            <w:pPr>
              <w:spacing w:line="360" w:lineRule="auto"/>
              <w:ind w:firstLine="482" w:firstLineChars="200"/>
              <w:rPr>
                <w:b/>
                <w:bCs/>
                <w:sz w:val="24"/>
              </w:rPr>
            </w:pPr>
            <w:r>
              <w:rPr>
                <w:b/>
                <w:bCs/>
                <w:sz w:val="24"/>
              </w:rPr>
              <w:t>2、主要</w:t>
            </w:r>
            <w:r>
              <w:rPr>
                <w:rFonts w:hint="eastAsia"/>
                <w:b/>
                <w:bCs/>
                <w:sz w:val="24"/>
              </w:rPr>
              <w:t>设备</w:t>
            </w:r>
          </w:p>
          <w:p>
            <w:pPr>
              <w:snapToGrid w:val="0"/>
              <w:spacing w:line="360" w:lineRule="auto"/>
              <w:ind w:firstLine="480" w:firstLineChars="200"/>
              <w:rPr>
                <w:rFonts w:hint="eastAsia"/>
                <w:sz w:val="24"/>
              </w:rPr>
            </w:pPr>
            <w:r>
              <w:rPr>
                <w:sz w:val="24"/>
              </w:rPr>
              <w:t>本项目具体的设备见下表</w:t>
            </w:r>
            <w:r>
              <w:rPr>
                <w:rFonts w:hint="eastAsia"/>
                <w:sz w:val="24"/>
              </w:rPr>
              <w:t>：</w:t>
            </w:r>
          </w:p>
          <w:p>
            <w:pPr>
              <w:snapToGrid w:val="0"/>
              <w:spacing w:line="360" w:lineRule="auto"/>
              <w:jc w:val="center"/>
              <w:rPr>
                <w:rFonts w:hint="eastAsia" w:hAnsi="宋体"/>
                <w:b/>
                <w:bCs/>
                <w:sz w:val="21"/>
                <w:szCs w:val="21"/>
              </w:rPr>
            </w:pPr>
            <w:r>
              <w:rPr>
                <w:rFonts w:hAnsi="宋体"/>
                <w:b/>
                <w:bCs/>
                <w:sz w:val="21"/>
                <w:szCs w:val="21"/>
              </w:rPr>
              <w:t>表</w:t>
            </w:r>
            <w:r>
              <w:rPr>
                <w:b/>
                <w:bCs/>
                <w:sz w:val="21"/>
                <w:szCs w:val="21"/>
              </w:rPr>
              <w:t>1-</w:t>
            </w:r>
            <w:r>
              <w:rPr>
                <w:rFonts w:hint="eastAsia"/>
                <w:b/>
                <w:bCs/>
                <w:sz w:val="21"/>
                <w:szCs w:val="21"/>
              </w:rPr>
              <w:t>5</w:t>
            </w:r>
            <w:r>
              <w:rPr>
                <w:b/>
                <w:bCs/>
                <w:sz w:val="21"/>
                <w:szCs w:val="21"/>
              </w:rPr>
              <w:t xml:space="preserve">  </w:t>
            </w:r>
            <w:r>
              <w:rPr>
                <w:rFonts w:hAnsi="宋体"/>
                <w:b/>
                <w:bCs/>
                <w:sz w:val="21"/>
                <w:szCs w:val="21"/>
              </w:rPr>
              <w:t>主要设备清单表</w:t>
            </w:r>
          </w:p>
          <w:tbl>
            <w:tblPr>
              <w:tblStyle w:val="69"/>
              <w:tblW w:w="864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3448"/>
              <w:gridCol w:w="1121"/>
              <w:gridCol w:w="2305"/>
              <w:gridCol w:w="10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6" w:hRule="atLeast"/>
                <w:jc w:val="center"/>
              </w:trPr>
              <w:tc>
                <w:tcPr>
                  <w:tcW w:w="694" w:type="dxa"/>
                  <w:tcBorders>
                    <w:top w:val="single" w:color="auto" w:sz="8" w:space="0"/>
                    <w:left w:val="single" w:color="auto" w:sz="8" w:space="0"/>
                    <w:bottom w:val="single" w:color="auto" w:sz="6" w:space="0"/>
                    <w:right w:val="single" w:color="auto" w:sz="6" w:space="0"/>
                  </w:tcBorders>
                  <w:noWrap w:val="0"/>
                  <w:vAlign w:val="center"/>
                </w:tcPr>
                <w:p>
                  <w:pPr>
                    <w:widowControl/>
                    <w:spacing w:line="300" w:lineRule="exact"/>
                    <w:ind w:firstLine="36" w:firstLineChars="17"/>
                    <w:jc w:val="center"/>
                    <w:rPr>
                      <w:rFonts w:ascii="宋体"/>
                      <w:b/>
                      <w:kern w:val="0"/>
                      <w:szCs w:val="21"/>
                    </w:rPr>
                  </w:pPr>
                  <w:r>
                    <w:rPr>
                      <w:rFonts w:hint="eastAsia" w:ascii="宋体" w:hAnsi="宋体"/>
                      <w:b/>
                      <w:kern w:val="0"/>
                      <w:szCs w:val="21"/>
                    </w:rPr>
                    <w:t>序号</w:t>
                  </w:r>
                </w:p>
              </w:tc>
              <w:tc>
                <w:tcPr>
                  <w:tcW w:w="3448" w:type="dxa"/>
                  <w:tcBorders>
                    <w:top w:val="single" w:color="auto" w:sz="8" w:space="0"/>
                    <w:left w:val="single" w:color="auto" w:sz="6" w:space="0"/>
                    <w:bottom w:val="single" w:color="auto" w:sz="6" w:space="0"/>
                    <w:right w:val="single" w:color="auto" w:sz="6" w:space="0"/>
                  </w:tcBorders>
                  <w:noWrap w:val="0"/>
                  <w:vAlign w:val="center"/>
                </w:tcPr>
                <w:p>
                  <w:pPr>
                    <w:widowControl/>
                    <w:spacing w:line="300" w:lineRule="exact"/>
                    <w:ind w:firstLine="36" w:firstLineChars="17"/>
                    <w:jc w:val="center"/>
                    <w:rPr>
                      <w:rFonts w:ascii="宋体"/>
                      <w:b/>
                      <w:kern w:val="0"/>
                      <w:szCs w:val="21"/>
                    </w:rPr>
                  </w:pPr>
                  <w:r>
                    <w:rPr>
                      <w:rFonts w:hint="eastAsia" w:ascii="宋体" w:hAnsi="宋体"/>
                      <w:b/>
                      <w:kern w:val="0"/>
                      <w:szCs w:val="21"/>
                    </w:rPr>
                    <w:t>设备名称</w:t>
                  </w:r>
                </w:p>
              </w:tc>
              <w:tc>
                <w:tcPr>
                  <w:tcW w:w="1121" w:type="dxa"/>
                  <w:tcBorders>
                    <w:top w:val="single" w:color="auto" w:sz="8" w:space="0"/>
                    <w:left w:val="single" w:color="auto" w:sz="6" w:space="0"/>
                    <w:bottom w:val="single" w:color="auto" w:sz="6" w:space="0"/>
                    <w:right w:val="single" w:color="auto" w:sz="4" w:space="0"/>
                  </w:tcBorders>
                  <w:noWrap w:val="0"/>
                  <w:vAlign w:val="center"/>
                </w:tcPr>
                <w:p>
                  <w:pPr>
                    <w:widowControl/>
                    <w:spacing w:line="300" w:lineRule="exact"/>
                    <w:ind w:firstLine="36" w:firstLineChars="17"/>
                    <w:jc w:val="center"/>
                    <w:rPr>
                      <w:rFonts w:ascii="宋体"/>
                      <w:b/>
                      <w:kern w:val="0"/>
                      <w:szCs w:val="21"/>
                    </w:rPr>
                  </w:pPr>
                  <w:r>
                    <w:rPr>
                      <w:rFonts w:hint="eastAsia" w:ascii="宋体" w:hAnsi="宋体"/>
                      <w:b/>
                      <w:kern w:val="0"/>
                      <w:szCs w:val="21"/>
                    </w:rPr>
                    <w:t>数量（台）</w:t>
                  </w:r>
                </w:p>
              </w:tc>
              <w:tc>
                <w:tcPr>
                  <w:tcW w:w="2305" w:type="dxa"/>
                  <w:tcBorders>
                    <w:top w:val="single" w:color="auto" w:sz="8" w:space="0"/>
                    <w:left w:val="single" w:color="auto" w:sz="4" w:space="0"/>
                    <w:bottom w:val="single" w:color="auto" w:sz="6" w:space="0"/>
                    <w:right w:val="single" w:color="auto" w:sz="4" w:space="0"/>
                  </w:tcBorders>
                  <w:noWrap w:val="0"/>
                  <w:vAlign w:val="center"/>
                </w:tcPr>
                <w:p>
                  <w:pPr>
                    <w:widowControl/>
                    <w:spacing w:line="300" w:lineRule="exact"/>
                    <w:jc w:val="center"/>
                    <w:rPr>
                      <w:rFonts w:hint="eastAsia" w:ascii="宋体" w:hAnsi="宋体"/>
                      <w:b/>
                      <w:kern w:val="0"/>
                      <w:szCs w:val="21"/>
                    </w:rPr>
                  </w:pPr>
                  <w:r>
                    <w:rPr>
                      <w:rFonts w:hint="eastAsia" w:ascii="宋体" w:hAnsi="宋体"/>
                      <w:b/>
                      <w:kern w:val="0"/>
                      <w:szCs w:val="21"/>
                    </w:rPr>
                    <w:t>设备型号</w:t>
                  </w:r>
                </w:p>
              </w:tc>
              <w:tc>
                <w:tcPr>
                  <w:tcW w:w="1072" w:type="dxa"/>
                  <w:tcBorders>
                    <w:top w:val="single" w:color="auto" w:sz="8" w:space="0"/>
                    <w:left w:val="single" w:color="auto" w:sz="4" w:space="0"/>
                    <w:bottom w:val="single" w:color="auto" w:sz="6" w:space="0"/>
                    <w:right w:val="single" w:color="auto" w:sz="4" w:space="0"/>
                  </w:tcBorders>
                  <w:noWrap w:val="0"/>
                  <w:vAlign w:val="center"/>
                </w:tcPr>
                <w:p>
                  <w:pPr>
                    <w:widowControl/>
                    <w:spacing w:line="300" w:lineRule="exact"/>
                    <w:jc w:val="center"/>
                    <w:rPr>
                      <w:rFonts w:hint="eastAsia" w:ascii="宋体" w:hAnsi="宋体" w:eastAsia="宋体"/>
                      <w:b/>
                      <w:kern w:val="0"/>
                      <w:szCs w:val="21"/>
                      <w:lang w:eastAsia="zh-CN"/>
                    </w:rPr>
                  </w:pPr>
                  <w:r>
                    <w:rPr>
                      <w:rFonts w:hint="eastAsia" w:ascii="宋体" w:hAnsi="宋体"/>
                      <w:b/>
                      <w:kern w:val="0"/>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1" w:hRule="atLeast"/>
                <w:jc w:val="center"/>
              </w:trPr>
              <w:tc>
                <w:tcPr>
                  <w:tcW w:w="694" w:type="dxa"/>
                  <w:tcBorders>
                    <w:top w:val="single" w:color="auto" w:sz="6" w:space="0"/>
                    <w:left w:val="single" w:color="auto" w:sz="8" w:space="0"/>
                    <w:bottom w:val="single" w:color="auto" w:sz="8" w:space="0"/>
                    <w:right w:val="single" w:color="auto" w:sz="6" w:space="0"/>
                  </w:tcBorders>
                  <w:noWrap w:val="0"/>
                  <w:vAlign w:val="center"/>
                </w:tcPr>
                <w:p>
                  <w:pPr>
                    <w:spacing w:line="300" w:lineRule="exact"/>
                    <w:jc w:val="center"/>
                    <w:rPr>
                      <w:kern w:val="0"/>
                      <w:szCs w:val="21"/>
                    </w:rPr>
                  </w:pPr>
                  <w:r>
                    <w:rPr>
                      <w:kern w:val="0"/>
                      <w:szCs w:val="21"/>
                    </w:rPr>
                    <w:t>1</w:t>
                  </w:r>
                </w:p>
              </w:tc>
              <w:tc>
                <w:tcPr>
                  <w:tcW w:w="3448" w:type="dxa"/>
                  <w:tcBorders>
                    <w:top w:val="single" w:color="auto" w:sz="6" w:space="0"/>
                    <w:left w:val="single" w:color="auto" w:sz="6" w:space="0"/>
                    <w:bottom w:val="single" w:color="auto" w:sz="6" w:space="0"/>
                    <w:right w:val="single" w:color="auto" w:sz="6" w:space="0"/>
                  </w:tcBorders>
                  <w:noWrap w:val="0"/>
                  <w:vAlign w:val="center"/>
                </w:tcPr>
                <w:p>
                  <w:pPr>
                    <w:widowControl/>
                    <w:spacing w:line="300" w:lineRule="exact"/>
                    <w:ind w:firstLine="35" w:firstLineChars="17"/>
                    <w:jc w:val="center"/>
                    <w:rPr>
                      <w:kern w:val="0"/>
                      <w:szCs w:val="21"/>
                    </w:rPr>
                  </w:pPr>
                  <w:r>
                    <w:rPr>
                      <w:rFonts w:hint="eastAsia"/>
                      <w:kern w:val="0"/>
                      <w:szCs w:val="21"/>
                    </w:rPr>
                    <w:t>多层单面热压机（陆通）</w:t>
                  </w:r>
                </w:p>
              </w:tc>
              <w:tc>
                <w:tcPr>
                  <w:tcW w:w="1121" w:type="dxa"/>
                  <w:tcBorders>
                    <w:top w:val="single" w:color="auto" w:sz="6" w:space="0"/>
                    <w:left w:val="single" w:color="auto" w:sz="6" w:space="0"/>
                    <w:bottom w:val="single" w:color="auto" w:sz="6" w:space="0"/>
                    <w:right w:val="single" w:color="auto" w:sz="4" w:space="0"/>
                  </w:tcBorders>
                  <w:noWrap w:val="0"/>
                  <w:vAlign w:val="center"/>
                </w:tcPr>
                <w:p>
                  <w:pPr>
                    <w:widowControl/>
                    <w:spacing w:line="300" w:lineRule="exact"/>
                    <w:ind w:firstLine="35" w:firstLineChars="17"/>
                    <w:jc w:val="center"/>
                    <w:rPr>
                      <w:kern w:val="0"/>
                      <w:szCs w:val="21"/>
                    </w:rPr>
                  </w:pPr>
                  <w:r>
                    <w:rPr>
                      <w:kern w:val="0"/>
                      <w:szCs w:val="21"/>
                    </w:rPr>
                    <w:t>1</w:t>
                  </w:r>
                </w:p>
              </w:tc>
              <w:tc>
                <w:tcPr>
                  <w:tcW w:w="2305" w:type="dxa"/>
                  <w:tcBorders>
                    <w:top w:val="single" w:color="auto" w:sz="6" w:space="0"/>
                    <w:left w:val="single" w:color="auto" w:sz="4" w:space="0"/>
                    <w:bottom w:val="single" w:color="auto" w:sz="6" w:space="0"/>
                    <w:right w:val="single" w:color="auto" w:sz="4" w:space="0"/>
                  </w:tcBorders>
                  <w:noWrap w:val="0"/>
                  <w:vAlign w:val="center"/>
                </w:tcPr>
                <w:p>
                  <w:pPr>
                    <w:widowControl/>
                    <w:spacing w:line="300" w:lineRule="exact"/>
                    <w:jc w:val="center"/>
                    <w:rPr>
                      <w:rFonts w:hint="eastAsia"/>
                      <w:kern w:val="0"/>
                      <w:szCs w:val="21"/>
                    </w:rPr>
                  </w:pPr>
                  <w:r>
                    <w:rPr>
                      <w:rFonts w:hint="eastAsia"/>
                      <w:kern w:val="0"/>
                      <w:szCs w:val="21"/>
                    </w:rPr>
                    <w:t>YXY900T-10</w:t>
                  </w:r>
                </w:p>
              </w:tc>
              <w:tc>
                <w:tcPr>
                  <w:tcW w:w="1072" w:type="dxa"/>
                  <w:vMerge w:val="restart"/>
                  <w:tcBorders>
                    <w:top w:val="single" w:color="auto" w:sz="6" w:space="0"/>
                    <w:left w:val="single" w:color="auto" w:sz="4" w:space="0"/>
                    <w:right w:val="single" w:color="auto" w:sz="4" w:space="0"/>
                  </w:tcBorders>
                  <w:noWrap w:val="0"/>
                  <w:vAlign w:val="center"/>
                </w:tcPr>
                <w:p>
                  <w:pPr>
                    <w:widowControl/>
                    <w:spacing w:line="300" w:lineRule="exact"/>
                    <w:jc w:val="center"/>
                    <w:rPr>
                      <w:rFonts w:hint="eastAsia" w:eastAsia="宋体"/>
                      <w:kern w:val="0"/>
                      <w:szCs w:val="21"/>
                      <w:lang w:eastAsia="zh-CN"/>
                    </w:rPr>
                  </w:pPr>
                  <w:r>
                    <w:rPr>
                      <w:rFonts w:hint="eastAsia"/>
                      <w:kern w:val="0"/>
                      <w:szCs w:val="21"/>
                      <w:lang w:eastAsia="zh-CN"/>
                    </w:rPr>
                    <w:t>均从原厂搬迁至此，不涉及新采购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6" w:hRule="atLeast"/>
                <w:jc w:val="center"/>
              </w:trPr>
              <w:tc>
                <w:tcPr>
                  <w:tcW w:w="694" w:type="dxa"/>
                  <w:tcBorders>
                    <w:top w:val="single" w:color="auto" w:sz="8" w:space="0"/>
                    <w:left w:val="single" w:color="auto" w:sz="8" w:space="0"/>
                    <w:bottom w:val="single" w:color="auto" w:sz="8" w:space="0"/>
                    <w:right w:val="single" w:color="auto" w:sz="6" w:space="0"/>
                  </w:tcBorders>
                  <w:noWrap w:val="0"/>
                  <w:vAlign w:val="center"/>
                </w:tcPr>
                <w:p>
                  <w:pPr>
                    <w:spacing w:line="300" w:lineRule="exact"/>
                    <w:jc w:val="center"/>
                    <w:rPr>
                      <w:kern w:val="0"/>
                      <w:szCs w:val="21"/>
                    </w:rPr>
                  </w:pPr>
                  <w:r>
                    <w:rPr>
                      <w:kern w:val="0"/>
                      <w:szCs w:val="21"/>
                    </w:rPr>
                    <w:t>2</w:t>
                  </w:r>
                </w:p>
              </w:tc>
              <w:tc>
                <w:tcPr>
                  <w:tcW w:w="3448" w:type="dxa"/>
                  <w:tcBorders>
                    <w:top w:val="single" w:color="auto" w:sz="6" w:space="0"/>
                    <w:left w:val="single" w:color="auto" w:sz="6" w:space="0"/>
                    <w:bottom w:val="single" w:color="auto" w:sz="6" w:space="0"/>
                    <w:right w:val="single" w:color="auto" w:sz="6" w:space="0"/>
                  </w:tcBorders>
                  <w:noWrap w:val="0"/>
                  <w:vAlign w:val="center"/>
                </w:tcPr>
                <w:p>
                  <w:pPr>
                    <w:widowControl/>
                    <w:spacing w:line="300" w:lineRule="exact"/>
                    <w:ind w:firstLine="35" w:firstLineChars="17"/>
                    <w:jc w:val="center"/>
                    <w:rPr>
                      <w:rFonts w:hAnsi="宋体"/>
                      <w:kern w:val="0"/>
                      <w:szCs w:val="21"/>
                    </w:rPr>
                  </w:pPr>
                  <w:r>
                    <w:rPr>
                      <w:rFonts w:hint="eastAsia" w:hAnsi="宋体"/>
                      <w:kern w:val="0"/>
                      <w:szCs w:val="21"/>
                    </w:rPr>
                    <w:t>单层双面热压机（陆通）</w:t>
                  </w:r>
                </w:p>
              </w:tc>
              <w:tc>
                <w:tcPr>
                  <w:tcW w:w="1121" w:type="dxa"/>
                  <w:tcBorders>
                    <w:top w:val="single" w:color="auto" w:sz="6" w:space="0"/>
                    <w:left w:val="single" w:color="auto" w:sz="6" w:space="0"/>
                    <w:bottom w:val="single" w:color="auto" w:sz="6" w:space="0"/>
                    <w:right w:val="single" w:color="auto" w:sz="4" w:space="0"/>
                  </w:tcBorders>
                  <w:noWrap w:val="0"/>
                  <w:vAlign w:val="center"/>
                </w:tcPr>
                <w:p>
                  <w:pPr>
                    <w:widowControl/>
                    <w:spacing w:line="300" w:lineRule="exact"/>
                    <w:ind w:firstLine="35" w:firstLineChars="17"/>
                    <w:jc w:val="center"/>
                    <w:rPr>
                      <w:kern w:val="0"/>
                      <w:szCs w:val="21"/>
                    </w:rPr>
                  </w:pPr>
                  <w:r>
                    <w:rPr>
                      <w:kern w:val="0"/>
                      <w:szCs w:val="21"/>
                    </w:rPr>
                    <w:t>1</w:t>
                  </w:r>
                </w:p>
              </w:tc>
              <w:tc>
                <w:tcPr>
                  <w:tcW w:w="2305" w:type="dxa"/>
                  <w:tcBorders>
                    <w:top w:val="single" w:color="auto" w:sz="6" w:space="0"/>
                    <w:left w:val="single" w:color="auto" w:sz="4" w:space="0"/>
                    <w:bottom w:val="single" w:color="auto" w:sz="6" w:space="0"/>
                    <w:right w:val="single" w:color="auto" w:sz="4" w:space="0"/>
                  </w:tcBorders>
                  <w:noWrap w:val="0"/>
                  <w:vAlign w:val="center"/>
                </w:tcPr>
                <w:p>
                  <w:pPr>
                    <w:widowControl/>
                    <w:spacing w:line="300" w:lineRule="exact"/>
                    <w:jc w:val="center"/>
                    <w:rPr>
                      <w:rFonts w:hint="eastAsia" w:hAnsi="宋体"/>
                      <w:spacing w:val="7"/>
                      <w:kern w:val="0"/>
                      <w:szCs w:val="21"/>
                    </w:rPr>
                  </w:pPr>
                  <w:r>
                    <w:rPr>
                      <w:rFonts w:hint="eastAsia" w:hAnsi="宋体"/>
                      <w:spacing w:val="7"/>
                      <w:kern w:val="0"/>
                      <w:szCs w:val="21"/>
                    </w:rPr>
                    <w:t>YX1600-4x8</w:t>
                  </w:r>
                </w:p>
              </w:tc>
              <w:tc>
                <w:tcPr>
                  <w:tcW w:w="1072" w:type="dxa"/>
                  <w:vMerge w:val="continue"/>
                  <w:tcBorders>
                    <w:left w:val="single" w:color="auto" w:sz="4" w:space="0"/>
                    <w:right w:val="single" w:color="auto" w:sz="4" w:space="0"/>
                  </w:tcBorders>
                  <w:noWrap w:val="0"/>
                  <w:vAlign w:val="center"/>
                </w:tcPr>
                <w:p>
                  <w:pPr>
                    <w:widowControl/>
                    <w:spacing w:line="300" w:lineRule="exact"/>
                    <w:jc w:val="center"/>
                    <w:rPr>
                      <w:rFonts w:hint="eastAsia" w:hAnsi="宋体"/>
                      <w:spacing w:val="7"/>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6" w:hRule="atLeast"/>
                <w:jc w:val="center"/>
              </w:trPr>
              <w:tc>
                <w:tcPr>
                  <w:tcW w:w="694" w:type="dxa"/>
                  <w:tcBorders>
                    <w:top w:val="single" w:color="auto" w:sz="8" w:space="0"/>
                    <w:left w:val="single" w:color="auto" w:sz="8" w:space="0"/>
                    <w:bottom w:val="single" w:color="auto" w:sz="8" w:space="0"/>
                    <w:right w:val="single" w:color="auto" w:sz="6" w:space="0"/>
                  </w:tcBorders>
                  <w:noWrap w:val="0"/>
                  <w:vAlign w:val="center"/>
                </w:tcPr>
                <w:p>
                  <w:pPr>
                    <w:spacing w:line="300" w:lineRule="exact"/>
                    <w:jc w:val="center"/>
                    <w:rPr>
                      <w:kern w:val="0"/>
                      <w:szCs w:val="21"/>
                    </w:rPr>
                  </w:pPr>
                  <w:r>
                    <w:rPr>
                      <w:rFonts w:hint="eastAsia"/>
                      <w:kern w:val="0"/>
                      <w:szCs w:val="21"/>
                    </w:rPr>
                    <w:t>3</w:t>
                  </w:r>
                </w:p>
              </w:tc>
              <w:tc>
                <w:tcPr>
                  <w:tcW w:w="3448" w:type="dxa"/>
                  <w:tcBorders>
                    <w:top w:val="single" w:color="auto" w:sz="6" w:space="0"/>
                    <w:left w:val="single" w:color="auto" w:sz="6" w:space="0"/>
                    <w:bottom w:val="single" w:color="auto" w:sz="6" w:space="0"/>
                    <w:right w:val="single" w:color="auto" w:sz="6" w:space="0"/>
                  </w:tcBorders>
                  <w:noWrap w:val="0"/>
                  <w:vAlign w:val="center"/>
                </w:tcPr>
                <w:p>
                  <w:pPr>
                    <w:widowControl/>
                    <w:spacing w:line="300" w:lineRule="exact"/>
                    <w:ind w:firstLine="35" w:firstLineChars="17"/>
                    <w:jc w:val="center"/>
                    <w:rPr>
                      <w:rFonts w:hAnsi="宋体"/>
                      <w:kern w:val="0"/>
                      <w:szCs w:val="21"/>
                    </w:rPr>
                  </w:pPr>
                  <w:r>
                    <w:rPr>
                      <w:rFonts w:hint="eastAsia" w:hAnsi="宋体"/>
                      <w:kern w:val="0"/>
                      <w:szCs w:val="21"/>
                    </w:rPr>
                    <w:t>20万大卡天然气导热油炉（奥德）</w:t>
                  </w:r>
                </w:p>
              </w:tc>
              <w:tc>
                <w:tcPr>
                  <w:tcW w:w="1121" w:type="dxa"/>
                  <w:tcBorders>
                    <w:top w:val="single" w:color="auto" w:sz="6" w:space="0"/>
                    <w:left w:val="single" w:color="auto" w:sz="6" w:space="0"/>
                    <w:bottom w:val="single" w:color="auto" w:sz="6" w:space="0"/>
                    <w:right w:val="single" w:color="auto" w:sz="4" w:space="0"/>
                  </w:tcBorders>
                  <w:noWrap w:val="0"/>
                  <w:vAlign w:val="center"/>
                </w:tcPr>
                <w:p>
                  <w:pPr>
                    <w:widowControl/>
                    <w:spacing w:line="300" w:lineRule="exact"/>
                    <w:ind w:firstLine="35" w:firstLineChars="17"/>
                    <w:jc w:val="center"/>
                    <w:rPr>
                      <w:kern w:val="0"/>
                      <w:szCs w:val="21"/>
                    </w:rPr>
                  </w:pPr>
                  <w:r>
                    <w:rPr>
                      <w:kern w:val="0"/>
                      <w:szCs w:val="21"/>
                    </w:rPr>
                    <w:t>1</w:t>
                  </w:r>
                </w:p>
              </w:tc>
              <w:tc>
                <w:tcPr>
                  <w:tcW w:w="2305" w:type="dxa"/>
                  <w:tcBorders>
                    <w:top w:val="single" w:color="auto" w:sz="6" w:space="0"/>
                    <w:left w:val="single" w:color="auto" w:sz="4" w:space="0"/>
                    <w:bottom w:val="single" w:color="auto" w:sz="6" w:space="0"/>
                    <w:right w:val="single" w:color="auto" w:sz="4" w:space="0"/>
                  </w:tcBorders>
                  <w:noWrap w:val="0"/>
                  <w:vAlign w:val="center"/>
                </w:tcPr>
                <w:p>
                  <w:pPr>
                    <w:widowControl/>
                    <w:spacing w:line="300" w:lineRule="exact"/>
                    <w:jc w:val="center"/>
                    <w:rPr>
                      <w:rFonts w:hint="eastAsia" w:hAnsi="宋体"/>
                      <w:spacing w:val="7"/>
                      <w:kern w:val="0"/>
                      <w:szCs w:val="21"/>
                    </w:rPr>
                  </w:pPr>
                  <w:r>
                    <w:rPr>
                      <w:rFonts w:hint="eastAsia" w:hAnsi="宋体"/>
                      <w:spacing w:val="7"/>
                      <w:kern w:val="0"/>
                      <w:szCs w:val="21"/>
                    </w:rPr>
                    <w:t>YY(Q)W-240(Q)-20W</w:t>
                  </w:r>
                </w:p>
              </w:tc>
              <w:tc>
                <w:tcPr>
                  <w:tcW w:w="1072" w:type="dxa"/>
                  <w:vMerge w:val="continue"/>
                  <w:tcBorders>
                    <w:left w:val="single" w:color="auto" w:sz="4" w:space="0"/>
                    <w:right w:val="single" w:color="auto" w:sz="4" w:space="0"/>
                  </w:tcBorders>
                  <w:noWrap w:val="0"/>
                  <w:vAlign w:val="center"/>
                </w:tcPr>
                <w:p>
                  <w:pPr>
                    <w:widowControl/>
                    <w:spacing w:line="300" w:lineRule="exact"/>
                    <w:jc w:val="center"/>
                    <w:rPr>
                      <w:rFonts w:hint="eastAsia" w:hAnsi="宋体"/>
                      <w:spacing w:val="7"/>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6" w:hRule="atLeast"/>
                <w:jc w:val="center"/>
              </w:trPr>
              <w:tc>
                <w:tcPr>
                  <w:tcW w:w="694" w:type="dxa"/>
                  <w:tcBorders>
                    <w:top w:val="single" w:color="auto" w:sz="8" w:space="0"/>
                    <w:left w:val="single" w:color="auto" w:sz="8" w:space="0"/>
                    <w:bottom w:val="single" w:color="auto" w:sz="8" w:space="0"/>
                    <w:right w:val="single" w:color="auto" w:sz="6" w:space="0"/>
                  </w:tcBorders>
                  <w:noWrap w:val="0"/>
                  <w:vAlign w:val="center"/>
                </w:tcPr>
                <w:p>
                  <w:pPr>
                    <w:spacing w:line="300" w:lineRule="exact"/>
                    <w:jc w:val="center"/>
                    <w:rPr>
                      <w:kern w:val="0"/>
                      <w:szCs w:val="21"/>
                    </w:rPr>
                  </w:pPr>
                  <w:r>
                    <w:rPr>
                      <w:kern w:val="0"/>
                      <w:szCs w:val="21"/>
                    </w:rPr>
                    <w:t>4</w:t>
                  </w:r>
                </w:p>
              </w:tc>
              <w:tc>
                <w:tcPr>
                  <w:tcW w:w="3448" w:type="dxa"/>
                  <w:tcBorders>
                    <w:top w:val="single" w:color="auto" w:sz="6" w:space="0"/>
                    <w:left w:val="single" w:color="auto" w:sz="6" w:space="0"/>
                    <w:bottom w:val="single" w:color="auto" w:sz="6" w:space="0"/>
                    <w:right w:val="single" w:color="auto" w:sz="6" w:space="0"/>
                  </w:tcBorders>
                  <w:noWrap w:val="0"/>
                  <w:vAlign w:val="center"/>
                </w:tcPr>
                <w:p>
                  <w:pPr>
                    <w:widowControl/>
                    <w:spacing w:line="300" w:lineRule="exact"/>
                    <w:ind w:firstLine="35" w:firstLineChars="17"/>
                    <w:jc w:val="center"/>
                    <w:rPr>
                      <w:rFonts w:hAnsi="宋体"/>
                      <w:kern w:val="0"/>
                      <w:szCs w:val="21"/>
                    </w:rPr>
                  </w:pPr>
                  <w:r>
                    <w:rPr>
                      <w:rFonts w:hint="eastAsia" w:hAnsi="宋体"/>
                      <w:kern w:val="0"/>
                      <w:szCs w:val="21"/>
                    </w:rPr>
                    <w:t>30万大卡天然气导热油炉（奥德）</w:t>
                  </w:r>
                </w:p>
              </w:tc>
              <w:tc>
                <w:tcPr>
                  <w:tcW w:w="1121" w:type="dxa"/>
                  <w:tcBorders>
                    <w:top w:val="single" w:color="auto" w:sz="6" w:space="0"/>
                    <w:left w:val="single" w:color="auto" w:sz="6" w:space="0"/>
                    <w:bottom w:val="single" w:color="auto" w:sz="6" w:space="0"/>
                    <w:right w:val="single" w:color="auto" w:sz="4" w:space="0"/>
                  </w:tcBorders>
                  <w:noWrap w:val="0"/>
                  <w:vAlign w:val="center"/>
                </w:tcPr>
                <w:p>
                  <w:pPr>
                    <w:widowControl/>
                    <w:spacing w:line="300" w:lineRule="exact"/>
                    <w:ind w:firstLine="35" w:firstLineChars="17"/>
                    <w:jc w:val="center"/>
                    <w:rPr>
                      <w:kern w:val="0"/>
                      <w:szCs w:val="21"/>
                    </w:rPr>
                  </w:pPr>
                  <w:r>
                    <w:rPr>
                      <w:kern w:val="0"/>
                      <w:szCs w:val="21"/>
                    </w:rPr>
                    <w:t>1</w:t>
                  </w:r>
                </w:p>
              </w:tc>
              <w:tc>
                <w:tcPr>
                  <w:tcW w:w="2305" w:type="dxa"/>
                  <w:tcBorders>
                    <w:top w:val="single" w:color="auto" w:sz="6" w:space="0"/>
                    <w:left w:val="single" w:color="auto" w:sz="4" w:space="0"/>
                    <w:bottom w:val="single" w:color="auto" w:sz="6" w:space="0"/>
                    <w:right w:val="single" w:color="auto" w:sz="4" w:space="0"/>
                  </w:tcBorders>
                  <w:noWrap w:val="0"/>
                  <w:vAlign w:val="center"/>
                </w:tcPr>
                <w:p>
                  <w:pPr>
                    <w:widowControl/>
                    <w:spacing w:line="300" w:lineRule="exact"/>
                    <w:jc w:val="center"/>
                    <w:rPr>
                      <w:rFonts w:hAnsi="宋体"/>
                      <w:spacing w:val="7"/>
                      <w:kern w:val="0"/>
                      <w:szCs w:val="21"/>
                    </w:rPr>
                  </w:pPr>
                  <w:r>
                    <w:rPr>
                      <w:rFonts w:hint="eastAsia" w:hAnsi="宋体"/>
                      <w:spacing w:val="7"/>
                      <w:kern w:val="0"/>
                      <w:szCs w:val="21"/>
                    </w:rPr>
                    <w:t>YY(Q)W-359(Q)-30W</w:t>
                  </w:r>
                </w:p>
              </w:tc>
              <w:tc>
                <w:tcPr>
                  <w:tcW w:w="1072" w:type="dxa"/>
                  <w:vMerge w:val="continue"/>
                  <w:tcBorders>
                    <w:left w:val="single" w:color="auto" w:sz="4" w:space="0"/>
                    <w:right w:val="single" w:color="auto" w:sz="4" w:space="0"/>
                  </w:tcBorders>
                  <w:noWrap w:val="0"/>
                  <w:vAlign w:val="center"/>
                </w:tcPr>
                <w:p>
                  <w:pPr>
                    <w:widowControl/>
                    <w:spacing w:line="300" w:lineRule="exact"/>
                    <w:jc w:val="center"/>
                    <w:rPr>
                      <w:rFonts w:hint="eastAsia" w:hAnsi="宋体"/>
                      <w:spacing w:val="7"/>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6" w:hRule="atLeast"/>
                <w:jc w:val="center"/>
              </w:trPr>
              <w:tc>
                <w:tcPr>
                  <w:tcW w:w="694" w:type="dxa"/>
                  <w:tcBorders>
                    <w:top w:val="single" w:color="auto" w:sz="8" w:space="0"/>
                    <w:left w:val="single" w:color="auto" w:sz="8" w:space="0"/>
                    <w:bottom w:val="single" w:color="auto" w:sz="8" w:space="0"/>
                    <w:right w:val="single" w:color="auto" w:sz="6" w:space="0"/>
                  </w:tcBorders>
                  <w:noWrap w:val="0"/>
                  <w:vAlign w:val="center"/>
                </w:tcPr>
                <w:p>
                  <w:pPr>
                    <w:spacing w:line="300" w:lineRule="exact"/>
                    <w:jc w:val="center"/>
                    <w:rPr>
                      <w:kern w:val="0"/>
                      <w:szCs w:val="21"/>
                    </w:rPr>
                  </w:pPr>
                  <w:r>
                    <w:rPr>
                      <w:kern w:val="0"/>
                      <w:szCs w:val="21"/>
                    </w:rPr>
                    <w:t>5</w:t>
                  </w:r>
                </w:p>
              </w:tc>
              <w:tc>
                <w:tcPr>
                  <w:tcW w:w="3448" w:type="dxa"/>
                  <w:tcBorders>
                    <w:top w:val="single" w:color="auto" w:sz="6" w:space="0"/>
                    <w:left w:val="single" w:color="auto" w:sz="6" w:space="0"/>
                    <w:bottom w:val="single" w:color="auto" w:sz="6" w:space="0"/>
                    <w:right w:val="single" w:color="auto" w:sz="6" w:space="0"/>
                  </w:tcBorders>
                  <w:noWrap w:val="0"/>
                  <w:vAlign w:val="center"/>
                </w:tcPr>
                <w:p>
                  <w:pPr>
                    <w:widowControl/>
                    <w:spacing w:line="300" w:lineRule="exact"/>
                    <w:ind w:firstLine="35" w:firstLineChars="17"/>
                    <w:jc w:val="center"/>
                    <w:rPr>
                      <w:rFonts w:hAnsi="宋体"/>
                      <w:kern w:val="0"/>
                      <w:szCs w:val="21"/>
                    </w:rPr>
                  </w:pPr>
                  <w:r>
                    <w:rPr>
                      <w:rFonts w:hint="eastAsia" w:hAnsi="宋体"/>
                      <w:kern w:val="0"/>
                      <w:szCs w:val="21"/>
                    </w:rPr>
                    <w:t>杭州叉车</w:t>
                  </w:r>
                </w:p>
              </w:tc>
              <w:tc>
                <w:tcPr>
                  <w:tcW w:w="1121" w:type="dxa"/>
                  <w:tcBorders>
                    <w:top w:val="single" w:color="auto" w:sz="6" w:space="0"/>
                    <w:left w:val="single" w:color="auto" w:sz="6" w:space="0"/>
                    <w:bottom w:val="single" w:color="auto" w:sz="6" w:space="0"/>
                    <w:right w:val="single" w:color="auto" w:sz="4" w:space="0"/>
                  </w:tcBorders>
                  <w:noWrap w:val="0"/>
                  <w:vAlign w:val="center"/>
                </w:tcPr>
                <w:p>
                  <w:pPr>
                    <w:widowControl/>
                    <w:spacing w:line="300" w:lineRule="exact"/>
                    <w:ind w:firstLine="35" w:firstLineChars="17"/>
                    <w:jc w:val="center"/>
                    <w:rPr>
                      <w:kern w:val="0"/>
                      <w:szCs w:val="21"/>
                    </w:rPr>
                  </w:pPr>
                  <w:r>
                    <w:rPr>
                      <w:kern w:val="0"/>
                      <w:szCs w:val="21"/>
                    </w:rPr>
                    <w:t>1</w:t>
                  </w:r>
                </w:p>
              </w:tc>
              <w:tc>
                <w:tcPr>
                  <w:tcW w:w="2305" w:type="dxa"/>
                  <w:tcBorders>
                    <w:top w:val="single" w:color="auto" w:sz="6" w:space="0"/>
                    <w:left w:val="single" w:color="auto" w:sz="4" w:space="0"/>
                    <w:bottom w:val="single" w:color="auto" w:sz="6" w:space="0"/>
                    <w:right w:val="single" w:color="auto" w:sz="4" w:space="0"/>
                  </w:tcBorders>
                  <w:noWrap w:val="0"/>
                  <w:vAlign w:val="center"/>
                </w:tcPr>
                <w:p>
                  <w:pPr>
                    <w:widowControl/>
                    <w:spacing w:line="300" w:lineRule="exact"/>
                    <w:jc w:val="center"/>
                    <w:rPr>
                      <w:rFonts w:hAnsi="宋体"/>
                      <w:spacing w:val="7"/>
                      <w:kern w:val="0"/>
                      <w:szCs w:val="21"/>
                    </w:rPr>
                  </w:pPr>
                  <w:r>
                    <w:rPr>
                      <w:rFonts w:hint="eastAsia" w:hAnsi="宋体"/>
                      <w:spacing w:val="7"/>
                      <w:kern w:val="0"/>
                      <w:szCs w:val="21"/>
                    </w:rPr>
                    <w:t>/</w:t>
                  </w:r>
                </w:p>
              </w:tc>
              <w:tc>
                <w:tcPr>
                  <w:tcW w:w="1072" w:type="dxa"/>
                  <w:vMerge w:val="continue"/>
                  <w:tcBorders>
                    <w:left w:val="single" w:color="auto" w:sz="4" w:space="0"/>
                    <w:bottom w:val="single" w:color="auto" w:sz="6" w:space="0"/>
                    <w:right w:val="single" w:color="auto" w:sz="4" w:space="0"/>
                  </w:tcBorders>
                  <w:noWrap w:val="0"/>
                  <w:vAlign w:val="center"/>
                </w:tcPr>
                <w:p>
                  <w:pPr>
                    <w:widowControl/>
                    <w:spacing w:line="300" w:lineRule="exact"/>
                    <w:jc w:val="center"/>
                    <w:rPr>
                      <w:rFonts w:hint="eastAsia" w:hAnsi="宋体"/>
                      <w:spacing w:val="7"/>
                      <w:kern w:val="0"/>
                      <w:szCs w:val="21"/>
                    </w:rPr>
                  </w:pPr>
                </w:p>
              </w:tc>
            </w:tr>
          </w:tbl>
          <w:p>
            <w:pPr>
              <w:spacing w:line="520" w:lineRule="exact"/>
              <w:rPr>
                <w:rFonts w:hint="eastAsia"/>
                <w:b/>
                <w:bCs/>
                <w:sz w:val="24"/>
              </w:rPr>
            </w:pPr>
            <w:r>
              <w:rPr>
                <w:rFonts w:hint="eastAsia" w:ascii="宋体" w:hAnsi="宋体" w:cs="宋体"/>
                <w:b/>
                <w:sz w:val="28"/>
                <w:szCs w:val="28"/>
              </w:rPr>
              <w:t xml:space="preserve">   </w:t>
            </w:r>
            <w:r>
              <w:rPr>
                <w:rFonts w:hint="eastAsia"/>
                <w:b/>
                <w:bCs/>
                <w:sz w:val="24"/>
              </w:rPr>
              <w:t>3、物料平衡</w:t>
            </w:r>
          </w:p>
          <w:p>
            <w:pPr>
              <w:pStyle w:val="494"/>
              <w:spacing w:before="156"/>
              <w:ind w:firstLine="468"/>
              <w:rPr>
                <w:kern w:val="0"/>
              </w:rPr>
            </w:pPr>
            <w:r>
              <w:rPr>
                <w:rFonts w:hint="eastAsia"/>
                <w:kern w:val="0"/>
              </w:rPr>
              <w:t>表</w:t>
            </w:r>
            <w:r>
              <w:rPr>
                <w:kern w:val="0"/>
              </w:rPr>
              <w:t xml:space="preserve">1-6  </w:t>
            </w:r>
            <w:r>
              <w:rPr>
                <w:rFonts w:hint="eastAsia"/>
                <w:kern w:val="0"/>
              </w:rPr>
              <w:t>项目物料平衡表</w:t>
            </w:r>
          </w:p>
          <w:tbl>
            <w:tblPr>
              <w:tblStyle w:val="69"/>
              <w:tblW w:w="8295" w:type="dxa"/>
              <w:jc w:val="center"/>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599"/>
              <w:gridCol w:w="1310"/>
              <w:gridCol w:w="3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071" w:type="dxa"/>
                  <w:gridSpan w:val="2"/>
                  <w:noWrap w:val="0"/>
                  <w:vAlign w:val="center"/>
                </w:tcPr>
                <w:p>
                  <w:pPr>
                    <w:pStyle w:val="493"/>
                    <w:spacing w:before="0" w:after="0"/>
                    <w:rPr>
                      <w:b/>
                    </w:rPr>
                  </w:pPr>
                  <w:r>
                    <w:rPr>
                      <w:rFonts w:hint="eastAsia"/>
                      <w:b/>
                    </w:rPr>
                    <w:t>物料进入</w:t>
                  </w:r>
                </w:p>
              </w:tc>
              <w:tc>
                <w:tcPr>
                  <w:tcW w:w="5224" w:type="dxa"/>
                  <w:gridSpan w:val="2"/>
                  <w:noWrap w:val="0"/>
                  <w:vAlign w:val="center"/>
                </w:tcPr>
                <w:p>
                  <w:pPr>
                    <w:pStyle w:val="493"/>
                    <w:spacing w:before="0" w:after="0"/>
                    <w:rPr>
                      <w:b/>
                    </w:rPr>
                  </w:pPr>
                  <w:r>
                    <w:rPr>
                      <w:rFonts w:hint="eastAsia"/>
                      <w:b/>
                    </w:rPr>
                    <w:t>物料带出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2" w:type="dxa"/>
                  <w:noWrap w:val="0"/>
                  <w:vAlign w:val="center"/>
                </w:tcPr>
                <w:p>
                  <w:pPr>
                    <w:pStyle w:val="493"/>
                    <w:spacing w:before="0" w:after="0"/>
                    <w:rPr>
                      <w:b/>
                    </w:rPr>
                  </w:pPr>
                  <w:r>
                    <w:rPr>
                      <w:rFonts w:hint="eastAsia"/>
                      <w:b/>
                    </w:rPr>
                    <w:t>进料名称</w:t>
                  </w:r>
                </w:p>
              </w:tc>
              <w:tc>
                <w:tcPr>
                  <w:tcW w:w="1599" w:type="dxa"/>
                  <w:noWrap w:val="0"/>
                  <w:vAlign w:val="center"/>
                </w:tcPr>
                <w:p>
                  <w:pPr>
                    <w:pStyle w:val="493"/>
                    <w:spacing w:before="0" w:after="0"/>
                    <w:rPr>
                      <w:b/>
                    </w:rPr>
                  </w:pPr>
                  <w:r>
                    <w:rPr>
                      <w:rFonts w:hint="eastAsia"/>
                      <w:b/>
                    </w:rPr>
                    <w:t>进料量（</w:t>
                  </w:r>
                  <w:r>
                    <w:rPr>
                      <w:b/>
                    </w:rPr>
                    <w:t>t/a</w:t>
                  </w:r>
                  <w:r>
                    <w:rPr>
                      <w:rFonts w:hint="eastAsia"/>
                      <w:b/>
                    </w:rPr>
                    <w:t>）</w:t>
                  </w:r>
                </w:p>
              </w:tc>
              <w:tc>
                <w:tcPr>
                  <w:tcW w:w="1310" w:type="dxa"/>
                  <w:noWrap w:val="0"/>
                  <w:vAlign w:val="center"/>
                </w:tcPr>
                <w:p>
                  <w:pPr>
                    <w:pStyle w:val="493"/>
                    <w:spacing w:before="0" w:after="0"/>
                    <w:rPr>
                      <w:b/>
                    </w:rPr>
                  </w:pPr>
                  <w:r>
                    <w:rPr>
                      <w:rFonts w:hint="eastAsia"/>
                      <w:b/>
                    </w:rPr>
                    <w:t>出料名称</w:t>
                  </w:r>
                </w:p>
              </w:tc>
              <w:tc>
                <w:tcPr>
                  <w:tcW w:w="3914" w:type="dxa"/>
                  <w:noWrap w:val="0"/>
                  <w:vAlign w:val="center"/>
                </w:tcPr>
                <w:p>
                  <w:pPr>
                    <w:pStyle w:val="493"/>
                    <w:spacing w:before="0" w:after="0"/>
                    <w:rPr>
                      <w:b/>
                    </w:rPr>
                  </w:pPr>
                  <w:r>
                    <w:rPr>
                      <w:rFonts w:hint="eastAsia"/>
                      <w:b/>
                    </w:rPr>
                    <w:t>产出量（</w:t>
                  </w:r>
                  <w:r>
                    <w:rPr>
                      <w:b/>
                    </w:rPr>
                    <w:t>t/a</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1472" w:type="dxa"/>
                  <w:vMerge w:val="restart"/>
                  <w:noWrap w:val="0"/>
                  <w:vAlign w:val="center"/>
                </w:tcPr>
                <w:p>
                  <w:pPr>
                    <w:pStyle w:val="493"/>
                    <w:spacing w:before="0" w:after="0"/>
                  </w:pPr>
                  <w:r>
                    <w:rPr>
                      <w:rFonts w:hint="eastAsia"/>
                    </w:rPr>
                    <w:t>人造板</w:t>
                  </w:r>
                </w:p>
              </w:tc>
              <w:tc>
                <w:tcPr>
                  <w:tcW w:w="1599" w:type="dxa"/>
                  <w:vMerge w:val="restart"/>
                  <w:noWrap w:val="0"/>
                  <w:vAlign w:val="center"/>
                </w:tcPr>
                <w:p>
                  <w:pPr>
                    <w:widowControl/>
                    <w:ind w:left="-105" w:leftChars="-50" w:right="-105" w:rightChars="-50"/>
                    <w:jc w:val="center"/>
                    <w:rPr>
                      <w:szCs w:val="21"/>
                    </w:rPr>
                  </w:pPr>
                  <w:r>
                    <w:rPr>
                      <w:szCs w:val="21"/>
                    </w:rPr>
                    <w:t>7799</w:t>
                  </w:r>
                </w:p>
              </w:tc>
              <w:tc>
                <w:tcPr>
                  <w:tcW w:w="1310" w:type="dxa"/>
                  <w:noWrap w:val="0"/>
                  <w:vAlign w:val="center"/>
                </w:tcPr>
                <w:p>
                  <w:pPr>
                    <w:widowControl/>
                    <w:ind w:left="-105" w:leftChars="-50" w:right="-105" w:rightChars="-50"/>
                    <w:jc w:val="center"/>
                    <w:rPr>
                      <w:szCs w:val="21"/>
                    </w:rPr>
                  </w:pPr>
                  <w:r>
                    <w:rPr>
                      <w:rFonts w:hint="eastAsia"/>
                      <w:szCs w:val="21"/>
                    </w:rPr>
                    <w:t>废品木材</w:t>
                  </w:r>
                </w:p>
              </w:tc>
              <w:tc>
                <w:tcPr>
                  <w:tcW w:w="3914" w:type="dxa"/>
                  <w:noWrap w:val="0"/>
                  <w:vAlign w:val="center"/>
                </w:tcPr>
                <w:p>
                  <w:pPr>
                    <w:ind w:left="-105" w:leftChars="-50" w:right="-105" w:rightChars="-50"/>
                    <w:jc w:val="center"/>
                    <w:rPr>
                      <w:szCs w:val="21"/>
                    </w:rPr>
                  </w:pPr>
                  <w:r>
                    <w:rPr>
                      <w:rFonts w:hint="eastAsia"/>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472" w:type="dxa"/>
                  <w:vMerge w:val="continue"/>
                  <w:noWrap w:val="0"/>
                  <w:vAlign w:val="center"/>
                </w:tcPr>
                <w:p>
                  <w:pPr>
                    <w:pStyle w:val="493"/>
                    <w:spacing w:before="0" w:after="0"/>
                  </w:pPr>
                </w:p>
              </w:tc>
              <w:tc>
                <w:tcPr>
                  <w:tcW w:w="1599" w:type="dxa"/>
                  <w:vMerge w:val="continue"/>
                  <w:noWrap w:val="0"/>
                  <w:vAlign w:val="center"/>
                </w:tcPr>
                <w:p>
                  <w:pPr>
                    <w:jc w:val="center"/>
                    <w:rPr>
                      <w:szCs w:val="21"/>
                    </w:rPr>
                  </w:pPr>
                </w:p>
              </w:tc>
              <w:tc>
                <w:tcPr>
                  <w:tcW w:w="1310" w:type="dxa"/>
                  <w:noWrap w:val="0"/>
                  <w:vAlign w:val="center"/>
                </w:tcPr>
                <w:p>
                  <w:pPr>
                    <w:widowControl/>
                    <w:ind w:left="-105" w:leftChars="-50" w:right="-105" w:rightChars="-50"/>
                    <w:jc w:val="center"/>
                  </w:pPr>
                  <w:r>
                    <w:rPr>
                      <w:rFonts w:hint="eastAsia"/>
                    </w:rPr>
                    <w:t>产品</w:t>
                  </w:r>
                </w:p>
              </w:tc>
              <w:tc>
                <w:tcPr>
                  <w:tcW w:w="3914" w:type="dxa"/>
                  <w:noWrap w:val="0"/>
                  <w:vAlign w:val="center"/>
                </w:tcPr>
                <w:p>
                  <w:pPr>
                    <w:widowControl/>
                    <w:ind w:left="-105" w:leftChars="-50" w:right="-105" w:rightChars="-50"/>
                    <w:jc w:val="center"/>
                    <w:rPr>
                      <w:szCs w:val="21"/>
                    </w:rPr>
                  </w:pPr>
                  <w:r>
                    <w:t>7776</w:t>
                  </w:r>
                </w:p>
              </w:tc>
            </w:tr>
          </w:tbl>
          <w:p>
            <w:pPr>
              <w:spacing w:line="520" w:lineRule="exact"/>
              <w:rPr>
                <w:rFonts w:hint="eastAsia" w:ascii="宋体" w:hAnsi="宋体" w:cs="宋体"/>
                <w:b/>
                <w:sz w:val="28"/>
                <w:szCs w:val="28"/>
              </w:rPr>
            </w:pPr>
            <w:r>
              <w:rPr>
                <w:rFonts w:hint="eastAsia" w:ascii="宋体" w:hAnsi="宋体" w:cs="宋体"/>
                <w:b/>
                <w:sz w:val="28"/>
                <w:szCs w:val="28"/>
              </w:rPr>
              <w:t>九、公用工程</w:t>
            </w:r>
          </w:p>
          <w:p>
            <w:pPr>
              <w:spacing w:line="360" w:lineRule="auto"/>
              <w:ind w:firstLine="482" w:firstLineChars="200"/>
              <w:rPr>
                <w:rFonts w:hint="eastAsia"/>
                <w:b/>
                <w:bCs/>
                <w:sz w:val="24"/>
              </w:rPr>
            </w:pPr>
            <w:r>
              <w:rPr>
                <w:rFonts w:hint="eastAsia"/>
                <w:b/>
                <w:bCs/>
                <w:sz w:val="24"/>
              </w:rPr>
              <w:t>1、给水</w:t>
            </w:r>
          </w:p>
          <w:p>
            <w:pPr>
              <w:spacing w:line="360" w:lineRule="auto"/>
              <w:ind w:firstLine="480" w:firstLineChars="200"/>
              <w:rPr>
                <w:rFonts w:hint="eastAsia"/>
                <w:bCs/>
                <w:sz w:val="24"/>
              </w:rPr>
            </w:pPr>
            <w:r>
              <w:rPr>
                <w:rFonts w:hint="eastAsia"/>
                <w:bCs/>
                <w:sz w:val="24"/>
              </w:rPr>
              <w:t>本项目生产生活用水来自当地自来水管网。</w:t>
            </w:r>
          </w:p>
          <w:p>
            <w:pPr>
              <w:spacing w:line="360" w:lineRule="auto"/>
              <w:ind w:firstLine="482" w:firstLineChars="200"/>
              <w:rPr>
                <w:rFonts w:hint="eastAsia"/>
                <w:b/>
                <w:bCs/>
                <w:sz w:val="24"/>
              </w:rPr>
            </w:pPr>
            <w:r>
              <w:rPr>
                <w:rFonts w:hint="eastAsia"/>
                <w:b/>
                <w:bCs/>
                <w:sz w:val="24"/>
              </w:rPr>
              <w:t>2、排水</w:t>
            </w:r>
          </w:p>
          <w:p>
            <w:pPr>
              <w:spacing w:line="360" w:lineRule="auto"/>
              <w:ind w:firstLine="480" w:firstLineChars="200"/>
              <w:rPr>
                <w:rFonts w:hint="eastAsia"/>
                <w:bCs/>
                <w:sz w:val="24"/>
              </w:rPr>
            </w:pPr>
            <w:r>
              <w:rPr>
                <w:rFonts w:hint="eastAsia"/>
                <w:bCs/>
                <w:sz w:val="24"/>
              </w:rPr>
              <w:t>本项目采用雨污分流的形式，雨水由设置厂区的雨水沟收集沉淀后排入厂区周边排水沟。本项目产生生活污</w:t>
            </w:r>
            <w:r>
              <w:rPr>
                <w:rFonts w:hint="eastAsia"/>
                <w:bCs/>
                <w:sz w:val="24"/>
                <w:lang w:eastAsia="zh-CN"/>
              </w:rPr>
              <w:t>水用于农灌</w:t>
            </w:r>
            <w:r>
              <w:rPr>
                <w:rFonts w:hint="eastAsia"/>
                <w:bCs/>
                <w:sz w:val="24"/>
              </w:rPr>
              <w:t>。</w:t>
            </w:r>
          </w:p>
          <w:p>
            <w:pPr>
              <w:spacing w:line="360" w:lineRule="auto"/>
              <w:ind w:firstLine="482" w:firstLineChars="200"/>
              <w:rPr>
                <w:rFonts w:hint="eastAsia"/>
                <w:b/>
                <w:bCs/>
                <w:sz w:val="24"/>
              </w:rPr>
            </w:pPr>
            <w:r>
              <w:rPr>
                <w:rFonts w:hint="eastAsia"/>
                <w:b/>
                <w:bCs/>
                <w:sz w:val="24"/>
              </w:rPr>
              <w:t>3、供电</w:t>
            </w:r>
          </w:p>
          <w:p>
            <w:pPr>
              <w:spacing w:line="360" w:lineRule="auto"/>
              <w:ind w:firstLine="480" w:firstLineChars="200"/>
              <w:rPr>
                <w:rFonts w:hint="eastAsia"/>
                <w:sz w:val="24"/>
              </w:rPr>
            </w:pPr>
            <w:r>
              <w:rPr>
                <w:rFonts w:hint="eastAsia"/>
                <w:sz w:val="24"/>
              </w:rPr>
              <w:t>本项目电力来源于当地电网，厂区设置配电箱。</w:t>
            </w:r>
          </w:p>
          <w:p>
            <w:pPr>
              <w:spacing w:line="360" w:lineRule="auto"/>
              <w:ind w:firstLine="482" w:firstLineChars="200"/>
              <w:rPr>
                <w:rFonts w:hint="eastAsia"/>
                <w:b/>
                <w:bCs/>
                <w:sz w:val="24"/>
              </w:rPr>
            </w:pPr>
            <w:r>
              <w:rPr>
                <w:rFonts w:hint="eastAsia"/>
                <w:b/>
                <w:bCs/>
                <w:sz w:val="24"/>
              </w:rPr>
              <w:t>4、供气</w:t>
            </w:r>
          </w:p>
          <w:p>
            <w:pPr>
              <w:spacing w:line="360" w:lineRule="auto"/>
              <w:ind w:firstLine="480" w:firstLineChars="200"/>
              <w:rPr>
                <w:rFonts w:hint="eastAsia"/>
                <w:sz w:val="24"/>
              </w:rPr>
            </w:pPr>
            <w:r>
              <w:rPr>
                <w:rFonts w:hint="eastAsia"/>
                <w:sz w:val="24"/>
              </w:rPr>
              <w:t>本项目天然气导热油炉的最大用气量总共为58Nm</w:t>
            </w:r>
            <w:r>
              <w:rPr>
                <w:rFonts w:hint="eastAsia"/>
                <w:sz w:val="24"/>
                <w:vertAlign w:val="superscript"/>
              </w:rPr>
              <w:t>3</w:t>
            </w:r>
            <w:r>
              <w:rPr>
                <w:rFonts w:hint="eastAsia"/>
                <w:sz w:val="24"/>
              </w:rPr>
              <w:t>/h，年耗气量为</w:t>
            </w:r>
            <w:r>
              <w:rPr>
                <w:sz w:val="24"/>
              </w:rPr>
              <w:t>6.96</w:t>
            </w:r>
            <w:r>
              <w:rPr>
                <w:rFonts w:hint="eastAsia"/>
                <w:sz w:val="24"/>
              </w:rPr>
              <w:t>万Nm</w:t>
            </w:r>
            <w:r>
              <w:rPr>
                <w:rFonts w:hint="eastAsia"/>
                <w:szCs w:val="21"/>
                <w:vertAlign w:val="superscript"/>
              </w:rPr>
              <w:t>3</w:t>
            </w:r>
            <w:r>
              <w:rPr>
                <w:rFonts w:hint="eastAsia"/>
                <w:sz w:val="24"/>
              </w:rPr>
              <w:t>，天然气来自与当地燃气管道。</w:t>
            </w:r>
          </w:p>
          <w:p>
            <w:pPr>
              <w:spacing w:line="360" w:lineRule="auto"/>
              <w:rPr>
                <w:rFonts w:hint="eastAsia"/>
                <w:b/>
                <w:bCs/>
                <w:sz w:val="28"/>
              </w:rPr>
            </w:pPr>
            <w:r>
              <w:rPr>
                <w:rFonts w:hint="eastAsia"/>
                <w:b/>
                <w:bCs/>
                <w:sz w:val="28"/>
              </w:rPr>
              <w:t>十、</w:t>
            </w:r>
            <w:r>
              <w:rPr>
                <w:rFonts w:hint="eastAsia"/>
                <w:b/>
                <w:sz w:val="28"/>
                <w:szCs w:val="28"/>
              </w:rPr>
              <w:t>劳动定员和生产制度</w:t>
            </w:r>
          </w:p>
          <w:p>
            <w:pPr>
              <w:spacing w:line="360" w:lineRule="auto"/>
              <w:ind w:firstLine="480" w:firstLineChars="200"/>
              <w:rPr>
                <w:rFonts w:hint="eastAsia"/>
                <w:sz w:val="24"/>
              </w:rPr>
            </w:pPr>
            <w:r>
              <w:rPr>
                <w:rFonts w:hint="eastAsia"/>
                <w:sz w:val="24"/>
              </w:rPr>
              <w:t>本项目计划工作人员10人，均不在厂内食宿，年工作约为300天，现拟采用一班工作制，每班8小时，夜间不生产。三年后若规模扩大，拟采用两班工作制，夜间最晚工作到10点。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7" w:type="dxa"/>
            <w:gridSpan w:val="7"/>
            <w:noWrap w:val="0"/>
            <w:vAlign w:val="top"/>
          </w:tcPr>
          <w:p>
            <w:pPr>
              <w:spacing w:line="360" w:lineRule="auto"/>
              <w:rPr>
                <w:rFonts w:hint="eastAsia" w:ascii="宋体" w:hAnsi="宋体" w:cs="宋体"/>
                <w:sz w:val="28"/>
                <w:szCs w:val="28"/>
              </w:rPr>
            </w:pPr>
            <w:r>
              <w:rPr>
                <w:rFonts w:hint="eastAsia" w:ascii="宋体" w:hAnsi="宋体" w:cs="宋体"/>
                <w:b/>
                <w:sz w:val="28"/>
                <w:szCs w:val="28"/>
              </w:rPr>
              <w:t>与本项目有关的原有污染情况及主要环境问题：</w:t>
            </w:r>
          </w:p>
          <w:p>
            <w:pPr>
              <w:spacing w:line="360" w:lineRule="auto"/>
              <w:ind w:firstLine="480" w:firstLineChars="200"/>
              <w:rPr>
                <w:rFonts w:hint="eastAsia" w:hAnsi="宋体"/>
                <w:bCs/>
                <w:sz w:val="24"/>
                <w:lang w:eastAsia="zh-CN"/>
              </w:rPr>
            </w:pPr>
            <w:r>
              <w:rPr>
                <w:rFonts w:hint="eastAsia" w:hAnsi="宋体"/>
                <w:bCs/>
                <w:sz w:val="24"/>
                <w:lang w:eastAsia="zh-CN"/>
              </w:rPr>
              <w:t>本项目从</w:t>
            </w:r>
            <w:r>
              <w:rPr>
                <w:rFonts w:hint="eastAsia" w:hAnsi="宋体"/>
                <w:bCs/>
                <w:sz w:val="24"/>
              </w:rPr>
              <w:t>乐山市工业集中区水口-罗汉工业园区</w:t>
            </w:r>
            <w:r>
              <w:rPr>
                <w:rFonts w:hint="eastAsia" w:hAnsi="宋体"/>
                <w:bCs/>
                <w:sz w:val="24"/>
                <w:lang w:eastAsia="zh-CN"/>
              </w:rPr>
              <w:t>中迁出，租用乐山市鑫瑞纺织有限公司</w:t>
            </w:r>
            <w:r>
              <w:rPr>
                <w:rFonts w:hint="eastAsia" w:hAnsi="宋体"/>
                <w:bCs/>
                <w:sz w:val="24"/>
              </w:rPr>
              <w:t>位于乐山市</w:t>
            </w:r>
            <w:r>
              <w:rPr>
                <w:rFonts w:hint="eastAsia" w:hAnsi="宋体"/>
                <w:bCs/>
                <w:sz w:val="24"/>
                <w:lang w:eastAsia="zh-CN"/>
              </w:rPr>
              <w:t>市</w:t>
            </w:r>
            <w:r>
              <w:rPr>
                <w:rFonts w:hint="eastAsia"/>
                <w:bCs/>
                <w:sz w:val="24"/>
                <w:lang w:eastAsia="zh-CN"/>
              </w:rPr>
              <w:t>中区土主镇红岩坝村六组</w:t>
            </w:r>
            <w:r>
              <w:rPr>
                <w:sz w:val="24"/>
              </w:rPr>
              <w:t>（经度</w:t>
            </w:r>
            <w:r>
              <w:rPr>
                <w:rFonts w:hint="eastAsia"/>
                <w:sz w:val="24"/>
              </w:rPr>
              <w:t>103.</w:t>
            </w:r>
            <w:r>
              <w:rPr>
                <w:rFonts w:hint="eastAsia"/>
                <w:sz w:val="24"/>
                <w:lang w:val="en-US" w:eastAsia="zh-CN"/>
              </w:rPr>
              <w:t>8458</w:t>
            </w:r>
            <w:r>
              <w:rPr>
                <w:sz w:val="24"/>
              </w:rPr>
              <w:t>°</w:t>
            </w:r>
            <w:r>
              <w:rPr>
                <w:rFonts w:hAnsi="宋体"/>
                <w:sz w:val="24"/>
              </w:rPr>
              <w:t>，纬度</w:t>
            </w:r>
            <w:r>
              <w:rPr>
                <w:rFonts w:hint="eastAsia"/>
                <w:sz w:val="24"/>
              </w:rPr>
              <w:t>29.</w:t>
            </w:r>
            <w:r>
              <w:rPr>
                <w:rFonts w:hint="eastAsia"/>
                <w:sz w:val="24"/>
                <w:lang w:val="en-US" w:eastAsia="zh-CN"/>
              </w:rPr>
              <w:t>6519</w:t>
            </w:r>
            <w:r>
              <w:rPr>
                <w:sz w:val="24"/>
              </w:rPr>
              <w:t>°）</w:t>
            </w:r>
            <w:r>
              <w:rPr>
                <w:rFonts w:hint="eastAsia"/>
                <w:sz w:val="24"/>
                <w:lang w:eastAsia="zh-CN"/>
              </w:rPr>
              <w:t>的厂房</w:t>
            </w:r>
            <w:r>
              <w:rPr>
                <w:rFonts w:hint="eastAsia" w:hAnsi="宋体"/>
                <w:bCs/>
                <w:sz w:val="24"/>
                <w:lang w:eastAsia="zh-CN"/>
              </w:rPr>
              <w:t>进行人造板加工项目的建设。根据现场踏勘，项目原址无遗留环境问题，且租用厂房为闲置标准厂房，不存在原有环境遗留问题。</w:t>
            </w:r>
          </w:p>
          <w:p>
            <w:pPr>
              <w:pStyle w:val="33"/>
              <w:tabs>
                <w:tab w:val="left" w:pos="3300"/>
                <w:tab w:val="left" w:pos="4680"/>
              </w:tabs>
              <w:adjustRightInd w:val="0"/>
              <w:ind w:firstLine="558" w:firstLineChars="0"/>
              <w:rPr>
                <w:rFonts w:hint="eastAsia" w:ascii="Times New Roman"/>
              </w:rPr>
            </w:pPr>
            <w:r>
              <w:rPr>
                <w:rFonts w:hint="eastAsia" w:ascii="Times New Roman"/>
              </w:rPr>
              <w:t>因此，无与本项目有关的原有污染及主要环境问题。</w:t>
            </w:r>
          </w:p>
          <w:p>
            <w:pPr>
              <w:pStyle w:val="33"/>
              <w:tabs>
                <w:tab w:val="left" w:pos="3300"/>
                <w:tab w:val="left" w:pos="4680"/>
              </w:tabs>
              <w:adjustRightInd w:val="0"/>
              <w:ind w:firstLine="558" w:firstLineChars="0"/>
              <w:rPr>
                <w:rFonts w:hint="eastAsia" w:ascii="Times New Roman"/>
              </w:rPr>
            </w:pPr>
          </w:p>
          <w:p>
            <w:pPr>
              <w:pStyle w:val="33"/>
              <w:tabs>
                <w:tab w:val="left" w:pos="3300"/>
                <w:tab w:val="left" w:pos="4680"/>
              </w:tabs>
              <w:adjustRightInd w:val="0"/>
              <w:ind w:firstLine="558" w:firstLineChars="0"/>
              <w:rPr>
                <w:rFonts w:hint="eastAsia" w:ascii="Times New Roman"/>
              </w:rPr>
            </w:pPr>
          </w:p>
          <w:p>
            <w:pPr>
              <w:pStyle w:val="33"/>
              <w:tabs>
                <w:tab w:val="left" w:pos="3300"/>
                <w:tab w:val="left" w:pos="4680"/>
              </w:tabs>
              <w:adjustRightInd w:val="0"/>
              <w:ind w:firstLine="558" w:firstLineChars="0"/>
              <w:rPr>
                <w:rFonts w:hint="eastAsia" w:ascii="Times New Roman"/>
              </w:rPr>
            </w:pPr>
          </w:p>
          <w:p>
            <w:pPr>
              <w:pStyle w:val="33"/>
              <w:tabs>
                <w:tab w:val="left" w:pos="3300"/>
                <w:tab w:val="left" w:pos="4680"/>
              </w:tabs>
              <w:adjustRightInd w:val="0"/>
              <w:ind w:firstLine="558" w:firstLineChars="0"/>
              <w:rPr>
                <w:rFonts w:hint="eastAsia" w:ascii="Times New Roman"/>
              </w:rPr>
            </w:pPr>
          </w:p>
          <w:p>
            <w:pPr>
              <w:pStyle w:val="33"/>
              <w:tabs>
                <w:tab w:val="left" w:pos="3300"/>
                <w:tab w:val="left" w:pos="4680"/>
              </w:tabs>
              <w:adjustRightInd w:val="0"/>
              <w:ind w:firstLine="558" w:firstLineChars="0"/>
              <w:rPr>
                <w:rFonts w:hint="eastAsia" w:ascii="Times New Roman"/>
              </w:rPr>
            </w:pPr>
          </w:p>
          <w:p>
            <w:pPr>
              <w:pStyle w:val="33"/>
              <w:tabs>
                <w:tab w:val="left" w:pos="3300"/>
                <w:tab w:val="left" w:pos="4680"/>
              </w:tabs>
              <w:adjustRightInd w:val="0"/>
              <w:ind w:firstLine="558" w:firstLineChars="0"/>
              <w:rPr>
                <w:rFonts w:hint="eastAsia" w:ascii="Times New Roman"/>
              </w:rPr>
            </w:pPr>
          </w:p>
          <w:p>
            <w:pPr>
              <w:pStyle w:val="33"/>
              <w:tabs>
                <w:tab w:val="left" w:pos="3300"/>
                <w:tab w:val="left" w:pos="4680"/>
              </w:tabs>
              <w:adjustRightInd w:val="0"/>
              <w:ind w:firstLine="558" w:firstLineChars="0"/>
              <w:rPr>
                <w:rFonts w:hint="eastAsia" w:ascii="Times New Roman"/>
              </w:rPr>
            </w:pPr>
          </w:p>
          <w:p>
            <w:pPr>
              <w:pStyle w:val="33"/>
              <w:tabs>
                <w:tab w:val="left" w:pos="3300"/>
                <w:tab w:val="left" w:pos="4680"/>
              </w:tabs>
              <w:adjustRightInd w:val="0"/>
              <w:ind w:firstLine="558" w:firstLineChars="0"/>
              <w:rPr>
                <w:rFonts w:hint="eastAsia" w:ascii="Times New Roman"/>
              </w:rPr>
            </w:pPr>
          </w:p>
          <w:p>
            <w:pPr>
              <w:pStyle w:val="33"/>
              <w:tabs>
                <w:tab w:val="left" w:pos="3300"/>
                <w:tab w:val="left" w:pos="4680"/>
              </w:tabs>
              <w:adjustRightInd w:val="0"/>
              <w:ind w:firstLine="558" w:firstLineChars="0"/>
              <w:rPr>
                <w:rFonts w:hint="eastAsia" w:ascii="Times New Roman"/>
              </w:rPr>
            </w:pPr>
          </w:p>
          <w:p>
            <w:pPr>
              <w:pStyle w:val="33"/>
              <w:tabs>
                <w:tab w:val="left" w:pos="3300"/>
                <w:tab w:val="left" w:pos="4680"/>
              </w:tabs>
              <w:adjustRightInd w:val="0"/>
              <w:ind w:firstLine="558" w:firstLineChars="0"/>
              <w:rPr>
                <w:rFonts w:hint="eastAsia" w:ascii="Times New Roman"/>
              </w:rPr>
            </w:pPr>
          </w:p>
          <w:p>
            <w:pPr>
              <w:pStyle w:val="33"/>
              <w:tabs>
                <w:tab w:val="left" w:pos="3300"/>
                <w:tab w:val="left" w:pos="4680"/>
              </w:tabs>
              <w:adjustRightInd w:val="0"/>
              <w:ind w:left="0" w:leftChars="0" w:firstLine="0" w:firstLineChars="0"/>
              <w:rPr>
                <w:rFonts w:hint="eastAsia" w:ascii="Times New Roman"/>
              </w:rPr>
            </w:pPr>
          </w:p>
        </w:tc>
      </w:tr>
    </w:tbl>
    <w:p>
      <w:pPr>
        <w:pStyle w:val="52"/>
        <w:ind w:firstLine="0" w:firstLineChars="0"/>
        <w:rPr>
          <w:rFonts w:hint="eastAsia" w:ascii="Times New Roman" w:hAnsi="Times New Roman"/>
        </w:rPr>
      </w:pPr>
      <w:r>
        <w:rPr>
          <w:rFonts w:ascii="宋体" w:hAnsi="宋体" w:cs="黑体"/>
          <w:sz w:val="30"/>
          <w:szCs w:val="30"/>
        </w:rPr>
        <w:br w:type="page"/>
      </w:r>
      <w:r>
        <w:rPr>
          <w:rFonts w:hint="eastAsia"/>
        </w:rPr>
        <w:t>建设项目所在地自然环境简况                  （表二）</w:t>
      </w:r>
    </w:p>
    <w:tbl>
      <w:tblPr>
        <w:tblStyle w:val="69"/>
        <w:tblW w:w="8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64" w:type="dxa"/>
            <w:noWrap w:val="0"/>
            <w:vAlign w:val="top"/>
          </w:tcPr>
          <w:p>
            <w:pPr>
              <w:spacing w:line="360" w:lineRule="auto"/>
              <w:rPr>
                <w:b/>
                <w:sz w:val="28"/>
                <w:szCs w:val="28"/>
              </w:rPr>
            </w:pPr>
            <w:r>
              <w:rPr>
                <w:b/>
                <w:sz w:val="28"/>
                <w:szCs w:val="28"/>
              </w:rPr>
              <w:t>自然环境简况（地形、地貌、地质、气候、气象、水文、植被、生物多样性等）：</w:t>
            </w:r>
          </w:p>
          <w:p>
            <w:pPr>
              <w:spacing w:line="360" w:lineRule="auto"/>
              <w:rPr>
                <w:rFonts w:hint="eastAsia" w:ascii="宋体" w:hAnsi="宋体" w:cs="宋体"/>
                <w:b/>
                <w:bCs/>
                <w:sz w:val="28"/>
                <w:szCs w:val="28"/>
              </w:rPr>
            </w:pPr>
            <w:r>
              <w:rPr>
                <w:rFonts w:hint="eastAsia" w:ascii="宋体" w:hAnsi="宋体" w:cs="宋体"/>
                <w:b/>
                <w:bCs/>
                <w:sz w:val="28"/>
                <w:szCs w:val="28"/>
              </w:rPr>
              <w:t>一、地理位置</w:t>
            </w:r>
          </w:p>
          <w:p>
            <w:pPr>
              <w:spacing w:line="360" w:lineRule="auto"/>
              <w:ind w:firstLine="480" w:firstLineChars="200"/>
              <w:rPr>
                <w:rFonts w:hint="eastAsia"/>
                <w:bCs/>
                <w:kern w:val="0"/>
                <w:sz w:val="24"/>
              </w:rPr>
            </w:pPr>
            <w:r>
              <w:rPr>
                <w:bCs/>
                <w:kern w:val="0"/>
                <w:sz w:val="24"/>
              </w:rPr>
              <w:t>乐山市地处四川盆地边缘，北接眉山市，东临内江市和自贡市，东南与宜宾市接壤，西北与雅安市连界，西南与凉山州毗邻，幅员面积12826平方公里。</w:t>
            </w:r>
            <w:r>
              <w:rPr>
                <w:rFonts w:hint="eastAsia"/>
                <w:bCs/>
                <w:kern w:val="0"/>
                <w:sz w:val="24"/>
              </w:rPr>
              <w:t>境内海拔高度320-4077米，平均海拔500米。</w:t>
            </w:r>
          </w:p>
          <w:p>
            <w:pPr>
              <w:spacing w:line="360" w:lineRule="auto"/>
              <w:ind w:firstLine="480" w:firstLineChars="200"/>
              <w:rPr>
                <w:rFonts w:hint="eastAsia"/>
                <w:bCs/>
                <w:kern w:val="0"/>
                <w:sz w:val="24"/>
              </w:rPr>
            </w:pPr>
            <w:r>
              <w:rPr>
                <w:rFonts w:hint="eastAsia"/>
                <w:bCs/>
                <w:kern w:val="0"/>
                <w:sz w:val="24"/>
              </w:rPr>
              <w:t>本项目选址于乐山市市中区</w:t>
            </w:r>
            <w:r>
              <w:rPr>
                <w:rFonts w:hint="eastAsia"/>
                <w:bCs/>
                <w:kern w:val="0"/>
                <w:sz w:val="24"/>
                <w:lang w:eastAsia="zh-CN"/>
              </w:rPr>
              <w:t>土主镇红岩坝村六组</w:t>
            </w:r>
            <w:r>
              <w:rPr>
                <w:rFonts w:hint="eastAsia"/>
                <w:bCs/>
                <w:kern w:val="0"/>
                <w:sz w:val="24"/>
              </w:rPr>
              <w:t>（经度103.</w:t>
            </w:r>
            <w:r>
              <w:rPr>
                <w:rFonts w:hint="eastAsia"/>
                <w:bCs/>
                <w:kern w:val="0"/>
                <w:sz w:val="24"/>
                <w:lang w:val="en-US" w:eastAsia="zh-CN"/>
              </w:rPr>
              <w:t>8458</w:t>
            </w:r>
            <w:r>
              <w:rPr>
                <w:rFonts w:hint="eastAsia"/>
                <w:bCs/>
                <w:kern w:val="0"/>
                <w:sz w:val="24"/>
              </w:rPr>
              <w:t>°，纬度29.</w:t>
            </w:r>
            <w:r>
              <w:rPr>
                <w:rFonts w:hint="eastAsia"/>
                <w:bCs/>
                <w:kern w:val="0"/>
                <w:sz w:val="24"/>
                <w:lang w:val="en-US" w:eastAsia="zh-CN"/>
              </w:rPr>
              <w:t>6519</w:t>
            </w:r>
            <w:r>
              <w:rPr>
                <w:rFonts w:hint="eastAsia"/>
                <w:bCs/>
                <w:kern w:val="0"/>
                <w:sz w:val="24"/>
              </w:rPr>
              <w:t>°），</w:t>
            </w:r>
            <w:r>
              <w:rPr>
                <w:rFonts w:hint="eastAsia"/>
                <w:bCs/>
                <w:kern w:val="0"/>
                <w:sz w:val="24"/>
                <w:lang w:eastAsia="zh-CN"/>
              </w:rPr>
              <w:t>厂界北面紧邻乐井路，交通方便。</w:t>
            </w:r>
            <w:r>
              <w:rPr>
                <w:rFonts w:hint="eastAsia"/>
                <w:bCs/>
                <w:kern w:val="0"/>
                <w:sz w:val="24"/>
              </w:rPr>
              <w:t>项目地理位置图详见附图1。</w:t>
            </w:r>
          </w:p>
          <w:p>
            <w:pPr>
              <w:spacing w:line="360" w:lineRule="auto"/>
              <w:rPr>
                <w:rFonts w:hint="eastAsia" w:ascii="宋体" w:hAnsi="宋体" w:cs="宋体"/>
                <w:b/>
                <w:bCs/>
                <w:sz w:val="28"/>
                <w:szCs w:val="28"/>
              </w:rPr>
            </w:pPr>
            <w:r>
              <w:rPr>
                <w:rFonts w:hint="eastAsia" w:ascii="宋体" w:hAnsi="宋体" w:cs="宋体"/>
                <w:b/>
                <w:bCs/>
                <w:sz w:val="28"/>
                <w:szCs w:val="28"/>
              </w:rPr>
              <w:t>二、</w:t>
            </w:r>
            <w:r>
              <w:rPr>
                <w:rFonts w:ascii="宋体" w:hAnsi="宋体" w:cs="宋体"/>
                <w:b/>
                <w:bCs/>
                <w:sz w:val="28"/>
                <w:szCs w:val="28"/>
              </w:rPr>
              <w:t>地形、地貌、地质、地震情况</w:t>
            </w:r>
          </w:p>
          <w:p>
            <w:pPr>
              <w:autoSpaceDE w:val="0"/>
              <w:autoSpaceDN w:val="0"/>
              <w:spacing w:line="360" w:lineRule="auto"/>
              <w:ind w:firstLine="480" w:firstLineChars="200"/>
              <w:rPr>
                <w:rFonts w:hint="eastAsia" w:eastAsia="宋体"/>
                <w:kern w:val="0"/>
                <w:sz w:val="24"/>
                <w:lang w:val="en-US" w:eastAsia="zh-CN"/>
              </w:rPr>
            </w:pPr>
            <w:r>
              <w:rPr>
                <w:rFonts w:hint="eastAsia"/>
                <w:kern w:val="0"/>
                <w:sz w:val="24"/>
                <w:lang w:eastAsia="zh-CN"/>
              </w:rPr>
              <w:t>乐山市市中区地处低山、丘陵、平坝三种不同地貌区结合部，以丘陵、平坝为主，根据地貌差异的主要特征，以岷江为分界，将市中区分为东西两大部分。根据《四川省地震烈度区划图》（</w:t>
            </w:r>
            <w:r>
              <w:rPr>
                <w:rFonts w:hint="eastAsia"/>
                <w:kern w:val="0"/>
                <w:sz w:val="24"/>
                <w:lang w:val="en-US" w:eastAsia="zh-CN"/>
              </w:rPr>
              <w:t>1990年</w:t>
            </w:r>
            <w:r>
              <w:rPr>
                <w:rFonts w:hint="eastAsia"/>
                <w:kern w:val="0"/>
                <w:sz w:val="24"/>
                <w:lang w:eastAsia="zh-CN"/>
              </w:rPr>
              <w:t>）和省建委川抗（</w:t>
            </w:r>
            <w:r>
              <w:rPr>
                <w:rFonts w:hint="eastAsia"/>
                <w:kern w:val="0"/>
                <w:sz w:val="24"/>
                <w:lang w:val="en-US" w:eastAsia="zh-CN"/>
              </w:rPr>
              <w:t>1997</w:t>
            </w:r>
            <w:r>
              <w:rPr>
                <w:rFonts w:hint="eastAsia"/>
                <w:kern w:val="0"/>
                <w:sz w:val="24"/>
                <w:lang w:eastAsia="zh-CN"/>
              </w:rPr>
              <w:t>）</w:t>
            </w:r>
            <w:r>
              <w:rPr>
                <w:rFonts w:hint="eastAsia"/>
                <w:kern w:val="0"/>
                <w:sz w:val="24"/>
                <w:lang w:val="en-US" w:eastAsia="zh-CN"/>
              </w:rPr>
              <w:t>005号文件，乐山市市中区地震烈度为</w:t>
            </w:r>
            <w:r>
              <w:rPr>
                <w:rFonts w:ascii="宋体"/>
                <w:kern w:val="0"/>
                <w:sz w:val="24"/>
              </w:rPr>
              <w:t>Ⅶ</w:t>
            </w:r>
            <w:r>
              <w:rPr>
                <w:kern w:val="0"/>
                <w:sz w:val="24"/>
              </w:rPr>
              <w:t>度</w:t>
            </w:r>
            <w:r>
              <w:rPr>
                <w:rFonts w:hint="eastAsia"/>
                <w:kern w:val="0"/>
                <w:sz w:val="24"/>
                <w:lang w:eastAsia="zh-CN"/>
              </w:rPr>
              <w:t>，</w:t>
            </w:r>
            <w:r>
              <w:rPr>
                <w:bCs/>
                <w:sz w:val="24"/>
              </w:rPr>
              <w:t>地壳基本稳定</w:t>
            </w:r>
            <w:r>
              <w:rPr>
                <w:rFonts w:hint="eastAsia"/>
                <w:bCs/>
                <w:sz w:val="24"/>
                <w:lang w:eastAsia="zh-CN"/>
              </w:rPr>
              <w:t>。</w:t>
            </w:r>
          </w:p>
          <w:p>
            <w:pPr>
              <w:autoSpaceDE w:val="0"/>
              <w:autoSpaceDN w:val="0"/>
              <w:spacing w:line="360" w:lineRule="auto"/>
              <w:ind w:firstLine="480" w:firstLineChars="200"/>
              <w:rPr>
                <w:kern w:val="0"/>
                <w:sz w:val="24"/>
              </w:rPr>
            </w:pPr>
            <w:r>
              <w:rPr>
                <w:rFonts w:hint="eastAsia"/>
                <w:kern w:val="0"/>
                <w:sz w:val="24"/>
                <w:lang w:eastAsia="zh-CN"/>
              </w:rPr>
              <w:t>本项目所在地为土主镇，境内以丘陵为主，兼有少量平坝</w:t>
            </w:r>
            <w:r>
              <w:rPr>
                <w:bCs/>
                <w:sz w:val="24"/>
              </w:rPr>
              <w:t>。</w:t>
            </w:r>
          </w:p>
          <w:p>
            <w:pPr>
              <w:spacing w:line="360" w:lineRule="auto"/>
              <w:rPr>
                <w:rFonts w:hint="eastAsia" w:ascii="宋体" w:hAnsi="宋体" w:cs="宋体"/>
                <w:b/>
                <w:bCs/>
                <w:sz w:val="28"/>
                <w:szCs w:val="28"/>
              </w:rPr>
            </w:pPr>
            <w:bookmarkStart w:id="12" w:name="_Toc335571992"/>
            <w:bookmarkStart w:id="13" w:name="_Toc335571653"/>
            <w:r>
              <w:rPr>
                <w:rFonts w:hint="eastAsia" w:ascii="宋体" w:hAnsi="宋体" w:cs="宋体"/>
                <w:b/>
                <w:bCs/>
                <w:sz w:val="28"/>
                <w:szCs w:val="28"/>
              </w:rPr>
              <w:t>三、</w:t>
            </w:r>
            <w:bookmarkEnd w:id="12"/>
            <w:bookmarkEnd w:id="13"/>
            <w:r>
              <w:rPr>
                <w:rFonts w:hint="eastAsia" w:ascii="宋体" w:hAnsi="宋体" w:cs="宋体"/>
                <w:b/>
                <w:bCs/>
                <w:sz w:val="28"/>
                <w:szCs w:val="28"/>
              </w:rPr>
              <w:t>气候特征</w:t>
            </w:r>
          </w:p>
          <w:p>
            <w:pPr>
              <w:autoSpaceDE w:val="0"/>
              <w:autoSpaceDN w:val="0"/>
              <w:spacing w:line="360" w:lineRule="auto"/>
              <w:ind w:firstLine="480" w:firstLineChars="200"/>
              <w:rPr>
                <w:rFonts w:hint="eastAsia"/>
                <w:kern w:val="0"/>
                <w:sz w:val="24"/>
              </w:rPr>
            </w:pPr>
            <w:bookmarkStart w:id="14" w:name="_Toc328324130"/>
            <w:r>
              <w:rPr>
                <w:kern w:val="0"/>
                <w:sz w:val="24"/>
              </w:rPr>
              <w:t>乐山市气候温和，雨量充沛，四季分明，为典型的亚热带季风气候。</w:t>
            </w:r>
            <w:r>
              <w:rPr>
                <w:rFonts w:hint="eastAsia"/>
                <w:kern w:val="0"/>
                <w:sz w:val="24"/>
              </w:rPr>
              <w:t>气候温和，四季分明，早春，气候多变化；夏季无酷暑，雨量较多；秋季湿度大；冬无严寒，霜雪少。全年阴天多，日照不足。其主要气候特征如下：</w:t>
            </w:r>
          </w:p>
          <w:p>
            <w:pPr>
              <w:spacing w:line="360" w:lineRule="auto"/>
              <w:ind w:firstLine="480" w:firstLineChars="200"/>
              <w:rPr>
                <w:sz w:val="24"/>
              </w:rPr>
            </w:pPr>
            <w:r>
              <w:rPr>
                <w:sz w:val="24"/>
              </w:rPr>
              <w:t>多年平均气温</w:t>
            </w:r>
            <w:r>
              <w:rPr>
                <w:rFonts w:hint="eastAsia"/>
                <w:sz w:val="24"/>
              </w:rPr>
              <w:t>：</w:t>
            </w:r>
            <w:r>
              <w:rPr>
                <w:sz w:val="24"/>
              </w:rPr>
              <w:t>1</w:t>
            </w:r>
            <w:r>
              <w:rPr>
                <w:rFonts w:hint="eastAsia"/>
                <w:sz w:val="24"/>
              </w:rPr>
              <w:t>7.3</w:t>
            </w:r>
            <w:r>
              <w:rPr>
                <w:rFonts w:ascii="宋体"/>
                <w:sz w:val="24"/>
              </w:rPr>
              <w:t>℃</w:t>
            </w:r>
            <w:r>
              <w:rPr>
                <w:sz w:val="24"/>
              </w:rPr>
              <w:t xml:space="preserve">；          </w:t>
            </w:r>
            <w:r>
              <w:rPr>
                <w:rFonts w:hint="eastAsia"/>
                <w:sz w:val="24"/>
              </w:rPr>
              <w:t xml:space="preserve"> </w:t>
            </w:r>
            <w:r>
              <w:rPr>
                <w:sz w:val="24"/>
              </w:rPr>
              <w:t xml:space="preserve"> 多年平均相对湿度</w:t>
            </w:r>
            <w:r>
              <w:rPr>
                <w:rFonts w:hint="eastAsia"/>
                <w:sz w:val="24"/>
              </w:rPr>
              <w:t>：</w:t>
            </w:r>
            <w:r>
              <w:rPr>
                <w:sz w:val="24"/>
              </w:rPr>
              <w:t>8</w:t>
            </w:r>
            <w:r>
              <w:rPr>
                <w:rFonts w:hint="eastAsia"/>
                <w:sz w:val="24"/>
              </w:rPr>
              <w:t>1</w:t>
            </w:r>
            <w:r>
              <w:rPr>
                <w:sz w:val="24"/>
              </w:rPr>
              <w:t>%；</w:t>
            </w:r>
          </w:p>
          <w:p>
            <w:pPr>
              <w:spacing w:line="360" w:lineRule="auto"/>
              <w:ind w:firstLine="480" w:firstLineChars="200"/>
              <w:rPr>
                <w:sz w:val="24"/>
              </w:rPr>
            </w:pPr>
            <w:r>
              <w:rPr>
                <w:sz w:val="24"/>
              </w:rPr>
              <w:t>多年平均降</w:t>
            </w:r>
            <w:r>
              <w:rPr>
                <w:rFonts w:hint="eastAsia"/>
                <w:sz w:val="24"/>
              </w:rPr>
              <w:t>雨</w:t>
            </w:r>
            <w:r>
              <w:rPr>
                <w:sz w:val="24"/>
              </w:rPr>
              <w:t>量</w:t>
            </w:r>
            <w:r>
              <w:rPr>
                <w:rFonts w:hint="eastAsia"/>
                <w:sz w:val="24"/>
              </w:rPr>
              <w:t>：</w:t>
            </w:r>
            <w:r>
              <w:rPr>
                <w:sz w:val="24"/>
              </w:rPr>
              <w:t>1</w:t>
            </w:r>
            <w:r>
              <w:rPr>
                <w:rFonts w:hint="eastAsia"/>
                <w:sz w:val="24"/>
              </w:rPr>
              <w:t>121.1</w:t>
            </w:r>
            <w:r>
              <w:rPr>
                <w:sz w:val="24"/>
              </w:rPr>
              <w:t>mm；       多年平均蒸发量</w:t>
            </w:r>
            <w:r>
              <w:rPr>
                <w:rFonts w:hint="eastAsia"/>
                <w:sz w:val="24"/>
              </w:rPr>
              <w:t>：726.6</w:t>
            </w:r>
            <w:r>
              <w:rPr>
                <w:sz w:val="24"/>
              </w:rPr>
              <w:t>mm；</w:t>
            </w:r>
          </w:p>
          <w:p>
            <w:pPr>
              <w:spacing w:line="360" w:lineRule="auto"/>
              <w:ind w:firstLine="480" w:firstLineChars="200"/>
              <w:rPr>
                <w:rFonts w:hint="eastAsia"/>
                <w:sz w:val="24"/>
              </w:rPr>
            </w:pPr>
            <w:r>
              <w:rPr>
                <w:sz w:val="24"/>
              </w:rPr>
              <w:t>年平均日照时数：1</w:t>
            </w:r>
            <w:r>
              <w:rPr>
                <w:rFonts w:hint="eastAsia"/>
                <w:sz w:val="24"/>
              </w:rPr>
              <w:t>161</w:t>
            </w:r>
            <w:r>
              <w:rPr>
                <w:sz w:val="24"/>
              </w:rPr>
              <w:t>h；          主导风向</w:t>
            </w:r>
            <w:r>
              <w:rPr>
                <w:rFonts w:hint="eastAsia"/>
                <w:sz w:val="24"/>
              </w:rPr>
              <w:t>：WN</w:t>
            </w:r>
            <w:r>
              <w:rPr>
                <w:sz w:val="24"/>
              </w:rPr>
              <w:t>；</w:t>
            </w:r>
            <w:r>
              <w:rPr>
                <w:rFonts w:hint="eastAsia"/>
                <w:sz w:val="24"/>
              </w:rPr>
              <w:t>累年次主导风向：N；</w:t>
            </w:r>
          </w:p>
          <w:p>
            <w:pPr>
              <w:spacing w:line="360" w:lineRule="auto"/>
              <w:ind w:firstLine="480" w:firstLineChars="200"/>
              <w:rPr>
                <w:rFonts w:hint="eastAsia"/>
                <w:sz w:val="24"/>
              </w:rPr>
            </w:pPr>
            <w:r>
              <w:rPr>
                <w:sz w:val="24"/>
              </w:rPr>
              <w:t>平均风速</w:t>
            </w:r>
            <w:r>
              <w:rPr>
                <w:rFonts w:hint="eastAsia"/>
                <w:sz w:val="24"/>
              </w:rPr>
              <w:t>：</w:t>
            </w:r>
            <w:r>
              <w:rPr>
                <w:sz w:val="24"/>
              </w:rPr>
              <w:t>1.</w:t>
            </w:r>
            <w:r>
              <w:rPr>
                <w:rFonts w:hint="eastAsia"/>
                <w:sz w:val="24"/>
              </w:rPr>
              <w:t>2</w:t>
            </w:r>
            <w:r>
              <w:rPr>
                <w:sz w:val="24"/>
              </w:rPr>
              <w:t xml:space="preserve">m/s；               </w:t>
            </w:r>
            <w:r>
              <w:rPr>
                <w:rFonts w:hint="eastAsia"/>
                <w:sz w:val="24"/>
              </w:rPr>
              <w:t xml:space="preserve"> </w:t>
            </w:r>
            <w:r>
              <w:rPr>
                <w:sz w:val="24"/>
              </w:rPr>
              <w:t>常年静风频率</w:t>
            </w:r>
            <w:r>
              <w:rPr>
                <w:rFonts w:hint="eastAsia"/>
                <w:sz w:val="24"/>
              </w:rPr>
              <w:t>：35</w:t>
            </w:r>
            <w:r>
              <w:rPr>
                <w:sz w:val="24"/>
              </w:rPr>
              <w:t>%。</w:t>
            </w:r>
          </w:p>
          <w:p>
            <w:pPr>
              <w:spacing w:line="360" w:lineRule="auto"/>
              <w:rPr>
                <w:rFonts w:hint="eastAsia" w:ascii="宋体" w:hAnsi="宋体" w:cs="宋体"/>
                <w:b/>
                <w:bCs/>
                <w:sz w:val="28"/>
                <w:szCs w:val="28"/>
              </w:rPr>
            </w:pPr>
            <w:bookmarkStart w:id="15" w:name="_Toc335571993"/>
            <w:bookmarkStart w:id="16" w:name="_Toc335571654"/>
            <w:r>
              <w:rPr>
                <w:rFonts w:hint="eastAsia" w:ascii="宋体" w:hAnsi="宋体" w:cs="宋体"/>
                <w:b/>
                <w:bCs/>
                <w:sz w:val="28"/>
                <w:szCs w:val="28"/>
              </w:rPr>
              <w:t>四、</w:t>
            </w:r>
            <w:bookmarkEnd w:id="14"/>
            <w:bookmarkEnd w:id="15"/>
            <w:bookmarkEnd w:id="16"/>
            <w:r>
              <w:rPr>
                <w:rFonts w:hint="eastAsia" w:ascii="宋体" w:hAnsi="宋体" w:cs="宋体"/>
                <w:b/>
                <w:bCs/>
                <w:sz w:val="28"/>
                <w:szCs w:val="28"/>
              </w:rPr>
              <w:t>水文特征</w:t>
            </w:r>
          </w:p>
          <w:p>
            <w:pPr>
              <w:autoSpaceDE w:val="0"/>
              <w:autoSpaceDN w:val="0"/>
              <w:spacing w:line="360" w:lineRule="auto"/>
              <w:ind w:firstLine="480" w:firstLineChars="200"/>
              <w:rPr>
                <w:sz w:val="24"/>
              </w:rPr>
            </w:pPr>
            <w:r>
              <w:rPr>
                <w:sz w:val="24"/>
              </w:rPr>
              <w:t>乐山市位于东南季风和西南季风的影响区域，加之地面的抬升作用，气候湿润，雨量丰沛，水源十分丰富，中等干旱年境内水量可达165.1亿立方米。乐山附近绝大部分河流属于岷江水系，其中主要支流大渡河和青衣江均在市中心城区内入汇。</w:t>
            </w:r>
          </w:p>
          <w:p>
            <w:pPr>
              <w:pStyle w:val="24"/>
              <w:spacing w:after="0" w:line="360" w:lineRule="auto"/>
              <w:ind w:left="0" w:leftChars="0" w:firstLine="480" w:firstLineChars="200"/>
              <w:rPr>
                <w:sz w:val="24"/>
                <w:lang w:val="en-US" w:eastAsia="zh-CN"/>
              </w:rPr>
            </w:pPr>
            <w:r>
              <w:rPr>
                <w:rFonts w:hint="eastAsia" w:cs="宋体"/>
                <w:sz w:val="24"/>
                <w:lang w:val="en-US" w:eastAsia="zh-CN"/>
              </w:rPr>
              <w:t>（1）</w:t>
            </w:r>
            <w:r>
              <w:rPr>
                <w:sz w:val="24"/>
                <w:lang w:val="en-US" w:eastAsia="zh-CN"/>
              </w:rPr>
              <w:t>大渡河</w:t>
            </w:r>
          </w:p>
          <w:p>
            <w:pPr>
              <w:pStyle w:val="24"/>
              <w:spacing w:after="0" w:line="360" w:lineRule="auto"/>
              <w:ind w:left="0" w:leftChars="0" w:firstLine="480" w:firstLineChars="200"/>
              <w:rPr>
                <w:sz w:val="24"/>
                <w:lang w:val="en-US" w:eastAsia="zh-CN"/>
              </w:rPr>
            </w:pPr>
            <w:r>
              <w:rPr>
                <w:sz w:val="24"/>
                <w:lang w:val="en-US" w:eastAsia="zh-CN"/>
              </w:rPr>
              <w:t>大渡河是岷江最大的支流，流经乐山市辖的金口河区、峨边县、沙湾区至中心城区肖公嘴入汇岷江。据上游52公里的福禄水文站资料：历史最大流量为10800m</w:t>
            </w:r>
            <w:r>
              <w:rPr>
                <w:sz w:val="24"/>
                <w:vertAlign w:val="superscript"/>
                <w:lang w:val="en-US" w:eastAsia="zh-CN"/>
              </w:rPr>
              <w:t>3</w:t>
            </w:r>
            <w:r>
              <w:rPr>
                <w:sz w:val="24"/>
                <w:lang w:val="en-US" w:eastAsia="zh-CN"/>
              </w:rPr>
              <w:t>/s，年平均流量1500m</w:t>
            </w:r>
            <w:r>
              <w:rPr>
                <w:sz w:val="24"/>
                <w:vertAlign w:val="superscript"/>
                <w:lang w:val="en-US" w:eastAsia="zh-CN"/>
              </w:rPr>
              <w:t>3</w:t>
            </w:r>
            <w:r>
              <w:rPr>
                <w:sz w:val="24"/>
                <w:lang w:val="en-US" w:eastAsia="zh-CN"/>
              </w:rPr>
              <w:t>/s，历年最小流量为258m</w:t>
            </w:r>
            <w:r>
              <w:rPr>
                <w:sz w:val="24"/>
                <w:vertAlign w:val="superscript"/>
                <w:lang w:val="en-US" w:eastAsia="zh-CN"/>
              </w:rPr>
              <w:t>3</w:t>
            </w:r>
            <w:r>
              <w:rPr>
                <w:sz w:val="24"/>
                <w:lang w:val="en-US" w:eastAsia="zh-CN"/>
              </w:rPr>
              <w:t>/s，年均径流总量473亿立方米，为岷江干流径流总量的61％，汛期(6～9月)径流量则占全年的61.7％。</w:t>
            </w:r>
          </w:p>
          <w:p>
            <w:pPr>
              <w:pStyle w:val="24"/>
              <w:spacing w:after="0" w:line="360" w:lineRule="auto"/>
              <w:ind w:left="0" w:leftChars="0" w:firstLine="480" w:firstLineChars="200"/>
              <w:rPr>
                <w:sz w:val="24"/>
                <w:lang w:val="en-US" w:eastAsia="zh-CN"/>
              </w:rPr>
            </w:pPr>
            <w:r>
              <w:rPr>
                <w:sz w:val="24"/>
                <w:lang w:val="en-US" w:eastAsia="zh-CN"/>
              </w:rPr>
              <w:t>（2）青衣江</w:t>
            </w:r>
          </w:p>
          <w:p>
            <w:pPr>
              <w:autoSpaceDE w:val="0"/>
              <w:autoSpaceDN w:val="0"/>
              <w:spacing w:line="360" w:lineRule="auto"/>
              <w:ind w:firstLine="480" w:firstLineChars="200"/>
              <w:rPr>
                <w:sz w:val="24"/>
              </w:rPr>
            </w:pPr>
            <w:r>
              <w:rPr>
                <w:sz w:val="24"/>
              </w:rPr>
              <w:t>青衣江由西北部雅安入乐山市境，流经洪雅、夹江至乐山城区草鞋渡与大渡河合流，据在乐山上游39公里处的夹江水文站资料：历年最大流量达16000m</w:t>
            </w:r>
            <w:r>
              <w:rPr>
                <w:sz w:val="24"/>
                <w:vertAlign w:val="superscript"/>
              </w:rPr>
              <w:t>3</w:t>
            </w:r>
            <w:r>
              <w:rPr>
                <w:sz w:val="24"/>
              </w:rPr>
              <w:t>/s，多年平均流量为550m</w:t>
            </w:r>
            <w:r>
              <w:rPr>
                <w:sz w:val="24"/>
                <w:vertAlign w:val="superscript"/>
              </w:rPr>
              <w:t>3</w:t>
            </w:r>
            <w:r>
              <w:rPr>
                <w:sz w:val="24"/>
              </w:rPr>
              <w:t>/s，历年最小流量78m</w:t>
            </w:r>
            <w:r>
              <w:rPr>
                <w:sz w:val="24"/>
                <w:vertAlign w:val="superscript"/>
              </w:rPr>
              <w:t>3</w:t>
            </w:r>
            <w:r>
              <w:rPr>
                <w:sz w:val="24"/>
              </w:rPr>
              <w:t>/s。年均径流总量169.9亿立方米，为岷江干流径流总量的22％，汛期(6～9月)径流量占全年的64.4％。</w:t>
            </w:r>
          </w:p>
          <w:p>
            <w:pPr>
              <w:autoSpaceDE w:val="0"/>
              <w:autoSpaceDN w:val="0"/>
              <w:spacing w:line="360" w:lineRule="auto"/>
              <w:ind w:firstLine="480" w:firstLineChars="200"/>
              <w:rPr>
                <w:sz w:val="24"/>
              </w:rPr>
            </w:pPr>
            <w:r>
              <w:rPr>
                <w:sz w:val="24"/>
              </w:rPr>
              <w:t>（3）岷江</w:t>
            </w:r>
          </w:p>
          <w:p>
            <w:pPr>
              <w:spacing w:line="360" w:lineRule="auto"/>
              <w:ind w:firstLine="480" w:firstLineChars="200"/>
              <w:rPr>
                <w:sz w:val="24"/>
              </w:rPr>
            </w:pPr>
            <w:r>
              <w:rPr>
                <w:sz w:val="24"/>
              </w:rPr>
              <w:t>岷江自成都平原入乐山市境，流经市中区、五通桥和犍为等区县，至宜宾汇入长江，先后接纳大渡河、青衣江、马边河等支流入汇。据在乐山上游104公里处的彭山水文站资料：历年最大流量为19900m</w:t>
            </w:r>
            <w:r>
              <w:rPr>
                <w:sz w:val="24"/>
                <w:vertAlign w:val="superscript"/>
              </w:rPr>
              <w:t>3</w:t>
            </w:r>
            <w:r>
              <w:rPr>
                <w:sz w:val="24"/>
              </w:rPr>
              <w:t>/s，多年平均流量466m</w:t>
            </w:r>
            <w:r>
              <w:rPr>
                <w:sz w:val="24"/>
                <w:vertAlign w:val="superscript"/>
              </w:rPr>
              <w:t>3</w:t>
            </w:r>
            <w:r>
              <w:rPr>
                <w:sz w:val="24"/>
              </w:rPr>
              <w:t>/s，年均径流总量147亿立方米，汛期(6～9月)径流量占全年的73％，9月份以后河流水量逐渐减少，冬末春初雨量最少，地面径流枯竭，河流仅靠地下水补给，加之沿途引流灌溉，每年1～2月水量最枯，历年最小流量仅19m</w:t>
            </w:r>
            <w:r>
              <w:rPr>
                <w:sz w:val="24"/>
                <w:vertAlign w:val="superscript"/>
              </w:rPr>
              <w:t>3</w:t>
            </w:r>
            <w:r>
              <w:rPr>
                <w:sz w:val="24"/>
              </w:rPr>
              <w:t>/s，多年平均最小流量21.5m</w:t>
            </w:r>
            <w:r>
              <w:rPr>
                <w:sz w:val="24"/>
                <w:vertAlign w:val="superscript"/>
              </w:rPr>
              <w:t>3</w:t>
            </w:r>
            <w:r>
              <w:rPr>
                <w:sz w:val="24"/>
              </w:rPr>
              <w:t>/s。</w:t>
            </w:r>
          </w:p>
          <w:p>
            <w:pPr>
              <w:autoSpaceDE w:val="0"/>
              <w:autoSpaceDN w:val="0"/>
              <w:spacing w:line="360" w:lineRule="auto"/>
              <w:ind w:firstLine="480" w:firstLineChars="200"/>
              <w:rPr>
                <w:sz w:val="24"/>
              </w:rPr>
            </w:pPr>
            <w:r>
              <w:rPr>
                <w:sz w:val="24"/>
              </w:rPr>
              <w:t>在市中区接纳大渡河和青衣江后，岷江水量倍增，据在乐山下游28公里处的五通桥水文站资料：历年最大流量达25200m</w:t>
            </w:r>
            <w:r>
              <w:rPr>
                <w:sz w:val="24"/>
                <w:vertAlign w:val="superscript"/>
              </w:rPr>
              <w:t>3</w:t>
            </w:r>
            <w:r>
              <w:rPr>
                <w:sz w:val="24"/>
              </w:rPr>
              <w:t>/s，多年平均流量为2432m</w:t>
            </w:r>
            <w:r>
              <w:rPr>
                <w:sz w:val="24"/>
                <w:vertAlign w:val="superscript"/>
              </w:rPr>
              <w:t>3</w:t>
            </w:r>
            <w:r>
              <w:rPr>
                <w:sz w:val="24"/>
              </w:rPr>
              <w:t>/s，历年最小流量330m</w:t>
            </w:r>
            <w:r>
              <w:rPr>
                <w:sz w:val="24"/>
                <w:vertAlign w:val="superscript"/>
              </w:rPr>
              <w:t>3</w:t>
            </w:r>
            <w:r>
              <w:rPr>
                <w:sz w:val="24"/>
              </w:rPr>
              <w:t>/s，年均径流总量775亿立方米，汛期(6～9月)径流量则占全年的66.2％。</w:t>
            </w:r>
          </w:p>
          <w:p>
            <w:pPr>
              <w:autoSpaceDE w:val="0"/>
              <w:autoSpaceDN w:val="0"/>
              <w:spacing w:line="360" w:lineRule="auto"/>
              <w:ind w:firstLine="480" w:firstLineChars="200"/>
              <w:rPr>
                <w:rFonts w:hint="eastAsia" w:eastAsia="宋体"/>
                <w:sz w:val="24"/>
                <w:lang w:eastAsia="zh-CN"/>
              </w:rPr>
            </w:pPr>
            <w:r>
              <w:rPr>
                <w:rFonts w:hint="eastAsia"/>
                <w:sz w:val="24"/>
                <w:lang w:eastAsia="zh-CN"/>
              </w:rPr>
              <w:t>土主镇有剑峰河和泥溪河沿镇区两侧缓流而下，本项目所在地属于剑峰河流域。</w:t>
            </w:r>
          </w:p>
          <w:p>
            <w:pPr>
              <w:spacing w:line="360" w:lineRule="auto"/>
              <w:rPr>
                <w:b/>
                <w:sz w:val="28"/>
                <w:szCs w:val="28"/>
              </w:rPr>
            </w:pPr>
            <w:bookmarkStart w:id="17" w:name="_Toc335571656"/>
            <w:r>
              <w:rPr>
                <w:b/>
                <w:sz w:val="28"/>
                <w:szCs w:val="28"/>
              </w:rPr>
              <w:t>五、</w:t>
            </w:r>
            <w:bookmarkEnd w:id="17"/>
            <w:r>
              <w:rPr>
                <w:rFonts w:hint="eastAsia"/>
                <w:b/>
                <w:sz w:val="28"/>
                <w:szCs w:val="28"/>
              </w:rPr>
              <w:t>植被、生物多样性</w:t>
            </w:r>
          </w:p>
          <w:p>
            <w:pPr>
              <w:autoSpaceDE w:val="0"/>
              <w:autoSpaceDN w:val="0"/>
              <w:spacing w:line="360" w:lineRule="auto"/>
              <w:ind w:firstLine="480" w:firstLineChars="200"/>
              <w:rPr>
                <w:kern w:val="0"/>
                <w:sz w:val="24"/>
              </w:rPr>
            </w:pPr>
            <w:r>
              <w:rPr>
                <w:kern w:val="0"/>
                <w:sz w:val="24"/>
              </w:rPr>
              <w:t>以人工栽培作物和经济林木为主，自然植被主要是偏湿性常绿阔叶林。乐山市动、植物资源丰富，除人工养殖和种植的动物、植物外，目前已掌握的野生动植物种类共有五千五百余种。</w:t>
            </w:r>
          </w:p>
          <w:p>
            <w:pPr>
              <w:autoSpaceDE w:val="0"/>
              <w:autoSpaceDN w:val="0"/>
              <w:spacing w:line="360" w:lineRule="auto"/>
              <w:ind w:firstLine="480" w:firstLineChars="200"/>
              <w:rPr>
                <w:kern w:val="0"/>
                <w:sz w:val="24"/>
              </w:rPr>
            </w:pPr>
            <w:r>
              <w:rPr>
                <w:kern w:val="0"/>
                <w:sz w:val="24"/>
              </w:rPr>
              <w:t>独特的自然风光及人文景观构成的旅游资源是乐山主要资源优势，嘉州山水壮丽、奇秀、清雅、幽静，使乐山市中心城区成为独具魅力的旅游胜地。</w:t>
            </w:r>
          </w:p>
          <w:p>
            <w:pPr>
              <w:spacing w:line="360" w:lineRule="auto"/>
              <w:ind w:firstLine="482" w:firstLineChars="200"/>
              <w:rPr>
                <w:rFonts w:hAnsi="宋体"/>
                <w:b/>
                <w:sz w:val="24"/>
              </w:rPr>
            </w:pPr>
            <w:r>
              <w:rPr>
                <w:b/>
                <w:kern w:val="0"/>
                <w:sz w:val="24"/>
              </w:rPr>
              <w:t>据调查，</w:t>
            </w:r>
            <w:r>
              <w:rPr>
                <w:rFonts w:hint="eastAsia"/>
                <w:b/>
                <w:kern w:val="0"/>
                <w:sz w:val="24"/>
              </w:rPr>
              <w:t>项目</w:t>
            </w:r>
            <w:r>
              <w:rPr>
                <w:b/>
                <w:kern w:val="0"/>
                <w:sz w:val="24"/>
              </w:rPr>
              <w:t>所在</w:t>
            </w:r>
            <w:r>
              <w:rPr>
                <w:rFonts w:hint="eastAsia"/>
                <w:b/>
                <w:kern w:val="0"/>
                <w:sz w:val="24"/>
              </w:rPr>
              <w:t>区域人类活动频繁，</w:t>
            </w:r>
            <w:r>
              <w:rPr>
                <w:b/>
                <w:kern w:val="0"/>
                <w:sz w:val="24"/>
              </w:rPr>
              <w:t>无</w:t>
            </w:r>
            <w:r>
              <w:rPr>
                <w:rFonts w:hint="eastAsia"/>
                <w:b/>
                <w:kern w:val="0"/>
                <w:sz w:val="24"/>
              </w:rPr>
              <w:t>国家</w:t>
            </w:r>
            <w:r>
              <w:rPr>
                <w:b/>
                <w:kern w:val="0"/>
                <w:sz w:val="24"/>
              </w:rPr>
              <w:t>珍稀</w:t>
            </w:r>
            <w:r>
              <w:rPr>
                <w:rFonts w:hint="eastAsia"/>
                <w:b/>
                <w:kern w:val="0"/>
                <w:sz w:val="24"/>
              </w:rPr>
              <w:t>保护</w:t>
            </w:r>
            <w:r>
              <w:rPr>
                <w:b/>
                <w:kern w:val="0"/>
                <w:sz w:val="24"/>
              </w:rPr>
              <w:t>动、植物</w:t>
            </w:r>
            <w:r>
              <w:rPr>
                <w:rFonts w:hint="eastAsia"/>
                <w:b/>
                <w:kern w:val="0"/>
                <w:sz w:val="24"/>
              </w:rPr>
              <w:t>分布</w:t>
            </w:r>
            <w:r>
              <w:rPr>
                <w:b/>
                <w:kern w:val="0"/>
                <w:sz w:val="24"/>
              </w:rPr>
              <w:t>。</w:t>
            </w:r>
          </w:p>
          <w:p>
            <w:pPr>
              <w:spacing w:line="360" w:lineRule="auto"/>
              <w:rPr>
                <w:b/>
                <w:sz w:val="28"/>
                <w:szCs w:val="28"/>
              </w:rPr>
            </w:pPr>
            <w:r>
              <w:rPr>
                <w:rFonts w:hint="eastAsia"/>
                <w:b/>
                <w:sz w:val="28"/>
                <w:szCs w:val="28"/>
              </w:rPr>
              <w:t>六</w:t>
            </w:r>
            <w:r>
              <w:rPr>
                <w:b/>
                <w:sz w:val="28"/>
                <w:szCs w:val="28"/>
              </w:rPr>
              <w:t>、</w:t>
            </w:r>
            <w:r>
              <w:rPr>
                <w:rFonts w:hint="eastAsia"/>
                <w:b/>
                <w:sz w:val="28"/>
                <w:szCs w:val="28"/>
              </w:rPr>
              <w:t>乐山大佛风景名胜区概况</w:t>
            </w:r>
          </w:p>
          <w:p>
            <w:pPr>
              <w:spacing w:line="360" w:lineRule="auto"/>
              <w:ind w:firstLine="480" w:firstLineChars="200"/>
              <w:rPr>
                <w:sz w:val="24"/>
              </w:rPr>
            </w:pPr>
            <w:r>
              <w:rPr>
                <w:rFonts w:hAnsi="宋体"/>
                <w:sz w:val="24"/>
              </w:rPr>
              <w:t>乐山大佛风景名胜区（以下简称风景区）位于中华人民共和国四川省乐山市市中区中部，岷江、大渡河和青衣江三江汇流处，与城市市区隔河相望，地理坐标为东经</w:t>
            </w:r>
            <w:r>
              <w:rPr>
                <w:sz w:val="24"/>
              </w:rPr>
              <w:t>103°43′119.5″—103°47′06″，北纬29°31′119.5″—29°35′17″。面积17.88平方公里。</w:t>
            </w:r>
          </w:p>
          <w:p>
            <w:pPr>
              <w:spacing w:line="360" w:lineRule="auto"/>
              <w:ind w:firstLine="480" w:firstLineChars="200"/>
              <w:rPr>
                <w:sz w:val="24"/>
              </w:rPr>
            </w:pPr>
            <w:r>
              <w:rPr>
                <w:rFonts w:hAnsi="宋体"/>
                <w:sz w:val="24"/>
              </w:rPr>
              <w:t>风景名胜以文物古迹为优，其中国家重点文物保护单位</w:t>
            </w:r>
            <w:r>
              <w:rPr>
                <w:sz w:val="24"/>
              </w:rPr>
              <w:t>2</w:t>
            </w:r>
            <w:r>
              <w:rPr>
                <w:rFonts w:hAnsi="宋体"/>
                <w:sz w:val="24"/>
              </w:rPr>
              <w:t>处：乐山大佛和麻浩崖墓；省级文物保护单位</w:t>
            </w:r>
            <w:r>
              <w:rPr>
                <w:sz w:val="24"/>
              </w:rPr>
              <w:t>5</w:t>
            </w:r>
            <w:r>
              <w:rPr>
                <w:rFonts w:hAnsi="宋体"/>
                <w:sz w:val="24"/>
              </w:rPr>
              <w:t>处：凌云寺、乌尤离堆、灵宝塔、乌尤寺、柿子湾崖墓；市级文物保护单位</w:t>
            </w:r>
            <w:r>
              <w:rPr>
                <w:sz w:val="24"/>
              </w:rPr>
              <w:t>5</w:t>
            </w:r>
            <w:r>
              <w:rPr>
                <w:rFonts w:hAnsi="宋体"/>
                <w:sz w:val="24"/>
              </w:rPr>
              <w:t>处：东岩崖墓、东坡楼、三龟九顶城、东山寺、崖墓博物馆。</w:t>
            </w:r>
          </w:p>
          <w:p>
            <w:pPr>
              <w:keepNext/>
              <w:keepLines/>
              <w:spacing w:line="360" w:lineRule="auto"/>
              <w:outlineLvl w:val="0"/>
              <w:rPr>
                <w:sz w:val="24"/>
              </w:rPr>
            </w:pPr>
            <w:r>
              <w:rPr>
                <w:rFonts w:hAnsi="宋体"/>
                <w:sz w:val="24"/>
              </w:rPr>
              <w:t>自然风景主要有嘉州山水特色的三江汇流、青衣三岛、巨形睡佛、凤洲田园等。</w:t>
            </w:r>
          </w:p>
          <w:p>
            <w:pPr>
              <w:spacing w:line="360" w:lineRule="auto"/>
              <w:ind w:firstLine="480" w:firstLineChars="200"/>
              <w:rPr>
                <w:sz w:val="24"/>
              </w:rPr>
            </w:pPr>
            <w:r>
              <w:rPr>
                <w:rFonts w:hAnsi="宋体"/>
                <w:sz w:val="24"/>
              </w:rPr>
              <w:t>布局结构：采用</w:t>
            </w:r>
            <w:r>
              <w:rPr>
                <w:rFonts w:ascii="宋体" w:hAnsi="宋体"/>
                <w:sz w:val="24"/>
              </w:rPr>
              <w:t>“环状串珠式”结构，形成“一环五片”布</w:t>
            </w:r>
            <w:r>
              <w:rPr>
                <w:rFonts w:hAnsi="宋体"/>
                <w:sz w:val="24"/>
              </w:rPr>
              <w:t>局。</w:t>
            </w:r>
          </w:p>
          <w:p>
            <w:pPr>
              <w:spacing w:line="360" w:lineRule="auto"/>
              <w:ind w:firstLine="480" w:firstLineChars="200"/>
              <w:rPr>
                <w:sz w:val="24"/>
              </w:rPr>
            </w:pPr>
            <w:r>
              <w:rPr>
                <w:rFonts w:hAnsi="宋体"/>
                <w:sz w:val="24"/>
              </w:rPr>
              <w:t>规划从任家坝沿乐五路至乌尤坝，从乌尤坝过岷江至任家场，沿杜家坝游览道至小铜河过河至风州岛，从风州岛过河至肖坝，沿滨河路至嘉州古城区，沿岷江大桥至任家坝闭合，形成陆、水结合的风景区旅游主环线和区间交通环线，由该环线串联了大佛景区、凤洲景区、龟城山景区、马鞍山景区、杜家坝景区五个景区。</w:t>
            </w:r>
          </w:p>
          <w:p>
            <w:pPr>
              <w:spacing w:line="360" w:lineRule="auto"/>
              <w:ind w:firstLine="480" w:firstLineChars="200"/>
              <w:rPr>
                <w:sz w:val="24"/>
              </w:rPr>
            </w:pPr>
            <w:r>
              <w:rPr>
                <w:sz w:val="24"/>
              </w:rPr>
              <w:t>1、一环：任家坝——凌云山——乌尤山——杜家坝——凤洲——古城区——任家坝的陆上和水上游览环线。</w:t>
            </w:r>
          </w:p>
          <w:p>
            <w:pPr>
              <w:pStyle w:val="15"/>
              <w:spacing w:after="0" w:line="360" w:lineRule="auto"/>
              <w:ind w:firstLine="480" w:firstLineChars="200"/>
              <w:rPr>
                <w:sz w:val="24"/>
                <w:lang w:val="en-US" w:eastAsia="zh-CN"/>
              </w:rPr>
            </w:pPr>
            <w:r>
              <w:rPr>
                <w:sz w:val="24"/>
                <w:lang w:val="en-US" w:eastAsia="zh-CN"/>
              </w:rPr>
              <w:t>2</w:t>
            </w:r>
            <w:r>
              <w:rPr>
                <w:rFonts w:hAnsi="宋体"/>
                <w:sz w:val="24"/>
                <w:lang w:val="en-US" w:eastAsia="zh-CN"/>
              </w:rPr>
              <w:t>、五片：大佛景区、三江景区、龟城山景区、马鞍山景区、杜家坝景区。</w:t>
            </w:r>
          </w:p>
          <w:p>
            <w:pPr>
              <w:spacing w:line="360" w:lineRule="auto"/>
              <w:ind w:firstLine="458" w:firstLineChars="200"/>
              <w:rPr>
                <w:b/>
                <w:spacing w:val="-6"/>
                <w:sz w:val="24"/>
              </w:rPr>
            </w:pPr>
            <w:r>
              <w:rPr>
                <w:rFonts w:hAnsi="宋体"/>
                <w:b/>
                <w:spacing w:val="-6"/>
                <w:sz w:val="24"/>
              </w:rPr>
              <w:t>本项目不在乐山大佛风景区范围内，项目所在地无风景名胜区和需要保护的文物古迹。</w:t>
            </w:r>
          </w:p>
          <w:p>
            <w:pPr>
              <w:spacing w:line="360" w:lineRule="auto"/>
              <w:ind w:firstLine="480" w:firstLineChars="200"/>
              <w:rPr>
                <w:sz w:val="24"/>
              </w:rPr>
            </w:pPr>
          </w:p>
          <w:p>
            <w:pPr>
              <w:spacing w:line="360" w:lineRule="auto"/>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tc>
      </w:tr>
    </w:tbl>
    <w:p>
      <w:pPr>
        <w:keepNext/>
        <w:keepLines/>
        <w:spacing w:line="360" w:lineRule="auto"/>
        <w:outlineLvl w:val="0"/>
        <w:rPr>
          <w:rFonts w:hint="eastAsia" w:ascii="宋体" w:hAnsi="宋体" w:cs="黑体"/>
          <w:b/>
          <w:sz w:val="32"/>
          <w:szCs w:val="32"/>
        </w:rPr>
      </w:pPr>
      <w:r>
        <w:rPr>
          <w:rFonts w:hint="eastAsia" w:ascii="宋体" w:hAnsi="宋体" w:cs="黑体"/>
          <w:b/>
          <w:sz w:val="32"/>
          <w:szCs w:val="32"/>
        </w:rPr>
        <w:t>环境质量状况                                (表三)</w:t>
      </w:r>
    </w:p>
    <w:tbl>
      <w:tblPr>
        <w:tblStyle w:val="69"/>
        <w:tblW w:w="9089" w:type="dxa"/>
        <w:jc w:val="center"/>
        <w:tblInd w:w="-103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16"/>
        <w:gridCol w:w="90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Ex>
        <w:trPr>
          <w:gridBefore w:val="1"/>
          <w:wBefore w:w="16" w:type="dxa"/>
          <w:jc w:val="center"/>
        </w:trPr>
        <w:tc>
          <w:tcPr>
            <w:tcW w:w="9073" w:type="dxa"/>
            <w:noWrap/>
            <w:vAlign w:val="bottom"/>
          </w:tcPr>
          <w:p>
            <w:pPr>
              <w:spacing w:line="360" w:lineRule="auto"/>
              <w:rPr>
                <w:rFonts w:hint="eastAsia"/>
                <w:b/>
                <w:sz w:val="30"/>
                <w:szCs w:val="30"/>
              </w:rPr>
            </w:pPr>
            <w:r>
              <w:rPr>
                <w:rFonts w:hint="eastAsia"/>
                <w:b/>
                <w:sz w:val="30"/>
                <w:szCs w:val="30"/>
              </w:rPr>
              <w:t>建设项目所在地区域环境质量现状及主要环境问题</w:t>
            </w:r>
            <w:r>
              <w:rPr>
                <w:b/>
                <w:sz w:val="30"/>
                <w:szCs w:val="30"/>
              </w:rPr>
              <w:t>(</w:t>
            </w:r>
            <w:r>
              <w:rPr>
                <w:rFonts w:hint="eastAsia"/>
                <w:b/>
                <w:sz w:val="30"/>
                <w:szCs w:val="30"/>
              </w:rPr>
              <w:t>环境空气、地面水、地下水、声环境、生态环境等</w:t>
            </w:r>
            <w:r>
              <w:rPr>
                <w:b/>
                <w:sz w:val="30"/>
                <w:szCs w:val="30"/>
              </w:rPr>
              <w:t>)</w:t>
            </w:r>
            <w:r>
              <w:rPr>
                <w:rFonts w:hint="eastAsia"/>
                <w:b/>
                <w:sz w:val="30"/>
                <w:szCs w:val="30"/>
              </w:rPr>
              <w:t>：</w:t>
            </w:r>
          </w:p>
          <w:p>
            <w:pPr>
              <w:spacing w:line="360" w:lineRule="auto"/>
              <w:ind w:firstLine="480" w:firstLineChars="200"/>
              <w:rPr>
                <w:bCs/>
                <w:sz w:val="24"/>
              </w:rPr>
            </w:pPr>
            <w:r>
              <w:rPr>
                <w:sz w:val="24"/>
              </w:rPr>
              <w:t>本项目</w:t>
            </w:r>
            <w:r>
              <w:rPr>
                <w:rFonts w:hint="eastAsia"/>
                <w:sz w:val="24"/>
              </w:rPr>
              <w:t>位于</w:t>
            </w:r>
            <w:r>
              <w:rPr>
                <w:rFonts w:hint="eastAsia" w:hAnsi="宋体"/>
                <w:bCs/>
                <w:sz w:val="24"/>
              </w:rPr>
              <w:t>乐山市</w:t>
            </w:r>
            <w:r>
              <w:rPr>
                <w:rFonts w:hint="eastAsia" w:hAnsi="宋体"/>
                <w:bCs/>
                <w:sz w:val="24"/>
                <w:lang w:eastAsia="zh-CN"/>
              </w:rPr>
              <w:t>市中区土主镇红岩坝村六组</w:t>
            </w:r>
            <w:r>
              <w:rPr>
                <w:rFonts w:hint="eastAsia" w:hAnsi="宋体"/>
                <w:bCs/>
                <w:sz w:val="24"/>
                <w:lang w:val="en-US" w:eastAsia="zh-CN"/>
              </w:rPr>
              <w:t>478号1幢</w:t>
            </w:r>
            <w:r>
              <w:rPr>
                <w:rFonts w:hint="eastAsia" w:hAnsi="宋体"/>
                <w:bCs/>
                <w:sz w:val="24"/>
              </w:rPr>
              <w:t>的厂房</w:t>
            </w:r>
            <w:r>
              <w:rPr>
                <w:sz w:val="24"/>
              </w:rPr>
              <w:t>（经度</w:t>
            </w:r>
            <w:r>
              <w:rPr>
                <w:rFonts w:hint="eastAsia"/>
                <w:sz w:val="24"/>
              </w:rPr>
              <w:t>103.</w:t>
            </w:r>
            <w:r>
              <w:rPr>
                <w:rFonts w:hint="eastAsia"/>
                <w:sz w:val="24"/>
                <w:lang w:val="en-US" w:eastAsia="zh-CN"/>
              </w:rPr>
              <w:t>8458</w:t>
            </w:r>
            <w:r>
              <w:rPr>
                <w:sz w:val="24"/>
              </w:rPr>
              <w:t>°</w:t>
            </w:r>
            <w:r>
              <w:rPr>
                <w:rFonts w:hAnsi="宋体"/>
                <w:sz w:val="24"/>
              </w:rPr>
              <w:t>，纬度</w:t>
            </w:r>
            <w:r>
              <w:rPr>
                <w:rFonts w:hint="eastAsia"/>
                <w:sz w:val="24"/>
              </w:rPr>
              <w:t>29.</w:t>
            </w:r>
            <w:r>
              <w:rPr>
                <w:rFonts w:hint="eastAsia"/>
                <w:sz w:val="24"/>
                <w:lang w:val="en-US" w:eastAsia="zh-CN"/>
              </w:rPr>
              <w:t>6519</w:t>
            </w:r>
            <w:r>
              <w:rPr>
                <w:sz w:val="24"/>
              </w:rPr>
              <w:t>°）</w:t>
            </w:r>
            <w:r>
              <w:rPr>
                <w:bCs/>
                <w:sz w:val="24"/>
              </w:rPr>
              <w:t>，</w:t>
            </w:r>
            <w:r>
              <w:rPr>
                <w:rFonts w:hint="eastAsia"/>
                <w:bCs/>
                <w:sz w:val="24"/>
              </w:rPr>
              <w:t>属于新建项目。</w:t>
            </w:r>
            <w:r>
              <w:rPr>
                <w:rFonts w:hint="eastAsia"/>
                <w:sz w:val="24"/>
              </w:rPr>
              <w:t>为了掌握本项目所在区域环境质量状况，乐山市林泉木业有限责任公司于</w:t>
            </w:r>
            <w:r>
              <w:rPr>
                <w:sz w:val="24"/>
              </w:rPr>
              <w:t>201</w:t>
            </w:r>
            <w:r>
              <w:rPr>
                <w:rFonts w:hint="eastAsia"/>
                <w:sz w:val="24"/>
                <w:lang w:val="en-US" w:eastAsia="zh-CN"/>
              </w:rPr>
              <w:t>9</w:t>
            </w:r>
            <w:r>
              <w:rPr>
                <w:rFonts w:hint="eastAsia"/>
                <w:color w:val="auto"/>
                <w:sz w:val="24"/>
              </w:rPr>
              <w:t>年</w:t>
            </w:r>
            <w:r>
              <w:rPr>
                <w:rFonts w:hint="eastAsia"/>
                <w:color w:val="auto"/>
                <w:sz w:val="24"/>
                <w:lang w:val="en-US" w:eastAsia="zh-CN"/>
              </w:rPr>
              <w:t>7</w:t>
            </w:r>
            <w:r>
              <w:rPr>
                <w:rFonts w:hint="eastAsia"/>
                <w:color w:val="auto"/>
                <w:sz w:val="24"/>
              </w:rPr>
              <w:t>月</w:t>
            </w:r>
            <w:r>
              <w:rPr>
                <w:rFonts w:hint="eastAsia"/>
                <w:color w:val="auto"/>
                <w:sz w:val="24"/>
                <w:lang w:val="en-US" w:eastAsia="zh-CN"/>
              </w:rPr>
              <w:t>19</w:t>
            </w:r>
            <w:r>
              <w:rPr>
                <w:rFonts w:hint="eastAsia"/>
                <w:color w:val="auto"/>
                <w:sz w:val="24"/>
              </w:rPr>
              <w:t>日至</w:t>
            </w:r>
            <w:r>
              <w:rPr>
                <w:rFonts w:hint="eastAsia"/>
                <w:color w:val="auto"/>
                <w:sz w:val="24"/>
                <w:lang w:val="en-US" w:eastAsia="zh-CN"/>
              </w:rPr>
              <w:t>25</w:t>
            </w:r>
            <w:r>
              <w:rPr>
                <w:rFonts w:hint="eastAsia"/>
                <w:color w:val="auto"/>
                <w:sz w:val="24"/>
              </w:rPr>
              <w:t>日委</w:t>
            </w:r>
            <w:r>
              <w:rPr>
                <w:rFonts w:hint="eastAsia"/>
                <w:sz w:val="24"/>
              </w:rPr>
              <w:t>托</w:t>
            </w:r>
            <w:r>
              <w:rPr>
                <w:rFonts w:hint="eastAsia"/>
                <w:sz w:val="24"/>
                <w:lang w:eastAsia="zh-CN"/>
              </w:rPr>
              <w:t>四川成检环境检测有限公司</w:t>
            </w:r>
            <w:r>
              <w:rPr>
                <w:rFonts w:hint="eastAsia"/>
                <w:sz w:val="24"/>
              </w:rPr>
              <w:t>对本项目的声环境</w:t>
            </w:r>
            <w:r>
              <w:rPr>
                <w:rFonts w:hint="eastAsia"/>
                <w:sz w:val="24"/>
                <w:lang w:eastAsia="zh-CN"/>
              </w:rPr>
              <w:t>和空气环境</w:t>
            </w:r>
            <w:r>
              <w:rPr>
                <w:rFonts w:hint="eastAsia"/>
                <w:sz w:val="24"/>
              </w:rPr>
              <w:t>进行了环境质量现状监测</w:t>
            </w:r>
            <w:r>
              <w:rPr>
                <w:rFonts w:hint="eastAsia"/>
                <w:sz w:val="24"/>
                <w:lang w:eastAsia="zh-CN"/>
              </w:rPr>
              <w:t>（监测布点图见附图</w:t>
            </w:r>
            <w:r>
              <w:rPr>
                <w:rFonts w:hint="eastAsia"/>
                <w:sz w:val="24"/>
                <w:lang w:val="en-US" w:eastAsia="zh-CN"/>
              </w:rPr>
              <w:t>3</w:t>
            </w:r>
            <w:r>
              <w:rPr>
                <w:rFonts w:hint="eastAsia"/>
                <w:sz w:val="24"/>
                <w:lang w:eastAsia="zh-CN"/>
              </w:rPr>
              <w:t>）</w:t>
            </w:r>
            <w:r>
              <w:rPr>
                <w:rFonts w:hint="eastAsia"/>
                <w:sz w:val="24"/>
              </w:rPr>
              <w:t>。具体如下：</w:t>
            </w:r>
          </w:p>
          <w:p>
            <w:pPr>
              <w:spacing w:line="360" w:lineRule="auto"/>
              <w:ind w:firstLine="472" w:firstLineChars="196"/>
              <w:rPr>
                <w:rFonts w:hint="eastAsia"/>
                <w:b/>
                <w:bCs/>
                <w:sz w:val="24"/>
              </w:rPr>
            </w:pPr>
            <w:r>
              <w:rPr>
                <w:rFonts w:hint="eastAsia"/>
                <w:b/>
                <w:bCs/>
                <w:sz w:val="24"/>
              </w:rPr>
              <w:t>1、环境空气质量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监测项目： NO</w:t>
            </w:r>
            <w:r>
              <w:rPr>
                <w:rFonts w:hint="eastAsia"/>
                <w:sz w:val="24"/>
                <w:szCs w:val="32"/>
                <w:vertAlign w:val="subscript"/>
                <w:lang w:val="en-US" w:eastAsia="zh-CN"/>
              </w:rPr>
              <w:t>2</w:t>
            </w:r>
            <w:r>
              <w:rPr>
                <w:rFonts w:hint="eastAsia"/>
                <w:sz w:val="24"/>
                <w:szCs w:val="32"/>
                <w:lang w:eastAsia="zh-CN"/>
              </w:rPr>
              <w:t>、SO</w:t>
            </w:r>
            <w:r>
              <w:rPr>
                <w:rFonts w:hint="eastAsia"/>
                <w:sz w:val="24"/>
                <w:szCs w:val="32"/>
                <w:vertAlign w:val="subscript"/>
                <w:lang w:eastAsia="zh-CN"/>
              </w:rPr>
              <w:t>2</w:t>
            </w:r>
            <w:r>
              <w:rPr>
                <w:rFonts w:hint="eastAsia"/>
                <w:sz w:val="24"/>
                <w:szCs w:val="32"/>
                <w:lang w:eastAsia="zh-CN"/>
              </w:rPr>
              <w:t>、颗粒物，非甲烷总烃。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eastAsia"/>
                <w:sz w:val="24"/>
                <w:szCs w:val="32"/>
                <w:lang w:eastAsia="zh-CN"/>
              </w:rPr>
              <w:t>监测点位：项目地北侧</w:t>
            </w:r>
            <w:r>
              <w:rPr>
                <w:rFonts w:hint="eastAsia"/>
                <w:sz w:val="24"/>
                <w:szCs w:val="32"/>
                <w:lang w:val="en-US" w:eastAsia="zh-CN"/>
              </w:rPr>
              <w:t>60m处</w:t>
            </w:r>
            <w:r>
              <w:rPr>
                <w:rFonts w:hint="eastAsia"/>
                <w:sz w:val="24"/>
                <w:szCs w:val="32"/>
                <w:lang w:eastAsia="zh-CN"/>
              </w:rPr>
              <w:t>，项目地南侧</w:t>
            </w:r>
            <w:r>
              <w:rPr>
                <w:rFonts w:hint="eastAsia"/>
                <w:sz w:val="24"/>
                <w:szCs w:val="32"/>
                <w:lang w:val="en-US" w:eastAsia="zh-CN"/>
              </w:rPr>
              <w:t>100m处，</w:t>
            </w:r>
            <w:r>
              <w:rPr>
                <w:rFonts w:hint="eastAsia"/>
                <w:sz w:val="24"/>
                <w:szCs w:val="32"/>
                <w:lang w:eastAsia="zh-CN"/>
              </w:rPr>
              <w:t>共两点。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32"/>
                <w:lang w:eastAsia="zh-CN"/>
              </w:rPr>
            </w:pPr>
            <w:r>
              <w:rPr>
                <w:rFonts w:hint="eastAsia"/>
                <w:sz w:val="24"/>
                <w:szCs w:val="32"/>
                <w:lang w:eastAsia="zh-CN"/>
              </w:rPr>
              <w:t>监测时间及频率： NO</w:t>
            </w:r>
            <w:r>
              <w:rPr>
                <w:rFonts w:hint="eastAsia"/>
                <w:sz w:val="24"/>
                <w:szCs w:val="32"/>
                <w:vertAlign w:val="subscript"/>
                <w:lang w:val="en-US" w:eastAsia="zh-CN"/>
              </w:rPr>
              <w:t>2</w:t>
            </w:r>
            <w:r>
              <w:rPr>
                <w:rFonts w:hint="eastAsia"/>
                <w:sz w:val="24"/>
                <w:szCs w:val="32"/>
                <w:lang w:eastAsia="zh-CN"/>
              </w:rPr>
              <w:t>、SO</w:t>
            </w:r>
            <w:r>
              <w:rPr>
                <w:rFonts w:hint="eastAsia"/>
                <w:sz w:val="24"/>
                <w:szCs w:val="32"/>
                <w:vertAlign w:val="subscript"/>
                <w:lang w:eastAsia="zh-CN"/>
              </w:rPr>
              <w:t>2</w:t>
            </w:r>
            <w:r>
              <w:rPr>
                <w:rFonts w:hint="eastAsia"/>
                <w:sz w:val="24"/>
                <w:szCs w:val="32"/>
                <w:lang w:eastAsia="zh-CN"/>
              </w:rPr>
              <w:t>连续监测7天，每天每个点位1</w:t>
            </w:r>
            <w:r>
              <w:rPr>
                <w:rFonts w:hint="eastAsia"/>
                <w:sz w:val="24"/>
                <w:szCs w:val="32"/>
                <w:lang w:val="en-US" w:eastAsia="zh-CN"/>
              </w:rPr>
              <w:t>:</w:t>
            </w:r>
            <w:r>
              <w:rPr>
                <w:rFonts w:hint="eastAsia"/>
                <w:sz w:val="24"/>
                <w:szCs w:val="32"/>
                <w:lang w:eastAsia="zh-CN"/>
              </w:rPr>
              <w:t>00~2:00、7:00~8:00、13:00~14:00、19:00~20:00监测4个时段浓度；颗粒物连续监测7天，测日均值，每天采样一次，采样时间为4:00~24:00的连续20小时；</w:t>
            </w:r>
            <w:r>
              <w:rPr>
                <w:rFonts w:hint="eastAsia"/>
                <w:sz w:val="24"/>
                <w:szCs w:val="32"/>
                <w:lang w:val="en-US" w:eastAsia="zh-CN"/>
              </w:rPr>
              <w:t>非甲烷总烃连续</w:t>
            </w:r>
            <w:r>
              <w:rPr>
                <w:rFonts w:hint="eastAsia" w:ascii="宋体" w:hAnsi="宋体"/>
                <w:sz w:val="24"/>
              </w:rPr>
              <w:t>监测</w:t>
            </w:r>
            <w:r>
              <w:rPr>
                <w:rFonts w:hint="eastAsia" w:ascii="宋体" w:hAnsi="宋体"/>
                <w:sz w:val="24"/>
                <w:lang w:val="en-US" w:eastAsia="zh-CN"/>
              </w:rPr>
              <w:t>7</w:t>
            </w:r>
            <w:r>
              <w:rPr>
                <w:rFonts w:hint="eastAsia" w:ascii="宋体" w:hAnsi="宋体"/>
                <w:sz w:val="24"/>
              </w:rPr>
              <w:t>天，</w:t>
            </w:r>
            <w:r>
              <w:rPr>
                <w:rFonts w:hint="eastAsia" w:ascii="宋体" w:hAnsi="宋体"/>
                <w:sz w:val="24"/>
                <w:lang w:eastAsia="zh-CN"/>
              </w:rPr>
              <w:t>计算</w:t>
            </w:r>
            <w:r>
              <w:rPr>
                <w:rFonts w:hint="eastAsia" w:ascii="宋体" w:hAnsi="宋体"/>
                <w:sz w:val="24"/>
                <w:lang w:val="en-US" w:eastAsia="zh-CN"/>
              </w:rPr>
              <w:t>1h平均浓度限值</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监测分析方法：根据</w:t>
            </w:r>
            <w:r>
              <w:rPr>
                <w:rFonts w:hint="eastAsia"/>
                <w:color w:val="auto"/>
                <w:sz w:val="24"/>
                <w:szCs w:val="32"/>
                <w:lang w:eastAsia="zh-CN"/>
              </w:rPr>
              <w:t>《环境影响评价技术导则</w:t>
            </w:r>
            <w:r>
              <w:rPr>
                <w:rFonts w:hint="eastAsia"/>
                <w:color w:val="auto"/>
                <w:sz w:val="24"/>
                <w:szCs w:val="32"/>
                <w:lang w:val="en-US" w:eastAsia="zh-CN"/>
              </w:rPr>
              <w:t xml:space="preserve"> 大气环境</w:t>
            </w:r>
            <w:r>
              <w:rPr>
                <w:rFonts w:hint="eastAsia"/>
                <w:color w:val="auto"/>
                <w:sz w:val="24"/>
                <w:szCs w:val="32"/>
                <w:lang w:eastAsia="zh-CN"/>
              </w:rPr>
              <w:t>》（</w:t>
            </w:r>
            <w:r>
              <w:rPr>
                <w:rFonts w:hint="eastAsia"/>
                <w:color w:val="auto"/>
                <w:sz w:val="24"/>
                <w:szCs w:val="32"/>
                <w:lang w:val="en-US" w:eastAsia="zh-CN"/>
              </w:rPr>
              <w:t>HJ2.2-2018</w:t>
            </w:r>
            <w:r>
              <w:rPr>
                <w:rFonts w:hint="eastAsia"/>
                <w:color w:val="auto"/>
                <w:sz w:val="24"/>
                <w:szCs w:val="32"/>
                <w:lang w:eastAsia="zh-CN"/>
              </w:rPr>
              <w:t>）</w:t>
            </w:r>
            <w:r>
              <w:rPr>
                <w:rFonts w:hint="eastAsia"/>
                <w:sz w:val="24"/>
                <w:szCs w:val="32"/>
                <w:lang w:eastAsia="zh-CN"/>
              </w:rPr>
              <w:t>和《空气与废气监测分析方法》的规定进行测试。</w:t>
            </w:r>
          </w:p>
          <w:p>
            <w:pPr>
              <w:spacing w:line="360" w:lineRule="auto"/>
              <w:ind w:firstLine="480" w:firstLineChars="200"/>
              <w:rPr>
                <w:sz w:val="24"/>
              </w:rPr>
            </w:pPr>
            <w:r>
              <w:rPr>
                <w:rFonts w:hint="eastAsia"/>
                <w:sz w:val="24"/>
              </w:rPr>
              <w:t>监测结果达标情况见下表：</w:t>
            </w:r>
          </w:p>
          <w:p>
            <w:pPr>
              <w:spacing w:line="460" w:lineRule="exact"/>
              <w:ind w:firstLine="2384" w:firstLineChars="1131"/>
              <w:jc w:val="left"/>
              <w:rPr>
                <w:rFonts w:hint="default"/>
                <w:b/>
                <w:color w:val="000000"/>
                <w:lang w:val="en-US" w:eastAsia="zh-CN"/>
              </w:rPr>
            </w:pPr>
            <w:r>
              <w:rPr>
                <w:b/>
                <w:color w:val="000000"/>
              </w:rPr>
              <w:t>表3-1  环境空气质量现状监测结果</w:t>
            </w:r>
            <w:r>
              <w:rPr>
                <w:rFonts w:hint="eastAsia"/>
                <w:b/>
                <w:color w:val="000000"/>
                <w:lang w:val="en-US" w:eastAsia="zh-CN"/>
              </w:rPr>
              <w:t xml:space="preserve">           （单位：mg/m</w:t>
            </w:r>
            <w:r>
              <w:rPr>
                <w:rFonts w:hint="eastAsia"/>
                <w:b/>
                <w:color w:val="000000"/>
                <w:vertAlign w:val="superscript"/>
                <w:lang w:val="en-US" w:eastAsia="zh-CN"/>
              </w:rPr>
              <w:t>3</w:t>
            </w:r>
            <w:r>
              <w:rPr>
                <w:rFonts w:hint="eastAsia"/>
                <w:b/>
                <w:color w:val="000000"/>
                <w:lang w:val="en-US" w:eastAsia="zh-CN"/>
              </w:rPr>
              <w:t>）</w:t>
            </w:r>
          </w:p>
          <w:tbl>
            <w:tblPr>
              <w:tblStyle w:val="70"/>
              <w:tblW w:w="8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134"/>
              <w:gridCol w:w="773"/>
              <w:gridCol w:w="855"/>
              <w:gridCol w:w="815"/>
              <w:gridCol w:w="815"/>
              <w:gridCol w:w="777"/>
              <w:gridCol w:w="790"/>
              <w:gridCol w:w="790"/>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16" w:type="dxa"/>
                  <w:vMerge w:val="restart"/>
                  <w:noWrap w:val="0"/>
                  <w:vAlign w:val="center"/>
                </w:tcPr>
                <w:p>
                  <w:pPr>
                    <w:jc w:val="center"/>
                    <w:rPr>
                      <w:rFonts w:hint="eastAsia"/>
                      <w:szCs w:val="21"/>
                      <w:lang w:eastAsia="zh-CN"/>
                    </w:rPr>
                  </w:pPr>
                  <w:r>
                    <w:rPr>
                      <w:rFonts w:hint="eastAsia"/>
                      <w:szCs w:val="21"/>
                      <w:lang w:eastAsia="zh-CN"/>
                    </w:rPr>
                    <w:t>采样时间</w:t>
                  </w:r>
                </w:p>
              </w:tc>
              <w:tc>
                <w:tcPr>
                  <w:tcW w:w="1134" w:type="dxa"/>
                  <w:vMerge w:val="restart"/>
                  <w:noWrap w:val="0"/>
                  <w:vAlign w:val="center"/>
                </w:tcPr>
                <w:p>
                  <w:pPr>
                    <w:jc w:val="center"/>
                    <w:rPr>
                      <w:rFonts w:hint="eastAsia"/>
                      <w:szCs w:val="21"/>
                      <w:lang w:eastAsia="zh-CN"/>
                    </w:rPr>
                  </w:pPr>
                  <w:r>
                    <w:rPr>
                      <w:rFonts w:hint="eastAsia"/>
                      <w:szCs w:val="21"/>
                      <w:lang w:eastAsia="zh-CN"/>
                    </w:rPr>
                    <w:t>检测点位</w:t>
                  </w:r>
                </w:p>
              </w:tc>
              <w:tc>
                <w:tcPr>
                  <w:tcW w:w="6430" w:type="dxa"/>
                  <w:gridSpan w:val="8"/>
                  <w:noWrap w:val="0"/>
                  <w:vAlign w:val="center"/>
                </w:tcPr>
                <w:p>
                  <w:pPr>
                    <w:jc w:val="center"/>
                    <w:rPr>
                      <w:rFonts w:hint="eastAsia"/>
                      <w:szCs w:val="21"/>
                      <w:lang w:eastAsia="zh-CN"/>
                    </w:rPr>
                  </w:pPr>
                  <w:r>
                    <w:rPr>
                      <w:rFonts w:hint="eastAsia"/>
                      <w:szCs w:val="21"/>
                      <w:lang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16" w:type="dxa"/>
                  <w:vMerge w:val="continue"/>
                  <w:noWrap w:val="0"/>
                  <w:vAlign w:val="center"/>
                </w:tcPr>
                <w:p>
                  <w:pPr>
                    <w:jc w:val="center"/>
                    <w:rPr>
                      <w:rFonts w:hint="eastAsia"/>
                      <w:szCs w:val="21"/>
                    </w:rPr>
                  </w:pPr>
                </w:p>
              </w:tc>
              <w:tc>
                <w:tcPr>
                  <w:tcW w:w="1134" w:type="dxa"/>
                  <w:vMerge w:val="continue"/>
                  <w:noWrap w:val="0"/>
                  <w:vAlign w:val="center"/>
                </w:tcPr>
                <w:p>
                  <w:pPr>
                    <w:jc w:val="center"/>
                    <w:rPr>
                      <w:rFonts w:hint="eastAsia"/>
                      <w:szCs w:val="21"/>
                    </w:rPr>
                  </w:pPr>
                </w:p>
              </w:tc>
              <w:tc>
                <w:tcPr>
                  <w:tcW w:w="3258" w:type="dxa"/>
                  <w:gridSpan w:val="4"/>
                  <w:noWrap w:val="0"/>
                  <w:vAlign w:val="center"/>
                </w:tcPr>
                <w:p>
                  <w:pPr>
                    <w:jc w:val="center"/>
                    <w:rPr>
                      <w:rFonts w:hint="default"/>
                      <w:szCs w:val="21"/>
                      <w:lang w:val="en-US" w:eastAsia="zh-CN"/>
                    </w:rPr>
                  </w:pPr>
                  <w:r>
                    <w:rPr>
                      <w:rFonts w:hint="eastAsia"/>
                      <w:szCs w:val="21"/>
                      <w:lang w:val="en-US" w:eastAsia="zh-CN"/>
                    </w:rPr>
                    <w:t>SO</w:t>
                  </w:r>
                  <w:r>
                    <w:rPr>
                      <w:rFonts w:hint="eastAsia"/>
                      <w:szCs w:val="21"/>
                      <w:vertAlign w:val="subscript"/>
                      <w:lang w:val="en-US" w:eastAsia="zh-CN"/>
                    </w:rPr>
                    <w:t>2</w:t>
                  </w:r>
                </w:p>
              </w:tc>
              <w:tc>
                <w:tcPr>
                  <w:tcW w:w="3172" w:type="dxa"/>
                  <w:gridSpan w:val="4"/>
                  <w:noWrap w:val="0"/>
                  <w:vAlign w:val="center"/>
                </w:tcPr>
                <w:p>
                  <w:pPr>
                    <w:jc w:val="center"/>
                    <w:rPr>
                      <w:rFonts w:hint="default"/>
                      <w:szCs w:val="21"/>
                      <w:lang w:val="en-US" w:eastAsia="zh-CN"/>
                    </w:rPr>
                  </w:pPr>
                  <w:r>
                    <w:rPr>
                      <w:rFonts w:hint="eastAsia"/>
                      <w:szCs w:val="21"/>
                      <w:lang w:val="en-US" w:eastAsia="zh-CN"/>
                    </w:rPr>
                    <w:t>NO</w:t>
                  </w:r>
                  <w:r>
                    <w:rPr>
                      <w:rFonts w:hint="eastAsia"/>
                      <w:szCs w:val="21"/>
                      <w:vertAlign w:val="sub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216" w:type="dxa"/>
                  <w:vMerge w:val="continue"/>
                  <w:noWrap w:val="0"/>
                  <w:vAlign w:val="center"/>
                </w:tcPr>
                <w:p>
                  <w:pPr>
                    <w:jc w:val="center"/>
                    <w:rPr>
                      <w:rFonts w:hint="eastAsia"/>
                      <w:szCs w:val="21"/>
                    </w:rPr>
                  </w:pPr>
                </w:p>
              </w:tc>
              <w:tc>
                <w:tcPr>
                  <w:tcW w:w="1134" w:type="dxa"/>
                  <w:vMerge w:val="continue"/>
                  <w:noWrap w:val="0"/>
                  <w:vAlign w:val="center"/>
                </w:tcPr>
                <w:p>
                  <w:pPr>
                    <w:jc w:val="center"/>
                    <w:rPr>
                      <w:rFonts w:hint="eastAsia"/>
                      <w:szCs w:val="21"/>
                    </w:rPr>
                  </w:pPr>
                </w:p>
              </w:tc>
              <w:tc>
                <w:tcPr>
                  <w:tcW w:w="773" w:type="dxa"/>
                  <w:noWrap w:val="0"/>
                  <w:vAlign w:val="center"/>
                </w:tcPr>
                <w:p>
                  <w:pPr>
                    <w:jc w:val="center"/>
                    <w:rPr>
                      <w:rFonts w:hint="eastAsia"/>
                      <w:szCs w:val="21"/>
                      <w:lang w:val="en-US" w:eastAsia="zh-CN"/>
                    </w:rPr>
                  </w:pPr>
                  <w:r>
                    <w:rPr>
                      <w:rFonts w:hint="eastAsia"/>
                      <w:szCs w:val="21"/>
                      <w:lang w:val="en-US" w:eastAsia="zh-CN"/>
                    </w:rPr>
                    <w:t>01:00-</w:t>
                  </w:r>
                </w:p>
                <w:p>
                  <w:pPr>
                    <w:jc w:val="center"/>
                    <w:rPr>
                      <w:rFonts w:hint="default" w:eastAsia="宋体"/>
                      <w:szCs w:val="21"/>
                      <w:lang w:val="en-US" w:eastAsia="zh-CN"/>
                    </w:rPr>
                  </w:pPr>
                  <w:r>
                    <w:rPr>
                      <w:rFonts w:hint="eastAsia"/>
                      <w:szCs w:val="21"/>
                      <w:lang w:val="en-US" w:eastAsia="zh-CN"/>
                    </w:rPr>
                    <w:t>02:00</w:t>
                  </w:r>
                </w:p>
              </w:tc>
              <w:tc>
                <w:tcPr>
                  <w:tcW w:w="855" w:type="dxa"/>
                  <w:noWrap w:val="0"/>
                  <w:vAlign w:val="center"/>
                </w:tcPr>
                <w:p>
                  <w:pPr>
                    <w:jc w:val="center"/>
                    <w:rPr>
                      <w:rFonts w:hint="eastAsia"/>
                      <w:szCs w:val="21"/>
                      <w:lang w:val="en-US" w:eastAsia="zh-CN"/>
                    </w:rPr>
                  </w:pPr>
                  <w:r>
                    <w:rPr>
                      <w:rFonts w:hint="eastAsia"/>
                      <w:szCs w:val="21"/>
                      <w:lang w:val="en-US" w:eastAsia="zh-CN"/>
                    </w:rPr>
                    <w:t>07:00-</w:t>
                  </w:r>
                </w:p>
                <w:p>
                  <w:pPr>
                    <w:jc w:val="center"/>
                    <w:rPr>
                      <w:rFonts w:hint="eastAsia"/>
                      <w:szCs w:val="21"/>
                    </w:rPr>
                  </w:pPr>
                  <w:r>
                    <w:rPr>
                      <w:rFonts w:hint="eastAsia"/>
                      <w:szCs w:val="21"/>
                      <w:lang w:val="en-US" w:eastAsia="zh-CN"/>
                    </w:rPr>
                    <w:t>08:00</w:t>
                  </w:r>
                </w:p>
              </w:tc>
              <w:tc>
                <w:tcPr>
                  <w:tcW w:w="815" w:type="dxa"/>
                  <w:noWrap w:val="0"/>
                  <w:vAlign w:val="center"/>
                </w:tcPr>
                <w:p>
                  <w:pPr>
                    <w:jc w:val="center"/>
                    <w:rPr>
                      <w:rFonts w:hint="eastAsia"/>
                      <w:szCs w:val="21"/>
                      <w:lang w:val="en-US" w:eastAsia="zh-CN"/>
                    </w:rPr>
                  </w:pPr>
                  <w:r>
                    <w:rPr>
                      <w:rFonts w:hint="eastAsia"/>
                      <w:szCs w:val="21"/>
                      <w:lang w:val="en-US" w:eastAsia="zh-CN"/>
                    </w:rPr>
                    <w:t>13:00-</w:t>
                  </w:r>
                </w:p>
                <w:p>
                  <w:pPr>
                    <w:jc w:val="center"/>
                    <w:rPr>
                      <w:rFonts w:hint="eastAsia"/>
                      <w:szCs w:val="21"/>
                    </w:rPr>
                  </w:pPr>
                  <w:r>
                    <w:rPr>
                      <w:rFonts w:hint="eastAsia"/>
                      <w:szCs w:val="21"/>
                      <w:lang w:val="en-US" w:eastAsia="zh-CN"/>
                    </w:rPr>
                    <w:t>14:00</w:t>
                  </w:r>
                </w:p>
              </w:tc>
              <w:tc>
                <w:tcPr>
                  <w:tcW w:w="815" w:type="dxa"/>
                  <w:noWrap w:val="0"/>
                  <w:vAlign w:val="center"/>
                </w:tcPr>
                <w:p>
                  <w:pPr>
                    <w:jc w:val="center"/>
                    <w:rPr>
                      <w:rFonts w:hint="eastAsia"/>
                      <w:szCs w:val="21"/>
                      <w:lang w:val="en-US" w:eastAsia="zh-CN"/>
                    </w:rPr>
                  </w:pPr>
                  <w:r>
                    <w:rPr>
                      <w:rFonts w:hint="eastAsia"/>
                      <w:szCs w:val="21"/>
                      <w:lang w:val="en-US" w:eastAsia="zh-CN"/>
                    </w:rPr>
                    <w:t>19:00-</w:t>
                  </w:r>
                </w:p>
                <w:p>
                  <w:pPr>
                    <w:jc w:val="center"/>
                    <w:rPr>
                      <w:rFonts w:hint="eastAsia"/>
                      <w:szCs w:val="21"/>
                    </w:rPr>
                  </w:pPr>
                  <w:r>
                    <w:rPr>
                      <w:rFonts w:hint="eastAsia"/>
                      <w:szCs w:val="21"/>
                      <w:lang w:val="en-US" w:eastAsia="zh-CN"/>
                    </w:rPr>
                    <w:t>20:00</w:t>
                  </w:r>
                </w:p>
              </w:tc>
              <w:tc>
                <w:tcPr>
                  <w:tcW w:w="777" w:type="dxa"/>
                  <w:noWrap w:val="0"/>
                  <w:vAlign w:val="center"/>
                </w:tcPr>
                <w:p>
                  <w:pPr>
                    <w:jc w:val="center"/>
                    <w:rPr>
                      <w:rFonts w:hint="eastAsia"/>
                      <w:szCs w:val="21"/>
                      <w:lang w:val="en-US" w:eastAsia="zh-CN"/>
                    </w:rPr>
                  </w:pPr>
                  <w:r>
                    <w:rPr>
                      <w:rFonts w:hint="eastAsia"/>
                      <w:szCs w:val="21"/>
                      <w:lang w:val="en-US" w:eastAsia="zh-CN"/>
                    </w:rPr>
                    <w:t>01:00-</w:t>
                  </w:r>
                </w:p>
                <w:p>
                  <w:pPr>
                    <w:jc w:val="center"/>
                    <w:rPr>
                      <w:rFonts w:hint="eastAsia"/>
                      <w:szCs w:val="21"/>
                    </w:rPr>
                  </w:pPr>
                  <w:r>
                    <w:rPr>
                      <w:rFonts w:hint="eastAsia"/>
                      <w:szCs w:val="21"/>
                      <w:lang w:val="en-US" w:eastAsia="zh-CN"/>
                    </w:rPr>
                    <w:t>02:00</w:t>
                  </w:r>
                </w:p>
              </w:tc>
              <w:tc>
                <w:tcPr>
                  <w:tcW w:w="790" w:type="dxa"/>
                  <w:noWrap w:val="0"/>
                  <w:vAlign w:val="center"/>
                </w:tcPr>
                <w:p>
                  <w:pPr>
                    <w:jc w:val="center"/>
                    <w:rPr>
                      <w:rFonts w:hint="eastAsia"/>
                      <w:szCs w:val="21"/>
                      <w:lang w:val="en-US" w:eastAsia="zh-CN"/>
                    </w:rPr>
                  </w:pPr>
                  <w:r>
                    <w:rPr>
                      <w:rFonts w:hint="eastAsia"/>
                      <w:szCs w:val="21"/>
                      <w:lang w:val="en-US" w:eastAsia="zh-CN"/>
                    </w:rPr>
                    <w:t>07:00-</w:t>
                  </w:r>
                </w:p>
                <w:p>
                  <w:pPr>
                    <w:jc w:val="center"/>
                    <w:rPr>
                      <w:rFonts w:hint="eastAsia"/>
                      <w:szCs w:val="21"/>
                      <w:lang w:val="en-US" w:eastAsia="zh-CN"/>
                    </w:rPr>
                  </w:pPr>
                  <w:r>
                    <w:rPr>
                      <w:rFonts w:hint="eastAsia"/>
                      <w:szCs w:val="21"/>
                      <w:lang w:val="en-US" w:eastAsia="zh-CN"/>
                    </w:rPr>
                    <w:t>08:00</w:t>
                  </w:r>
                </w:p>
              </w:tc>
              <w:tc>
                <w:tcPr>
                  <w:tcW w:w="790" w:type="dxa"/>
                  <w:noWrap w:val="0"/>
                  <w:vAlign w:val="center"/>
                </w:tcPr>
                <w:p>
                  <w:pPr>
                    <w:jc w:val="center"/>
                    <w:rPr>
                      <w:rFonts w:hint="eastAsia"/>
                      <w:szCs w:val="21"/>
                      <w:lang w:val="en-US" w:eastAsia="zh-CN"/>
                    </w:rPr>
                  </w:pPr>
                  <w:r>
                    <w:rPr>
                      <w:rFonts w:hint="eastAsia"/>
                      <w:szCs w:val="21"/>
                      <w:lang w:val="en-US" w:eastAsia="zh-CN"/>
                    </w:rPr>
                    <w:t>13:00-</w:t>
                  </w:r>
                </w:p>
                <w:p>
                  <w:pPr>
                    <w:jc w:val="center"/>
                    <w:rPr>
                      <w:rFonts w:hint="eastAsia"/>
                      <w:szCs w:val="21"/>
                      <w:lang w:val="en-US" w:eastAsia="zh-CN"/>
                    </w:rPr>
                  </w:pPr>
                  <w:r>
                    <w:rPr>
                      <w:rFonts w:hint="eastAsia"/>
                      <w:szCs w:val="21"/>
                      <w:lang w:val="en-US" w:eastAsia="zh-CN"/>
                    </w:rPr>
                    <w:t>14:00</w:t>
                  </w:r>
                </w:p>
              </w:tc>
              <w:tc>
                <w:tcPr>
                  <w:tcW w:w="815" w:type="dxa"/>
                  <w:noWrap w:val="0"/>
                  <w:vAlign w:val="center"/>
                </w:tcPr>
                <w:p>
                  <w:pPr>
                    <w:jc w:val="center"/>
                    <w:rPr>
                      <w:rFonts w:hint="eastAsia"/>
                      <w:szCs w:val="21"/>
                      <w:lang w:val="en-US" w:eastAsia="zh-CN"/>
                    </w:rPr>
                  </w:pPr>
                  <w:r>
                    <w:rPr>
                      <w:rFonts w:hint="eastAsia"/>
                      <w:szCs w:val="21"/>
                      <w:lang w:val="en-US" w:eastAsia="zh-CN"/>
                    </w:rPr>
                    <w:t>19:00-</w:t>
                  </w:r>
                </w:p>
                <w:p>
                  <w:pPr>
                    <w:jc w:val="center"/>
                    <w:rPr>
                      <w:rFonts w:hint="eastAsia"/>
                      <w:szCs w:val="21"/>
                      <w:lang w:val="en-US" w:eastAsia="zh-CN"/>
                    </w:rPr>
                  </w:pPr>
                  <w:r>
                    <w:rPr>
                      <w:rFonts w:hint="eastAsia"/>
                      <w:szCs w:val="21"/>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16" w:type="dxa"/>
                  <w:noWrap w:val="0"/>
                  <w:vAlign w:val="center"/>
                </w:tcPr>
                <w:p>
                  <w:pPr>
                    <w:jc w:val="center"/>
                    <w:rPr>
                      <w:rFonts w:hint="default" w:eastAsia="宋体"/>
                      <w:szCs w:val="21"/>
                      <w:lang w:val="en-US" w:eastAsia="zh-CN"/>
                    </w:rPr>
                  </w:pPr>
                  <w:r>
                    <w:rPr>
                      <w:rFonts w:hint="eastAsia"/>
                      <w:szCs w:val="21"/>
                      <w:lang w:val="en-US" w:eastAsia="zh-CN"/>
                    </w:rPr>
                    <w:t>2019.07.19</w:t>
                  </w:r>
                </w:p>
              </w:tc>
              <w:tc>
                <w:tcPr>
                  <w:tcW w:w="1134" w:type="dxa"/>
                  <w:vMerge w:val="restart"/>
                  <w:noWrap w:val="0"/>
                  <w:vAlign w:val="center"/>
                </w:tcPr>
                <w:p>
                  <w:pPr>
                    <w:jc w:val="center"/>
                    <w:rPr>
                      <w:rFonts w:hint="default" w:eastAsia="宋体"/>
                      <w:szCs w:val="21"/>
                      <w:lang w:val="en-US" w:eastAsia="zh-CN"/>
                    </w:rPr>
                  </w:pPr>
                  <w:r>
                    <w:rPr>
                      <w:rFonts w:hint="eastAsia"/>
                      <w:szCs w:val="21"/>
                      <w:lang w:val="en-US" w:eastAsia="zh-CN"/>
                    </w:rPr>
                    <w:t>项目地北侧60m处1#</w:t>
                  </w:r>
                </w:p>
              </w:tc>
              <w:tc>
                <w:tcPr>
                  <w:tcW w:w="773" w:type="dxa"/>
                  <w:noWrap w:val="0"/>
                  <w:vAlign w:val="center"/>
                </w:tcPr>
                <w:p>
                  <w:pPr>
                    <w:jc w:val="center"/>
                    <w:rPr>
                      <w:rFonts w:hint="default" w:eastAsia="宋体"/>
                      <w:szCs w:val="21"/>
                      <w:lang w:val="en-US" w:eastAsia="zh-CN"/>
                    </w:rPr>
                  </w:pPr>
                  <w:r>
                    <w:rPr>
                      <w:rFonts w:hint="eastAsia"/>
                      <w:szCs w:val="21"/>
                      <w:lang w:val="en-US" w:eastAsia="zh-CN"/>
                    </w:rPr>
                    <w:t>0.013</w:t>
                  </w:r>
                </w:p>
              </w:tc>
              <w:tc>
                <w:tcPr>
                  <w:tcW w:w="855" w:type="dxa"/>
                  <w:noWrap w:val="0"/>
                  <w:vAlign w:val="center"/>
                </w:tcPr>
                <w:p>
                  <w:pPr>
                    <w:jc w:val="center"/>
                    <w:rPr>
                      <w:rFonts w:hint="default" w:eastAsia="宋体"/>
                      <w:szCs w:val="21"/>
                      <w:lang w:val="en-US" w:eastAsia="zh-CN"/>
                    </w:rPr>
                  </w:pPr>
                  <w:r>
                    <w:rPr>
                      <w:rFonts w:hint="eastAsia" w:eastAsia="宋体"/>
                      <w:szCs w:val="21"/>
                      <w:lang w:val="en-US" w:eastAsia="zh-CN"/>
                    </w:rPr>
                    <w:t>0.009</w:t>
                  </w:r>
                </w:p>
              </w:tc>
              <w:tc>
                <w:tcPr>
                  <w:tcW w:w="815" w:type="dxa"/>
                  <w:noWrap w:val="0"/>
                  <w:vAlign w:val="center"/>
                </w:tcPr>
                <w:p>
                  <w:pPr>
                    <w:jc w:val="center"/>
                    <w:rPr>
                      <w:rFonts w:hint="default" w:eastAsia="宋体"/>
                      <w:szCs w:val="21"/>
                      <w:lang w:val="en-US" w:eastAsia="zh-CN"/>
                    </w:rPr>
                  </w:pPr>
                  <w:r>
                    <w:rPr>
                      <w:rFonts w:hint="eastAsia" w:eastAsia="宋体"/>
                      <w:szCs w:val="21"/>
                      <w:lang w:val="en-US" w:eastAsia="zh-CN"/>
                    </w:rPr>
                    <w:t>0.010</w:t>
                  </w:r>
                </w:p>
              </w:tc>
              <w:tc>
                <w:tcPr>
                  <w:tcW w:w="815" w:type="dxa"/>
                  <w:noWrap w:val="0"/>
                  <w:vAlign w:val="center"/>
                </w:tcPr>
                <w:p>
                  <w:pPr>
                    <w:jc w:val="center"/>
                    <w:rPr>
                      <w:rFonts w:hint="default" w:eastAsia="宋体"/>
                      <w:szCs w:val="21"/>
                      <w:lang w:val="en-US" w:eastAsia="zh-CN"/>
                    </w:rPr>
                  </w:pPr>
                  <w:r>
                    <w:rPr>
                      <w:rFonts w:hint="eastAsia"/>
                      <w:szCs w:val="21"/>
                      <w:lang w:val="en-US" w:eastAsia="zh-CN"/>
                    </w:rPr>
                    <w:t>0.012</w:t>
                  </w:r>
                </w:p>
              </w:tc>
              <w:tc>
                <w:tcPr>
                  <w:tcW w:w="777" w:type="dxa"/>
                  <w:noWrap w:val="0"/>
                  <w:vAlign w:val="center"/>
                </w:tcPr>
                <w:p>
                  <w:pPr>
                    <w:jc w:val="center"/>
                    <w:rPr>
                      <w:rFonts w:hint="default" w:eastAsia="宋体"/>
                      <w:szCs w:val="21"/>
                      <w:lang w:val="en-US" w:eastAsia="zh-CN"/>
                    </w:rPr>
                  </w:pPr>
                  <w:r>
                    <w:rPr>
                      <w:rFonts w:hint="eastAsia" w:eastAsia="宋体"/>
                      <w:szCs w:val="21"/>
                      <w:lang w:val="en-US" w:eastAsia="zh-CN"/>
                    </w:rPr>
                    <w:t>0.023</w:t>
                  </w:r>
                </w:p>
              </w:tc>
              <w:tc>
                <w:tcPr>
                  <w:tcW w:w="790" w:type="dxa"/>
                  <w:noWrap w:val="0"/>
                  <w:vAlign w:val="center"/>
                </w:tcPr>
                <w:p>
                  <w:pPr>
                    <w:jc w:val="center"/>
                    <w:rPr>
                      <w:rFonts w:hint="default"/>
                      <w:szCs w:val="21"/>
                      <w:lang w:val="en-US" w:eastAsia="zh-CN"/>
                    </w:rPr>
                  </w:pPr>
                  <w:r>
                    <w:rPr>
                      <w:rFonts w:hint="eastAsia"/>
                      <w:szCs w:val="21"/>
                      <w:lang w:val="en-US" w:eastAsia="zh-CN"/>
                    </w:rPr>
                    <w:t>0.026</w:t>
                  </w:r>
                </w:p>
              </w:tc>
              <w:tc>
                <w:tcPr>
                  <w:tcW w:w="790" w:type="dxa"/>
                  <w:noWrap w:val="0"/>
                  <w:vAlign w:val="center"/>
                </w:tcPr>
                <w:p>
                  <w:pPr>
                    <w:jc w:val="center"/>
                    <w:rPr>
                      <w:rFonts w:hint="default"/>
                      <w:szCs w:val="21"/>
                      <w:lang w:val="en-US" w:eastAsia="zh-CN"/>
                    </w:rPr>
                  </w:pPr>
                  <w:r>
                    <w:rPr>
                      <w:rFonts w:hint="eastAsia"/>
                      <w:szCs w:val="21"/>
                      <w:lang w:val="en-US" w:eastAsia="zh-CN"/>
                    </w:rPr>
                    <w:t>0.021</w:t>
                  </w:r>
                </w:p>
              </w:tc>
              <w:tc>
                <w:tcPr>
                  <w:tcW w:w="815" w:type="dxa"/>
                  <w:noWrap w:val="0"/>
                  <w:vAlign w:val="center"/>
                </w:tcPr>
                <w:p>
                  <w:pPr>
                    <w:jc w:val="center"/>
                    <w:rPr>
                      <w:rFonts w:hint="default"/>
                      <w:szCs w:val="21"/>
                      <w:lang w:val="en-US" w:eastAsia="zh-CN"/>
                    </w:rPr>
                  </w:pPr>
                  <w:r>
                    <w:rPr>
                      <w:rFonts w:hint="eastAsia"/>
                      <w:szCs w:val="21"/>
                      <w:lang w:val="en-US" w:eastAsia="zh-CN"/>
                    </w:rPr>
                    <w:t>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16" w:type="dxa"/>
                  <w:noWrap w:val="0"/>
                  <w:vAlign w:val="center"/>
                </w:tcPr>
                <w:p>
                  <w:pPr>
                    <w:jc w:val="center"/>
                    <w:rPr>
                      <w:rFonts w:hint="default"/>
                      <w:szCs w:val="21"/>
                      <w:lang w:val="en-US"/>
                    </w:rPr>
                  </w:pPr>
                  <w:r>
                    <w:rPr>
                      <w:rFonts w:hint="eastAsia"/>
                      <w:szCs w:val="21"/>
                      <w:lang w:val="en-US" w:eastAsia="zh-CN"/>
                    </w:rPr>
                    <w:t>2019.07.20</w:t>
                  </w:r>
                </w:p>
              </w:tc>
              <w:tc>
                <w:tcPr>
                  <w:tcW w:w="1134" w:type="dxa"/>
                  <w:vMerge w:val="continue"/>
                  <w:noWrap w:val="0"/>
                  <w:vAlign w:val="center"/>
                </w:tcPr>
                <w:p>
                  <w:pPr>
                    <w:jc w:val="center"/>
                    <w:rPr>
                      <w:rFonts w:hint="eastAsia"/>
                      <w:szCs w:val="21"/>
                    </w:rPr>
                  </w:pPr>
                </w:p>
              </w:tc>
              <w:tc>
                <w:tcPr>
                  <w:tcW w:w="773" w:type="dxa"/>
                  <w:noWrap w:val="0"/>
                  <w:vAlign w:val="center"/>
                </w:tcPr>
                <w:p>
                  <w:pPr>
                    <w:jc w:val="center"/>
                    <w:rPr>
                      <w:rFonts w:hint="default" w:eastAsia="宋体"/>
                      <w:szCs w:val="21"/>
                      <w:lang w:val="en-US" w:eastAsia="zh-CN"/>
                    </w:rPr>
                  </w:pPr>
                  <w:r>
                    <w:rPr>
                      <w:rFonts w:hint="eastAsia" w:eastAsia="宋体"/>
                      <w:szCs w:val="21"/>
                      <w:lang w:val="en-US" w:eastAsia="zh-CN"/>
                    </w:rPr>
                    <w:t>0.012</w:t>
                  </w:r>
                </w:p>
              </w:tc>
              <w:tc>
                <w:tcPr>
                  <w:tcW w:w="855" w:type="dxa"/>
                  <w:noWrap w:val="0"/>
                  <w:vAlign w:val="center"/>
                </w:tcPr>
                <w:p>
                  <w:pPr>
                    <w:jc w:val="center"/>
                    <w:rPr>
                      <w:rFonts w:hint="default" w:eastAsia="宋体"/>
                      <w:szCs w:val="21"/>
                      <w:lang w:val="en-US" w:eastAsia="zh-CN"/>
                    </w:rPr>
                  </w:pPr>
                  <w:r>
                    <w:rPr>
                      <w:rFonts w:hint="eastAsia" w:eastAsia="宋体"/>
                      <w:szCs w:val="21"/>
                      <w:lang w:val="en-US" w:eastAsia="zh-CN"/>
                    </w:rPr>
                    <w:t>0.010</w:t>
                  </w:r>
                </w:p>
              </w:tc>
              <w:tc>
                <w:tcPr>
                  <w:tcW w:w="815" w:type="dxa"/>
                  <w:noWrap w:val="0"/>
                  <w:vAlign w:val="center"/>
                </w:tcPr>
                <w:p>
                  <w:pPr>
                    <w:jc w:val="center"/>
                    <w:rPr>
                      <w:rFonts w:hint="default" w:eastAsia="宋体"/>
                      <w:szCs w:val="21"/>
                      <w:lang w:val="en-US" w:eastAsia="zh-CN"/>
                    </w:rPr>
                  </w:pPr>
                  <w:r>
                    <w:rPr>
                      <w:rFonts w:hint="eastAsia" w:eastAsia="宋体"/>
                      <w:szCs w:val="21"/>
                      <w:lang w:val="en-US" w:eastAsia="zh-CN"/>
                    </w:rPr>
                    <w:t>0.011</w:t>
                  </w:r>
                </w:p>
              </w:tc>
              <w:tc>
                <w:tcPr>
                  <w:tcW w:w="815" w:type="dxa"/>
                  <w:noWrap w:val="0"/>
                  <w:vAlign w:val="center"/>
                </w:tcPr>
                <w:p>
                  <w:pPr>
                    <w:jc w:val="center"/>
                    <w:rPr>
                      <w:rFonts w:hint="default" w:eastAsia="宋体"/>
                      <w:szCs w:val="21"/>
                      <w:lang w:val="en-US" w:eastAsia="zh-CN"/>
                    </w:rPr>
                  </w:pPr>
                  <w:r>
                    <w:rPr>
                      <w:rFonts w:hint="eastAsia"/>
                      <w:szCs w:val="21"/>
                      <w:lang w:val="en-US" w:eastAsia="zh-CN"/>
                    </w:rPr>
                    <w:t>0.013</w:t>
                  </w:r>
                </w:p>
              </w:tc>
              <w:tc>
                <w:tcPr>
                  <w:tcW w:w="777" w:type="dxa"/>
                  <w:noWrap w:val="0"/>
                  <w:vAlign w:val="center"/>
                </w:tcPr>
                <w:p>
                  <w:pPr>
                    <w:jc w:val="center"/>
                    <w:rPr>
                      <w:rFonts w:hint="default" w:eastAsia="宋体"/>
                      <w:szCs w:val="21"/>
                      <w:lang w:val="en-US" w:eastAsia="zh-CN"/>
                    </w:rPr>
                  </w:pPr>
                  <w:r>
                    <w:rPr>
                      <w:rFonts w:hint="eastAsia" w:eastAsia="宋体"/>
                      <w:szCs w:val="21"/>
                      <w:lang w:val="en-US" w:eastAsia="zh-CN"/>
                    </w:rPr>
                    <w:t>0.023</w:t>
                  </w:r>
                </w:p>
              </w:tc>
              <w:tc>
                <w:tcPr>
                  <w:tcW w:w="790" w:type="dxa"/>
                  <w:noWrap w:val="0"/>
                  <w:vAlign w:val="center"/>
                </w:tcPr>
                <w:p>
                  <w:pPr>
                    <w:jc w:val="center"/>
                    <w:rPr>
                      <w:rFonts w:hint="default"/>
                      <w:szCs w:val="21"/>
                      <w:lang w:val="en-US" w:eastAsia="zh-CN"/>
                    </w:rPr>
                  </w:pPr>
                  <w:r>
                    <w:rPr>
                      <w:rFonts w:hint="eastAsia"/>
                      <w:szCs w:val="21"/>
                      <w:lang w:val="en-US" w:eastAsia="zh-CN"/>
                    </w:rPr>
                    <w:t>0.035</w:t>
                  </w:r>
                </w:p>
              </w:tc>
              <w:tc>
                <w:tcPr>
                  <w:tcW w:w="790" w:type="dxa"/>
                  <w:noWrap w:val="0"/>
                  <w:vAlign w:val="center"/>
                </w:tcPr>
                <w:p>
                  <w:pPr>
                    <w:jc w:val="center"/>
                    <w:rPr>
                      <w:rFonts w:hint="default"/>
                      <w:szCs w:val="21"/>
                      <w:lang w:val="en-US" w:eastAsia="zh-CN"/>
                    </w:rPr>
                  </w:pPr>
                  <w:r>
                    <w:rPr>
                      <w:rFonts w:hint="eastAsia"/>
                      <w:szCs w:val="21"/>
                      <w:lang w:val="en-US" w:eastAsia="zh-CN"/>
                    </w:rPr>
                    <w:t>0.021</w:t>
                  </w:r>
                </w:p>
              </w:tc>
              <w:tc>
                <w:tcPr>
                  <w:tcW w:w="815" w:type="dxa"/>
                  <w:noWrap w:val="0"/>
                  <w:vAlign w:val="center"/>
                </w:tcPr>
                <w:p>
                  <w:pPr>
                    <w:jc w:val="center"/>
                    <w:rPr>
                      <w:rFonts w:hint="default"/>
                      <w:szCs w:val="21"/>
                      <w:lang w:val="en-US" w:eastAsia="zh-CN"/>
                    </w:rPr>
                  </w:pPr>
                  <w:r>
                    <w:rPr>
                      <w:rFonts w:hint="eastAsia"/>
                      <w:szCs w:val="21"/>
                      <w:lang w:val="en-US" w:eastAsia="zh-CN"/>
                    </w:rPr>
                    <w:t>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16" w:type="dxa"/>
                  <w:noWrap w:val="0"/>
                  <w:vAlign w:val="center"/>
                </w:tcPr>
                <w:p>
                  <w:pPr>
                    <w:jc w:val="center"/>
                    <w:rPr>
                      <w:rFonts w:hint="default"/>
                      <w:szCs w:val="21"/>
                      <w:lang w:val="en-US"/>
                    </w:rPr>
                  </w:pPr>
                  <w:r>
                    <w:rPr>
                      <w:rFonts w:hint="eastAsia"/>
                      <w:szCs w:val="21"/>
                      <w:lang w:val="en-US" w:eastAsia="zh-CN"/>
                    </w:rPr>
                    <w:t>2019.07.21</w:t>
                  </w:r>
                </w:p>
              </w:tc>
              <w:tc>
                <w:tcPr>
                  <w:tcW w:w="1134" w:type="dxa"/>
                  <w:vMerge w:val="continue"/>
                  <w:noWrap w:val="0"/>
                  <w:vAlign w:val="center"/>
                </w:tcPr>
                <w:p>
                  <w:pPr>
                    <w:jc w:val="center"/>
                    <w:rPr>
                      <w:rFonts w:hint="eastAsia"/>
                      <w:szCs w:val="21"/>
                    </w:rPr>
                  </w:pPr>
                </w:p>
              </w:tc>
              <w:tc>
                <w:tcPr>
                  <w:tcW w:w="773" w:type="dxa"/>
                  <w:noWrap w:val="0"/>
                  <w:vAlign w:val="center"/>
                </w:tcPr>
                <w:p>
                  <w:pPr>
                    <w:jc w:val="center"/>
                    <w:rPr>
                      <w:rFonts w:hint="default" w:eastAsia="宋体"/>
                      <w:szCs w:val="21"/>
                      <w:lang w:val="en-US" w:eastAsia="zh-CN"/>
                    </w:rPr>
                  </w:pPr>
                  <w:r>
                    <w:rPr>
                      <w:rFonts w:hint="eastAsia" w:eastAsia="宋体"/>
                      <w:szCs w:val="21"/>
                      <w:lang w:val="en-US" w:eastAsia="zh-CN"/>
                    </w:rPr>
                    <w:t>0.009</w:t>
                  </w:r>
                </w:p>
              </w:tc>
              <w:tc>
                <w:tcPr>
                  <w:tcW w:w="855" w:type="dxa"/>
                  <w:noWrap w:val="0"/>
                  <w:vAlign w:val="center"/>
                </w:tcPr>
                <w:p>
                  <w:pPr>
                    <w:jc w:val="center"/>
                    <w:rPr>
                      <w:rFonts w:hint="default" w:eastAsia="宋体"/>
                      <w:szCs w:val="21"/>
                      <w:lang w:val="en-US" w:eastAsia="zh-CN"/>
                    </w:rPr>
                  </w:pPr>
                  <w:r>
                    <w:rPr>
                      <w:rFonts w:hint="eastAsia" w:eastAsia="宋体"/>
                      <w:szCs w:val="21"/>
                      <w:lang w:val="en-US" w:eastAsia="zh-CN"/>
                    </w:rPr>
                    <w:t>0.011</w:t>
                  </w:r>
                </w:p>
              </w:tc>
              <w:tc>
                <w:tcPr>
                  <w:tcW w:w="815" w:type="dxa"/>
                  <w:noWrap w:val="0"/>
                  <w:vAlign w:val="center"/>
                </w:tcPr>
                <w:p>
                  <w:pPr>
                    <w:jc w:val="center"/>
                    <w:rPr>
                      <w:rFonts w:hint="default" w:eastAsia="宋体"/>
                      <w:szCs w:val="21"/>
                      <w:lang w:val="en-US" w:eastAsia="zh-CN"/>
                    </w:rPr>
                  </w:pPr>
                  <w:r>
                    <w:rPr>
                      <w:rFonts w:hint="eastAsia" w:eastAsia="宋体"/>
                      <w:szCs w:val="21"/>
                      <w:lang w:val="en-US" w:eastAsia="zh-CN"/>
                    </w:rPr>
                    <w:t>0.011</w:t>
                  </w:r>
                </w:p>
              </w:tc>
              <w:tc>
                <w:tcPr>
                  <w:tcW w:w="815" w:type="dxa"/>
                  <w:noWrap w:val="0"/>
                  <w:vAlign w:val="center"/>
                </w:tcPr>
                <w:p>
                  <w:pPr>
                    <w:jc w:val="center"/>
                    <w:rPr>
                      <w:rFonts w:hint="default" w:eastAsia="宋体"/>
                      <w:szCs w:val="21"/>
                      <w:lang w:val="en-US" w:eastAsia="zh-CN"/>
                    </w:rPr>
                  </w:pPr>
                  <w:r>
                    <w:rPr>
                      <w:rFonts w:hint="eastAsia"/>
                      <w:szCs w:val="21"/>
                      <w:lang w:val="en-US" w:eastAsia="zh-CN"/>
                    </w:rPr>
                    <w:t>0.010</w:t>
                  </w:r>
                </w:p>
              </w:tc>
              <w:tc>
                <w:tcPr>
                  <w:tcW w:w="777" w:type="dxa"/>
                  <w:noWrap w:val="0"/>
                  <w:vAlign w:val="center"/>
                </w:tcPr>
                <w:p>
                  <w:pPr>
                    <w:jc w:val="center"/>
                    <w:rPr>
                      <w:rFonts w:hint="default" w:eastAsia="宋体"/>
                      <w:szCs w:val="21"/>
                      <w:lang w:val="en-US" w:eastAsia="zh-CN"/>
                    </w:rPr>
                  </w:pPr>
                  <w:r>
                    <w:rPr>
                      <w:rFonts w:hint="eastAsia" w:eastAsia="宋体"/>
                      <w:szCs w:val="21"/>
                      <w:lang w:val="en-US" w:eastAsia="zh-CN"/>
                    </w:rPr>
                    <w:t>0.026</w:t>
                  </w:r>
                </w:p>
              </w:tc>
              <w:tc>
                <w:tcPr>
                  <w:tcW w:w="790" w:type="dxa"/>
                  <w:noWrap w:val="0"/>
                  <w:vAlign w:val="center"/>
                </w:tcPr>
                <w:p>
                  <w:pPr>
                    <w:jc w:val="center"/>
                    <w:rPr>
                      <w:rFonts w:hint="default"/>
                      <w:szCs w:val="21"/>
                      <w:lang w:val="en-US" w:eastAsia="zh-CN"/>
                    </w:rPr>
                  </w:pPr>
                  <w:r>
                    <w:rPr>
                      <w:rFonts w:hint="eastAsia"/>
                      <w:szCs w:val="21"/>
                      <w:lang w:val="en-US" w:eastAsia="zh-CN"/>
                    </w:rPr>
                    <w:t>0.027</w:t>
                  </w:r>
                </w:p>
              </w:tc>
              <w:tc>
                <w:tcPr>
                  <w:tcW w:w="790" w:type="dxa"/>
                  <w:noWrap w:val="0"/>
                  <w:vAlign w:val="center"/>
                </w:tcPr>
                <w:p>
                  <w:pPr>
                    <w:jc w:val="center"/>
                    <w:rPr>
                      <w:rFonts w:hint="default"/>
                      <w:szCs w:val="21"/>
                      <w:lang w:val="en-US" w:eastAsia="zh-CN"/>
                    </w:rPr>
                  </w:pPr>
                  <w:r>
                    <w:rPr>
                      <w:rFonts w:hint="eastAsia"/>
                      <w:szCs w:val="21"/>
                      <w:lang w:val="en-US" w:eastAsia="zh-CN"/>
                    </w:rPr>
                    <w:t>0.022</w:t>
                  </w:r>
                </w:p>
              </w:tc>
              <w:tc>
                <w:tcPr>
                  <w:tcW w:w="815" w:type="dxa"/>
                  <w:noWrap w:val="0"/>
                  <w:vAlign w:val="center"/>
                </w:tcPr>
                <w:p>
                  <w:pPr>
                    <w:jc w:val="center"/>
                    <w:rPr>
                      <w:rFonts w:hint="default"/>
                      <w:szCs w:val="21"/>
                      <w:lang w:val="en-US" w:eastAsia="zh-CN"/>
                    </w:rPr>
                  </w:pPr>
                  <w:r>
                    <w:rPr>
                      <w:rFonts w:hint="eastAsia"/>
                      <w:szCs w:val="21"/>
                      <w:lang w:val="en-US" w:eastAsia="zh-CN"/>
                    </w:rPr>
                    <w:t>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16" w:type="dxa"/>
                  <w:noWrap w:val="0"/>
                  <w:vAlign w:val="center"/>
                </w:tcPr>
                <w:p>
                  <w:pPr>
                    <w:jc w:val="center"/>
                    <w:rPr>
                      <w:rFonts w:hint="default"/>
                      <w:szCs w:val="21"/>
                      <w:lang w:val="en-US"/>
                    </w:rPr>
                  </w:pPr>
                  <w:r>
                    <w:rPr>
                      <w:rFonts w:hint="eastAsia"/>
                      <w:szCs w:val="21"/>
                      <w:lang w:val="en-US" w:eastAsia="zh-CN"/>
                    </w:rPr>
                    <w:t>2019.07.22</w:t>
                  </w:r>
                </w:p>
              </w:tc>
              <w:tc>
                <w:tcPr>
                  <w:tcW w:w="1134" w:type="dxa"/>
                  <w:vMerge w:val="continue"/>
                  <w:noWrap w:val="0"/>
                  <w:vAlign w:val="center"/>
                </w:tcPr>
                <w:p>
                  <w:pPr>
                    <w:jc w:val="center"/>
                    <w:rPr>
                      <w:rFonts w:hint="eastAsia"/>
                      <w:szCs w:val="21"/>
                    </w:rPr>
                  </w:pPr>
                </w:p>
              </w:tc>
              <w:tc>
                <w:tcPr>
                  <w:tcW w:w="773" w:type="dxa"/>
                  <w:noWrap w:val="0"/>
                  <w:vAlign w:val="center"/>
                </w:tcPr>
                <w:p>
                  <w:pPr>
                    <w:jc w:val="center"/>
                    <w:rPr>
                      <w:rFonts w:hint="default" w:eastAsia="宋体"/>
                      <w:szCs w:val="21"/>
                      <w:lang w:val="en-US" w:eastAsia="zh-CN"/>
                    </w:rPr>
                  </w:pPr>
                  <w:r>
                    <w:rPr>
                      <w:rFonts w:hint="eastAsia" w:eastAsia="宋体"/>
                      <w:szCs w:val="21"/>
                      <w:lang w:val="en-US" w:eastAsia="zh-CN"/>
                    </w:rPr>
                    <w:t>0.009</w:t>
                  </w:r>
                </w:p>
              </w:tc>
              <w:tc>
                <w:tcPr>
                  <w:tcW w:w="855" w:type="dxa"/>
                  <w:noWrap w:val="0"/>
                  <w:vAlign w:val="center"/>
                </w:tcPr>
                <w:p>
                  <w:pPr>
                    <w:jc w:val="center"/>
                    <w:rPr>
                      <w:rFonts w:hint="default" w:eastAsia="宋体"/>
                      <w:szCs w:val="21"/>
                      <w:lang w:val="en-US" w:eastAsia="zh-CN"/>
                    </w:rPr>
                  </w:pPr>
                  <w:r>
                    <w:rPr>
                      <w:rFonts w:hint="eastAsia" w:eastAsia="宋体"/>
                      <w:szCs w:val="21"/>
                      <w:lang w:val="en-US" w:eastAsia="zh-CN"/>
                    </w:rPr>
                    <w:t>0.008</w:t>
                  </w:r>
                </w:p>
              </w:tc>
              <w:tc>
                <w:tcPr>
                  <w:tcW w:w="815" w:type="dxa"/>
                  <w:noWrap w:val="0"/>
                  <w:vAlign w:val="center"/>
                </w:tcPr>
                <w:p>
                  <w:pPr>
                    <w:jc w:val="center"/>
                    <w:rPr>
                      <w:rFonts w:hint="default" w:eastAsia="宋体"/>
                      <w:szCs w:val="21"/>
                      <w:lang w:val="en-US" w:eastAsia="zh-CN"/>
                    </w:rPr>
                  </w:pPr>
                  <w:r>
                    <w:rPr>
                      <w:rFonts w:hint="eastAsia" w:eastAsia="宋体"/>
                      <w:szCs w:val="21"/>
                      <w:lang w:val="en-US" w:eastAsia="zh-CN"/>
                    </w:rPr>
                    <w:t>0.008</w:t>
                  </w:r>
                </w:p>
              </w:tc>
              <w:tc>
                <w:tcPr>
                  <w:tcW w:w="815" w:type="dxa"/>
                  <w:noWrap w:val="0"/>
                  <w:vAlign w:val="center"/>
                </w:tcPr>
                <w:p>
                  <w:pPr>
                    <w:jc w:val="center"/>
                    <w:rPr>
                      <w:rFonts w:hint="default" w:eastAsia="宋体"/>
                      <w:szCs w:val="21"/>
                      <w:lang w:val="en-US" w:eastAsia="zh-CN"/>
                    </w:rPr>
                  </w:pPr>
                  <w:r>
                    <w:rPr>
                      <w:rFonts w:hint="eastAsia"/>
                      <w:szCs w:val="21"/>
                      <w:lang w:val="en-US" w:eastAsia="zh-CN"/>
                    </w:rPr>
                    <w:t>0.007</w:t>
                  </w:r>
                </w:p>
              </w:tc>
              <w:tc>
                <w:tcPr>
                  <w:tcW w:w="777" w:type="dxa"/>
                  <w:noWrap w:val="0"/>
                  <w:vAlign w:val="center"/>
                </w:tcPr>
                <w:p>
                  <w:pPr>
                    <w:jc w:val="center"/>
                    <w:rPr>
                      <w:rFonts w:hint="default" w:eastAsia="宋体"/>
                      <w:szCs w:val="21"/>
                      <w:lang w:val="en-US" w:eastAsia="zh-CN"/>
                    </w:rPr>
                  </w:pPr>
                  <w:r>
                    <w:rPr>
                      <w:rFonts w:hint="eastAsia" w:eastAsia="宋体"/>
                      <w:szCs w:val="21"/>
                      <w:lang w:val="en-US" w:eastAsia="zh-CN"/>
                    </w:rPr>
                    <w:t>0.024</w:t>
                  </w:r>
                </w:p>
              </w:tc>
              <w:tc>
                <w:tcPr>
                  <w:tcW w:w="790" w:type="dxa"/>
                  <w:noWrap w:val="0"/>
                  <w:vAlign w:val="center"/>
                </w:tcPr>
                <w:p>
                  <w:pPr>
                    <w:jc w:val="center"/>
                    <w:rPr>
                      <w:rFonts w:hint="default"/>
                      <w:szCs w:val="21"/>
                      <w:lang w:val="en-US" w:eastAsia="zh-CN"/>
                    </w:rPr>
                  </w:pPr>
                  <w:r>
                    <w:rPr>
                      <w:rFonts w:hint="eastAsia"/>
                      <w:szCs w:val="21"/>
                      <w:lang w:val="en-US" w:eastAsia="zh-CN"/>
                    </w:rPr>
                    <w:t>0.035</w:t>
                  </w:r>
                </w:p>
              </w:tc>
              <w:tc>
                <w:tcPr>
                  <w:tcW w:w="790" w:type="dxa"/>
                  <w:noWrap w:val="0"/>
                  <w:vAlign w:val="center"/>
                </w:tcPr>
                <w:p>
                  <w:pPr>
                    <w:jc w:val="center"/>
                    <w:rPr>
                      <w:rFonts w:hint="default"/>
                      <w:szCs w:val="21"/>
                      <w:lang w:val="en-US" w:eastAsia="zh-CN"/>
                    </w:rPr>
                  </w:pPr>
                  <w:r>
                    <w:rPr>
                      <w:rFonts w:hint="eastAsia"/>
                      <w:szCs w:val="21"/>
                      <w:lang w:val="en-US" w:eastAsia="zh-CN"/>
                    </w:rPr>
                    <w:t>0.035</w:t>
                  </w:r>
                </w:p>
              </w:tc>
              <w:tc>
                <w:tcPr>
                  <w:tcW w:w="815" w:type="dxa"/>
                  <w:noWrap w:val="0"/>
                  <w:vAlign w:val="center"/>
                </w:tcPr>
                <w:p>
                  <w:pPr>
                    <w:jc w:val="center"/>
                    <w:rPr>
                      <w:rFonts w:hint="default"/>
                      <w:szCs w:val="21"/>
                      <w:lang w:val="en-US" w:eastAsia="zh-CN"/>
                    </w:rPr>
                  </w:pPr>
                  <w:r>
                    <w:rPr>
                      <w:rFonts w:hint="eastAsia"/>
                      <w:szCs w:val="21"/>
                      <w:lang w:val="en-US" w:eastAsia="zh-CN"/>
                    </w:rPr>
                    <w:t>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16" w:type="dxa"/>
                  <w:noWrap w:val="0"/>
                  <w:vAlign w:val="center"/>
                </w:tcPr>
                <w:p>
                  <w:pPr>
                    <w:jc w:val="center"/>
                    <w:rPr>
                      <w:rFonts w:hint="default"/>
                      <w:szCs w:val="21"/>
                      <w:lang w:val="en-US"/>
                    </w:rPr>
                  </w:pPr>
                  <w:r>
                    <w:rPr>
                      <w:rFonts w:hint="eastAsia"/>
                      <w:szCs w:val="21"/>
                      <w:lang w:val="en-US" w:eastAsia="zh-CN"/>
                    </w:rPr>
                    <w:t>2019.07.23</w:t>
                  </w:r>
                </w:p>
              </w:tc>
              <w:tc>
                <w:tcPr>
                  <w:tcW w:w="1134" w:type="dxa"/>
                  <w:vMerge w:val="continue"/>
                  <w:noWrap w:val="0"/>
                  <w:vAlign w:val="center"/>
                </w:tcPr>
                <w:p>
                  <w:pPr>
                    <w:jc w:val="center"/>
                    <w:rPr>
                      <w:rFonts w:hint="eastAsia"/>
                      <w:szCs w:val="21"/>
                    </w:rPr>
                  </w:pPr>
                </w:p>
              </w:tc>
              <w:tc>
                <w:tcPr>
                  <w:tcW w:w="773" w:type="dxa"/>
                  <w:noWrap w:val="0"/>
                  <w:vAlign w:val="center"/>
                </w:tcPr>
                <w:p>
                  <w:pPr>
                    <w:jc w:val="center"/>
                    <w:rPr>
                      <w:rFonts w:hint="default" w:eastAsia="宋体"/>
                      <w:szCs w:val="21"/>
                      <w:lang w:val="en-US" w:eastAsia="zh-CN"/>
                    </w:rPr>
                  </w:pPr>
                  <w:r>
                    <w:rPr>
                      <w:rFonts w:hint="eastAsia" w:eastAsia="宋体"/>
                      <w:szCs w:val="21"/>
                      <w:lang w:val="en-US" w:eastAsia="zh-CN"/>
                    </w:rPr>
                    <w:t>0.010</w:t>
                  </w:r>
                </w:p>
              </w:tc>
              <w:tc>
                <w:tcPr>
                  <w:tcW w:w="855" w:type="dxa"/>
                  <w:noWrap w:val="0"/>
                  <w:vAlign w:val="center"/>
                </w:tcPr>
                <w:p>
                  <w:pPr>
                    <w:jc w:val="center"/>
                    <w:rPr>
                      <w:rFonts w:hint="default" w:eastAsia="宋体"/>
                      <w:szCs w:val="21"/>
                      <w:lang w:val="en-US" w:eastAsia="zh-CN"/>
                    </w:rPr>
                  </w:pPr>
                  <w:r>
                    <w:rPr>
                      <w:rFonts w:hint="eastAsia" w:eastAsia="宋体"/>
                      <w:szCs w:val="21"/>
                      <w:lang w:val="en-US" w:eastAsia="zh-CN"/>
                    </w:rPr>
                    <w:t>0.011</w:t>
                  </w:r>
                </w:p>
              </w:tc>
              <w:tc>
                <w:tcPr>
                  <w:tcW w:w="815" w:type="dxa"/>
                  <w:noWrap w:val="0"/>
                  <w:vAlign w:val="center"/>
                </w:tcPr>
                <w:p>
                  <w:pPr>
                    <w:jc w:val="center"/>
                    <w:rPr>
                      <w:rFonts w:hint="default" w:eastAsia="宋体"/>
                      <w:szCs w:val="21"/>
                      <w:lang w:val="en-US" w:eastAsia="zh-CN"/>
                    </w:rPr>
                  </w:pPr>
                  <w:r>
                    <w:rPr>
                      <w:rFonts w:hint="eastAsia" w:eastAsia="宋体"/>
                      <w:szCs w:val="21"/>
                      <w:lang w:val="en-US" w:eastAsia="zh-CN"/>
                    </w:rPr>
                    <w:t>0.009</w:t>
                  </w:r>
                </w:p>
              </w:tc>
              <w:tc>
                <w:tcPr>
                  <w:tcW w:w="815" w:type="dxa"/>
                  <w:noWrap w:val="0"/>
                  <w:vAlign w:val="center"/>
                </w:tcPr>
                <w:p>
                  <w:pPr>
                    <w:jc w:val="center"/>
                    <w:rPr>
                      <w:rFonts w:hint="default" w:eastAsia="宋体"/>
                      <w:szCs w:val="21"/>
                      <w:lang w:val="en-US" w:eastAsia="zh-CN"/>
                    </w:rPr>
                  </w:pPr>
                  <w:r>
                    <w:rPr>
                      <w:rFonts w:hint="eastAsia"/>
                      <w:szCs w:val="21"/>
                      <w:lang w:val="en-US" w:eastAsia="zh-CN"/>
                    </w:rPr>
                    <w:t>0.012</w:t>
                  </w:r>
                </w:p>
              </w:tc>
              <w:tc>
                <w:tcPr>
                  <w:tcW w:w="777" w:type="dxa"/>
                  <w:noWrap w:val="0"/>
                  <w:vAlign w:val="center"/>
                </w:tcPr>
                <w:p>
                  <w:pPr>
                    <w:jc w:val="center"/>
                    <w:rPr>
                      <w:rFonts w:hint="default" w:eastAsia="宋体"/>
                      <w:szCs w:val="21"/>
                      <w:lang w:val="en-US" w:eastAsia="zh-CN"/>
                    </w:rPr>
                  </w:pPr>
                  <w:r>
                    <w:rPr>
                      <w:rFonts w:hint="eastAsia" w:eastAsia="宋体"/>
                      <w:szCs w:val="21"/>
                      <w:lang w:val="en-US" w:eastAsia="zh-CN"/>
                    </w:rPr>
                    <w:t>0.022</w:t>
                  </w:r>
                </w:p>
              </w:tc>
              <w:tc>
                <w:tcPr>
                  <w:tcW w:w="790" w:type="dxa"/>
                  <w:noWrap w:val="0"/>
                  <w:vAlign w:val="center"/>
                </w:tcPr>
                <w:p>
                  <w:pPr>
                    <w:jc w:val="center"/>
                    <w:rPr>
                      <w:rFonts w:hint="default"/>
                      <w:szCs w:val="21"/>
                      <w:lang w:val="en-US" w:eastAsia="zh-CN"/>
                    </w:rPr>
                  </w:pPr>
                  <w:r>
                    <w:rPr>
                      <w:rFonts w:hint="eastAsia"/>
                      <w:szCs w:val="21"/>
                      <w:lang w:val="en-US" w:eastAsia="zh-CN"/>
                    </w:rPr>
                    <w:t>0.036</w:t>
                  </w:r>
                </w:p>
              </w:tc>
              <w:tc>
                <w:tcPr>
                  <w:tcW w:w="790" w:type="dxa"/>
                  <w:noWrap w:val="0"/>
                  <w:vAlign w:val="center"/>
                </w:tcPr>
                <w:p>
                  <w:pPr>
                    <w:jc w:val="center"/>
                    <w:rPr>
                      <w:rFonts w:hint="default"/>
                      <w:szCs w:val="21"/>
                      <w:lang w:val="en-US" w:eastAsia="zh-CN"/>
                    </w:rPr>
                  </w:pPr>
                  <w:r>
                    <w:rPr>
                      <w:rFonts w:hint="eastAsia"/>
                      <w:szCs w:val="21"/>
                      <w:lang w:val="en-US" w:eastAsia="zh-CN"/>
                    </w:rPr>
                    <w:t>0.037</w:t>
                  </w:r>
                </w:p>
              </w:tc>
              <w:tc>
                <w:tcPr>
                  <w:tcW w:w="815" w:type="dxa"/>
                  <w:noWrap w:val="0"/>
                  <w:vAlign w:val="center"/>
                </w:tcPr>
                <w:p>
                  <w:pPr>
                    <w:jc w:val="center"/>
                    <w:rPr>
                      <w:rFonts w:hint="default"/>
                      <w:szCs w:val="21"/>
                      <w:lang w:val="en-US" w:eastAsia="zh-CN"/>
                    </w:rPr>
                  </w:pPr>
                  <w:r>
                    <w:rPr>
                      <w:rFonts w:hint="eastAsia"/>
                      <w:szCs w:val="21"/>
                      <w:lang w:val="en-US" w:eastAsia="zh-CN"/>
                    </w:rPr>
                    <w:t>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16" w:type="dxa"/>
                  <w:noWrap w:val="0"/>
                  <w:vAlign w:val="center"/>
                </w:tcPr>
                <w:p>
                  <w:pPr>
                    <w:jc w:val="center"/>
                    <w:rPr>
                      <w:rFonts w:hint="default"/>
                      <w:szCs w:val="21"/>
                      <w:lang w:val="en-US"/>
                    </w:rPr>
                  </w:pPr>
                  <w:r>
                    <w:rPr>
                      <w:rFonts w:hint="eastAsia"/>
                      <w:szCs w:val="21"/>
                      <w:lang w:val="en-US" w:eastAsia="zh-CN"/>
                    </w:rPr>
                    <w:t>2019.07.24</w:t>
                  </w:r>
                </w:p>
              </w:tc>
              <w:tc>
                <w:tcPr>
                  <w:tcW w:w="1134" w:type="dxa"/>
                  <w:vMerge w:val="continue"/>
                  <w:noWrap w:val="0"/>
                  <w:vAlign w:val="center"/>
                </w:tcPr>
                <w:p>
                  <w:pPr>
                    <w:jc w:val="center"/>
                    <w:rPr>
                      <w:rFonts w:hint="eastAsia"/>
                      <w:szCs w:val="21"/>
                    </w:rPr>
                  </w:pPr>
                </w:p>
              </w:tc>
              <w:tc>
                <w:tcPr>
                  <w:tcW w:w="773" w:type="dxa"/>
                  <w:noWrap w:val="0"/>
                  <w:vAlign w:val="center"/>
                </w:tcPr>
                <w:p>
                  <w:pPr>
                    <w:jc w:val="center"/>
                    <w:rPr>
                      <w:rFonts w:hint="default" w:eastAsia="宋体"/>
                      <w:szCs w:val="21"/>
                      <w:lang w:val="en-US" w:eastAsia="zh-CN"/>
                    </w:rPr>
                  </w:pPr>
                  <w:r>
                    <w:rPr>
                      <w:rFonts w:hint="eastAsia" w:eastAsia="宋体"/>
                      <w:szCs w:val="21"/>
                      <w:lang w:val="en-US" w:eastAsia="zh-CN"/>
                    </w:rPr>
                    <w:t>0.010</w:t>
                  </w:r>
                </w:p>
              </w:tc>
              <w:tc>
                <w:tcPr>
                  <w:tcW w:w="855" w:type="dxa"/>
                  <w:noWrap w:val="0"/>
                  <w:vAlign w:val="center"/>
                </w:tcPr>
                <w:p>
                  <w:pPr>
                    <w:jc w:val="center"/>
                    <w:rPr>
                      <w:rFonts w:hint="default" w:eastAsia="宋体"/>
                      <w:szCs w:val="21"/>
                      <w:lang w:val="en-US" w:eastAsia="zh-CN"/>
                    </w:rPr>
                  </w:pPr>
                  <w:r>
                    <w:rPr>
                      <w:rFonts w:hint="eastAsia" w:eastAsia="宋体"/>
                      <w:szCs w:val="21"/>
                      <w:lang w:val="en-US" w:eastAsia="zh-CN"/>
                    </w:rPr>
                    <w:t>0.009</w:t>
                  </w:r>
                </w:p>
              </w:tc>
              <w:tc>
                <w:tcPr>
                  <w:tcW w:w="815" w:type="dxa"/>
                  <w:noWrap w:val="0"/>
                  <w:vAlign w:val="center"/>
                </w:tcPr>
                <w:p>
                  <w:pPr>
                    <w:jc w:val="center"/>
                    <w:rPr>
                      <w:rFonts w:hint="default" w:eastAsia="宋体"/>
                      <w:szCs w:val="21"/>
                      <w:lang w:val="en-US" w:eastAsia="zh-CN"/>
                    </w:rPr>
                  </w:pPr>
                  <w:r>
                    <w:rPr>
                      <w:rFonts w:hint="eastAsia" w:eastAsia="宋体"/>
                      <w:szCs w:val="21"/>
                      <w:lang w:val="en-US" w:eastAsia="zh-CN"/>
                    </w:rPr>
                    <w:t>0.013</w:t>
                  </w:r>
                </w:p>
              </w:tc>
              <w:tc>
                <w:tcPr>
                  <w:tcW w:w="815" w:type="dxa"/>
                  <w:noWrap w:val="0"/>
                  <w:vAlign w:val="center"/>
                </w:tcPr>
                <w:p>
                  <w:pPr>
                    <w:jc w:val="center"/>
                    <w:rPr>
                      <w:rFonts w:hint="default" w:eastAsia="宋体"/>
                      <w:szCs w:val="21"/>
                      <w:lang w:val="en-US" w:eastAsia="zh-CN"/>
                    </w:rPr>
                  </w:pPr>
                  <w:r>
                    <w:rPr>
                      <w:rFonts w:hint="eastAsia"/>
                      <w:szCs w:val="21"/>
                      <w:lang w:val="en-US" w:eastAsia="zh-CN"/>
                    </w:rPr>
                    <w:t>0.012</w:t>
                  </w:r>
                </w:p>
              </w:tc>
              <w:tc>
                <w:tcPr>
                  <w:tcW w:w="777" w:type="dxa"/>
                  <w:noWrap w:val="0"/>
                  <w:vAlign w:val="center"/>
                </w:tcPr>
                <w:p>
                  <w:pPr>
                    <w:jc w:val="center"/>
                    <w:rPr>
                      <w:rFonts w:hint="default" w:eastAsia="宋体"/>
                      <w:szCs w:val="21"/>
                      <w:lang w:val="en-US" w:eastAsia="zh-CN"/>
                    </w:rPr>
                  </w:pPr>
                  <w:r>
                    <w:rPr>
                      <w:rFonts w:hint="eastAsia" w:eastAsia="宋体"/>
                      <w:szCs w:val="21"/>
                      <w:lang w:val="en-US" w:eastAsia="zh-CN"/>
                    </w:rPr>
                    <w:t>0.036</w:t>
                  </w:r>
                </w:p>
              </w:tc>
              <w:tc>
                <w:tcPr>
                  <w:tcW w:w="790" w:type="dxa"/>
                  <w:noWrap w:val="0"/>
                  <w:vAlign w:val="center"/>
                </w:tcPr>
                <w:p>
                  <w:pPr>
                    <w:jc w:val="center"/>
                    <w:rPr>
                      <w:rFonts w:hint="default"/>
                      <w:szCs w:val="21"/>
                      <w:lang w:val="en-US" w:eastAsia="zh-CN"/>
                    </w:rPr>
                  </w:pPr>
                  <w:r>
                    <w:rPr>
                      <w:rFonts w:hint="eastAsia"/>
                      <w:szCs w:val="21"/>
                      <w:lang w:val="en-US" w:eastAsia="zh-CN"/>
                    </w:rPr>
                    <w:t>0.035</w:t>
                  </w:r>
                </w:p>
              </w:tc>
              <w:tc>
                <w:tcPr>
                  <w:tcW w:w="790" w:type="dxa"/>
                  <w:noWrap w:val="0"/>
                  <w:vAlign w:val="center"/>
                </w:tcPr>
                <w:p>
                  <w:pPr>
                    <w:jc w:val="center"/>
                    <w:rPr>
                      <w:rFonts w:hint="default"/>
                      <w:szCs w:val="21"/>
                      <w:lang w:val="en-US" w:eastAsia="zh-CN"/>
                    </w:rPr>
                  </w:pPr>
                  <w:r>
                    <w:rPr>
                      <w:rFonts w:hint="eastAsia"/>
                      <w:szCs w:val="21"/>
                      <w:lang w:val="en-US" w:eastAsia="zh-CN"/>
                    </w:rPr>
                    <w:t>0.032</w:t>
                  </w:r>
                </w:p>
              </w:tc>
              <w:tc>
                <w:tcPr>
                  <w:tcW w:w="815" w:type="dxa"/>
                  <w:noWrap w:val="0"/>
                  <w:vAlign w:val="center"/>
                </w:tcPr>
                <w:p>
                  <w:pPr>
                    <w:jc w:val="center"/>
                    <w:rPr>
                      <w:rFonts w:hint="default"/>
                      <w:szCs w:val="21"/>
                      <w:lang w:val="en-US" w:eastAsia="zh-CN"/>
                    </w:rPr>
                  </w:pPr>
                  <w:r>
                    <w:rPr>
                      <w:rFonts w:hint="eastAsia"/>
                      <w:szCs w:val="21"/>
                      <w:lang w:val="en-US" w:eastAsia="zh-CN"/>
                    </w:rPr>
                    <w:t>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16" w:type="dxa"/>
                  <w:noWrap w:val="0"/>
                  <w:vAlign w:val="center"/>
                </w:tcPr>
                <w:p>
                  <w:pPr>
                    <w:jc w:val="center"/>
                    <w:rPr>
                      <w:rFonts w:hint="default"/>
                      <w:szCs w:val="21"/>
                      <w:lang w:val="en-US"/>
                    </w:rPr>
                  </w:pPr>
                  <w:r>
                    <w:rPr>
                      <w:rFonts w:hint="eastAsia"/>
                      <w:szCs w:val="21"/>
                      <w:lang w:val="en-US" w:eastAsia="zh-CN"/>
                    </w:rPr>
                    <w:t>2019.07.25</w:t>
                  </w:r>
                </w:p>
              </w:tc>
              <w:tc>
                <w:tcPr>
                  <w:tcW w:w="1134" w:type="dxa"/>
                  <w:vMerge w:val="continue"/>
                  <w:noWrap w:val="0"/>
                  <w:vAlign w:val="center"/>
                </w:tcPr>
                <w:p>
                  <w:pPr>
                    <w:jc w:val="center"/>
                    <w:rPr>
                      <w:rFonts w:hint="eastAsia"/>
                      <w:szCs w:val="21"/>
                    </w:rPr>
                  </w:pPr>
                </w:p>
              </w:tc>
              <w:tc>
                <w:tcPr>
                  <w:tcW w:w="773" w:type="dxa"/>
                  <w:noWrap w:val="0"/>
                  <w:vAlign w:val="center"/>
                </w:tcPr>
                <w:p>
                  <w:pPr>
                    <w:jc w:val="center"/>
                    <w:rPr>
                      <w:rFonts w:hint="default" w:eastAsia="宋体"/>
                      <w:szCs w:val="21"/>
                      <w:lang w:val="en-US" w:eastAsia="zh-CN"/>
                    </w:rPr>
                  </w:pPr>
                  <w:r>
                    <w:rPr>
                      <w:rFonts w:hint="eastAsia" w:eastAsia="宋体"/>
                      <w:szCs w:val="21"/>
                      <w:lang w:val="en-US" w:eastAsia="zh-CN"/>
                    </w:rPr>
                    <w:t>0.011</w:t>
                  </w:r>
                </w:p>
              </w:tc>
              <w:tc>
                <w:tcPr>
                  <w:tcW w:w="855" w:type="dxa"/>
                  <w:noWrap w:val="0"/>
                  <w:vAlign w:val="center"/>
                </w:tcPr>
                <w:p>
                  <w:pPr>
                    <w:jc w:val="center"/>
                    <w:rPr>
                      <w:rFonts w:hint="default" w:eastAsia="宋体"/>
                      <w:szCs w:val="21"/>
                      <w:lang w:val="en-US" w:eastAsia="zh-CN"/>
                    </w:rPr>
                  </w:pPr>
                  <w:r>
                    <w:rPr>
                      <w:rFonts w:hint="eastAsia" w:eastAsia="宋体"/>
                      <w:szCs w:val="21"/>
                      <w:lang w:val="en-US" w:eastAsia="zh-CN"/>
                    </w:rPr>
                    <w:t>0.013</w:t>
                  </w:r>
                </w:p>
              </w:tc>
              <w:tc>
                <w:tcPr>
                  <w:tcW w:w="815" w:type="dxa"/>
                  <w:noWrap w:val="0"/>
                  <w:vAlign w:val="center"/>
                </w:tcPr>
                <w:p>
                  <w:pPr>
                    <w:jc w:val="center"/>
                    <w:rPr>
                      <w:rFonts w:hint="default" w:eastAsia="宋体"/>
                      <w:szCs w:val="21"/>
                      <w:lang w:val="en-US" w:eastAsia="zh-CN"/>
                    </w:rPr>
                  </w:pPr>
                  <w:r>
                    <w:rPr>
                      <w:rFonts w:hint="eastAsia" w:eastAsia="宋体"/>
                      <w:szCs w:val="21"/>
                      <w:lang w:val="en-US" w:eastAsia="zh-CN"/>
                    </w:rPr>
                    <w:t>0.012</w:t>
                  </w:r>
                </w:p>
              </w:tc>
              <w:tc>
                <w:tcPr>
                  <w:tcW w:w="815" w:type="dxa"/>
                  <w:noWrap w:val="0"/>
                  <w:vAlign w:val="center"/>
                </w:tcPr>
                <w:p>
                  <w:pPr>
                    <w:jc w:val="center"/>
                    <w:rPr>
                      <w:rFonts w:hint="default" w:eastAsia="宋体"/>
                      <w:szCs w:val="21"/>
                      <w:lang w:val="en-US" w:eastAsia="zh-CN"/>
                    </w:rPr>
                  </w:pPr>
                  <w:r>
                    <w:rPr>
                      <w:rFonts w:hint="eastAsia"/>
                      <w:szCs w:val="21"/>
                      <w:lang w:val="en-US" w:eastAsia="zh-CN"/>
                    </w:rPr>
                    <w:t>0.012</w:t>
                  </w:r>
                </w:p>
              </w:tc>
              <w:tc>
                <w:tcPr>
                  <w:tcW w:w="777" w:type="dxa"/>
                  <w:noWrap w:val="0"/>
                  <w:vAlign w:val="center"/>
                </w:tcPr>
                <w:p>
                  <w:pPr>
                    <w:jc w:val="center"/>
                    <w:rPr>
                      <w:rFonts w:hint="default" w:eastAsia="宋体"/>
                      <w:szCs w:val="21"/>
                      <w:lang w:val="en-US" w:eastAsia="zh-CN"/>
                    </w:rPr>
                  </w:pPr>
                  <w:r>
                    <w:rPr>
                      <w:rFonts w:hint="eastAsia" w:eastAsia="宋体"/>
                      <w:szCs w:val="21"/>
                      <w:lang w:val="en-US" w:eastAsia="zh-CN"/>
                    </w:rPr>
                    <w:t>0.027</w:t>
                  </w:r>
                </w:p>
              </w:tc>
              <w:tc>
                <w:tcPr>
                  <w:tcW w:w="790" w:type="dxa"/>
                  <w:noWrap w:val="0"/>
                  <w:vAlign w:val="center"/>
                </w:tcPr>
                <w:p>
                  <w:pPr>
                    <w:jc w:val="center"/>
                    <w:rPr>
                      <w:rFonts w:hint="default"/>
                      <w:szCs w:val="21"/>
                      <w:lang w:val="en-US" w:eastAsia="zh-CN"/>
                    </w:rPr>
                  </w:pPr>
                  <w:r>
                    <w:rPr>
                      <w:rFonts w:hint="eastAsia"/>
                      <w:szCs w:val="21"/>
                      <w:lang w:val="en-US" w:eastAsia="zh-CN"/>
                    </w:rPr>
                    <w:t>0.031</w:t>
                  </w:r>
                </w:p>
              </w:tc>
              <w:tc>
                <w:tcPr>
                  <w:tcW w:w="790" w:type="dxa"/>
                  <w:noWrap w:val="0"/>
                  <w:vAlign w:val="center"/>
                </w:tcPr>
                <w:p>
                  <w:pPr>
                    <w:jc w:val="center"/>
                    <w:rPr>
                      <w:rFonts w:hint="default"/>
                      <w:szCs w:val="21"/>
                      <w:lang w:val="en-US" w:eastAsia="zh-CN"/>
                    </w:rPr>
                  </w:pPr>
                  <w:r>
                    <w:rPr>
                      <w:rFonts w:hint="eastAsia"/>
                      <w:szCs w:val="21"/>
                      <w:lang w:val="en-US" w:eastAsia="zh-CN"/>
                    </w:rPr>
                    <w:t>0.026</w:t>
                  </w:r>
                </w:p>
              </w:tc>
              <w:tc>
                <w:tcPr>
                  <w:tcW w:w="815" w:type="dxa"/>
                  <w:noWrap w:val="0"/>
                  <w:vAlign w:val="center"/>
                </w:tcPr>
                <w:p>
                  <w:pPr>
                    <w:jc w:val="center"/>
                    <w:rPr>
                      <w:rFonts w:hint="default"/>
                      <w:szCs w:val="21"/>
                      <w:lang w:val="en-US" w:eastAsia="zh-CN"/>
                    </w:rPr>
                  </w:pPr>
                  <w:r>
                    <w:rPr>
                      <w:rFonts w:hint="eastAsia"/>
                      <w:szCs w:val="21"/>
                      <w:lang w:val="en-US" w:eastAsia="zh-CN"/>
                    </w:rPr>
                    <w:t>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16" w:type="dxa"/>
                  <w:noWrap w:val="0"/>
                  <w:vAlign w:val="center"/>
                </w:tcPr>
                <w:p>
                  <w:pPr>
                    <w:jc w:val="center"/>
                    <w:rPr>
                      <w:rFonts w:hint="eastAsia"/>
                      <w:szCs w:val="21"/>
                    </w:rPr>
                  </w:pPr>
                  <w:r>
                    <w:rPr>
                      <w:rFonts w:hint="eastAsia"/>
                      <w:szCs w:val="21"/>
                      <w:lang w:val="en-US" w:eastAsia="zh-CN"/>
                    </w:rPr>
                    <w:t>2019.07.19</w:t>
                  </w:r>
                </w:p>
              </w:tc>
              <w:tc>
                <w:tcPr>
                  <w:tcW w:w="1134" w:type="dxa"/>
                  <w:vMerge w:val="restart"/>
                  <w:noWrap w:val="0"/>
                  <w:vAlign w:val="center"/>
                </w:tcPr>
                <w:p>
                  <w:pPr>
                    <w:jc w:val="center"/>
                    <w:rPr>
                      <w:rFonts w:hint="eastAsia"/>
                      <w:szCs w:val="21"/>
                    </w:rPr>
                  </w:pPr>
                  <w:r>
                    <w:rPr>
                      <w:rFonts w:hint="eastAsia"/>
                      <w:szCs w:val="21"/>
                      <w:lang w:val="en-US" w:eastAsia="zh-CN"/>
                    </w:rPr>
                    <w:t>项目地南侧100m处2#</w:t>
                  </w:r>
                </w:p>
              </w:tc>
              <w:tc>
                <w:tcPr>
                  <w:tcW w:w="773" w:type="dxa"/>
                  <w:noWrap w:val="0"/>
                  <w:vAlign w:val="center"/>
                </w:tcPr>
                <w:p>
                  <w:pPr>
                    <w:jc w:val="center"/>
                    <w:rPr>
                      <w:rFonts w:hint="default" w:eastAsia="宋体"/>
                      <w:szCs w:val="21"/>
                      <w:lang w:val="en-US" w:eastAsia="zh-CN"/>
                    </w:rPr>
                  </w:pPr>
                  <w:r>
                    <w:rPr>
                      <w:rFonts w:hint="eastAsia" w:eastAsia="宋体"/>
                      <w:szCs w:val="21"/>
                      <w:lang w:val="en-US" w:eastAsia="zh-CN"/>
                    </w:rPr>
                    <w:t>0.011</w:t>
                  </w:r>
                </w:p>
              </w:tc>
              <w:tc>
                <w:tcPr>
                  <w:tcW w:w="855" w:type="dxa"/>
                  <w:noWrap w:val="0"/>
                  <w:vAlign w:val="center"/>
                </w:tcPr>
                <w:p>
                  <w:pPr>
                    <w:jc w:val="center"/>
                    <w:rPr>
                      <w:rFonts w:hint="default" w:eastAsia="宋体"/>
                      <w:szCs w:val="21"/>
                      <w:lang w:val="en-US" w:eastAsia="zh-CN"/>
                    </w:rPr>
                  </w:pPr>
                  <w:r>
                    <w:rPr>
                      <w:rFonts w:hint="eastAsia" w:eastAsia="宋体"/>
                      <w:szCs w:val="21"/>
                      <w:lang w:val="en-US" w:eastAsia="zh-CN"/>
                    </w:rPr>
                    <w:t>0.010</w:t>
                  </w:r>
                </w:p>
              </w:tc>
              <w:tc>
                <w:tcPr>
                  <w:tcW w:w="815" w:type="dxa"/>
                  <w:noWrap w:val="0"/>
                  <w:vAlign w:val="center"/>
                </w:tcPr>
                <w:p>
                  <w:pPr>
                    <w:jc w:val="center"/>
                    <w:rPr>
                      <w:rFonts w:hint="default" w:eastAsia="宋体"/>
                      <w:szCs w:val="21"/>
                      <w:lang w:val="en-US" w:eastAsia="zh-CN"/>
                    </w:rPr>
                  </w:pPr>
                  <w:r>
                    <w:rPr>
                      <w:rFonts w:hint="eastAsia" w:eastAsia="宋体"/>
                      <w:szCs w:val="21"/>
                      <w:lang w:val="en-US" w:eastAsia="zh-CN"/>
                    </w:rPr>
                    <w:t>0.014</w:t>
                  </w:r>
                </w:p>
              </w:tc>
              <w:tc>
                <w:tcPr>
                  <w:tcW w:w="815" w:type="dxa"/>
                  <w:noWrap w:val="0"/>
                  <w:vAlign w:val="center"/>
                </w:tcPr>
                <w:p>
                  <w:pPr>
                    <w:jc w:val="center"/>
                    <w:rPr>
                      <w:rFonts w:hint="default" w:eastAsia="宋体"/>
                      <w:szCs w:val="21"/>
                      <w:lang w:val="en-US" w:eastAsia="zh-CN"/>
                    </w:rPr>
                  </w:pPr>
                  <w:r>
                    <w:rPr>
                      <w:rFonts w:hint="eastAsia"/>
                      <w:szCs w:val="21"/>
                      <w:lang w:val="en-US" w:eastAsia="zh-CN"/>
                    </w:rPr>
                    <w:t>0.011</w:t>
                  </w:r>
                </w:p>
              </w:tc>
              <w:tc>
                <w:tcPr>
                  <w:tcW w:w="777" w:type="dxa"/>
                  <w:noWrap w:val="0"/>
                  <w:vAlign w:val="center"/>
                </w:tcPr>
                <w:p>
                  <w:pPr>
                    <w:jc w:val="center"/>
                    <w:rPr>
                      <w:rFonts w:hint="default" w:eastAsia="宋体"/>
                      <w:szCs w:val="21"/>
                      <w:lang w:val="en-US" w:eastAsia="zh-CN"/>
                    </w:rPr>
                  </w:pPr>
                  <w:r>
                    <w:rPr>
                      <w:rFonts w:hint="eastAsia" w:eastAsia="宋体"/>
                      <w:szCs w:val="21"/>
                      <w:lang w:val="en-US" w:eastAsia="zh-CN"/>
                    </w:rPr>
                    <w:t>0.020</w:t>
                  </w:r>
                </w:p>
              </w:tc>
              <w:tc>
                <w:tcPr>
                  <w:tcW w:w="790" w:type="dxa"/>
                  <w:noWrap w:val="0"/>
                  <w:vAlign w:val="center"/>
                </w:tcPr>
                <w:p>
                  <w:pPr>
                    <w:jc w:val="center"/>
                    <w:rPr>
                      <w:rFonts w:hint="default"/>
                      <w:szCs w:val="21"/>
                      <w:lang w:val="en-US" w:eastAsia="zh-CN"/>
                    </w:rPr>
                  </w:pPr>
                  <w:r>
                    <w:rPr>
                      <w:rFonts w:hint="eastAsia"/>
                      <w:szCs w:val="21"/>
                      <w:lang w:val="en-US" w:eastAsia="zh-CN"/>
                    </w:rPr>
                    <w:t>0.030</w:t>
                  </w:r>
                </w:p>
              </w:tc>
              <w:tc>
                <w:tcPr>
                  <w:tcW w:w="790" w:type="dxa"/>
                  <w:noWrap w:val="0"/>
                  <w:vAlign w:val="center"/>
                </w:tcPr>
                <w:p>
                  <w:pPr>
                    <w:jc w:val="center"/>
                    <w:rPr>
                      <w:rFonts w:hint="default"/>
                      <w:szCs w:val="21"/>
                      <w:lang w:val="en-US" w:eastAsia="zh-CN"/>
                    </w:rPr>
                  </w:pPr>
                  <w:r>
                    <w:rPr>
                      <w:rFonts w:hint="eastAsia"/>
                      <w:szCs w:val="21"/>
                      <w:lang w:val="en-US" w:eastAsia="zh-CN"/>
                    </w:rPr>
                    <w:t>0.027</w:t>
                  </w:r>
                </w:p>
              </w:tc>
              <w:tc>
                <w:tcPr>
                  <w:tcW w:w="815" w:type="dxa"/>
                  <w:noWrap w:val="0"/>
                  <w:vAlign w:val="center"/>
                </w:tcPr>
                <w:p>
                  <w:pPr>
                    <w:jc w:val="center"/>
                    <w:rPr>
                      <w:rFonts w:hint="default"/>
                      <w:szCs w:val="21"/>
                      <w:lang w:val="en-US" w:eastAsia="zh-CN"/>
                    </w:rPr>
                  </w:pPr>
                  <w:r>
                    <w:rPr>
                      <w:rFonts w:hint="eastAsia"/>
                      <w:szCs w:val="21"/>
                      <w:lang w:val="en-US" w:eastAsia="zh-CN"/>
                    </w:rPr>
                    <w:t>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16" w:type="dxa"/>
                  <w:noWrap w:val="0"/>
                  <w:vAlign w:val="center"/>
                </w:tcPr>
                <w:p>
                  <w:pPr>
                    <w:jc w:val="center"/>
                    <w:rPr>
                      <w:rFonts w:hint="default"/>
                      <w:szCs w:val="21"/>
                      <w:lang w:val="en-US"/>
                    </w:rPr>
                  </w:pPr>
                  <w:r>
                    <w:rPr>
                      <w:rFonts w:hint="eastAsia"/>
                      <w:szCs w:val="21"/>
                      <w:lang w:val="en-US" w:eastAsia="zh-CN"/>
                    </w:rPr>
                    <w:t>2019.07.20</w:t>
                  </w:r>
                </w:p>
              </w:tc>
              <w:tc>
                <w:tcPr>
                  <w:tcW w:w="1134" w:type="dxa"/>
                  <w:vMerge w:val="continue"/>
                  <w:noWrap w:val="0"/>
                  <w:vAlign w:val="center"/>
                </w:tcPr>
                <w:p>
                  <w:pPr>
                    <w:jc w:val="center"/>
                    <w:rPr>
                      <w:rFonts w:hint="eastAsia"/>
                      <w:szCs w:val="21"/>
                    </w:rPr>
                  </w:pPr>
                </w:p>
              </w:tc>
              <w:tc>
                <w:tcPr>
                  <w:tcW w:w="773" w:type="dxa"/>
                  <w:noWrap w:val="0"/>
                  <w:vAlign w:val="center"/>
                </w:tcPr>
                <w:p>
                  <w:pPr>
                    <w:jc w:val="center"/>
                    <w:rPr>
                      <w:rFonts w:hint="default" w:eastAsia="宋体"/>
                      <w:szCs w:val="21"/>
                      <w:lang w:val="en-US" w:eastAsia="zh-CN"/>
                    </w:rPr>
                  </w:pPr>
                  <w:r>
                    <w:rPr>
                      <w:rFonts w:hint="eastAsia" w:eastAsia="宋体"/>
                      <w:szCs w:val="21"/>
                      <w:lang w:val="en-US" w:eastAsia="zh-CN"/>
                    </w:rPr>
                    <w:t>0.014</w:t>
                  </w:r>
                </w:p>
              </w:tc>
              <w:tc>
                <w:tcPr>
                  <w:tcW w:w="855" w:type="dxa"/>
                  <w:noWrap w:val="0"/>
                  <w:vAlign w:val="center"/>
                </w:tcPr>
                <w:p>
                  <w:pPr>
                    <w:jc w:val="center"/>
                    <w:rPr>
                      <w:rFonts w:hint="default" w:eastAsia="宋体"/>
                      <w:szCs w:val="21"/>
                      <w:lang w:val="en-US" w:eastAsia="zh-CN"/>
                    </w:rPr>
                  </w:pPr>
                  <w:r>
                    <w:rPr>
                      <w:rFonts w:hint="eastAsia" w:eastAsia="宋体"/>
                      <w:szCs w:val="21"/>
                      <w:lang w:val="en-US" w:eastAsia="zh-CN"/>
                    </w:rPr>
                    <w:t>0.011</w:t>
                  </w:r>
                </w:p>
              </w:tc>
              <w:tc>
                <w:tcPr>
                  <w:tcW w:w="815" w:type="dxa"/>
                  <w:noWrap w:val="0"/>
                  <w:vAlign w:val="center"/>
                </w:tcPr>
                <w:p>
                  <w:pPr>
                    <w:jc w:val="center"/>
                    <w:rPr>
                      <w:rFonts w:hint="default" w:eastAsia="宋体"/>
                      <w:szCs w:val="21"/>
                      <w:lang w:val="en-US" w:eastAsia="zh-CN"/>
                    </w:rPr>
                  </w:pPr>
                  <w:r>
                    <w:rPr>
                      <w:rFonts w:hint="eastAsia" w:eastAsia="宋体"/>
                      <w:szCs w:val="21"/>
                      <w:lang w:val="en-US" w:eastAsia="zh-CN"/>
                    </w:rPr>
                    <w:t>0.014</w:t>
                  </w:r>
                </w:p>
              </w:tc>
              <w:tc>
                <w:tcPr>
                  <w:tcW w:w="815" w:type="dxa"/>
                  <w:noWrap w:val="0"/>
                  <w:vAlign w:val="center"/>
                </w:tcPr>
                <w:p>
                  <w:pPr>
                    <w:jc w:val="center"/>
                    <w:rPr>
                      <w:rFonts w:hint="default" w:eastAsia="宋体"/>
                      <w:szCs w:val="21"/>
                      <w:lang w:val="en-US" w:eastAsia="zh-CN"/>
                    </w:rPr>
                  </w:pPr>
                  <w:r>
                    <w:rPr>
                      <w:rFonts w:hint="eastAsia"/>
                      <w:szCs w:val="21"/>
                      <w:lang w:val="en-US" w:eastAsia="zh-CN"/>
                    </w:rPr>
                    <w:t>0.013</w:t>
                  </w:r>
                </w:p>
              </w:tc>
              <w:tc>
                <w:tcPr>
                  <w:tcW w:w="777" w:type="dxa"/>
                  <w:noWrap w:val="0"/>
                  <w:vAlign w:val="center"/>
                </w:tcPr>
                <w:p>
                  <w:pPr>
                    <w:jc w:val="center"/>
                    <w:rPr>
                      <w:rFonts w:hint="default" w:eastAsia="宋体"/>
                      <w:szCs w:val="21"/>
                      <w:lang w:val="en-US" w:eastAsia="zh-CN"/>
                    </w:rPr>
                  </w:pPr>
                  <w:r>
                    <w:rPr>
                      <w:rFonts w:hint="eastAsia" w:eastAsia="宋体"/>
                      <w:szCs w:val="21"/>
                      <w:lang w:val="en-US" w:eastAsia="zh-CN"/>
                    </w:rPr>
                    <w:t>0.022</w:t>
                  </w:r>
                </w:p>
              </w:tc>
              <w:tc>
                <w:tcPr>
                  <w:tcW w:w="790" w:type="dxa"/>
                  <w:noWrap w:val="0"/>
                  <w:vAlign w:val="center"/>
                </w:tcPr>
                <w:p>
                  <w:pPr>
                    <w:jc w:val="center"/>
                    <w:rPr>
                      <w:rFonts w:hint="default"/>
                      <w:szCs w:val="21"/>
                      <w:lang w:val="en-US" w:eastAsia="zh-CN"/>
                    </w:rPr>
                  </w:pPr>
                  <w:r>
                    <w:rPr>
                      <w:rFonts w:hint="eastAsia"/>
                      <w:szCs w:val="21"/>
                      <w:lang w:val="en-US" w:eastAsia="zh-CN"/>
                    </w:rPr>
                    <w:t>0.026</w:t>
                  </w:r>
                </w:p>
              </w:tc>
              <w:tc>
                <w:tcPr>
                  <w:tcW w:w="790" w:type="dxa"/>
                  <w:noWrap w:val="0"/>
                  <w:vAlign w:val="center"/>
                </w:tcPr>
                <w:p>
                  <w:pPr>
                    <w:jc w:val="center"/>
                    <w:rPr>
                      <w:rFonts w:hint="default"/>
                      <w:szCs w:val="21"/>
                      <w:lang w:val="en-US" w:eastAsia="zh-CN"/>
                    </w:rPr>
                  </w:pPr>
                  <w:r>
                    <w:rPr>
                      <w:rFonts w:hint="eastAsia"/>
                      <w:szCs w:val="21"/>
                      <w:lang w:val="en-US" w:eastAsia="zh-CN"/>
                    </w:rPr>
                    <w:t>0.038</w:t>
                  </w:r>
                </w:p>
              </w:tc>
              <w:tc>
                <w:tcPr>
                  <w:tcW w:w="815" w:type="dxa"/>
                  <w:noWrap w:val="0"/>
                  <w:vAlign w:val="center"/>
                </w:tcPr>
                <w:p>
                  <w:pPr>
                    <w:jc w:val="center"/>
                    <w:rPr>
                      <w:rFonts w:hint="default"/>
                      <w:szCs w:val="21"/>
                      <w:lang w:val="en-US" w:eastAsia="zh-CN"/>
                    </w:rPr>
                  </w:pPr>
                  <w:r>
                    <w:rPr>
                      <w:rFonts w:hint="eastAsia"/>
                      <w:szCs w:val="21"/>
                      <w:lang w:val="en-US" w:eastAsia="zh-CN"/>
                    </w:rPr>
                    <w:t>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16" w:type="dxa"/>
                  <w:noWrap w:val="0"/>
                  <w:vAlign w:val="center"/>
                </w:tcPr>
                <w:p>
                  <w:pPr>
                    <w:jc w:val="center"/>
                    <w:rPr>
                      <w:rFonts w:hint="default"/>
                      <w:szCs w:val="21"/>
                      <w:lang w:val="en-US"/>
                    </w:rPr>
                  </w:pPr>
                  <w:r>
                    <w:rPr>
                      <w:rFonts w:hint="eastAsia"/>
                      <w:szCs w:val="21"/>
                      <w:lang w:val="en-US" w:eastAsia="zh-CN"/>
                    </w:rPr>
                    <w:t>2019.07.21</w:t>
                  </w:r>
                </w:p>
              </w:tc>
              <w:tc>
                <w:tcPr>
                  <w:tcW w:w="1134" w:type="dxa"/>
                  <w:vMerge w:val="continue"/>
                  <w:noWrap w:val="0"/>
                  <w:vAlign w:val="center"/>
                </w:tcPr>
                <w:p>
                  <w:pPr>
                    <w:jc w:val="center"/>
                    <w:rPr>
                      <w:rFonts w:hint="eastAsia"/>
                      <w:szCs w:val="21"/>
                    </w:rPr>
                  </w:pPr>
                </w:p>
              </w:tc>
              <w:tc>
                <w:tcPr>
                  <w:tcW w:w="773" w:type="dxa"/>
                  <w:noWrap w:val="0"/>
                  <w:vAlign w:val="center"/>
                </w:tcPr>
                <w:p>
                  <w:pPr>
                    <w:jc w:val="center"/>
                    <w:rPr>
                      <w:rFonts w:hint="default" w:eastAsia="宋体"/>
                      <w:szCs w:val="21"/>
                      <w:lang w:val="en-US" w:eastAsia="zh-CN"/>
                    </w:rPr>
                  </w:pPr>
                  <w:r>
                    <w:rPr>
                      <w:rFonts w:hint="eastAsia" w:eastAsia="宋体"/>
                      <w:szCs w:val="21"/>
                      <w:lang w:val="en-US" w:eastAsia="zh-CN"/>
                    </w:rPr>
                    <w:t>0.013</w:t>
                  </w:r>
                </w:p>
              </w:tc>
              <w:tc>
                <w:tcPr>
                  <w:tcW w:w="855" w:type="dxa"/>
                  <w:noWrap w:val="0"/>
                  <w:vAlign w:val="center"/>
                </w:tcPr>
                <w:p>
                  <w:pPr>
                    <w:jc w:val="center"/>
                    <w:rPr>
                      <w:rFonts w:hint="default" w:eastAsia="宋体"/>
                      <w:szCs w:val="21"/>
                      <w:lang w:val="en-US" w:eastAsia="zh-CN"/>
                    </w:rPr>
                  </w:pPr>
                  <w:r>
                    <w:rPr>
                      <w:rFonts w:hint="eastAsia" w:eastAsia="宋体"/>
                      <w:szCs w:val="21"/>
                      <w:lang w:val="en-US" w:eastAsia="zh-CN"/>
                    </w:rPr>
                    <w:t>0.011</w:t>
                  </w:r>
                </w:p>
              </w:tc>
              <w:tc>
                <w:tcPr>
                  <w:tcW w:w="815" w:type="dxa"/>
                  <w:noWrap w:val="0"/>
                  <w:vAlign w:val="center"/>
                </w:tcPr>
                <w:p>
                  <w:pPr>
                    <w:jc w:val="center"/>
                    <w:rPr>
                      <w:rFonts w:hint="default" w:eastAsia="宋体"/>
                      <w:szCs w:val="21"/>
                      <w:lang w:val="en-US" w:eastAsia="zh-CN"/>
                    </w:rPr>
                  </w:pPr>
                  <w:r>
                    <w:rPr>
                      <w:rFonts w:hint="eastAsia" w:eastAsia="宋体"/>
                      <w:szCs w:val="21"/>
                      <w:lang w:val="en-US" w:eastAsia="zh-CN"/>
                    </w:rPr>
                    <w:t>0.012</w:t>
                  </w:r>
                </w:p>
              </w:tc>
              <w:tc>
                <w:tcPr>
                  <w:tcW w:w="815" w:type="dxa"/>
                  <w:noWrap w:val="0"/>
                  <w:vAlign w:val="center"/>
                </w:tcPr>
                <w:p>
                  <w:pPr>
                    <w:jc w:val="center"/>
                    <w:rPr>
                      <w:rFonts w:hint="default" w:eastAsia="宋体"/>
                      <w:szCs w:val="21"/>
                      <w:lang w:val="en-US" w:eastAsia="zh-CN"/>
                    </w:rPr>
                  </w:pPr>
                  <w:r>
                    <w:rPr>
                      <w:rFonts w:hint="eastAsia"/>
                      <w:szCs w:val="21"/>
                      <w:lang w:val="en-US" w:eastAsia="zh-CN"/>
                    </w:rPr>
                    <w:t>0.010</w:t>
                  </w:r>
                </w:p>
              </w:tc>
              <w:tc>
                <w:tcPr>
                  <w:tcW w:w="777" w:type="dxa"/>
                  <w:noWrap w:val="0"/>
                  <w:vAlign w:val="center"/>
                </w:tcPr>
                <w:p>
                  <w:pPr>
                    <w:jc w:val="center"/>
                    <w:rPr>
                      <w:rFonts w:hint="default" w:eastAsia="宋体"/>
                      <w:szCs w:val="21"/>
                      <w:lang w:val="en-US" w:eastAsia="zh-CN"/>
                    </w:rPr>
                  </w:pPr>
                  <w:r>
                    <w:rPr>
                      <w:rFonts w:hint="eastAsia" w:eastAsia="宋体"/>
                      <w:szCs w:val="21"/>
                      <w:lang w:val="en-US" w:eastAsia="zh-CN"/>
                    </w:rPr>
                    <w:t>0.022</w:t>
                  </w:r>
                </w:p>
              </w:tc>
              <w:tc>
                <w:tcPr>
                  <w:tcW w:w="790" w:type="dxa"/>
                  <w:noWrap w:val="0"/>
                  <w:vAlign w:val="center"/>
                </w:tcPr>
                <w:p>
                  <w:pPr>
                    <w:jc w:val="center"/>
                    <w:rPr>
                      <w:rFonts w:hint="default"/>
                      <w:szCs w:val="21"/>
                      <w:lang w:val="en-US" w:eastAsia="zh-CN"/>
                    </w:rPr>
                  </w:pPr>
                  <w:r>
                    <w:rPr>
                      <w:rFonts w:hint="eastAsia"/>
                      <w:szCs w:val="21"/>
                      <w:lang w:val="en-US" w:eastAsia="zh-CN"/>
                    </w:rPr>
                    <w:t>0.026</w:t>
                  </w:r>
                </w:p>
              </w:tc>
              <w:tc>
                <w:tcPr>
                  <w:tcW w:w="790" w:type="dxa"/>
                  <w:noWrap w:val="0"/>
                  <w:vAlign w:val="center"/>
                </w:tcPr>
                <w:p>
                  <w:pPr>
                    <w:jc w:val="center"/>
                    <w:rPr>
                      <w:rFonts w:hint="default"/>
                      <w:szCs w:val="21"/>
                      <w:lang w:val="en-US" w:eastAsia="zh-CN"/>
                    </w:rPr>
                  </w:pPr>
                  <w:r>
                    <w:rPr>
                      <w:rFonts w:hint="eastAsia"/>
                      <w:szCs w:val="21"/>
                      <w:lang w:val="en-US" w:eastAsia="zh-CN"/>
                    </w:rPr>
                    <w:t>0.032</w:t>
                  </w:r>
                </w:p>
              </w:tc>
              <w:tc>
                <w:tcPr>
                  <w:tcW w:w="815" w:type="dxa"/>
                  <w:noWrap w:val="0"/>
                  <w:vAlign w:val="center"/>
                </w:tcPr>
                <w:p>
                  <w:pPr>
                    <w:jc w:val="center"/>
                    <w:rPr>
                      <w:rFonts w:hint="default"/>
                      <w:szCs w:val="21"/>
                      <w:lang w:val="en-US" w:eastAsia="zh-CN"/>
                    </w:rPr>
                  </w:pPr>
                  <w:r>
                    <w:rPr>
                      <w:rFonts w:hint="eastAsia"/>
                      <w:szCs w:val="21"/>
                      <w:lang w:val="en-US" w:eastAsia="zh-CN"/>
                    </w:rPr>
                    <w:t>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16" w:type="dxa"/>
                  <w:noWrap w:val="0"/>
                  <w:vAlign w:val="center"/>
                </w:tcPr>
                <w:p>
                  <w:pPr>
                    <w:jc w:val="center"/>
                    <w:rPr>
                      <w:rFonts w:hint="eastAsia"/>
                      <w:szCs w:val="21"/>
                    </w:rPr>
                  </w:pPr>
                  <w:r>
                    <w:rPr>
                      <w:rFonts w:hint="eastAsia"/>
                      <w:szCs w:val="21"/>
                      <w:lang w:val="en-US" w:eastAsia="zh-CN"/>
                    </w:rPr>
                    <w:t>2019.07.22</w:t>
                  </w:r>
                </w:p>
              </w:tc>
              <w:tc>
                <w:tcPr>
                  <w:tcW w:w="1134" w:type="dxa"/>
                  <w:vMerge w:val="continue"/>
                  <w:noWrap w:val="0"/>
                  <w:vAlign w:val="center"/>
                </w:tcPr>
                <w:p>
                  <w:pPr>
                    <w:jc w:val="center"/>
                    <w:rPr>
                      <w:rFonts w:hint="eastAsia"/>
                      <w:szCs w:val="21"/>
                    </w:rPr>
                  </w:pPr>
                </w:p>
              </w:tc>
              <w:tc>
                <w:tcPr>
                  <w:tcW w:w="773" w:type="dxa"/>
                  <w:noWrap w:val="0"/>
                  <w:vAlign w:val="center"/>
                </w:tcPr>
                <w:p>
                  <w:pPr>
                    <w:jc w:val="center"/>
                    <w:rPr>
                      <w:rFonts w:hint="default" w:eastAsia="宋体"/>
                      <w:szCs w:val="21"/>
                      <w:lang w:val="en-US" w:eastAsia="zh-CN"/>
                    </w:rPr>
                  </w:pPr>
                  <w:r>
                    <w:rPr>
                      <w:rFonts w:hint="eastAsia" w:eastAsia="宋体"/>
                      <w:szCs w:val="21"/>
                      <w:lang w:val="en-US" w:eastAsia="zh-CN"/>
                    </w:rPr>
                    <w:t>0.010</w:t>
                  </w:r>
                </w:p>
              </w:tc>
              <w:tc>
                <w:tcPr>
                  <w:tcW w:w="855" w:type="dxa"/>
                  <w:noWrap w:val="0"/>
                  <w:vAlign w:val="center"/>
                </w:tcPr>
                <w:p>
                  <w:pPr>
                    <w:jc w:val="center"/>
                    <w:rPr>
                      <w:rFonts w:hint="default" w:eastAsia="宋体"/>
                      <w:szCs w:val="21"/>
                      <w:lang w:val="en-US" w:eastAsia="zh-CN"/>
                    </w:rPr>
                  </w:pPr>
                  <w:r>
                    <w:rPr>
                      <w:rFonts w:hint="eastAsia" w:eastAsia="宋体"/>
                      <w:szCs w:val="21"/>
                      <w:lang w:val="en-US" w:eastAsia="zh-CN"/>
                    </w:rPr>
                    <w:t>0.008</w:t>
                  </w:r>
                </w:p>
              </w:tc>
              <w:tc>
                <w:tcPr>
                  <w:tcW w:w="815" w:type="dxa"/>
                  <w:noWrap w:val="0"/>
                  <w:vAlign w:val="center"/>
                </w:tcPr>
                <w:p>
                  <w:pPr>
                    <w:jc w:val="center"/>
                    <w:rPr>
                      <w:rFonts w:hint="default" w:eastAsia="宋体"/>
                      <w:szCs w:val="21"/>
                      <w:lang w:val="en-US" w:eastAsia="zh-CN"/>
                    </w:rPr>
                  </w:pPr>
                  <w:r>
                    <w:rPr>
                      <w:rFonts w:hint="eastAsia" w:eastAsia="宋体"/>
                      <w:szCs w:val="21"/>
                      <w:lang w:val="en-US" w:eastAsia="zh-CN"/>
                    </w:rPr>
                    <w:t>0.009</w:t>
                  </w:r>
                </w:p>
              </w:tc>
              <w:tc>
                <w:tcPr>
                  <w:tcW w:w="815" w:type="dxa"/>
                  <w:noWrap w:val="0"/>
                  <w:vAlign w:val="center"/>
                </w:tcPr>
                <w:p>
                  <w:pPr>
                    <w:jc w:val="center"/>
                    <w:rPr>
                      <w:rFonts w:hint="default" w:eastAsia="宋体"/>
                      <w:szCs w:val="21"/>
                      <w:lang w:val="en-US" w:eastAsia="zh-CN"/>
                    </w:rPr>
                  </w:pPr>
                  <w:r>
                    <w:rPr>
                      <w:rFonts w:hint="eastAsia"/>
                      <w:szCs w:val="21"/>
                      <w:lang w:val="en-US" w:eastAsia="zh-CN"/>
                    </w:rPr>
                    <w:t>0.007</w:t>
                  </w:r>
                </w:p>
              </w:tc>
              <w:tc>
                <w:tcPr>
                  <w:tcW w:w="777" w:type="dxa"/>
                  <w:noWrap w:val="0"/>
                  <w:vAlign w:val="center"/>
                </w:tcPr>
                <w:p>
                  <w:pPr>
                    <w:jc w:val="center"/>
                    <w:rPr>
                      <w:rFonts w:hint="default" w:eastAsia="宋体"/>
                      <w:szCs w:val="21"/>
                      <w:lang w:val="en-US" w:eastAsia="zh-CN"/>
                    </w:rPr>
                  </w:pPr>
                  <w:r>
                    <w:rPr>
                      <w:rFonts w:hint="eastAsia" w:eastAsia="宋体"/>
                      <w:szCs w:val="21"/>
                      <w:lang w:val="en-US" w:eastAsia="zh-CN"/>
                    </w:rPr>
                    <w:t>0.023</w:t>
                  </w:r>
                </w:p>
              </w:tc>
              <w:tc>
                <w:tcPr>
                  <w:tcW w:w="790" w:type="dxa"/>
                  <w:noWrap w:val="0"/>
                  <w:vAlign w:val="center"/>
                </w:tcPr>
                <w:p>
                  <w:pPr>
                    <w:jc w:val="center"/>
                    <w:rPr>
                      <w:rFonts w:hint="default"/>
                      <w:szCs w:val="21"/>
                      <w:lang w:val="en-US" w:eastAsia="zh-CN"/>
                    </w:rPr>
                  </w:pPr>
                  <w:r>
                    <w:rPr>
                      <w:rFonts w:hint="eastAsia"/>
                      <w:szCs w:val="21"/>
                      <w:lang w:val="en-US" w:eastAsia="zh-CN"/>
                    </w:rPr>
                    <w:t>0.032</w:t>
                  </w:r>
                </w:p>
              </w:tc>
              <w:tc>
                <w:tcPr>
                  <w:tcW w:w="790" w:type="dxa"/>
                  <w:noWrap w:val="0"/>
                  <w:vAlign w:val="center"/>
                </w:tcPr>
                <w:p>
                  <w:pPr>
                    <w:jc w:val="center"/>
                    <w:rPr>
                      <w:rFonts w:hint="default"/>
                      <w:szCs w:val="21"/>
                      <w:lang w:val="en-US" w:eastAsia="zh-CN"/>
                    </w:rPr>
                  </w:pPr>
                  <w:r>
                    <w:rPr>
                      <w:rFonts w:hint="eastAsia"/>
                      <w:szCs w:val="21"/>
                      <w:lang w:val="en-US" w:eastAsia="zh-CN"/>
                    </w:rPr>
                    <w:t>0.036</w:t>
                  </w:r>
                </w:p>
              </w:tc>
              <w:tc>
                <w:tcPr>
                  <w:tcW w:w="815" w:type="dxa"/>
                  <w:noWrap w:val="0"/>
                  <w:vAlign w:val="center"/>
                </w:tcPr>
                <w:p>
                  <w:pPr>
                    <w:jc w:val="center"/>
                    <w:rPr>
                      <w:rFonts w:hint="default"/>
                      <w:szCs w:val="21"/>
                      <w:lang w:val="en-US" w:eastAsia="zh-CN"/>
                    </w:rPr>
                  </w:pPr>
                  <w:r>
                    <w:rPr>
                      <w:rFonts w:hint="eastAsia"/>
                      <w:szCs w:val="21"/>
                      <w:lang w:val="en-US" w:eastAsia="zh-CN"/>
                    </w:rPr>
                    <w:t>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216" w:type="dxa"/>
                  <w:noWrap w:val="0"/>
                  <w:vAlign w:val="center"/>
                </w:tcPr>
                <w:p>
                  <w:pPr>
                    <w:jc w:val="center"/>
                    <w:rPr>
                      <w:rFonts w:hint="eastAsia"/>
                      <w:szCs w:val="21"/>
                    </w:rPr>
                  </w:pPr>
                  <w:r>
                    <w:rPr>
                      <w:rFonts w:hint="eastAsia"/>
                      <w:szCs w:val="21"/>
                      <w:lang w:val="en-US" w:eastAsia="zh-CN"/>
                    </w:rPr>
                    <w:t>2019.07.23</w:t>
                  </w:r>
                </w:p>
              </w:tc>
              <w:tc>
                <w:tcPr>
                  <w:tcW w:w="1134" w:type="dxa"/>
                  <w:vMerge w:val="continue"/>
                  <w:noWrap w:val="0"/>
                  <w:vAlign w:val="center"/>
                </w:tcPr>
                <w:p>
                  <w:pPr>
                    <w:jc w:val="center"/>
                    <w:rPr>
                      <w:rFonts w:hint="eastAsia"/>
                      <w:szCs w:val="21"/>
                    </w:rPr>
                  </w:pPr>
                </w:p>
              </w:tc>
              <w:tc>
                <w:tcPr>
                  <w:tcW w:w="773" w:type="dxa"/>
                  <w:noWrap w:val="0"/>
                  <w:vAlign w:val="center"/>
                </w:tcPr>
                <w:p>
                  <w:pPr>
                    <w:jc w:val="center"/>
                    <w:rPr>
                      <w:rFonts w:hint="default" w:eastAsia="宋体"/>
                      <w:szCs w:val="21"/>
                      <w:lang w:val="en-US" w:eastAsia="zh-CN"/>
                    </w:rPr>
                  </w:pPr>
                  <w:r>
                    <w:rPr>
                      <w:rFonts w:hint="eastAsia" w:eastAsia="宋体"/>
                      <w:szCs w:val="21"/>
                      <w:lang w:val="en-US" w:eastAsia="zh-CN"/>
                    </w:rPr>
                    <w:t>0.009</w:t>
                  </w:r>
                </w:p>
              </w:tc>
              <w:tc>
                <w:tcPr>
                  <w:tcW w:w="855" w:type="dxa"/>
                  <w:noWrap w:val="0"/>
                  <w:vAlign w:val="center"/>
                </w:tcPr>
                <w:p>
                  <w:pPr>
                    <w:jc w:val="center"/>
                    <w:rPr>
                      <w:rFonts w:hint="default" w:eastAsia="宋体"/>
                      <w:szCs w:val="21"/>
                      <w:lang w:val="en-US" w:eastAsia="zh-CN"/>
                    </w:rPr>
                  </w:pPr>
                  <w:r>
                    <w:rPr>
                      <w:rFonts w:hint="eastAsia" w:eastAsia="宋体"/>
                      <w:szCs w:val="21"/>
                      <w:lang w:val="en-US" w:eastAsia="zh-CN"/>
                    </w:rPr>
                    <w:t>0.008</w:t>
                  </w:r>
                </w:p>
              </w:tc>
              <w:tc>
                <w:tcPr>
                  <w:tcW w:w="815" w:type="dxa"/>
                  <w:noWrap w:val="0"/>
                  <w:vAlign w:val="center"/>
                </w:tcPr>
                <w:p>
                  <w:pPr>
                    <w:jc w:val="center"/>
                    <w:rPr>
                      <w:rFonts w:hint="default" w:eastAsia="宋体"/>
                      <w:szCs w:val="21"/>
                      <w:lang w:val="en-US" w:eastAsia="zh-CN"/>
                    </w:rPr>
                  </w:pPr>
                  <w:r>
                    <w:rPr>
                      <w:rFonts w:hint="eastAsia" w:eastAsia="宋体"/>
                      <w:szCs w:val="21"/>
                      <w:lang w:val="en-US" w:eastAsia="zh-CN"/>
                    </w:rPr>
                    <w:t>0.008</w:t>
                  </w:r>
                </w:p>
              </w:tc>
              <w:tc>
                <w:tcPr>
                  <w:tcW w:w="815" w:type="dxa"/>
                  <w:noWrap w:val="0"/>
                  <w:vAlign w:val="center"/>
                </w:tcPr>
                <w:p>
                  <w:pPr>
                    <w:jc w:val="center"/>
                    <w:rPr>
                      <w:rFonts w:hint="default" w:eastAsia="宋体"/>
                      <w:szCs w:val="21"/>
                      <w:lang w:val="en-US" w:eastAsia="zh-CN"/>
                    </w:rPr>
                  </w:pPr>
                  <w:r>
                    <w:rPr>
                      <w:rFonts w:hint="eastAsia"/>
                      <w:szCs w:val="21"/>
                      <w:lang w:val="en-US" w:eastAsia="zh-CN"/>
                    </w:rPr>
                    <w:t>0.010</w:t>
                  </w:r>
                </w:p>
              </w:tc>
              <w:tc>
                <w:tcPr>
                  <w:tcW w:w="777" w:type="dxa"/>
                  <w:noWrap w:val="0"/>
                  <w:vAlign w:val="center"/>
                </w:tcPr>
                <w:p>
                  <w:pPr>
                    <w:jc w:val="center"/>
                    <w:rPr>
                      <w:rFonts w:hint="default" w:eastAsia="宋体"/>
                      <w:szCs w:val="21"/>
                      <w:lang w:val="en-US" w:eastAsia="zh-CN"/>
                    </w:rPr>
                  </w:pPr>
                  <w:r>
                    <w:rPr>
                      <w:rFonts w:hint="eastAsia" w:eastAsia="宋体"/>
                      <w:szCs w:val="21"/>
                      <w:lang w:val="en-US" w:eastAsia="zh-CN"/>
                    </w:rPr>
                    <w:t>0.033</w:t>
                  </w:r>
                </w:p>
              </w:tc>
              <w:tc>
                <w:tcPr>
                  <w:tcW w:w="790" w:type="dxa"/>
                  <w:noWrap w:val="0"/>
                  <w:vAlign w:val="center"/>
                </w:tcPr>
                <w:p>
                  <w:pPr>
                    <w:jc w:val="center"/>
                    <w:rPr>
                      <w:rFonts w:hint="default"/>
                      <w:szCs w:val="21"/>
                      <w:lang w:val="en-US" w:eastAsia="zh-CN"/>
                    </w:rPr>
                  </w:pPr>
                  <w:r>
                    <w:rPr>
                      <w:rFonts w:hint="eastAsia"/>
                      <w:szCs w:val="21"/>
                      <w:lang w:val="en-US" w:eastAsia="zh-CN"/>
                    </w:rPr>
                    <w:t>0.021</w:t>
                  </w:r>
                </w:p>
              </w:tc>
              <w:tc>
                <w:tcPr>
                  <w:tcW w:w="790" w:type="dxa"/>
                  <w:noWrap w:val="0"/>
                  <w:vAlign w:val="center"/>
                </w:tcPr>
                <w:p>
                  <w:pPr>
                    <w:jc w:val="center"/>
                    <w:rPr>
                      <w:rFonts w:hint="default"/>
                      <w:szCs w:val="21"/>
                      <w:lang w:val="en-US" w:eastAsia="zh-CN"/>
                    </w:rPr>
                  </w:pPr>
                  <w:r>
                    <w:rPr>
                      <w:rFonts w:hint="eastAsia"/>
                      <w:szCs w:val="21"/>
                      <w:lang w:val="en-US" w:eastAsia="zh-CN"/>
                    </w:rPr>
                    <w:t>0.021</w:t>
                  </w:r>
                </w:p>
              </w:tc>
              <w:tc>
                <w:tcPr>
                  <w:tcW w:w="815" w:type="dxa"/>
                  <w:noWrap w:val="0"/>
                  <w:vAlign w:val="center"/>
                </w:tcPr>
                <w:p>
                  <w:pPr>
                    <w:jc w:val="center"/>
                    <w:rPr>
                      <w:rFonts w:hint="default"/>
                      <w:szCs w:val="21"/>
                      <w:lang w:val="en-US" w:eastAsia="zh-CN"/>
                    </w:rPr>
                  </w:pPr>
                  <w:r>
                    <w:rPr>
                      <w:rFonts w:hint="eastAsia"/>
                      <w:szCs w:val="21"/>
                      <w:lang w:val="en-US" w:eastAsia="zh-CN"/>
                    </w:rPr>
                    <w:t>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16" w:type="dxa"/>
                  <w:noWrap w:val="0"/>
                  <w:vAlign w:val="center"/>
                </w:tcPr>
                <w:p>
                  <w:pPr>
                    <w:jc w:val="center"/>
                    <w:rPr>
                      <w:rFonts w:hint="eastAsia"/>
                      <w:szCs w:val="21"/>
                    </w:rPr>
                  </w:pPr>
                  <w:r>
                    <w:rPr>
                      <w:rFonts w:hint="eastAsia"/>
                      <w:szCs w:val="21"/>
                      <w:lang w:val="en-US" w:eastAsia="zh-CN"/>
                    </w:rPr>
                    <w:t>2019.07.24</w:t>
                  </w:r>
                </w:p>
              </w:tc>
              <w:tc>
                <w:tcPr>
                  <w:tcW w:w="1134" w:type="dxa"/>
                  <w:vMerge w:val="continue"/>
                  <w:noWrap w:val="0"/>
                  <w:vAlign w:val="center"/>
                </w:tcPr>
                <w:p>
                  <w:pPr>
                    <w:jc w:val="center"/>
                    <w:rPr>
                      <w:rFonts w:hint="eastAsia"/>
                      <w:szCs w:val="21"/>
                    </w:rPr>
                  </w:pPr>
                </w:p>
              </w:tc>
              <w:tc>
                <w:tcPr>
                  <w:tcW w:w="773" w:type="dxa"/>
                  <w:noWrap w:val="0"/>
                  <w:vAlign w:val="center"/>
                </w:tcPr>
                <w:p>
                  <w:pPr>
                    <w:jc w:val="center"/>
                    <w:rPr>
                      <w:rFonts w:hint="default" w:eastAsia="宋体"/>
                      <w:szCs w:val="21"/>
                      <w:lang w:val="en-US" w:eastAsia="zh-CN"/>
                    </w:rPr>
                  </w:pPr>
                  <w:r>
                    <w:rPr>
                      <w:rFonts w:hint="eastAsia" w:eastAsia="宋体"/>
                      <w:szCs w:val="21"/>
                      <w:lang w:val="en-US" w:eastAsia="zh-CN"/>
                    </w:rPr>
                    <w:t>0.014</w:t>
                  </w:r>
                </w:p>
              </w:tc>
              <w:tc>
                <w:tcPr>
                  <w:tcW w:w="855" w:type="dxa"/>
                  <w:noWrap w:val="0"/>
                  <w:vAlign w:val="center"/>
                </w:tcPr>
                <w:p>
                  <w:pPr>
                    <w:jc w:val="center"/>
                    <w:rPr>
                      <w:rFonts w:hint="default" w:eastAsia="宋体"/>
                      <w:szCs w:val="21"/>
                      <w:lang w:val="en-US" w:eastAsia="zh-CN"/>
                    </w:rPr>
                  </w:pPr>
                  <w:r>
                    <w:rPr>
                      <w:rFonts w:hint="eastAsia" w:eastAsia="宋体"/>
                      <w:szCs w:val="21"/>
                      <w:lang w:val="en-US" w:eastAsia="zh-CN"/>
                    </w:rPr>
                    <w:t>0.010</w:t>
                  </w:r>
                </w:p>
              </w:tc>
              <w:tc>
                <w:tcPr>
                  <w:tcW w:w="815" w:type="dxa"/>
                  <w:noWrap w:val="0"/>
                  <w:vAlign w:val="center"/>
                </w:tcPr>
                <w:p>
                  <w:pPr>
                    <w:jc w:val="center"/>
                    <w:rPr>
                      <w:rFonts w:hint="default" w:eastAsia="宋体"/>
                      <w:szCs w:val="21"/>
                      <w:lang w:val="en-US" w:eastAsia="zh-CN"/>
                    </w:rPr>
                  </w:pPr>
                  <w:r>
                    <w:rPr>
                      <w:rFonts w:hint="eastAsia" w:eastAsia="宋体"/>
                      <w:szCs w:val="21"/>
                      <w:lang w:val="en-US" w:eastAsia="zh-CN"/>
                    </w:rPr>
                    <w:t>0.011</w:t>
                  </w:r>
                </w:p>
              </w:tc>
              <w:tc>
                <w:tcPr>
                  <w:tcW w:w="815" w:type="dxa"/>
                  <w:noWrap w:val="0"/>
                  <w:vAlign w:val="center"/>
                </w:tcPr>
                <w:p>
                  <w:pPr>
                    <w:jc w:val="center"/>
                    <w:rPr>
                      <w:rFonts w:hint="default" w:eastAsia="宋体"/>
                      <w:szCs w:val="21"/>
                      <w:lang w:val="en-US" w:eastAsia="zh-CN"/>
                    </w:rPr>
                  </w:pPr>
                  <w:r>
                    <w:rPr>
                      <w:rFonts w:hint="eastAsia"/>
                      <w:szCs w:val="21"/>
                      <w:lang w:val="en-US" w:eastAsia="zh-CN"/>
                    </w:rPr>
                    <w:t>0.010</w:t>
                  </w:r>
                </w:p>
              </w:tc>
              <w:tc>
                <w:tcPr>
                  <w:tcW w:w="777" w:type="dxa"/>
                  <w:noWrap w:val="0"/>
                  <w:vAlign w:val="center"/>
                </w:tcPr>
                <w:p>
                  <w:pPr>
                    <w:jc w:val="center"/>
                    <w:rPr>
                      <w:rFonts w:hint="default" w:eastAsia="宋体"/>
                      <w:szCs w:val="21"/>
                      <w:lang w:val="en-US" w:eastAsia="zh-CN"/>
                    </w:rPr>
                  </w:pPr>
                  <w:r>
                    <w:rPr>
                      <w:rFonts w:hint="eastAsia" w:eastAsia="宋体"/>
                      <w:szCs w:val="21"/>
                      <w:lang w:val="en-US" w:eastAsia="zh-CN"/>
                    </w:rPr>
                    <w:t>0.026</w:t>
                  </w:r>
                </w:p>
              </w:tc>
              <w:tc>
                <w:tcPr>
                  <w:tcW w:w="790" w:type="dxa"/>
                  <w:noWrap w:val="0"/>
                  <w:vAlign w:val="center"/>
                </w:tcPr>
                <w:p>
                  <w:pPr>
                    <w:jc w:val="center"/>
                    <w:rPr>
                      <w:rFonts w:hint="default"/>
                      <w:szCs w:val="21"/>
                      <w:lang w:val="en-US" w:eastAsia="zh-CN"/>
                    </w:rPr>
                  </w:pPr>
                  <w:r>
                    <w:rPr>
                      <w:rFonts w:hint="eastAsia"/>
                      <w:szCs w:val="21"/>
                      <w:lang w:val="en-US" w:eastAsia="zh-CN"/>
                    </w:rPr>
                    <w:t>0.021</w:t>
                  </w:r>
                </w:p>
              </w:tc>
              <w:tc>
                <w:tcPr>
                  <w:tcW w:w="790" w:type="dxa"/>
                  <w:noWrap w:val="0"/>
                  <w:vAlign w:val="center"/>
                </w:tcPr>
                <w:p>
                  <w:pPr>
                    <w:jc w:val="center"/>
                    <w:rPr>
                      <w:rFonts w:hint="default"/>
                      <w:szCs w:val="21"/>
                      <w:lang w:val="en-US" w:eastAsia="zh-CN"/>
                    </w:rPr>
                  </w:pPr>
                  <w:r>
                    <w:rPr>
                      <w:rFonts w:hint="eastAsia"/>
                      <w:szCs w:val="21"/>
                      <w:lang w:val="en-US" w:eastAsia="zh-CN"/>
                    </w:rPr>
                    <w:t>0.027</w:t>
                  </w:r>
                </w:p>
              </w:tc>
              <w:tc>
                <w:tcPr>
                  <w:tcW w:w="815" w:type="dxa"/>
                  <w:noWrap w:val="0"/>
                  <w:vAlign w:val="center"/>
                </w:tcPr>
                <w:p>
                  <w:pPr>
                    <w:jc w:val="center"/>
                    <w:rPr>
                      <w:rFonts w:hint="default"/>
                      <w:szCs w:val="21"/>
                      <w:lang w:val="en-US" w:eastAsia="zh-CN"/>
                    </w:rPr>
                  </w:pPr>
                  <w:r>
                    <w:rPr>
                      <w:rFonts w:hint="eastAsia"/>
                      <w:szCs w:val="21"/>
                      <w:lang w:val="en-US" w:eastAsia="zh-CN"/>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216" w:type="dxa"/>
                  <w:noWrap w:val="0"/>
                  <w:vAlign w:val="center"/>
                </w:tcPr>
                <w:p>
                  <w:pPr>
                    <w:jc w:val="center"/>
                    <w:rPr>
                      <w:rFonts w:hint="eastAsia"/>
                      <w:szCs w:val="21"/>
                    </w:rPr>
                  </w:pPr>
                  <w:r>
                    <w:rPr>
                      <w:rFonts w:hint="eastAsia"/>
                      <w:szCs w:val="21"/>
                      <w:lang w:val="en-US" w:eastAsia="zh-CN"/>
                    </w:rPr>
                    <w:t>2019.07.25</w:t>
                  </w:r>
                </w:p>
              </w:tc>
              <w:tc>
                <w:tcPr>
                  <w:tcW w:w="1134" w:type="dxa"/>
                  <w:vMerge w:val="continue"/>
                  <w:noWrap w:val="0"/>
                  <w:vAlign w:val="center"/>
                </w:tcPr>
                <w:p>
                  <w:pPr>
                    <w:jc w:val="center"/>
                    <w:rPr>
                      <w:rFonts w:hint="eastAsia"/>
                      <w:szCs w:val="21"/>
                    </w:rPr>
                  </w:pPr>
                </w:p>
              </w:tc>
              <w:tc>
                <w:tcPr>
                  <w:tcW w:w="773" w:type="dxa"/>
                  <w:noWrap w:val="0"/>
                  <w:vAlign w:val="center"/>
                </w:tcPr>
                <w:p>
                  <w:pPr>
                    <w:jc w:val="center"/>
                    <w:rPr>
                      <w:rFonts w:hint="default" w:eastAsia="宋体"/>
                      <w:szCs w:val="21"/>
                      <w:lang w:val="en-US" w:eastAsia="zh-CN"/>
                    </w:rPr>
                  </w:pPr>
                  <w:r>
                    <w:rPr>
                      <w:rFonts w:hint="eastAsia" w:eastAsia="宋体"/>
                      <w:szCs w:val="21"/>
                      <w:lang w:val="en-US" w:eastAsia="zh-CN"/>
                    </w:rPr>
                    <w:t>0.010</w:t>
                  </w:r>
                </w:p>
              </w:tc>
              <w:tc>
                <w:tcPr>
                  <w:tcW w:w="855" w:type="dxa"/>
                  <w:noWrap w:val="0"/>
                  <w:vAlign w:val="center"/>
                </w:tcPr>
                <w:p>
                  <w:pPr>
                    <w:jc w:val="center"/>
                    <w:rPr>
                      <w:rFonts w:hint="default" w:eastAsia="宋体"/>
                      <w:szCs w:val="21"/>
                      <w:lang w:val="en-US" w:eastAsia="zh-CN"/>
                    </w:rPr>
                  </w:pPr>
                  <w:r>
                    <w:rPr>
                      <w:rFonts w:hint="eastAsia" w:eastAsia="宋体"/>
                      <w:szCs w:val="21"/>
                      <w:lang w:val="en-US" w:eastAsia="zh-CN"/>
                    </w:rPr>
                    <w:t>0.011</w:t>
                  </w:r>
                </w:p>
              </w:tc>
              <w:tc>
                <w:tcPr>
                  <w:tcW w:w="815" w:type="dxa"/>
                  <w:noWrap w:val="0"/>
                  <w:vAlign w:val="center"/>
                </w:tcPr>
                <w:p>
                  <w:pPr>
                    <w:jc w:val="center"/>
                    <w:rPr>
                      <w:rFonts w:hint="default" w:eastAsia="宋体"/>
                      <w:szCs w:val="21"/>
                      <w:lang w:val="en-US" w:eastAsia="zh-CN"/>
                    </w:rPr>
                  </w:pPr>
                  <w:r>
                    <w:rPr>
                      <w:rFonts w:hint="eastAsia" w:eastAsia="宋体"/>
                      <w:szCs w:val="21"/>
                      <w:lang w:val="en-US" w:eastAsia="zh-CN"/>
                    </w:rPr>
                    <w:t>0.009</w:t>
                  </w:r>
                </w:p>
              </w:tc>
              <w:tc>
                <w:tcPr>
                  <w:tcW w:w="815" w:type="dxa"/>
                  <w:noWrap w:val="0"/>
                  <w:vAlign w:val="center"/>
                </w:tcPr>
                <w:p>
                  <w:pPr>
                    <w:jc w:val="center"/>
                    <w:rPr>
                      <w:rFonts w:hint="default" w:eastAsia="宋体"/>
                      <w:szCs w:val="21"/>
                      <w:lang w:val="en-US" w:eastAsia="zh-CN"/>
                    </w:rPr>
                  </w:pPr>
                  <w:r>
                    <w:rPr>
                      <w:rFonts w:hint="eastAsia"/>
                      <w:szCs w:val="21"/>
                      <w:lang w:val="en-US" w:eastAsia="zh-CN"/>
                    </w:rPr>
                    <w:t>0.013</w:t>
                  </w:r>
                </w:p>
              </w:tc>
              <w:tc>
                <w:tcPr>
                  <w:tcW w:w="777" w:type="dxa"/>
                  <w:noWrap w:val="0"/>
                  <w:vAlign w:val="center"/>
                </w:tcPr>
                <w:p>
                  <w:pPr>
                    <w:jc w:val="center"/>
                    <w:rPr>
                      <w:rFonts w:hint="default" w:eastAsia="宋体"/>
                      <w:szCs w:val="21"/>
                      <w:lang w:val="en-US" w:eastAsia="zh-CN"/>
                    </w:rPr>
                  </w:pPr>
                  <w:r>
                    <w:rPr>
                      <w:rFonts w:hint="eastAsia" w:eastAsia="宋体"/>
                      <w:szCs w:val="21"/>
                      <w:lang w:val="en-US" w:eastAsia="zh-CN"/>
                    </w:rPr>
                    <w:t>0.037</w:t>
                  </w:r>
                </w:p>
              </w:tc>
              <w:tc>
                <w:tcPr>
                  <w:tcW w:w="790" w:type="dxa"/>
                  <w:noWrap w:val="0"/>
                  <w:vAlign w:val="center"/>
                </w:tcPr>
                <w:p>
                  <w:pPr>
                    <w:jc w:val="center"/>
                    <w:rPr>
                      <w:rFonts w:hint="default"/>
                      <w:szCs w:val="21"/>
                      <w:lang w:val="en-US" w:eastAsia="zh-CN"/>
                    </w:rPr>
                  </w:pPr>
                  <w:r>
                    <w:rPr>
                      <w:rFonts w:hint="eastAsia"/>
                      <w:szCs w:val="21"/>
                      <w:lang w:val="en-US" w:eastAsia="zh-CN"/>
                    </w:rPr>
                    <w:t>0.038</w:t>
                  </w:r>
                </w:p>
              </w:tc>
              <w:tc>
                <w:tcPr>
                  <w:tcW w:w="790" w:type="dxa"/>
                  <w:noWrap w:val="0"/>
                  <w:vAlign w:val="center"/>
                </w:tcPr>
                <w:p>
                  <w:pPr>
                    <w:jc w:val="center"/>
                    <w:rPr>
                      <w:rFonts w:hint="default"/>
                      <w:szCs w:val="21"/>
                      <w:lang w:val="en-US" w:eastAsia="zh-CN"/>
                    </w:rPr>
                  </w:pPr>
                  <w:r>
                    <w:rPr>
                      <w:rFonts w:hint="eastAsia"/>
                      <w:szCs w:val="21"/>
                      <w:lang w:val="en-US" w:eastAsia="zh-CN"/>
                    </w:rPr>
                    <w:t>0.021</w:t>
                  </w:r>
                </w:p>
              </w:tc>
              <w:tc>
                <w:tcPr>
                  <w:tcW w:w="815" w:type="dxa"/>
                  <w:noWrap w:val="0"/>
                  <w:vAlign w:val="center"/>
                </w:tcPr>
                <w:p>
                  <w:pPr>
                    <w:jc w:val="center"/>
                    <w:rPr>
                      <w:rFonts w:hint="default"/>
                      <w:szCs w:val="21"/>
                      <w:lang w:val="en-US" w:eastAsia="zh-CN"/>
                    </w:rPr>
                  </w:pPr>
                  <w:r>
                    <w:rPr>
                      <w:rFonts w:hint="eastAsia"/>
                      <w:szCs w:val="21"/>
                      <w:lang w:val="en-US" w:eastAsia="zh-CN"/>
                    </w:rPr>
                    <w:t>0.032</w:t>
                  </w:r>
                </w:p>
              </w:tc>
            </w:tr>
          </w:tbl>
          <w:p>
            <w:pPr>
              <w:spacing w:line="460" w:lineRule="exact"/>
              <w:ind w:firstLine="2384" w:firstLineChars="1131"/>
              <w:jc w:val="left"/>
              <w:rPr>
                <w:rFonts w:hint="default"/>
                <w:b/>
                <w:color w:val="000000"/>
                <w:lang w:val="en-US" w:eastAsia="zh-CN"/>
              </w:rPr>
            </w:pPr>
            <w:r>
              <w:rPr>
                <w:b/>
                <w:color w:val="000000"/>
              </w:rPr>
              <w:t>表3-</w:t>
            </w:r>
            <w:r>
              <w:rPr>
                <w:rFonts w:hint="eastAsia"/>
                <w:b/>
                <w:color w:val="000000"/>
                <w:lang w:val="en-US" w:eastAsia="zh-CN"/>
              </w:rPr>
              <w:t>2</w:t>
            </w:r>
            <w:r>
              <w:rPr>
                <w:b/>
                <w:color w:val="000000"/>
              </w:rPr>
              <w:t xml:space="preserve">  环境空气质量现状监测结果</w:t>
            </w:r>
            <w:r>
              <w:rPr>
                <w:rFonts w:hint="eastAsia"/>
                <w:b/>
                <w:color w:val="000000"/>
                <w:lang w:eastAsia="zh-CN"/>
              </w:rPr>
              <w:t>（续）</w:t>
            </w:r>
            <w:r>
              <w:rPr>
                <w:rFonts w:hint="eastAsia"/>
                <w:b/>
                <w:color w:val="000000"/>
                <w:lang w:val="en-US" w:eastAsia="zh-CN"/>
              </w:rPr>
              <w:t xml:space="preserve">         （单位：mg/m</w:t>
            </w:r>
            <w:r>
              <w:rPr>
                <w:rFonts w:hint="eastAsia"/>
                <w:b/>
                <w:color w:val="000000"/>
                <w:vertAlign w:val="superscript"/>
                <w:lang w:val="en-US" w:eastAsia="zh-CN"/>
              </w:rPr>
              <w:t>3</w:t>
            </w:r>
            <w:r>
              <w:rPr>
                <w:rFonts w:hint="eastAsia"/>
                <w:b/>
                <w:color w:val="000000"/>
                <w:lang w:val="en-US" w:eastAsia="zh-CN"/>
              </w:rPr>
              <w:t>）</w:t>
            </w:r>
          </w:p>
          <w:tbl>
            <w:tblPr>
              <w:tblStyle w:val="70"/>
              <w:tblW w:w="8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119"/>
              <w:gridCol w:w="1245"/>
              <w:gridCol w:w="1325"/>
              <w:gridCol w:w="1263"/>
              <w:gridCol w:w="1287"/>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05" w:type="dxa"/>
                  <w:vMerge w:val="restart"/>
                  <w:noWrap w:val="0"/>
                  <w:vAlign w:val="center"/>
                </w:tcPr>
                <w:p>
                  <w:pPr>
                    <w:jc w:val="center"/>
                    <w:rPr>
                      <w:rFonts w:hint="eastAsia"/>
                      <w:szCs w:val="21"/>
                      <w:lang w:eastAsia="zh-CN"/>
                    </w:rPr>
                  </w:pPr>
                  <w:r>
                    <w:rPr>
                      <w:rFonts w:hint="eastAsia"/>
                      <w:szCs w:val="21"/>
                      <w:lang w:eastAsia="zh-CN"/>
                    </w:rPr>
                    <w:t>采样时间</w:t>
                  </w:r>
                </w:p>
              </w:tc>
              <w:tc>
                <w:tcPr>
                  <w:tcW w:w="1119" w:type="dxa"/>
                  <w:vMerge w:val="restart"/>
                  <w:noWrap w:val="0"/>
                  <w:vAlign w:val="center"/>
                </w:tcPr>
                <w:p>
                  <w:pPr>
                    <w:jc w:val="center"/>
                    <w:rPr>
                      <w:rFonts w:hint="eastAsia"/>
                      <w:szCs w:val="21"/>
                      <w:lang w:eastAsia="zh-CN"/>
                    </w:rPr>
                  </w:pPr>
                  <w:r>
                    <w:rPr>
                      <w:rFonts w:hint="eastAsia"/>
                      <w:szCs w:val="21"/>
                      <w:lang w:eastAsia="zh-CN"/>
                    </w:rPr>
                    <w:t>检测点位</w:t>
                  </w:r>
                </w:p>
              </w:tc>
              <w:tc>
                <w:tcPr>
                  <w:tcW w:w="6536" w:type="dxa"/>
                  <w:gridSpan w:val="5"/>
                  <w:noWrap w:val="0"/>
                  <w:vAlign w:val="center"/>
                </w:tcPr>
                <w:p>
                  <w:pPr>
                    <w:jc w:val="center"/>
                    <w:rPr>
                      <w:rFonts w:hint="eastAsia"/>
                      <w:szCs w:val="21"/>
                      <w:lang w:eastAsia="zh-CN"/>
                    </w:rPr>
                  </w:pPr>
                  <w:r>
                    <w:rPr>
                      <w:rFonts w:hint="eastAsia"/>
                      <w:szCs w:val="21"/>
                      <w:lang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05" w:type="dxa"/>
                  <w:vMerge w:val="continue"/>
                  <w:noWrap w:val="0"/>
                  <w:vAlign w:val="center"/>
                </w:tcPr>
                <w:p>
                  <w:pPr>
                    <w:jc w:val="center"/>
                    <w:rPr>
                      <w:rFonts w:hint="eastAsia"/>
                      <w:szCs w:val="21"/>
                    </w:rPr>
                  </w:pPr>
                </w:p>
              </w:tc>
              <w:tc>
                <w:tcPr>
                  <w:tcW w:w="1119" w:type="dxa"/>
                  <w:vMerge w:val="continue"/>
                  <w:noWrap w:val="0"/>
                  <w:vAlign w:val="center"/>
                </w:tcPr>
                <w:p>
                  <w:pPr>
                    <w:jc w:val="center"/>
                    <w:rPr>
                      <w:rFonts w:hint="eastAsia"/>
                      <w:szCs w:val="21"/>
                    </w:rPr>
                  </w:pPr>
                </w:p>
              </w:tc>
              <w:tc>
                <w:tcPr>
                  <w:tcW w:w="5120" w:type="dxa"/>
                  <w:gridSpan w:val="4"/>
                  <w:noWrap w:val="0"/>
                  <w:vAlign w:val="center"/>
                </w:tcPr>
                <w:p>
                  <w:pPr>
                    <w:jc w:val="center"/>
                    <w:rPr>
                      <w:rFonts w:hint="eastAsia"/>
                      <w:szCs w:val="21"/>
                      <w:lang w:eastAsia="zh-CN"/>
                    </w:rPr>
                  </w:pPr>
                  <w:r>
                    <w:rPr>
                      <w:rFonts w:hint="eastAsia"/>
                      <w:szCs w:val="21"/>
                      <w:lang w:eastAsia="zh-CN"/>
                    </w:rPr>
                    <w:t>非甲烷总烃</w:t>
                  </w:r>
                </w:p>
              </w:tc>
              <w:tc>
                <w:tcPr>
                  <w:tcW w:w="1416" w:type="dxa"/>
                  <w:noWrap w:val="0"/>
                  <w:vAlign w:val="center"/>
                </w:tcPr>
                <w:p>
                  <w:pPr>
                    <w:jc w:val="center"/>
                    <w:rPr>
                      <w:rFonts w:hint="eastAsia"/>
                      <w:szCs w:val="21"/>
                      <w:lang w:eastAsia="zh-CN"/>
                    </w:rPr>
                  </w:pPr>
                  <w:r>
                    <w:rPr>
                      <w:rFonts w:hint="eastAsia"/>
                      <w:szCs w:val="21"/>
                      <w:lang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205" w:type="dxa"/>
                  <w:vMerge w:val="continue"/>
                  <w:noWrap w:val="0"/>
                  <w:vAlign w:val="center"/>
                </w:tcPr>
                <w:p>
                  <w:pPr>
                    <w:jc w:val="center"/>
                    <w:rPr>
                      <w:rFonts w:hint="eastAsia"/>
                      <w:szCs w:val="21"/>
                    </w:rPr>
                  </w:pPr>
                </w:p>
              </w:tc>
              <w:tc>
                <w:tcPr>
                  <w:tcW w:w="1119" w:type="dxa"/>
                  <w:vMerge w:val="continue"/>
                  <w:noWrap w:val="0"/>
                  <w:vAlign w:val="center"/>
                </w:tcPr>
                <w:p>
                  <w:pPr>
                    <w:jc w:val="center"/>
                    <w:rPr>
                      <w:rFonts w:hint="eastAsia"/>
                      <w:szCs w:val="21"/>
                    </w:rPr>
                  </w:pPr>
                </w:p>
              </w:tc>
              <w:tc>
                <w:tcPr>
                  <w:tcW w:w="1245" w:type="dxa"/>
                  <w:noWrap w:val="0"/>
                  <w:vAlign w:val="center"/>
                </w:tcPr>
                <w:p>
                  <w:pPr>
                    <w:jc w:val="center"/>
                    <w:rPr>
                      <w:rFonts w:hint="default" w:eastAsia="宋体"/>
                      <w:szCs w:val="21"/>
                      <w:lang w:val="en-US" w:eastAsia="zh-CN"/>
                    </w:rPr>
                  </w:pPr>
                  <w:r>
                    <w:rPr>
                      <w:rFonts w:hint="eastAsia"/>
                      <w:szCs w:val="21"/>
                      <w:lang w:val="en-US" w:eastAsia="zh-CN"/>
                    </w:rPr>
                    <w:t>01:00-02:00</w:t>
                  </w:r>
                </w:p>
              </w:tc>
              <w:tc>
                <w:tcPr>
                  <w:tcW w:w="1325" w:type="dxa"/>
                  <w:noWrap w:val="0"/>
                  <w:vAlign w:val="center"/>
                </w:tcPr>
                <w:p>
                  <w:pPr>
                    <w:jc w:val="center"/>
                    <w:rPr>
                      <w:rFonts w:hint="eastAsia"/>
                      <w:szCs w:val="21"/>
                    </w:rPr>
                  </w:pPr>
                  <w:r>
                    <w:rPr>
                      <w:rFonts w:hint="eastAsia"/>
                      <w:szCs w:val="21"/>
                      <w:lang w:val="en-US" w:eastAsia="zh-CN"/>
                    </w:rPr>
                    <w:t>07:00-08:00</w:t>
                  </w:r>
                </w:p>
              </w:tc>
              <w:tc>
                <w:tcPr>
                  <w:tcW w:w="1263" w:type="dxa"/>
                  <w:noWrap w:val="0"/>
                  <w:vAlign w:val="center"/>
                </w:tcPr>
                <w:p>
                  <w:pPr>
                    <w:jc w:val="center"/>
                    <w:rPr>
                      <w:rFonts w:hint="eastAsia"/>
                      <w:szCs w:val="21"/>
                    </w:rPr>
                  </w:pPr>
                  <w:r>
                    <w:rPr>
                      <w:rFonts w:hint="eastAsia"/>
                      <w:szCs w:val="21"/>
                      <w:lang w:val="en-US" w:eastAsia="zh-CN"/>
                    </w:rPr>
                    <w:t>13:00-14:00</w:t>
                  </w:r>
                </w:p>
              </w:tc>
              <w:tc>
                <w:tcPr>
                  <w:tcW w:w="1287" w:type="dxa"/>
                  <w:noWrap w:val="0"/>
                  <w:vAlign w:val="center"/>
                </w:tcPr>
                <w:p>
                  <w:pPr>
                    <w:jc w:val="center"/>
                    <w:rPr>
                      <w:rFonts w:hint="eastAsia"/>
                      <w:szCs w:val="21"/>
                    </w:rPr>
                  </w:pPr>
                  <w:r>
                    <w:rPr>
                      <w:rFonts w:hint="eastAsia"/>
                      <w:szCs w:val="21"/>
                      <w:lang w:val="en-US" w:eastAsia="zh-CN"/>
                    </w:rPr>
                    <w:t>19:00-20:00</w:t>
                  </w:r>
                </w:p>
              </w:tc>
              <w:tc>
                <w:tcPr>
                  <w:tcW w:w="1416" w:type="dxa"/>
                  <w:noWrap w:val="0"/>
                  <w:vAlign w:val="center"/>
                </w:tcPr>
                <w:p>
                  <w:pPr>
                    <w:jc w:val="center"/>
                    <w:rPr>
                      <w:rFonts w:hint="eastAsia"/>
                      <w:szCs w:val="21"/>
                    </w:rPr>
                  </w:pPr>
                  <w:r>
                    <w:rPr>
                      <w:rFonts w:hint="eastAsia"/>
                      <w:szCs w:val="21"/>
                      <w:lang w:val="en-US" w:eastAsia="zh-CN"/>
                    </w:rPr>
                    <w:t>04:00-24:00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05" w:type="dxa"/>
                  <w:noWrap w:val="0"/>
                  <w:vAlign w:val="center"/>
                </w:tcPr>
                <w:p>
                  <w:pPr>
                    <w:jc w:val="center"/>
                    <w:rPr>
                      <w:rFonts w:hint="default" w:eastAsia="宋体"/>
                      <w:szCs w:val="21"/>
                      <w:lang w:val="en-US" w:eastAsia="zh-CN"/>
                    </w:rPr>
                  </w:pPr>
                  <w:r>
                    <w:rPr>
                      <w:rFonts w:hint="eastAsia"/>
                      <w:szCs w:val="21"/>
                      <w:lang w:val="en-US" w:eastAsia="zh-CN"/>
                    </w:rPr>
                    <w:t>2019.07.19</w:t>
                  </w:r>
                </w:p>
              </w:tc>
              <w:tc>
                <w:tcPr>
                  <w:tcW w:w="1119" w:type="dxa"/>
                  <w:vMerge w:val="restart"/>
                  <w:noWrap w:val="0"/>
                  <w:vAlign w:val="center"/>
                </w:tcPr>
                <w:p>
                  <w:pPr>
                    <w:jc w:val="center"/>
                    <w:rPr>
                      <w:rFonts w:hint="default" w:eastAsia="宋体"/>
                      <w:szCs w:val="21"/>
                      <w:lang w:val="en-US" w:eastAsia="zh-CN"/>
                    </w:rPr>
                  </w:pPr>
                  <w:r>
                    <w:rPr>
                      <w:rFonts w:hint="eastAsia"/>
                      <w:szCs w:val="21"/>
                      <w:lang w:val="en-US" w:eastAsia="zh-CN"/>
                    </w:rPr>
                    <w:t>项目地北侧60m处1#</w:t>
                  </w:r>
                </w:p>
              </w:tc>
              <w:tc>
                <w:tcPr>
                  <w:tcW w:w="1245" w:type="dxa"/>
                  <w:noWrap w:val="0"/>
                  <w:vAlign w:val="center"/>
                </w:tcPr>
                <w:p>
                  <w:pPr>
                    <w:jc w:val="center"/>
                    <w:rPr>
                      <w:rFonts w:hint="default" w:eastAsia="宋体"/>
                      <w:szCs w:val="21"/>
                      <w:lang w:val="en-US" w:eastAsia="zh-CN"/>
                    </w:rPr>
                  </w:pPr>
                  <w:r>
                    <w:rPr>
                      <w:rFonts w:hint="eastAsia"/>
                      <w:szCs w:val="21"/>
                      <w:lang w:val="en-US" w:eastAsia="zh-CN"/>
                    </w:rPr>
                    <w:t>0.75</w:t>
                  </w:r>
                </w:p>
              </w:tc>
              <w:tc>
                <w:tcPr>
                  <w:tcW w:w="1325" w:type="dxa"/>
                  <w:noWrap w:val="0"/>
                  <w:vAlign w:val="center"/>
                </w:tcPr>
                <w:p>
                  <w:pPr>
                    <w:jc w:val="center"/>
                    <w:rPr>
                      <w:rFonts w:hint="default" w:eastAsia="宋体"/>
                      <w:szCs w:val="21"/>
                      <w:lang w:val="en-US" w:eastAsia="zh-CN"/>
                    </w:rPr>
                  </w:pPr>
                  <w:r>
                    <w:rPr>
                      <w:rFonts w:hint="eastAsia"/>
                      <w:szCs w:val="21"/>
                      <w:lang w:val="en-US" w:eastAsia="zh-CN"/>
                    </w:rPr>
                    <w:t>0.70</w:t>
                  </w:r>
                </w:p>
              </w:tc>
              <w:tc>
                <w:tcPr>
                  <w:tcW w:w="1263" w:type="dxa"/>
                  <w:noWrap w:val="0"/>
                  <w:vAlign w:val="center"/>
                </w:tcPr>
                <w:p>
                  <w:pPr>
                    <w:jc w:val="center"/>
                    <w:rPr>
                      <w:rFonts w:hint="default" w:eastAsia="宋体"/>
                      <w:szCs w:val="21"/>
                      <w:lang w:val="en-US" w:eastAsia="zh-CN"/>
                    </w:rPr>
                  </w:pPr>
                  <w:r>
                    <w:rPr>
                      <w:rFonts w:hint="eastAsia"/>
                      <w:szCs w:val="21"/>
                      <w:lang w:val="en-US" w:eastAsia="zh-CN"/>
                    </w:rPr>
                    <w:t>0.72</w:t>
                  </w:r>
                </w:p>
              </w:tc>
              <w:tc>
                <w:tcPr>
                  <w:tcW w:w="1287" w:type="dxa"/>
                  <w:noWrap w:val="0"/>
                  <w:vAlign w:val="center"/>
                </w:tcPr>
                <w:p>
                  <w:pPr>
                    <w:jc w:val="center"/>
                    <w:rPr>
                      <w:rFonts w:hint="eastAsia"/>
                      <w:szCs w:val="21"/>
                    </w:rPr>
                  </w:pPr>
                  <w:r>
                    <w:rPr>
                      <w:rFonts w:hint="eastAsia"/>
                      <w:szCs w:val="21"/>
                      <w:lang w:val="en-US" w:eastAsia="zh-CN"/>
                    </w:rPr>
                    <w:t>0.79</w:t>
                  </w:r>
                </w:p>
              </w:tc>
              <w:tc>
                <w:tcPr>
                  <w:tcW w:w="1416" w:type="dxa"/>
                  <w:noWrap w:val="0"/>
                  <w:vAlign w:val="center"/>
                </w:tcPr>
                <w:p>
                  <w:pPr>
                    <w:jc w:val="center"/>
                    <w:rPr>
                      <w:rFonts w:hint="default" w:eastAsia="宋体"/>
                      <w:szCs w:val="21"/>
                      <w:lang w:val="en-US" w:eastAsia="zh-CN"/>
                    </w:rPr>
                  </w:pPr>
                  <w:r>
                    <w:rPr>
                      <w:rFonts w:hint="eastAsia"/>
                      <w:szCs w:val="21"/>
                      <w:lang w:val="en-US" w:eastAsia="zh-CN"/>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05" w:type="dxa"/>
                  <w:noWrap w:val="0"/>
                  <w:vAlign w:val="center"/>
                </w:tcPr>
                <w:p>
                  <w:pPr>
                    <w:jc w:val="center"/>
                    <w:rPr>
                      <w:rFonts w:hint="default"/>
                      <w:szCs w:val="21"/>
                      <w:lang w:val="en-US"/>
                    </w:rPr>
                  </w:pPr>
                  <w:r>
                    <w:rPr>
                      <w:rFonts w:hint="eastAsia"/>
                      <w:szCs w:val="21"/>
                      <w:lang w:val="en-US" w:eastAsia="zh-CN"/>
                    </w:rPr>
                    <w:t>2019.07.20</w:t>
                  </w:r>
                </w:p>
              </w:tc>
              <w:tc>
                <w:tcPr>
                  <w:tcW w:w="1119" w:type="dxa"/>
                  <w:vMerge w:val="continue"/>
                  <w:noWrap w:val="0"/>
                  <w:vAlign w:val="center"/>
                </w:tcPr>
                <w:p>
                  <w:pPr>
                    <w:jc w:val="center"/>
                    <w:rPr>
                      <w:rFonts w:hint="eastAsia"/>
                      <w:szCs w:val="21"/>
                    </w:rPr>
                  </w:pPr>
                </w:p>
              </w:tc>
              <w:tc>
                <w:tcPr>
                  <w:tcW w:w="1245" w:type="dxa"/>
                  <w:noWrap w:val="0"/>
                  <w:vAlign w:val="center"/>
                </w:tcPr>
                <w:p>
                  <w:pPr>
                    <w:jc w:val="center"/>
                    <w:rPr>
                      <w:rFonts w:hint="default" w:eastAsia="宋体"/>
                      <w:szCs w:val="21"/>
                      <w:lang w:val="en-US" w:eastAsia="zh-CN"/>
                    </w:rPr>
                  </w:pPr>
                  <w:r>
                    <w:rPr>
                      <w:rFonts w:hint="eastAsia"/>
                      <w:szCs w:val="21"/>
                      <w:lang w:val="en-US" w:eastAsia="zh-CN"/>
                    </w:rPr>
                    <w:t>0.69</w:t>
                  </w:r>
                </w:p>
              </w:tc>
              <w:tc>
                <w:tcPr>
                  <w:tcW w:w="1325" w:type="dxa"/>
                  <w:noWrap w:val="0"/>
                  <w:vAlign w:val="center"/>
                </w:tcPr>
                <w:p>
                  <w:pPr>
                    <w:jc w:val="center"/>
                    <w:rPr>
                      <w:rFonts w:hint="default" w:eastAsia="宋体"/>
                      <w:szCs w:val="21"/>
                      <w:lang w:val="en-US" w:eastAsia="zh-CN"/>
                    </w:rPr>
                  </w:pPr>
                  <w:r>
                    <w:rPr>
                      <w:rFonts w:hint="eastAsia"/>
                      <w:szCs w:val="21"/>
                      <w:lang w:val="en-US" w:eastAsia="zh-CN"/>
                    </w:rPr>
                    <w:t>0.71</w:t>
                  </w:r>
                </w:p>
              </w:tc>
              <w:tc>
                <w:tcPr>
                  <w:tcW w:w="1263" w:type="dxa"/>
                  <w:noWrap w:val="0"/>
                  <w:vAlign w:val="center"/>
                </w:tcPr>
                <w:p>
                  <w:pPr>
                    <w:jc w:val="center"/>
                    <w:rPr>
                      <w:rFonts w:hint="default" w:eastAsia="宋体"/>
                      <w:szCs w:val="21"/>
                      <w:lang w:val="en-US" w:eastAsia="zh-CN"/>
                    </w:rPr>
                  </w:pPr>
                  <w:r>
                    <w:rPr>
                      <w:rFonts w:hint="eastAsia"/>
                      <w:szCs w:val="21"/>
                      <w:lang w:val="en-US" w:eastAsia="zh-CN"/>
                    </w:rPr>
                    <w:t>0.70</w:t>
                  </w:r>
                </w:p>
              </w:tc>
              <w:tc>
                <w:tcPr>
                  <w:tcW w:w="1287" w:type="dxa"/>
                  <w:noWrap w:val="0"/>
                  <w:vAlign w:val="center"/>
                </w:tcPr>
                <w:p>
                  <w:pPr>
                    <w:jc w:val="center"/>
                    <w:rPr>
                      <w:rFonts w:hint="eastAsia"/>
                      <w:szCs w:val="21"/>
                    </w:rPr>
                  </w:pPr>
                  <w:r>
                    <w:rPr>
                      <w:rFonts w:hint="eastAsia"/>
                      <w:szCs w:val="21"/>
                      <w:lang w:val="en-US" w:eastAsia="zh-CN"/>
                    </w:rPr>
                    <w:t>0.65</w:t>
                  </w:r>
                </w:p>
              </w:tc>
              <w:tc>
                <w:tcPr>
                  <w:tcW w:w="1416" w:type="dxa"/>
                  <w:noWrap w:val="0"/>
                  <w:vAlign w:val="center"/>
                </w:tcPr>
                <w:p>
                  <w:pPr>
                    <w:jc w:val="center"/>
                    <w:rPr>
                      <w:rFonts w:hint="default" w:eastAsia="宋体"/>
                      <w:szCs w:val="21"/>
                      <w:lang w:val="en-US" w:eastAsia="zh-CN"/>
                    </w:rPr>
                  </w:pPr>
                  <w:r>
                    <w:rPr>
                      <w:rFonts w:hint="eastAsia"/>
                      <w:szCs w:val="21"/>
                      <w:lang w:val="en-US" w:eastAsia="zh-CN"/>
                    </w:rPr>
                    <w:t>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05" w:type="dxa"/>
                  <w:noWrap w:val="0"/>
                  <w:vAlign w:val="center"/>
                </w:tcPr>
                <w:p>
                  <w:pPr>
                    <w:jc w:val="center"/>
                    <w:rPr>
                      <w:rFonts w:hint="default"/>
                      <w:szCs w:val="21"/>
                      <w:lang w:val="en-US"/>
                    </w:rPr>
                  </w:pPr>
                  <w:r>
                    <w:rPr>
                      <w:rFonts w:hint="eastAsia"/>
                      <w:szCs w:val="21"/>
                      <w:lang w:val="en-US" w:eastAsia="zh-CN"/>
                    </w:rPr>
                    <w:t>2019.07.21</w:t>
                  </w:r>
                </w:p>
              </w:tc>
              <w:tc>
                <w:tcPr>
                  <w:tcW w:w="1119" w:type="dxa"/>
                  <w:vMerge w:val="continue"/>
                  <w:noWrap w:val="0"/>
                  <w:vAlign w:val="center"/>
                </w:tcPr>
                <w:p>
                  <w:pPr>
                    <w:jc w:val="center"/>
                    <w:rPr>
                      <w:rFonts w:hint="eastAsia"/>
                      <w:szCs w:val="21"/>
                    </w:rPr>
                  </w:pPr>
                </w:p>
              </w:tc>
              <w:tc>
                <w:tcPr>
                  <w:tcW w:w="1245" w:type="dxa"/>
                  <w:noWrap w:val="0"/>
                  <w:vAlign w:val="center"/>
                </w:tcPr>
                <w:p>
                  <w:pPr>
                    <w:jc w:val="center"/>
                    <w:rPr>
                      <w:rFonts w:hint="default" w:eastAsia="宋体"/>
                      <w:szCs w:val="21"/>
                      <w:lang w:val="en-US" w:eastAsia="zh-CN"/>
                    </w:rPr>
                  </w:pPr>
                  <w:r>
                    <w:rPr>
                      <w:rFonts w:hint="eastAsia"/>
                      <w:szCs w:val="21"/>
                      <w:lang w:val="en-US" w:eastAsia="zh-CN"/>
                    </w:rPr>
                    <w:t>0.86</w:t>
                  </w:r>
                </w:p>
              </w:tc>
              <w:tc>
                <w:tcPr>
                  <w:tcW w:w="1325" w:type="dxa"/>
                  <w:noWrap w:val="0"/>
                  <w:vAlign w:val="center"/>
                </w:tcPr>
                <w:p>
                  <w:pPr>
                    <w:jc w:val="center"/>
                    <w:rPr>
                      <w:rFonts w:hint="default" w:eastAsia="宋体"/>
                      <w:szCs w:val="21"/>
                      <w:lang w:val="en-US" w:eastAsia="zh-CN"/>
                    </w:rPr>
                  </w:pPr>
                  <w:r>
                    <w:rPr>
                      <w:rFonts w:hint="eastAsia"/>
                      <w:szCs w:val="21"/>
                      <w:lang w:val="en-US" w:eastAsia="zh-CN"/>
                    </w:rPr>
                    <w:t>0.88</w:t>
                  </w:r>
                </w:p>
              </w:tc>
              <w:tc>
                <w:tcPr>
                  <w:tcW w:w="1263" w:type="dxa"/>
                  <w:noWrap w:val="0"/>
                  <w:vAlign w:val="center"/>
                </w:tcPr>
                <w:p>
                  <w:pPr>
                    <w:jc w:val="center"/>
                    <w:rPr>
                      <w:rFonts w:hint="default" w:eastAsia="宋体"/>
                      <w:szCs w:val="21"/>
                      <w:lang w:val="en-US" w:eastAsia="zh-CN"/>
                    </w:rPr>
                  </w:pPr>
                  <w:r>
                    <w:rPr>
                      <w:rFonts w:hint="eastAsia"/>
                      <w:szCs w:val="21"/>
                      <w:lang w:val="en-US" w:eastAsia="zh-CN"/>
                    </w:rPr>
                    <w:t>0.86</w:t>
                  </w:r>
                </w:p>
              </w:tc>
              <w:tc>
                <w:tcPr>
                  <w:tcW w:w="1287" w:type="dxa"/>
                  <w:noWrap w:val="0"/>
                  <w:vAlign w:val="center"/>
                </w:tcPr>
                <w:p>
                  <w:pPr>
                    <w:jc w:val="center"/>
                    <w:rPr>
                      <w:rFonts w:hint="eastAsia"/>
                      <w:szCs w:val="21"/>
                    </w:rPr>
                  </w:pPr>
                  <w:r>
                    <w:rPr>
                      <w:rFonts w:hint="eastAsia"/>
                      <w:szCs w:val="21"/>
                      <w:lang w:val="en-US" w:eastAsia="zh-CN"/>
                    </w:rPr>
                    <w:t>0.76</w:t>
                  </w:r>
                </w:p>
              </w:tc>
              <w:tc>
                <w:tcPr>
                  <w:tcW w:w="1416" w:type="dxa"/>
                  <w:noWrap w:val="0"/>
                  <w:vAlign w:val="center"/>
                </w:tcPr>
                <w:p>
                  <w:pPr>
                    <w:jc w:val="center"/>
                    <w:rPr>
                      <w:rFonts w:hint="default" w:eastAsia="宋体"/>
                      <w:szCs w:val="21"/>
                      <w:lang w:val="en-US" w:eastAsia="zh-CN"/>
                    </w:rPr>
                  </w:pPr>
                  <w:r>
                    <w:rPr>
                      <w:rFonts w:hint="eastAsia"/>
                      <w:szCs w:val="21"/>
                      <w:lang w:val="en-US" w:eastAsia="zh-CN"/>
                    </w:rPr>
                    <w:t>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05" w:type="dxa"/>
                  <w:noWrap w:val="0"/>
                  <w:vAlign w:val="center"/>
                </w:tcPr>
                <w:p>
                  <w:pPr>
                    <w:jc w:val="center"/>
                    <w:rPr>
                      <w:rFonts w:hint="default"/>
                      <w:szCs w:val="21"/>
                      <w:lang w:val="en-US"/>
                    </w:rPr>
                  </w:pPr>
                  <w:r>
                    <w:rPr>
                      <w:rFonts w:hint="eastAsia"/>
                      <w:szCs w:val="21"/>
                      <w:lang w:val="en-US" w:eastAsia="zh-CN"/>
                    </w:rPr>
                    <w:t>2019.07.22</w:t>
                  </w:r>
                </w:p>
              </w:tc>
              <w:tc>
                <w:tcPr>
                  <w:tcW w:w="1119" w:type="dxa"/>
                  <w:vMerge w:val="continue"/>
                  <w:noWrap w:val="0"/>
                  <w:vAlign w:val="center"/>
                </w:tcPr>
                <w:p>
                  <w:pPr>
                    <w:jc w:val="center"/>
                    <w:rPr>
                      <w:rFonts w:hint="eastAsia"/>
                      <w:szCs w:val="21"/>
                    </w:rPr>
                  </w:pPr>
                </w:p>
              </w:tc>
              <w:tc>
                <w:tcPr>
                  <w:tcW w:w="1245" w:type="dxa"/>
                  <w:noWrap w:val="0"/>
                  <w:vAlign w:val="center"/>
                </w:tcPr>
                <w:p>
                  <w:pPr>
                    <w:jc w:val="center"/>
                    <w:rPr>
                      <w:rFonts w:hint="default" w:eastAsia="宋体"/>
                      <w:szCs w:val="21"/>
                      <w:lang w:val="en-US" w:eastAsia="zh-CN"/>
                    </w:rPr>
                  </w:pPr>
                  <w:r>
                    <w:rPr>
                      <w:rFonts w:hint="eastAsia"/>
                      <w:szCs w:val="21"/>
                      <w:lang w:val="en-US" w:eastAsia="zh-CN"/>
                    </w:rPr>
                    <w:t>0.78</w:t>
                  </w:r>
                </w:p>
              </w:tc>
              <w:tc>
                <w:tcPr>
                  <w:tcW w:w="1325" w:type="dxa"/>
                  <w:noWrap w:val="0"/>
                  <w:vAlign w:val="center"/>
                </w:tcPr>
                <w:p>
                  <w:pPr>
                    <w:jc w:val="center"/>
                    <w:rPr>
                      <w:rFonts w:hint="default" w:eastAsia="宋体"/>
                      <w:szCs w:val="21"/>
                      <w:lang w:val="en-US" w:eastAsia="zh-CN"/>
                    </w:rPr>
                  </w:pPr>
                  <w:r>
                    <w:rPr>
                      <w:rFonts w:hint="eastAsia"/>
                      <w:szCs w:val="21"/>
                      <w:lang w:val="en-US" w:eastAsia="zh-CN"/>
                    </w:rPr>
                    <w:t>0.86</w:t>
                  </w:r>
                </w:p>
              </w:tc>
              <w:tc>
                <w:tcPr>
                  <w:tcW w:w="1263" w:type="dxa"/>
                  <w:noWrap w:val="0"/>
                  <w:vAlign w:val="center"/>
                </w:tcPr>
                <w:p>
                  <w:pPr>
                    <w:jc w:val="center"/>
                    <w:rPr>
                      <w:rFonts w:hint="default" w:eastAsia="宋体"/>
                      <w:szCs w:val="21"/>
                      <w:lang w:val="en-US" w:eastAsia="zh-CN"/>
                    </w:rPr>
                  </w:pPr>
                  <w:r>
                    <w:rPr>
                      <w:rFonts w:hint="eastAsia"/>
                      <w:szCs w:val="21"/>
                      <w:lang w:val="en-US" w:eastAsia="zh-CN"/>
                    </w:rPr>
                    <w:t>0.81</w:t>
                  </w:r>
                </w:p>
              </w:tc>
              <w:tc>
                <w:tcPr>
                  <w:tcW w:w="1287" w:type="dxa"/>
                  <w:noWrap w:val="0"/>
                  <w:vAlign w:val="center"/>
                </w:tcPr>
                <w:p>
                  <w:pPr>
                    <w:jc w:val="center"/>
                    <w:rPr>
                      <w:rFonts w:hint="eastAsia"/>
                      <w:szCs w:val="21"/>
                    </w:rPr>
                  </w:pPr>
                  <w:r>
                    <w:rPr>
                      <w:rFonts w:hint="eastAsia"/>
                      <w:szCs w:val="21"/>
                      <w:lang w:val="en-US" w:eastAsia="zh-CN"/>
                    </w:rPr>
                    <w:t>0.91</w:t>
                  </w:r>
                </w:p>
              </w:tc>
              <w:tc>
                <w:tcPr>
                  <w:tcW w:w="1416" w:type="dxa"/>
                  <w:noWrap w:val="0"/>
                  <w:vAlign w:val="center"/>
                </w:tcPr>
                <w:p>
                  <w:pPr>
                    <w:jc w:val="center"/>
                    <w:rPr>
                      <w:rFonts w:hint="default" w:eastAsia="宋体"/>
                      <w:szCs w:val="21"/>
                      <w:lang w:val="en-US" w:eastAsia="zh-CN"/>
                    </w:rPr>
                  </w:pPr>
                  <w:r>
                    <w:rPr>
                      <w:rFonts w:hint="eastAsia"/>
                      <w:szCs w:val="21"/>
                      <w:lang w:val="en-US" w:eastAsia="zh-CN"/>
                    </w:rPr>
                    <w:t>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05" w:type="dxa"/>
                  <w:noWrap w:val="0"/>
                  <w:vAlign w:val="center"/>
                </w:tcPr>
                <w:p>
                  <w:pPr>
                    <w:jc w:val="center"/>
                    <w:rPr>
                      <w:rFonts w:hint="default"/>
                      <w:szCs w:val="21"/>
                      <w:lang w:val="en-US"/>
                    </w:rPr>
                  </w:pPr>
                  <w:r>
                    <w:rPr>
                      <w:rFonts w:hint="eastAsia"/>
                      <w:szCs w:val="21"/>
                      <w:lang w:val="en-US" w:eastAsia="zh-CN"/>
                    </w:rPr>
                    <w:t>2019.07.23</w:t>
                  </w:r>
                </w:p>
              </w:tc>
              <w:tc>
                <w:tcPr>
                  <w:tcW w:w="1119" w:type="dxa"/>
                  <w:vMerge w:val="continue"/>
                  <w:noWrap w:val="0"/>
                  <w:vAlign w:val="center"/>
                </w:tcPr>
                <w:p>
                  <w:pPr>
                    <w:jc w:val="center"/>
                    <w:rPr>
                      <w:rFonts w:hint="eastAsia"/>
                      <w:szCs w:val="21"/>
                    </w:rPr>
                  </w:pPr>
                </w:p>
              </w:tc>
              <w:tc>
                <w:tcPr>
                  <w:tcW w:w="1245" w:type="dxa"/>
                  <w:noWrap w:val="0"/>
                  <w:vAlign w:val="center"/>
                </w:tcPr>
                <w:p>
                  <w:pPr>
                    <w:jc w:val="center"/>
                    <w:rPr>
                      <w:rFonts w:hint="default" w:eastAsia="宋体"/>
                      <w:szCs w:val="21"/>
                      <w:lang w:val="en-US" w:eastAsia="zh-CN"/>
                    </w:rPr>
                  </w:pPr>
                  <w:r>
                    <w:rPr>
                      <w:rFonts w:hint="eastAsia"/>
                      <w:szCs w:val="21"/>
                      <w:lang w:val="en-US" w:eastAsia="zh-CN"/>
                    </w:rPr>
                    <w:t>0.89</w:t>
                  </w:r>
                </w:p>
              </w:tc>
              <w:tc>
                <w:tcPr>
                  <w:tcW w:w="1325" w:type="dxa"/>
                  <w:noWrap w:val="0"/>
                  <w:vAlign w:val="center"/>
                </w:tcPr>
                <w:p>
                  <w:pPr>
                    <w:jc w:val="center"/>
                    <w:rPr>
                      <w:rFonts w:hint="default" w:eastAsia="宋体"/>
                      <w:szCs w:val="21"/>
                      <w:lang w:val="en-US" w:eastAsia="zh-CN"/>
                    </w:rPr>
                  </w:pPr>
                  <w:r>
                    <w:rPr>
                      <w:rFonts w:hint="eastAsia"/>
                      <w:szCs w:val="21"/>
                      <w:lang w:val="en-US" w:eastAsia="zh-CN"/>
                    </w:rPr>
                    <w:t>0.83</w:t>
                  </w:r>
                </w:p>
              </w:tc>
              <w:tc>
                <w:tcPr>
                  <w:tcW w:w="1263" w:type="dxa"/>
                  <w:noWrap w:val="0"/>
                  <w:vAlign w:val="center"/>
                </w:tcPr>
                <w:p>
                  <w:pPr>
                    <w:jc w:val="center"/>
                    <w:rPr>
                      <w:rFonts w:hint="default" w:eastAsia="宋体"/>
                      <w:szCs w:val="21"/>
                      <w:lang w:val="en-US" w:eastAsia="zh-CN"/>
                    </w:rPr>
                  </w:pPr>
                  <w:r>
                    <w:rPr>
                      <w:rFonts w:hint="eastAsia"/>
                      <w:szCs w:val="21"/>
                      <w:lang w:val="en-US" w:eastAsia="zh-CN"/>
                    </w:rPr>
                    <w:t>0.83</w:t>
                  </w:r>
                </w:p>
              </w:tc>
              <w:tc>
                <w:tcPr>
                  <w:tcW w:w="1287" w:type="dxa"/>
                  <w:noWrap w:val="0"/>
                  <w:vAlign w:val="center"/>
                </w:tcPr>
                <w:p>
                  <w:pPr>
                    <w:jc w:val="center"/>
                    <w:rPr>
                      <w:rFonts w:hint="eastAsia"/>
                      <w:szCs w:val="21"/>
                    </w:rPr>
                  </w:pPr>
                  <w:r>
                    <w:rPr>
                      <w:rFonts w:hint="eastAsia"/>
                      <w:szCs w:val="21"/>
                      <w:lang w:val="en-US" w:eastAsia="zh-CN"/>
                    </w:rPr>
                    <w:t>0.77</w:t>
                  </w:r>
                </w:p>
              </w:tc>
              <w:tc>
                <w:tcPr>
                  <w:tcW w:w="1416" w:type="dxa"/>
                  <w:noWrap w:val="0"/>
                  <w:vAlign w:val="center"/>
                </w:tcPr>
                <w:p>
                  <w:pPr>
                    <w:jc w:val="center"/>
                    <w:rPr>
                      <w:rFonts w:hint="default" w:eastAsia="宋体"/>
                      <w:szCs w:val="21"/>
                      <w:lang w:val="en-US" w:eastAsia="zh-CN"/>
                    </w:rPr>
                  </w:pPr>
                  <w:r>
                    <w:rPr>
                      <w:rFonts w:hint="eastAsia"/>
                      <w:szCs w:val="21"/>
                      <w:lang w:val="en-US" w:eastAsia="zh-CN"/>
                    </w:rPr>
                    <w:t>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05" w:type="dxa"/>
                  <w:noWrap w:val="0"/>
                  <w:vAlign w:val="center"/>
                </w:tcPr>
                <w:p>
                  <w:pPr>
                    <w:jc w:val="center"/>
                    <w:rPr>
                      <w:rFonts w:hint="default"/>
                      <w:szCs w:val="21"/>
                      <w:lang w:val="en-US"/>
                    </w:rPr>
                  </w:pPr>
                  <w:r>
                    <w:rPr>
                      <w:rFonts w:hint="eastAsia"/>
                      <w:szCs w:val="21"/>
                      <w:lang w:val="en-US" w:eastAsia="zh-CN"/>
                    </w:rPr>
                    <w:t>2019.07.24</w:t>
                  </w:r>
                </w:p>
              </w:tc>
              <w:tc>
                <w:tcPr>
                  <w:tcW w:w="1119" w:type="dxa"/>
                  <w:vMerge w:val="continue"/>
                  <w:noWrap w:val="0"/>
                  <w:vAlign w:val="center"/>
                </w:tcPr>
                <w:p>
                  <w:pPr>
                    <w:jc w:val="center"/>
                    <w:rPr>
                      <w:rFonts w:hint="eastAsia"/>
                      <w:szCs w:val="21"/>
                    </w:rPr>
                  </w:pPr>
                </w:p>
              </w:tc>
              <w:tc>
                <w:tcPr>
                  <w:tcW w:w="1245" w:type="dxa"/>
                  <w:noWrap w:val="0"/>
                  <w:vAlign w:val="center"/>
                </w:tcPr>
                <w:p>
                  <w:pPr>
                    <w:jc w:val="center"/>
                    <w:rPr>
                      <w:rFonts w:hint="default" w:eastAsia="宋体"/>
                      <w:szCs w:val="21"/>
                      <w:lang w:val="en-US" w:eastAsia="zh-CN"/>
                    </w:rPr>
                  </w:pPr>
                  <w:r>
                    <w:rPr>
                      <w:rFonts w:hint="eastAsia"/>
                      <w:szCs w:val="21"/>
                      <w:lang w:val="en-US" w:eastAsia="zh-CN"/>
                    </w:rPr>
                    <w:t>0.60</w:t>
                  </w:r>
                </w:p>
              </w:tc>
              <w:tc>
                <w:tcPr>
                  <w:tcW w:w="1325" w:type="dxa"/>
                  <w:noWrap w:val="0"/>
                  <w:vAlign w:val="center"/>
                </w:tcPr>
                <w:p>
                  <w:pPr>
                    <w:jc w:val="center"/>
                    <w:rPr>
                      <w:rFonts w:hint="default" w:eastAsia="宋体"/>
                      <w:szCs w:val="21"/>
                      <w:lang w:val="en-US" w:eastAsia="zh-CN"/>
                    </w:rPr>
                  </w:pPr>
                  <w:r>
                    <w:rPr>
                      <w:rFonts w:hint="eastAsia"/>
                      <w:szCs w:val="21"/>
                      <w:lang w:val="en-US" w:eastAsia="zh-CN"/>
                    </w:rPr>
                    <w:t>0.71</w:t>
                  </w:r>
                </w:p>
              </w:tc>
              <w:tc>
                <w:tcPr>
                  <w:tcW w:w="1263" w:type="dxa"/>
                  <w:noWrap w:val="0"/>
                  <w:vAlign w:val="center"/>
                </w:tcPr>
                <w:p>
                  <w:pPr>
                    <w:jc w:val="center"/>
                    <w:rPr>
                      <w:rFonts w:hint="default" w:eastAsia="宋体"/>
                      <w:szCs w:val="21"/>
                      <w:lang w:val="en-US" w:eastAsia="zh-CN"/>
                    </w:rPr>
                  </w:pPr>
                  <w:r>
                    <w:rPr>
                      <w:rFonts w:hint="eastAsia"/>
                      <w:szCs w:val="21"/>
                      <w:lang w:val="en-US" w:eastAsia="zh-CN"/>
                    </w:rPr>
                    <w:t>0.78</w:t>
                  </w:r>
                </w:p>
              </w:tc>
              <w:tc>
                <w:tcPr>
                  <w:tcW w:w="1287" w:type="dxa"/>
                  <w:noWrap w:val="0"/>
                  <w:vAlign w:val="center"/>
                </w:tcPr>
                <w:p>
                  <w:pPr>
                    <w:jc w:val="center"/>
                    <w:rPr>
                      <w:rFonts w:hint="eastAsia"/>
                      <w:szCs w:val="21"/>
                    </w:rPr>
                  </w:pPr>
                  <w:r>
                    <w:rPr>
                      <w:rFonts w:hint="eastAsia"/>
                      <w:szCs w:val="21"/>
                      <w:lang w:val="en-US" w:eastAsia="zh-CN"/>
                    </w:rPr>
                    <w:t>0.89</w:t>
                  </w:r>
                </w:p>
              </w:tc>
              <w:tc>
                <w:tcPr>
                  <w:tcW w:w="1416" w:type="dxa"/>
                  <w:noWrap w:val="0"/>
                  <w:vAlign w:val="center"/>
                </w:tcPr>
                <w:p>
                  <w:pPr>
                    <w:jc w:val="center"/>
                    <w:rPr>
                      <w:rFonts w:hint="default" w:eastAsia="宋体"/>
                      <w:szCs w:val="21"/>
                      <w:lang w:val="en-US" w:eastAsia="zh-CN"/>
                    </w:rPr>
                  </w:pPr>
                  <w:r>
                    <w:rPr>
                      <w:rFonts w:hint="eastAsia"/>
                      <w:szCs w:val="21"/>
                      <w:lang w:val="en-US" w:eastAsia="zh-CN"/>
                    </w:rPr>
                    <w:t>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05" w:type="dxa"/>
                  <w:noWrap w:val="0"/>
                  <w:vAlign w:val="center"/>
                </w:tcPr>
                <w:p>
                  <w:pPr>
                    <w:jc w:val="center"/>
                    <w:rPr>
                      <w:rFonts w:hint="default"/>
                      <w:szCs w:val="21"/>
                      <w:lang w:val="en-US"/>
                    </w:rPr>
                  </w:pPr>
                  <w:r>
                    <w:rPr>
                      <w:rFonts w:hint="eastAsia"/>
                      <w:szCs w:val="21"/>
                      <w:lang w:val="en-US" w:eastAsia="zh-CN"/>
                    </w:rPr>
                    <w:t>2019.07.25</w:t>
                  </w:r>
                </w:p>
              </w:tc>
              <w:tc>
                <w:tcPr>
                  <w:tcW w:w="1119" w:type="dxa"/>
                  <w:vMerge w:val="continue"/>
                  <w:noWrap w:val="0"/>
                  <w:vAlign w:val="center"/>
                </w:tcPr>
                <w:p>
                  <w:pPr>
                    <w:jc w:val="center"/>
                    <w:rPr>
                      <w:rFonts w:hint="eastAsia"/>
                      <w:szCs w:val="21"/>
                    </w:rPr>
                  </w:pPr>
                </w:p>
              </w:tc>
              <w:tc>
                <w:tcPr>
                  <w:tcW w:w="1245" w:type="dxa"/>
                  <w:noWrap w:val="0"/>
                  <w:vAlign w:val="center"/>
                </w:tcPr>
                <w:p>
                  <w:pPr>
                    <w:jc w:val="center"/>
                    <w:rPr>
                      <w:rFonts w:hint="default" w:eastAsia="宋体"/>
                      <w:szCs w:val="21"/>
                      <w:lang w:val="en-US" w:eastAsia="zh-CN"/>
                    </w:rPr>
                  </w:pPr>
                  <w:r>
                    <w:rPr>
                      <w:rFonts w:hint="eastAsia"/>
                      <w:szCs w:val="21"/>
                      <w:lang w:val="en-US" w:eastAsia="zh-CN"/>
                    </w:rPr>
                    <w:t>0.73</w:t>
                  </w:r>
                </w:p>
              </w:tc>
              <w:tc>
                <w:tcPr>
                  <w:tcW w:w="1325" w:type="dxa"/>
                  <w:noWrap w:val="0"/>
                  <w:vAlign w:val="center"/>
                </w:tcPr>
                <w:p>
                  <w:pPr>
                    <w:jc w:val="center"/>
                    <w:rPr>
                      <w:rFonts w:hint="default" w:eastAsia="宋体"/>
                      <w:szCs w:val="21"/>
                      <w:lang w:val="en-US" w:eastAsia="zh-CN"/>
                    </w:rPr>
                  </w:pPr>
                  <w:r>
                    <w:rPr>
                      <w:rFonts w:hint="eastAsia"/>
                      <w:szCs w:val="21"/>
                      <w:lang w:val="en-US" w:eastAsia="zh-CN"/>
                    </w:rPr>
                    <w:t>0.92</w:t>
                  </w:r>
                </w:p>
              </w:tc>
              <w:tc>
                <w:tcPr>
                  <w:tcW w:w="1263" w:type="dxa"/>
                  <w:noWrap w:val="0"/>
                  <w:vAlign w:val="center"/>
                </w:tcPr>
                <w:p>
                  <w:pPr>
                    <w:jc w:val="center"/>
                    <w:rPr>
                      <w:rFonts w:hint="default" w:eastAsia="宋体"/>
                      <w:szCs w:val="21"/>
                      <w:lang w:val="en-US" w:eastAsia="zh-CN"/>
                    </w:rPr>
                  </w:pPr>
                  <w:r>
                    <w:rPr>
                      <w:rFonts w:hint="eastAsia"/>
                      <w:szCs w:val="21"/>
                      <w:lang w:val="en-US" w:eastAsia="zh-CN"/>
                    </w:rPr>
                    <w:t>0.77</w:t>
                  </w:r>
                </w:p>
              </w:tc>
              <w:tc>
                <w:tcPr>
                  <w:tcW w:w="1287" w:type="dxa"/>
                  <w:noWrap w:val="0"/>
                  <w:vAlign w:val="center"/>
                </w:tcPr>
                <w:p>
                  <w:pPr>
                    <w:jc w:val="center"/>
                    <w:rPr>
                      <w:rFonts w:hint="eastAsia"/>
                      <w:szCs w:val="21"/>
                    </w:rPr>
                  </w:pPr>
                  <w:r>
                    <w:rPr>
                      <w:rFonts w:hint="eastAsia"/>
                      <w:szCs w:val="21"/>
                      <w:lang w:val="en-US" w:eastAsia="zh-CN"/>
                    </w:rPr>
                    <w:t>0.83</w:t>
                  </w:r>
                </w:p>
              </w:tc>
              <w:tc>
                <w:tcPr>
                  <w:tcW w:w="1416" w:type="dxa"/>
                  <w:noWrap w:val="0"/>
                  <w:vAlign w:val="center"/>
                </w:tcPr>
                <w:p>
                  <w:pPr>
                    <w:jc w:val="center"/>
                    <w:rPr>
                      <w:rFonts w:hint="default" w:eastAsia="宋体"/>
                      <w:szCs w:val="21"/>
                      <w:lang w:val="en-US" w:eastAsia="zh-CN"/>
                    </w:rPr>
                  </w:pPr>
                  <w:r>
                    <w:rPr>
                      <w:rFonts w:hint="eastAsia"/>
                      <w:szCs w:val="21"/>
                      <w:lang w:val="en-US" w:eastAsia="zh-CN"/>
                    </w:rPr>
                    <w:t>0.066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05" w:type="dxa"/>
                  <w:noWrap w:val="0"/>
                  <w:vAlign w:val="center"/>
                </w:tcPr>
                <w:p>
                  <w:pPr>
                    <w:jc w:val="center"/>
                    <w:rPr>
                      <w:rFonts w:hint="eastAsia"/>
                      <w:szCs w:val="21"/>
                    </w:rPr>
                  </w:pPr>
                  <w:r>
                    <w:rPr>
                      <w:rFonts w:hint="eastAsia"/>
                      <w:szCs w:val="21"/>
                      <w:lang w:val="en-US" w:eastAsia="zh-CN"/>
                    </w:rPr>
                    <w:t>2019.07.19</w:t>
                  </w:r>
                </w:p>
              </w:tc>
              <w:tc>
                <w:tcPr>
                  <w:tcW w:w="1119" w:type="dxa"/>
                  <w:vMerge w:val="restart"/>
                  <w:noWrap w:val="0"/>
                  <w:vAlign w:val="center"/>
                </w:tcPr>
                <w:p>
                  <w:pPr>
                    <w:jc w:val="center"/>
                    <w:rPr>
                      <w:rFonts w:hint="eastAsia"/>
                      <w:szCs w:val="21"/>
                    </w:rPr>
                  </w:pPr>
                  <w:r>
                    <w:rPr>
                      <w:rFonts w:hint="eastAsia"/>
                      <w:szCs w:val="21"/>
                      <w:lang w:val="en-US" w:eastAsia="zh-CN"/>
                    </w:rPr>
                    <w:t>项目地南侧100m处2#</w:t>
                  </w:r>
                </w:p>
              </w:tc>
              <w:tc>
                <w:tcPr>
                  <w:tcW w:w="1245" w:type="dxa"/>
                  <w:noWrap w:val="0"/>
                  <w:vAlign w:val="center"/>
                </w:tcPr>
                <w:p>
                  <w:pPr>
                    <w:jc w:val="center"/>
                    <w:rPr>
                      <w:rFonts w:hint="default" w:eastAsia="宋体"/>
                      <w:szCs w:val="21"/>
                      <w:lang w:val="en-US" w:eastAsia="zh-CN"/>
                    </w:rPr>
                  </w:pPr>
                  <w:r>
                    <w:rPr>
                      <w:rFonts w:hint="eastAsia"/>
                      <w:szCs w:val="21"/>
                      <w:lang w:val="en-US" w:eastAsia="zh-CN"/>
                    </w:rPr>
                    <w:t>0.62</w:t>
                  </w:r>
                </w:p>
              </w:tc>
              <w:tc>
                <w:tcPr>
                  <w:tcW w:w="1325" w:type="dxa"/>
                  <w:noWrap w:val="0"/>
                  <w:vAlign w:val="center"/>
                </w:tcPr>
                <w:p>
                  <w:pPr>
                    <w:jc w:val="center"/>
                    <w:rPr>
                      <w:rFonts w:hint="default" w:eastAsia="宋体"/>
                      <w:szCs w:val="21"/>
                      <w:lang w:val="en-US" w:eastAsia="zh-CN"/>
                    </w:rPr>
                  </w:pPr>
                  <w:r>
                    <w:rPr>
                      <w:rFonts w:hint="eastAsia"/>
                      <w:szCs w:val="21"/>
                      <w:lang w:val="en-US" w:eastAsia="zh-CN"/>
                    </w:rPr>
                    <w:t>0.72</w:t>
                  </w:r>
                </w:p>
              </w:tc>
              <w:tc>
                <w:tcPr>
                  <w:tcW w:w="1263" w:type="dxa"/>
                  <w:noWrap w:val="0"/>
                  <w:vAlign w:val="center"/>
                </w:tcPr>
                <w:p>
                  <w:pPr>
                    <w:jc w:val="center"/>
                    <w:rPr>
                      <w:rFonts w:hint="default" w:eastAsia="宋体"/>
                      <w:szCs w:val="21"/>
                      <w:lang w:val="en-US" w:eastAsia="zh-CN"/>
                    </w:rPr>
                  </w:pPr>
                  <w:r>
                    <w:rPr>
                      <w:rFonts w:hint="eastAsia"/>
                      <w:szCs w:val="21"/>
                      <w:lang w:val="en-US" w:eastAsia="zh-CN"/>
                    </w:rPr>
                    <w:t>0.67</w:t>
                  </w:r>
                </w:p>
              </w:tc>
              <w:tc>
                <w:tcPr>
                  <w:tcW w:w="1287" w:type="dxa"/>
                  <w:noWrap w:val="0"/>
                  <w:vAlign w:val="center"/>
                </w:tcPr>
                <w:p>
                  <w:pPr>
                    <w:jc w:val="center"/>
                    <w:rPr>
                      <w:rFonts w:hint="eastAsia"/>
                      <w:szCs w:val="21"/>
                    </w:rPr>
                  </w:pPr>
                  <w:r>
                    <w:rPr>
                      <w:rFonts w:hint="eastAsia"/>
                      <w:szCs w:val="21"/>
                      <w:lang w:val="en-US" w:eastAsia="zh-CN"/>
                    </w:rPr>
                    <w:t>0.85</w:t>
                  </w:r>
                </w:p>
              </w:tc>
              <w:tc>
                <w:tcPr>
                  <w:tcW w:w="1416" w:type="dxa"/>
                  <w:noWrap w:val="0"/>
                  <w:vAlign w:val="center"/>
                </w:tcPr>
                <w:p>
                  <w:pPr>
                    <w:jc w:val="center"/>
                    <w:rPr>
                      <w:rFonts w:hint="default" w:eastAsia="宋体"/>
                      <w:szCs w:val="21"/>
                      <w:lang w:val="en-US" w:eastAsia="zh-CN"/>
                    </w:rPr>
                  </w:pPr>
                  <w:r>
                    <w:rPr>
                      <w:rFonts w:hint="eastAsia"/>
                      <w:szCs w:val="21"/>
                      <w:lang w:val="en-US" w:eastAsia="zh-CN"/>
                    </w:rPr>
                    <w:t>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05" w:type="dxa"/>
                  <w:noWrap w:val="0"/>
                  <w:vAlign w:val="center"/>
                </w:tcPr>
                <w:p>
                  <w:pPr>
                    <w:jc w:val="center"/>
                    <w:rPr>
                      <w:rFonts w:hint="default"/>
                      <w:szCs w:val="21"/>
                      <w:lang w:val="en-US"/>
                    </w:rPr>
                  </w:pPr>
                  <w:r>
                    <w:rPr>
                      <w:rFonts w:hint="eastAsia"/>
                      <w:szCs w:val="21"/>
                      <w:lang w:val="en-US" w:eastAsia="zh-CN"/>
                    </w:rPr>
                    <w:t>2019.07.20</w:t>
                  </w:r>
                </w:p>
              </w:tc>
              <w:tc>
                <w:tcPr>
                  <w:tcW w:w="1119" w:type="dxa"/>
                  <w:vMerge w:val="continue"/>
                  <w:noWrap w:val="0"/>
                  <w:vAlign w:val="center"/>
                </w:tcPr>
                <w:p>
                  <w:pPr>
                    <w:jc w:val="center"/>
                    <w:rPr>
                      <w:rFonts w:hint="eastAsia"/>
                      <w:szCs w:val="21"/>
                    </w:rPr>
                  </w:pPr>
                </w:p>
              </w:tc>
              <w:tc>
                <w:tcPr>
                  <w:tcW w:w="1245" w:type="dxa"/>
                  <w:noWrap w:val="0"/>
                  <w:vAlign w:val="center"/>
                </w:tcPr>
                <w:p>
                  <w:pPr>
                    <w:jc w:val="center"/>
                    <w:rPr>
                      <w:rFonts w:hint="default" w:eastAsia="宋体"/>
                      <w:szCs w:val="21"/>
                      <w:lang w:val="en-US" w:eastAsia="zh-CN"/>
                    </w:rPr>
                  </w:pPr>
                  <w:r>
                    <w:rPr>
                      <w:rFonts w:hint="eastAsia"/>
                      <w:szCs w:val="21"/>
                      <w:lang w:val="en-US" w:eastAsia="zh-CN"/>
                    </w:rPr>
                    <w:t>0.58</w:t>
                  </w:r>
                </w:p>
              </w:tc>
              <w:tc>
                <w:tcPr>
                  <w:tcW w:w="1325" w:type="dxa"/>
                  <w:noWrap w:val="0"/>
                  <w:vAlign w:val="center"/>
                </w:tcPr>
                <w:p>
                  <w:pPr>
                    <w:jc w:val="center"/>
                    <w:rPr>
                      <w:rFonts w:hint="default" w:eastAsia="宋体"/>
                      <w:szCs w:val="21"/>
                      <w:lang w:val="en-US" w:eastAsia="zh-CN"/>
                    </w:rPr>
                  </w:pPr>
                  <w:r>
                    <w:rPr>
                      <w:rFonts w:hint="eastAsia"/>
                      <w:szCs w:val="21"/>
                      <w:lang w:val="en-US" w:eastAsia="zh-CN"/>
                    </w:rPr>
                    <w:t>0.64</w:t>
                  </w:r>
                </w:p>
              </w:tc>
              <w:tc>
                <w:tcPr>
                  <w:tcW w:w="1263" w:type="dxa"/>
                  <w:noWrap w:val="0"/>
                  <w:vAlign w:val="center"/>
                </w:tcPr>
                <w:p>
                  <w:pPr>
                    <w:jc w:val="center"/>
                    <w:rPr>
                      <w:rFonts w:hint="default" w:eastAsia="宋体"/>
                      <w:szCs w:val="21"/>
                      <w:lang w:val="en-US" w:eastAsia="zh-CN"/>
                    </w:rPr>
                  </w:pPr>
                  <w:r>
                    <w:rPr>
                      <w:rFonts w:hint="eastAsia"/>
                      <w:szCs w:val="21"/>
                      <w:lang w:val="en-US" w:eastAsia="zh-CN"/>
                    </w:rPr>
                    <w:t>0.75</w:t>
                  </w:r>
                </w:p>
              </w:tc>
              <w:tc>
                <w:tcPr>
                  <w:tcW w:w="1287" w:type="dxa"/>
                  <w:noWrap w:val="0"/>
                  <w:vAlign w:val="center"/>
                </w:tcPr>
                <w:p>
                  <w:pPr>
                    <w:jc w:val="center"/>
                    <w:rPr>
                      <w:rFonts w:hint="eastAsia"/>
                      <w:szCs w:val="21"/>
                    </w:rPr>
                  </w:pPr>
                  <w:r>
                    <w:rPr>
                      <w:rFonts w:hint="eastAsia"/>
                      <w:szCs w:val="21"/>
                      <w:lang w:val="en-US" w:eastAsia="zh-CN"/>
                    </w:rPr>
                    <w:t>0.64</w:t>
                  </w:r>
                </w:p>
              </w:tc>
              <w:tc>
                <w:tcPr>
                  <w:tcW w:w="1416" w:type="dxa"/>
                  <w:noWrap w:val="0"/>
                  <w:vAlign w:val="center"/>
                </w:tcPr>
                <w:p>
                  <w:pPr>
                    <w:jc w:val="center"/>
                    <w:rPr>
                      <w:rFonts w:hint="default" w:eastAsia="宋体"/>
                      <w:szCs w:val="21"/>
                      <w:lang w:val="en-US" w:eastAsia="zh-CN"/>
                    </w:rPr>
                  </w:pPr>
                  <w:r>
                    <w:rPr>
                      <w:rFonts w:hint="eastAsia"/>
                      <w:szCs w:val="21"/>
                      <w:lang w:val="en-US" w:eastAsia="zh-CN"/>
                    </w:rPr>
                    <w:t>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05" w:type="dxa"/>
                  <w:noWrap w:val="0"/>
                  <w:vAlign w:val="center"/>
                </w:tcPr>
                <w:p>
                  <w:pPr>
                    <w:jc w:val="center"/>
                    <w:rPr>
                      <w:rFonts w:hint="default"/>
                      <w:szCs w:val="21"/>
                      <w:lang w:val="en-US"/>
                    </w:rPr>
                  </w:pPr>
                  <w:r>
                    <w:rPr>
                      <w:rFonts w:hint="eastAsia"/>
                      <w:szCs w:val="21"/>
                      <w:lang w:val="en-US" w:eastAsia="zh-CN"/>
                    </w:rPr>
                    <w:t>2019.07.21</w:t>
                  </w:r>
                </w:p>
              </w:tc>
              <w:tc>
                <w:tcPr>
                  <w:tcW w:w="1119" w:type="dxa"/>
                  <w:vMerge w:val="continue"/>
                  <w:noWrap w:val="0"/>
                  <w:vAlign w:val="center"/>
                </w:tcPr>
                <w:p>
                  <w:pPr>
                    <w:jc w:val="center"/>
                    <w:rPr>
                      <w:rFonts w:hint="eastAsia"/>
                      <w:szCs w:val="21"/>
                    </w:rPr>
                  </w:pPr>
                </w:p>
              </w:tc>
              <w:tc>
                <w:tcPr>
                  <w:tcW w:w="1245" w:type="dxa"/>
                  <w:noWrap w:val="0"/>
                  <w:vAlign w:val="center"/>
                </w:tcPr>
                <w:p>
                  <w:pPr>
                    <w:jc w:val="center"/>
                    <w:rPr>
                      <w:rFonts w:hint="default" w:eastAsia="宋体"/>
                      <w:szCs w:val="21"/>
                      <w:lang w:val="en-US" w:eastAsia="zh-CN"/>
                    </w:rPr>
                  </w:pPr>
                  <w:r>
                    <w:rPr>
                      <w:rFonts w:hint="eastAsia"/>
                      <w:szCs w:val="21"/>
                      <w:lang w:val="en-US" w:eastAsia="zh-CN"/>
                    </w:rPr>
                    <w:t>0.85</w:t>
                  </w:r>
                </w:p>
              </w:tc>
              <w:tc>
                <w:tcPr>
                  <w:tcW w:w="1325" w:type="dxa"/>
                  <w:noWrap w:val="0"/>
                  <w:vAlign w:val="center"/>
                </w:tcPr>
                <w:p>
                  <w:pPr>
                    <w:jc w:val="center"/>
                    <w:rPr>
                      <w:rFonts w:hint="default" w:eastAsia="宋体"/>
                      <w:szCs w:val="21"/>
                      <w:lang w:val="en-US" w:eastAsia="zh-CN"/>
                    </w:rPr>
                  </w:pPr>
                  <w:r>
                    <w:rPr>
                      <w:rFonts w:hint="eastAsia"/>
                      <w:szCs w:val="21"/>
                      <w:lang w:val="en-US" w:eastAsia="zh-CN"/>
                    </w:rPr>
                    <w:t>0.95</w:t>
                  </w:r>
                </w:p>
              </w:tc>
              <w:tc>
                <w:tcPr>
                  <w:tcW w:w="1263" w:type="dxa"/>
                  <w:noWrap w:val="0"/>
                  <w:vAlign w:val="center"/>
                </w:tcPr>
                <w:p>
                  <w:pPr>
                    <w:jc w:val="center"/>
                    <w:rPr>
                      <w:rFonts w:hint="default" w:eastAsia="宋体"/>
                      <w:szCs w:val="21"/>
                      <w:lang w:val="en-US" w:eastAsia="zh-CN"/>
                    </w:rPr>
                  </w:pPr>
                  <w:r>
                    <w:rPr>
                      <w:rFonts w:hint="eastAsia"/>
                      <w:szCs w:val="21"/>
                      <w:lang w:val="en-US" w:eastAsia="zh-CN"/>
                    </w:rPr>
                    <w:t>0.87</w:t>
                  </w:r>
                </w:p>
              </w:tc>
              <w:tc>
                <w:tcPr>
                  <w:tcW w:w="1287" w:type="dxa"/>
                  <w:noWrap w:val="0"/>
                  <w:vAlign w:val="center"/>
                </w:tcPr>
                <w:p>
                  <w:pPr>
                    <w:jc w:val="center"/>
                    <w:rPr>
                      <w:rFonts w:hint="eastAsia"/>
                      <w:szCs w:val="21"/>
                    </w:rPr>
                  </w:pPr>
                  <w:r>
                    <w:rPr>
                      <w:rFonts w:hint="eastAsia"/>
                      <w:szCs w:val="21"/>
                      <w:lang w:val="en-US" w:eastAsia="zh-CN"/>
                    </w:rPr>
                    <w:t>0.91</w:t>
                  </w:r>
                </w:p>
              </w:tc>
              <w:tc>
                <w:tcPr>
                  <w:tcW w:w="1416" w:type="dxa"/>
                  <w:noWrap w:val="0"/>
                  <w:vAlign w:val="center"/>
                </w:tcPr>
                <w:p>
                  <w:pPr>
                    <w:jc w:val="center"/>
                    <w:rPr>
                      <w:rFonts w:hint="default" w:eastAsia="宋体"/>
                      <w:szCs w:val="21"/>
                      <w:lang w:val="en-US" w:eastAsia="zh-CN"/>
                    </w:rPr>
                  </w:pPr>
                  <w:r>
                    <w:rPr>
                      <w:rFonts w:hint="eastAsia"/>
                      <w:szCs w:val="21"/>
                      <w:lang w:val="en-US" w:eastAsia="zh-CN"/>
                    </w:rPr>
                    <w:t>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05" w:type="dxa"/>
                  <w:noWrap w:val="0"/>
                  <w:vAlign w:val="center"/>
                </w:tcPr>
                <w:p>
                  <w:pPr>
                    <w:jc w:val="center"/>
                    <w:rPr>
                      <w:rFonts w:hint="eastAsia"/>
                      <w:szCs w:val="21"/>
                    </w:rPr>
                  </w:pPr>
                  <w:r>
                    <w:rPr>
                      <w:rFonts w:hint="eastAsia"/>
                      <w:szCs w:val="21"/>
                      <w:lang w:val="en-US" w:eastAsia="zh-CN"/>
                    </w:rPr>
                    <w:t>2019.07.22</w:t>
                  </w:r>
                </w:p>
              </w:tc>
              <w:tc>
                <w:tcPr>
                  <w:tcW w:w="1119" w:type="dxa"/>
                  <w:vMerge w:val="continue"/>
                  <w:noWrap w:val="0"/>
                  <w:vAlign w:val="center"/>
                </w:tcPr>
                <w:p>
                  <w:pPr>
                    <w:jc w:val="center"/>
                    <w:rPr>
                      <w:rFonts w:hint="eastAsia"/>
                      <w:szCs w:val="21"/>
                    </w:rPr>
                  </w:pPr>
                </w:p>
              </w:tc>
              <w:tc>
                <w:tcPr>
                  <w:tcW w:w="1245" w:type="dxa"/>
                  <w:noWrap w:val="0"/>
                  <w:vAlign w:val="center"/>
                </w:tcPr>
                <w:p>
                  <w:pPr>
                    <w:jc w:val="center"/>
                    <w:rPr>
                      <w:rFonts w:hint="default" w:eastAsia="宋体"/>
                      <w:szCs w:val="21"/>
                      <w:lang w:val="en-US" w:eastAsia="zh-CN"/>
                    </w:rPr>
                  </w:pPr>
                  <w:r>
                    <w:rPr>
                      <w:rFonts w:hint="eastAsia"/>
                      <w:szCs w:val="21"/>
                      <w:lang w:val="en-US" w:eastAsia="zh-CN"/>
                    </w:rPr>
                    <w:t>0.87</w:t>
                  </w:r>
                </w:p>
              </w:tc>
              <w:tc>
                <w:tcPr>
                  <w:tcW w:w="1325" w:type="dxa"/>
                  <w:noWrap w:val="0"/>
                  <w:vAlign w:val="center"/>
                </w:tcPr>
                <w:p>
                  <w:pPr>
                    <w:jc w:val="center"/>
                    <w:rPr>
                      <w:rFonts w:hint="default" w:eastAsia="宋体"/>
                      <w:szCs w:val="21"/>
                      <w:lang w:val="en-US" w:eastAsia="zh-CN"/>
                    </w:rPr>
                  </w:pPr>
                  <w:r>
                    <w:rPr>
                      <w:rFonts w:hint="eastAsia"/>
                      <w:szCs w:val="21"/>
                      <w:lang w:val="en-US" w:eastAsia="zh-CN"/>
                    </w:rPr>
                    <w:t>0.73</w:t>
                  </w:r>
                </w:p>
              </w:tc>
              <w:tc>
                <w:tcPr>
                  <w:tcW w:w="1263" w:type="dxa"/>
                  <w:noWrap w:val="0"/>
                  <w:vAlign w:val="center"/>
                </w:tcPr>
                <w:p>
                  <w:pPr>
                    <w:jc w:val="center"/>
                    <w:rPr>
                      <w:rFonts w:hint="default" w:eastAsia="宋体"/>
                      <w:szCs w:val="21"/>
                      <w:lang w:val="en-US" w:eastAsia="zh-CN"/>
                    </w:rPr>
                  </w:pPr>
                  <w:r>
                    <w:rPr>
                      <w:rFonts w:hint="eastAsia"/>
                      <w:szCs w:val="21"/>
                      <w:lang w:val="en-US" w:eastAsia="zh-CN"/>
                    </w:rPr>
                    <w:t>0.76</w:t>
                  </w:r>
                </w:p>
              </w:tc>
              <w:tc>
                <w:tcPr>
                  <w:tcW w:w="1287" w:type="dxa"/>
                  <w:noWrap w:val="0"/>
                  <w:vAlign w:val="center"/>
                </w:tcPr>
                <w:p>
                  <w:pPr>
                    <w:jc w:val="center"/>
                    <w:rPr>
                      <w:rFonts w:hint="eastAsia"/>
                      <w:szCs w:val="21"/>
                    </w:rPr>
                  </w:pPr>
                  <w:r>
                    <w:rPr>
                      <w:rFonts w:hint="eastAsia"/>
                      <w:szCs w:val="21"/>
                      <w:lang w:val="en-US" w:eastAsia="zh-CN"/>
                    </w:rPr>
                    <w:t>0.88</w:t>
                  </w:r>
                </w:p>
              </w:tc>
              <w:tc>
                <w:tcPr>
                  <w:tcW w:w="1416" w:type="dxa"/>
                  <w:noWrap w:val="0"/>
                  <w:vAlign w:val="center"/>
                </w:tcPr>
                <w:p>
                  <w:pPr>
                    <w:jc w:val="center"/>
                    <w:rPr>
                      <w:rFonts w:hint="default" w:eastAsia="宋体"/>
                      <w:szCs w:val="21"/>
                      <w:lang w:val="en-US" w:eastAsia="zh-CN"/>
                    </w:rPr>
                  </w:pPr>
                  <w:r>
                    <w:rPr>
                      <w:rFonts w:hint="eastAsia"/>
                      <w:szCs w:val="21"/>
                      <w:lang w:val="en-US" w:eastAsia="zh-CN"/>
                    </w:rPr>
                    <w:t>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205" w:type="dxa"/>
                  <w:noWrap w:val="0"/>
                  <w:vAlign w:val="center"/>
                </w:tcPr>
                <w:p>
                  <w:pPr>
                    <w:jc w:val="center"/>
                    <w:rPr>
                      <w:rFonts w:hint="eastAsia"/>
                      <w:szCs w:val="21"/>
                    </w:rPr>
                  </w:pPr>
                  <w:r>
                    <w:rPr>
                      <w:rFonts w:hint="eastAsia"/>
                      <w:szCs w:val="21"/>
                      <w:lang w:val="en-US" w:eastAsia="zh-CN"/>
                    </w:rPr>
                    <w:t>2019.07.23</w:t>
                  </w:r>
                </w:p>
              </w:tc>
              <w:tc>
                <w:tcPr>
                  <w:tcW w:w="1119" w:type="dxa"/>
                  <w:vMerge w:val="continue"/>
                  <w:noWrap w:val="0"/>
                  <w:vAlign w:val="center"/>
                </w:tcPr>
                <w:p>
                  <w:pPr>
                    <w:jc w:val="center"/>
                    <w:rPr>
                      <w:rFonts w:hint="eastAsia"/>
                      <w:szCs w:val="21"/>
                    </w:rPr>
                  </w:pPr>
                </w:p>
              </w:tc>
              <w:tc>
                <w:tcPr>
                  <w:tcW w:w="1245" w:type="dxa"/>
                  <w:noWrap w:val="0"/>
                  <w:vAlign w:val="center"/>
                </w:tcPr>
                <w:p>
                  <w:pPr>
                    <w:jc w:val="center"/>
                    <w:rPr>
                      <w:rFonts w:hint="default" w:eastAsia="宋体"/>
                      <w:szCs w:val="21"/>
                      <w:lang w:val="en-US" w:eastAsia="zh-CN"/>
                    </w:rPr>
                  </w:pPr>
                  <w:r>
                    <w:rPr>
                      <w:rFonts w:hint="eastAsia"/>
                      <w:szCs w:val="21"/>
                      <w:lang w:val="en-US" w:eastAsia="zh-CN"/>
                    </w:rPr>
                    <w:t>0.72</w:t>
                  </w:r>
                </w:p>
              </w:tc>
              <w:tc>
                <w:tcPr>
                  <w:tcW w:w="1325" w:type="dxa"/>
                  <w:noWrap w:val="0"/>
                  <w:vAlign w:val="center"/>
                </w:tcPr>
                <w:p>
                  <w:pPr>
                    <w:jc w:val="center"/>
                    <w:rPr>
                      <w:rFonts w:hint="default" w:eastAsia="宋体"/>
                      <w:szCs w:val="21"/>
                      <w:lang w:val="en-US" w:eastAsia="zh-CN"/>
                    </w:rPr>
                  </w:pPr>
                  <w:r>
                    <w:rPr>
                      <w:rFonts w:hint="eastAsia"/>
                      <w:szCs w:val="21"/>
                      <w:lang w:val="en-US" w:eastAsia="zh-CN"/>
                    </w:rPr>
                    <w:t>0.78</w:t>
                  </w:r>
                </w:p>
              </w:tc>
              <w:tc>
                <w:tcPr>
                  <w:tcW w:w="1263" w:type="dxa"/>
                  <w:noWrap w:val="0"/>
                  <w:vAlign w:val="center"/>
                </w:tcPr>
                <w:p>
                  <w:pPr>
                    <w:jc w:val="center"/>
                    <w:rPr>
                      <w:rFonts w:hint="default" w:eastAsia="宋体"/>
                      <w:szCs w:val="21"/>
                      <w:lang w:val="en-US" w:eastAsia="zh-CN"/>
                    </w:rPr>
                  </w:pPr>
                  <w:r>
                    <w:rPr>
                      <w:rFonts w:hint="eastAsia"/>
                      <w:szCs w:val="21"/>
                      <w:lang w:val="en-US" w:eastAsia="zh-CN"/>
                    </w:rPr>
                    <w:t>0.85</w:t>
                  </w:r>
                </w:p>
              </w:tc>
              <w:tc>
                <w:tcPr>
                  <w:tcW w:w="1287" w:type="dxa"/>
                  <w:noWrap w:val="0"/>
                  <w:vAlign w:val="center"/>
                </w:tcPr>
                <w:p>
                  <w:pPr>
                    <w:jc w:val="center"/>
                    <w:rPr>
                      <w:rFonts w:hint="eastAsia"/>
                      <w:szCs w:val="21"/>
                    </w:rPr>
                  </w:pPr>
                  <w:r>
                    <w:rPr>
                      <w:rFonts w:hint="eastAsia"/>
                      <w:szCs w:val="21"/>
                      <w:lang w:val="en-US" w:eastAsia="zh-CN"/>
                    </w:rPr>
                    <w:t>0.92</w:t>
                  </w:r>
                </w:p>
              </w:tc>
              <w:tc>
                <w:tcPr>
                  <w:tcW w:w="1416" w:type="dxa"/>
                  <w:noWrap w:val="0"/>
                  <w:vAlign w:val="center"/>
                </w:tcPr>
                <w:p>
                  <w:pPr>
                    <w:jc w:val="center"/>
                    <w:rPr>
                      <w:rFonts w:hint="default" w:eastAsia="宋体"/>
                      <w:szCs w:val="21"/>
                      <w:lang w:val="en-US" w:eastAsia="zh-CN"/>
                    </w:rPr>
                  </w:pPr>
                  <w:r>
                    <w:rPr>
                      <w:rFonts w:hint="eastAsia"/>
                      <w:szCs w:val="21"/>
                      <w:lang w:val="en-US" w:eastAsia="zh-CN"/>
                    </w:rPr>
                    <w:t>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205" w:type="dxa"/>
                  <w:noWrap w:val="0"/>
                  <w:vAlign w:val="center"/>
                </w:tcPr>
                <w:p>
                  <w:pPr>
                    <w:jc w:val="center"/>
                    <w:rPr>
                      <w:rFonts w:hint="eastAsia"/>
                      <w:szCs w:val="21"/>
                    </w:rPr>
                  </w:pPr>
                  <w:r>
                    <w:rPr>
                      <w:rFonts w:hint="eastAsia"/>
                      <w:szCs w:val="21"/>
                      <w:lang w:val="en-US" w:eastAsia="zh-CN"/>
                    </w:rPr>
                    <w:t>2019.07.24</w:t>
                  </w:r>
                </w:p>
              </w:tc>
              <w:tc>
                <w:tcPr>
                  <w:tcW w:w="1119" w:type="dxa"/>
                  <w:vMerge w:val="continue"/>
                  <w:noWrap w:val="0"/>
                  <w:vAlign w:val="center"/>
                </w:tcPr>
                <w:p>
                  <w:pPr>
                    <w:jc w:val="center"/>
                    <w:rPr>
                      <w:rFonts w:hint="eastAsia"/>
                      <w:szCs w:val="21"/>
                    </w:rPr>
                  </w:pPr>
                </w:p>
              </w:tc>
              <w:tc>
                <w:tcPr>
                  <w:tcW w:w="1245" w:type="dxa"/>
                  <w:noWrap w:val="0"/>
                  <w:vAlign w:val="center"/>
                </w:tcPr>
                <w:p>
                  <w:pPr>
                    <w:jc w:val="center"/>
                    <w:rPr>
                      <w:rFonts w:hint="default" w:eastAsia="宋体"/>
                      <w:szCs w:val="21"/>
                      <w:lang w:val="en-US" w:eastAsia="zh-CN"/>
                    </w:rPr>
                  </w:pPr>
                  <w:r>
                    <w:rPr>
                      <w:rFonts w:hint="eastAsia"/>
                      <w:szCs w:val="21"/>
                      <w:lang w:val="en-US" w:eastAsia="zh-CN"/>
                    </w:rPr>
                    <w:t>0.80</w:t>
                  </w:r>
                </w:p>
              </w:tc>
              <w:tc>
                <w:tcPr>
                  <w:tcW w:w="1325" w:type="dxa"/>
                  <w:noWrap w:val="0"/>
                  <w:vAlign w:val="center"/>
                </w:tcPr>
                <w:p>
                  <w:pPr>
                    <w:jc w:val="center"/>
                    <w:rPr>
                      <w:rFonts w:hint="default" w:eastAsia="宋体"/>
                      <w:szCs w:val="21"/>
                      <w:lang w:val="en-US" w:eastAsia="zh-CN"/>
                    </w:rPr>
                  </w:pPr>
                  <w:r>
                    <w:rPr>
                      <w:rFonts w:hint="eastAsia"/>
                      <w:szCs w:val="21"/>
                      <w:lang w:val="en-US" w:eastAsia="zh-CN"/>
                    </w:rPr>
                    <w:t>1.04</w:t>
                  </w:r>
                </w:p>
              </w:tc>
              <w:tc>
                <w:tcPr>
                  <w:tcW w:w="1263" w:type="dxa"/>
                  <w:noWrap w:val="0"/>
                  <w:vAlign w:val="center"/>
                </w:tcPr>
                <w:p>
                  <w:pPr>
                    <w:jc w:val="center"/>
                    <w:rPr>
                      <w:rFonts w:hint="default" w:eastAsia="宋体"/>
                      <w:szCs w:val="21"/>
                      <w:lang w:val="en-US" w:eastAsia="zh-CN"/>
                    </w:rPr>
                  </w:pPr>
                  <w:r>
                    <w:rPr>
                      <w:rFonts w:hint="eastAsia"/>
                      <w:szCs w:val="21"/>
                      <w:lang w:val="en-US" w:eastAsia="zh-CN"/>
                    </w:rPr>
                    <w:t>1.01</w:t>
                  </w:r>
                </w:p>
              </w:tc>
              <w:tc>
                <w:tcPr>
                  <w:tcW w:w="1287" w:type="dxa"/>
                  <w:noWrap w:val="0"/>
                  <w:vAlign w:val="center"/>
                </w:tcPr>
                <w:p>
                  <w:pPr>
                    <w:jc w:val="center"/>
                    <w:rPr>
                      <w:rFonts w:hint="eastAsia"/>
                      <w:szCs w:val="21"/>
                    </w:rPr>
                  </w:pPr>
                  <w:r>
                    <w:rPr>
                      <w:rFonts w:hint="eastAsia"/>
                      <w:szCs w:val="21"/>
                      <w:lang w:val="en-US" w:eastAsia="zh-CN"/>
                    </w:rPr>
                    <w:t>0.81</w:t>
                  </w:r>
                </w:p>
              </w:tc>
              <w:tc>
                <w:tcPr>
                  <w:tcW w:w="1416" w:type="dxa"/>
                  <w:noWrap w:val="0"/>
                  <w:vAlign w:val="center"/>
                </w:tcPr>
                <w:p>
                  <w:pPr>
                    <w:jc w:val="center"/>
                    <w:rPr>
                      <w:rFonts w:hint="default" w:eastAsia="宋体"/>
                      <w:szCs w:val="21"/>
                      <w:lang w:val="en-US" w:eastAsia="zh-CN"/>
                    </w:rPr>
                  </w:pPr>
                  <w:r>
                    <w:rPr>
                      <w:rFonts w:hint="eastAsia"/>
                      <w:szCs w:val="21"/>
                      <w:lang w:val="en-US" w:eastAsia="zh-CN"/>
                    </w:rPr>
                    <w:t>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205" w:type="dxa"/>
                  <w:noWrap w:val="0"/>
                  <w:vAlign w:val="center"/>
                </w:tcPr>
                <w:p>
                  <w:pPr>
                    <w:jc w:val="center"/>
                    <w:rPr>
                      <w:rFonts w:hint="eastAsia"/>
                      <w:szCs w:val="21"/>
                    </w:rPr>
                  </w:pPr>
                  <w:r>
                    <w:rPr>
                      <w:rFonts w:hint="eastAsia"/>
                      <w:szCs w:val="21"/>
                      <w:lang w:val="en-US" w:eastAsia="zh-CN"/>
                    </w:rPr>
                    <w:t>2019.07.25</w:t>
                  </w:r>
                </w:p>
              </w:tc>
              <w:tc>
                <w:tcPr>
                  <w:tcW w:w="1119" w:type="dxa"/>
                  <w:vMerge w:val="continue"/>
                  <w:noWrap w:val="0"/>
                  <w:vAlign w:val="center"/>
                </w:tcPr>
                <w:p>
                  <w:pPr>
                    <w:jc w:val="center"/>
                    <w:rPr>
                      <w:rFonts w:hint="eastAsia"/>
                      <w:szCs w:val="21"/>
                    </w:rPr>
                  </w:pPr>
                </w:p>
              </w:tc>
              <w:tc>
                <w:tcPr>
                  <w:tcW w:w="1245" w:type="dxa"/>
                  <w:noWrap w:val="0"/>
                  <w:vAlign w:val="center"/>
                </w:tcPr>
                <w:p>
                  <w:pPr>
                    <w:jc w:val="center"/>
                    <w:rPr>
                      <w:rFonts w:hint="default" w:eastAsia="宋体"/>
                      <w:szCs w:val="21"/>
                      <w:lang w:val="en-US" w:eastAsia="zh-CN"/>
                    </w:rPr>
                  </w:pPr>
                  <w:r>
                    <w:rPr>
                      <w:rFonts w:hint="eastAsia"/>
                      <w:szCs w:val="21"/>
                      <w:lang w:val="en-US" w:eastAsia="zh-CN"/>
                    </w:rPr>
                    <w:t>0.76</w:t>
                  </w:r>
                </w:p>
              </w:tc>
              <w:tc>
                <w:tcPr>
                  <w:tcW w:w="1325" w:type="dxa"/>
                  <w:noWrap w:val="0"/>
                  <w:vAlign w:val="center"/>
                </w:tcPr>
                <w:p>
                  <w:pPr>
                    <w:jc w:val="center"/>
                    <w:rPr>
                      <w:rFonts w:hint="default" w:eastAsia="宋体"/>
                      <w:szCs w:val="21"/>
                      <w:lang w:val="en-US" w:eastAsia="zh-CN"/>
                    </w:rPr>
                  </w:pPr>
                  <w:r>
                    <w:rPr>
                      <w:rFonts w:hint="eastAsia"/>
                      <w:szCs w:val="21"/>
                      <w:lang w:val="en-US" w:eastAsia="zh-CN"/>
                    </w:rPr>
                    <w:t>0.72</w:t>
                  </w:r>
                </w:p>
              </w:tc>
              <w:tc>
                <w:tcPr>
                  <w:tcW w:w="1263" w:type="dxa"/>
                  <w:noWrap w:val="0"/>
                  <w:vAlign w:val="center"/>
                </w:tcPr>
                <w:p>
                  <w:pPr>
                    <w:jc w:val="center"/>
                    <w:rPr>
                      <w:rFonts w:hint="default" w:eastAsia="宋体"/>
                      <w:szCs w:val="21"/>
                      <w:lang w:val="en-US" w:eastAsia="zh-CN"/>
                    </w:rPr>
                  </w:pPr>
                  <w:r>
                    <w:rPr>
                      <w:rFonts w:hint="eastAsia"/>
                      <w:szCs w:val="21"/>
                      <w:lang w:val="en-US" w:eastAsia="zh-CN"/>
                    </w:rPr>
                    <w:t>0.80</w:t>
                  </w:r>
                </w:p>
              </w:tc>
              <w:tc>
                <w:tcPr>
                  <w:tcW w:w="1287" w:type="dxa"/>
                  <w:noWrap w:val="0"/>
                  <w:vAlign w:val="center"/>
                </w:tcPr>
                <w:p>
                  <w:pPr>
                    <w:jc w:val="center"/>
                    <w:rPr>
                      <w:rFonts w:hint="eastAsia"/>
                      <w:szCs w:val="21"/>
                    </w:rPr>
                  </w:pPr>
                  <w:r>
                    <w:rPr>
                      <w:rFonts w:hint="eastAsia"/>
                      <w:szCs w:val="21"/>
                      <w:lang w:val="en-US" w:eastAsia="zh-CN"/>
                    </w:rPr>
                    <w:t>0.76</w:t>
                  </w:r>
                </w:p>
              </w:tc>
              <w:tc>
                <w:tcPr>
                  <w:tcW w:w="1416" w:type="dxa"/>
                  <w:noWrap w:val="0"/>
                  <w:vAlign w:val="center"/>
                </w:tcPr>
                <w:p>
                  <w:pPr>
                    <w:jc w:val="center"/>
                    <w:rPr>
                      <w:rFonts w:hint="default" w:eastAsia="宋体"/>
                      <w:szCs w:val="21"/>
                      <w:lang w:val="en-US" w:eastAsia="zh-CN"/>
                    </w:rPr>
                  </w:pPr>
                  <w:r>
                    <w:rPr>
                      <w:rFonts w:hint="eastAsia"/>
                      <w:szCs w:val="21"/>
                      <w:lang w:val="en-US" w:eastAsia="zh-CN"/>
                    </w:rPr>
                    <w:t>0.063</w:t>
                  </w:r>
                </w:p>
              </w:tc>
            </w:tr>
          </w:tbl>
          <w:p>
            <w:pPr>
              <w:pStyle w:val="202"/>
              <w:adjustRightInd w:val="0"/>
              <w:spacing w:before="0" w:after="0" w:line="360" w:lineRule="auto"/>
              <w:ind w:firstLine="550" w:firstLineChars="250"/>
              <w:rPr>
                <w:rFonts w:hint="eastAsia" w:ascii="宋体" w:hAnsi="宋体" w:eastAsia="宋体"/>
                <w:bCs w:val="0"/>
                <w:color w:val="auto"/>
                <w:kern w:val="0"/>
                <w:szCs w:val="24"/>
              </w:rPr>
            </w:pPr>
            <w:r>
              <w:rPr>
                <w:rFonts w:ascii="宋体" w:hAnsi="宋体" w:eastAsia="宋体"/>
                <w:bCs w:val="0"/>
                <w:color w:val="000000"/>
                <w:kern w:val="0"/>
                <w:szCs w:val="24"/>
              </w:rPr>
              <w:t>根据以上现状监测统计分析可见：</w:t>
            </w:r>
            <w:r>
              <w:rPr>
                <w:rFonts w:hint="eastAsia" w:ascii="宋体" w:hAnsi="宋体" w:eastAsia="宋体"/>
                <w:bCs w:val="0"/>
                <w:color w:val="000000"/>
                <w:kern w:val="0"/>
                <w:szCs w:val="24"/>
              </w:rPr>
              <w:t>本项目所处区域的SO</w:t>
            </w:r>
            <w:r>
              <w:rPr>
                <w:rFonts w:hint="eastAsia" w:ascii="宋体" w:hAnsi="宋体" w:eastAsia="宋体"/>
                <w:bCs w:val="0"/>
                <w:color w:val="000000"/>
                <w:kern w:val="0"/>
                <w:szCs w:val="24"/>
                <w:vertAlign w:val="subscript"/>
              </w:rPr>
              <w:t>2</w:t>
            </w:r>
            <w:r>
              <w:rPr>
                <w:rFonts w:hint="eastAsia" w:ascii="宋体" w:hAnsi="宋体" w:eastAsia="宋体"/>
                <w:bCs w:val="0"/>
                <w:color w:val="000000"/>
                <w:kern w:val="0"/>
                <w:szCs w:val="24"/>
              </w:rPr>
              <w:t>、NO</w:t>
            </w:r>
            <w:r>
              <w:rPr>
                <w:rFonts w:hint="eastAsia" w:ascii="宋体" w:hAnsi="宋体" w:eastAsia="宋体"/>
                <w:bCs w:val="0"/>
                <w:color w:val="000000"/>
                <w:kern w:val="0"/>
                <w:szCs w:val="24"/>
                <w:vertAlign w:val="subscript"/>
              </w:rPr>
              <w:t>2</w:t>
            </w:r>
            <w:r>
              <w:rPr>
                <w:rFonts w:hint="eastAsia" w:ascii="宋体" w:hAnsi="宋体" w:eastAsia="宋体"/>
                <w:bCs w:val="0"/>
                <w:color w:val="000000"/>
                <w:kern w:val="0"/>
                <w:szCs w:val="24"/>
              </w:rPr>
              <w:t>、</w:t>
            </w:r>
            <w:r>
              <w:rPr>
                <w:rFonts w:hint="eastAsia" w:ascii="宋体" w:hAnsi="宋体" w:eastAsia="宋体"/>
                <w:bCs w:val="0"/>
                <w:color w:val="000000"/>
                <w:kern w:val="0"/>
                <w:szCs w:val="24"/>
                <w:lang w:eastAsia="zh-CN"/>
              </w:rPr>
              <w:t>颗粒物</w:t>
            </w:r>
            <w:r>
              <w:rPr>
                <w:rFonts w:hint="eastAsia" w:ascii="宋体" w:hAnsi="宋体" w:eastAsia="宋体"/>
                <w:bCs w:val="0"/>
                <w:color w:val="000000"/>
                <w:kern w:val="0"/>
                <w:szCs w:val="24"/>
              </w:rPr>
              <w:t>都满足《环境空气质量标准》</w:t>
            </w:r>
            <w:r>
              <w:rPr>
                <w:rFonts w:hint="eastAsia" w:ascii="Times New Roman" w:hAnsi="Times New Roman" w:eastAsia="宋体" w:cs="Times New Roman"/>
                <w:b w:val="0"/>
                <w:bCs/>
                <w:color w:val="000000"/>
                <w:kern w:val="0"/>
                <w:szCs w:val="24"/>
                <w:lang w:val="en-US" w:eastAsia="zh-CN"/>
              </w:rPr>
              <w:t>（GB3095-2012）</w:t>
            </w:r>
            <w:r>
              <w:rPr>
                <w:rFonts w:hint="eastAsia" w:ascii="宋体" w:hAnsi="宋体" w:eastAsia="宋体"/>
                <w:bCs w:val="0"/>
                <w:color w:val="000000"/>
                <w:kern w:val="0"/>
                <w:szCs w:val="24"/>
              </w:rPr>
              <w:t>二级标准</w:t>
            </w:r>
            <w:r>
              <w:rPr>
                <w:rFonts w:hint="eastAsia" w:ascii="宋体" w:hAnsi="宋体" w:eastAsia="宋体"/>
                <w:bCs w:val="0"/>
                <w:color w:val="000000"/>
                <w:kern w:val="0"/>
                <w:szCs w:val="24"/>
                <w:lang w:eastAsia="zh-CN"/>
              </w:rPr>
              <w:t>，</w:t>
            </w:r>
            <w:r>
              <w:rPr>
                <w:rFonts w:hint="eastAsia" w:ascii="宋体" w:hAnsi="宋体" w:eastAsia="宋体"/>
                <w:bCs/>
                <w:color w:val="000000"/>
                <w:kern w:val="0"/>
                <w:szCs w:val="24"/>
              </w:rPr>
              <w:t>非甲烷总烃满足</w:t>
            </w:r>
            <w:r>
              <w:rPr>
                <w:rFonts w:hint="default" w:ascii="Times New Roman" w:hAnsi="Times New Roman" w:eastAsia="宋体" w:cs="Times New Roman"/>
                <w:b w:val="0"/>
                <w:bCs/>
                <w:color w:val="000000"/>
                <w:kern w:val="0"/>
                <w:szCs w:val="24"/>
                <w:lang w:eastAsia="zh-CN"/>
              </w:rPr>
              <w:t>《环境影响评价技术导则</w:t>
            </w:r>
            <w:r>
              <w:rPr>
                <w:rFonts w:hint="default" w:ascii="Times New Roman" w:hAnsi="Times New Roman" w:eastAsia="宋体" w:cs="Times New Roman"/>
                <w:b w:val="0"/>
                <w:bCs/>
                <w:color w:val="000000"/>
                <w:kern w:val="0"/>
                <w:szCs w:val="24"/>
                <w:lang w:val="en-US" w:eastAsia="zh-CN"/>
              </w:rPr>
              <w:t xml:space="preserve"> 大气环境</w:t>
            </w:r>
            <w:r>
              <w:rPr>
                <w:rFonts w:hint="default" w:ascii="Times New Roman" w:hAnsi="Times New Roman" w:eastAsia="宋体" w:cs="Times New Roman"/>
                <w:b w:val="0"/>
                <w:bCs/>
                <w:color w:val="000000"/>
                <w:kern w:val="0"/>
                <w:szCs w:val="24"/>
                <w:lang w:eastAsia="zh-CN"/>
              </w:rPr>
              <w:t>》（</w:t>
            </w:r>
            <w:r>
              <w:rPr>
                <w:rFonts w:hint="default" w:ascii="Times New Roman" w:hAnsi="Times New Roman" w:eastAsia="宋体" w:cs="Times New Roman"/>
                <w:b w:val="0"/>
                <w:bCs/>
                <w:color w:val="000000"/>
                <w:kern w:val="0"/>
                <w:szCs w:val="24"/>
                <w:lang w:val="en-US" w:eastAsia="zh-CN"/>
              </w:rPr>
              <w:t>HJ2.2-2018</w:t>
            </w:r>
            <w:r>
              <w:rPr>
                <w:rFonts w:hint="default" w:ascii="Times New Roman" w:hAnsi="Times New Roman" w:eastAsia="宋体" w:cs="Times New Roman"/>
                <w:b w:val="0"/>
                <w:bCs/>
                <w:color w:val="000000"/>
                <w:kern w:val="0"/>
                <w:szCs w:val="24"/>
                <w:lang w:eastAsia="zh-CN"/>
              </w:rPr>
              <w:t>）</w:t>
            </w:r>
            <w:r>
              <w:rPr>
                <w:rFonts w:hint="eastAsia" w:ascii="宋体" w:hAnsi="宋体" w:eastAsia="宋体"/>
                <w:bCs w:val="0"/>
                <w:color w:val="000000"/>
                <w:kern w:val="0"/>
                <w:szCs w:val="24"/>
                <w:lang w:eastAsia="zh-CN"/>
              </w:rPr>
              <w:t>附录</w:t>
            </w:r>
            <w:r>
              <w:rPr>
                <w:rFonts w:hint="eastAsia" w:ascii="宋体" w:hAnsi="宋体" w:eastAsia="宋体"/>
                <w:bCs w:val="0"/>
                <w:color w:val="000000"/>
                <w:kern w:val="0"/>
                <w:szCs w:val="24"/>
                <w:lang w:val="en-US" w:eastAsia="zh-CN"/>
              </w:rPr>
              <w:t>D</w:t>
            </w:r>
            <w:r>
              <w:rPr>
                <w:rFonts w:hint="eastAsia" w:ascii="宋体" w:hAnsi="宋体" w:eastAsia="宋体"/>
                <w:bCs/>
                <w:color w:val="000000"/>
                <w:kern w:val="0"/>
                <w:szCs w:val="24"/>
              </w:rPr>
              <w:t>中</w:t>
            </w:r>
            <w:r>
              <w:rPr>
                <w:rFonts w:hint="eastAsia" w:ascii="宋体" w:hAnsi="宋体" w:eastAsia="宋体"/>
                <w:bCs w:val="0"/>
                <w:color w:val="000000"/>
                <w:kern w:val="0"/>
                <w:szCs w:val="24"/>
              </w:rPr>
              <w:t>标准值的要求，</w:t>
            </w:r>
            <w:r>
              <w:rPr>
                <w:rFonts w:hint="eastAsia" w:ascii="宋体" w:hAnsi="宋体" w:eastAsia="宋体"/>
                <w:bCs w:val="0"/>
                <w:color w:val="auto"/>
                <w:kern w:val="0"/>
                <w:szCs w:val="24"/>
              </w:rPr>
              <w:t>因此，项目所在区域环境空气质量良好</w:t>
            </w:r>
            <w:r>
              <w:rPr>
                <w:rFonts w:ascii="宋体" w:hAnsi="宋体" w:eastAsia="宋体"/>
                <w:bCs w:val="0"/>
                <w:color w:val="auto"/>
                <w:kern w:val="0"/>
                <w:szCs w:val="24"/>
              </w:rPr>
              <w:t>。</w:t>
            </w:r>
          </w:p>
          <w:p>
            <w:pPr>
              <w:spacing w:line="360" w:lineRule="auto"/>
              <w:ind w:firstLine="472" w:firstLineChars="196"/>
              <w:rPr>
                <w:rFonts w:hint="eastAsia"/>
                <w:b/>
                <w:bCs/>
                <w:sz w:val="24"/>
              </w:rPr>
            </w:pPr>
            <w:r>
              <w:rPr>
                <w:b/>
                <w:bCs/>
                <w:sz w:val="24"/>
              </w:rPr>
              <w:t>2、地</w:t>
            </w:r>
            <w:r>
              <w:rPr>
                <w:rFonts w:hint="eastAsia"/>
                <w:b/>
                <w:bCs/>
                <w:sz w:val="24"/>
              </w:rPr>
              <w:t>表</w:t>
            </w:r>
            <w:r>
              <w:rPr>
                <w:b/>
                <w:bCs/>
                <w:sz w:val="24"/>
              </w:rPr>
              <w:t>水环境质量</w:t>
            </w:r>
          </w:p>
          <w:p>
            <w:pPr>
              <w:pStyle w:val="202"/>
              <w:adjustRightInd w:val="0"/>
              <w:spacing w:before="0" w:after="0" w:line="360" w:lineRule="auto"/>
              <w:ind w:firstLine="550" w:firstLineChars="250"/>
              <w:outlineLvl w:val="9"/>
              <w:rPr>
                <w:rFonts w:hint="eastAsia" w:ascii="宋体" w:hAnsi="宋体" w:eastAsia="宋体"/>
                <w:b w:val="0"/>
                <w:bCs/>
                <w:color w:val="auto"/>
                <w:kern w:val="0"/>
                <w:szCs w:val="24"/>
                <w:lang w:eastAsia="zh-CN"/>
              </w:rPr>
            </w:pPr>
            <w:r>
              <w:rPr>
                <w:rFonts w:hint="eastAsia" w:ascii="宋体" w:hAnsi="宋体" w:eastAsia="宋体"/>
                <w:b w:val="0"/>
                <w:bCs/>
                <w:color w:val="auto"/>
                <w:kern w:val="0"/>
                <w:szCs w:val="24"/>
                <w:lang w:eastAsia="zh-CN"/>
              </w:rPr>
              <w:t>本项目无生产废水外排，员工生活污水经化粪池处理后用于农灌。因此未进行地表水环境质量现状监测。</w:t>
            </w:r>
          </w:p>
          <w:p>
            <w:pPr>
              <w:spacing w:line="360" w:lineRule="auto"/>
              <w:ind w:firstLine="472" w:firstLineChars="196"/>
              <w:rPr>
                <w:b/>
                <w:bCs/>
                <w:sz w:val="24"/>
              </w:rPr>
            </w:pPr>
            <w:r>
              <w:rPr>
                <w:rFonts w:hint="eastAsia"/>
                <w:b/>
                <w:bCs/>
                <w:sz w:val="24"/>
              </w:rPr>
              <w:t>3、声学环境质量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监测项目：</w:t>
            </w:r>
            <w:r>
              <w:rPr>
                <w:rFonts w:ascii="宋体" w:hAnsi="宋体"/>
                <w:sz w:val="24"/>
              </w:rPr>
              <w:t>等效连续</w:t>
            </w:r>
            <w:r>
              <w:rPr>
                <w:sz w:val="24"/>
              </w:rPr>
              <w:t>A</w:t>
            </w:r>
            <w:r>
              <w:rPr>
                <w:rFonts w:ascii="宋体" w:hAnsi="宋体"/>
                <w:sz w:val="24"/>
              </w:rPr>
              <w:t>声级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eastAsia"/>
                <w:sz w:val="24"/>
                <w:szCs w:val="32"/>
                <w:lang w:eastAsia="zh-CN"/>
              </w:rPr>
              <w:t>监测点位：厂界四周，</w:t>
            </w:r>
            <w:r>
              <w:rPr>
                <w:rFonts w:hint="eastAsia"/>
                <w:sz w:val="24"/>
                <w:szCs w:val="32"/>
                <w:lang w:val="en-US" w:eastAsia="zh-CN"/>
              </w:rPr>
              <w:t>4个点位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监测时间及频率监测2天，每天昼间、夜间分别监测一次。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32"/>
                <w:lang w:eastAsia="zh-CN"/>
              </w:rPr>
            </w:pPr>
            <w:r>
              <w:rPr>
                <w:rFonts w:hint="eastAsia"/>
                <w:sz w:val="24"/>
                <w:szCs w:val="32"/>
                <w:lang w:eastAsia="zh-CN"/>
              </w:rPr>
              <w:t>监测方法：</w:t>
            </w:r>
            <w:r>
              <w:rPr>
                <w:rFonts w:ascii="宋体" w:hAnsi="宋体"/>
                <w:sz w:val="24"/>
              </w:rPr>
              <w:t>根</w:t>
            </w:r>
            <w:r>
              <w:rPr>
                <w:rFonts w:hAnsi="宋体"/>
                <w:sz w:val="24"/>
              </w:rPr>
              <w:t>据《声环境质量标准》（</w:t>
            </w:r>
            <w:r>
              <w:rPr>
                <w:sz w:val="24"/>
              </w:rPr>
              <w:t>GB3096-2008</w:t>
            </w:r>
            <w:r>
              <w:rPr>
                <w:rFonts w:hAnsi="宋体"/>
                <w:sz w:val="24"/>
              </w:rPr>
              <w:t>）及《环境影响评价技术导则</w:t>
            </w:r>
            <w:r>
              <w:rPr>
                <w:sz w:val="24"/>
              </w:rPr>
              <w:t>—</w:t>
            </w:r>
            <w:r>
              <w:rPr>
                <w:rFonts w:hAnsi="宋体"/>
                <w:sz w:val="24"/>
              </w:rPr>
              <w:t>声环境》（</w:t>
            </w:r>
            <w:r>
              <w:rPr>
                <w:sz w:val="24"/>
              </w:rPr>
              <w:t>HJ 2.4-2009</w:t>
            </w:r>
            <w:r>
              <w:rPr>
                <w:rFonts w:hAnsi="宋体"/>
                <w:sz w:val="24"/>
              </w:rPr>
              <w:t>）的规定进行测试</w:t>
            </w:r>
            <w:r>
              <w:rPr>
                <w:rFonts w:hint="eastAsia" w:hAnsi="宋体"/>
                <w:sz w:val="24"/>
                <w:lang w:eastAsia="zh-CN"/>
              </w:rPr>
              <w:t>。</w:t>
            </w:r>
          </w:p>
          <w:p>
            <w:pPr>
              <w:spacing w:line="360" w:lineRule="auto"/>
              <w:ind w:firstLine="480" w:firstLineChars="200"/>
              <w:rPr>
                <w:rFonts w:hint="eastAsia"/>
                <w:sz w:val="24"/>
              </w:rPr>
            </w:pPr>
            <w:r>
              <w:rPr>
                <w:rFonts w:hint="eastAsia"/>
                <w:sz w:val="24"/>
              </w:rPr>
              <w:t>监测结果及评价见下表：</w:t>
            </w:r>
          </w:p>
          <w:p>
            <w:pPr>
              <w:spacing w:line="460" w:lineRule="exact"/>
              <w:ind w:firstLine="1756" w:firstLineChars="833"/>
              <w:rPr>
                <w:rFonts w:hint="eastAsia"/>
                <w:b/>
                <w:color w:val="000000"/>
              </w:rPr>
            </w:pPr>
            <w:r>
              <w:rPr>
                <w:rFonts w:hint="eastAsia"/>
                <w:b/>
                <w:color w:val="000000"/>
              </w:rPr>
              <w:t>表3-</w:t>
            </w:r>
            <w:r>
              <w:rPr>
                <w:rFonts w:hint="eastAsia"/>
                <w:b/>
                <w:color w:val="000000"/>
                <w:lang w:val="en-US" w:eastAsia="zh-CN"/>
              </w:rPr>
              <w:t>3</w:t>
            </w:r>
            <w:r>
              <w:rPr>
                <w:rFonts w:hint="eastAsia"/>
                <w:b/>
                <w:color w:val="000000"/>
              </w:rPr>
              <w:t xml:space="preserve"> 声环境质量现状监测结果表        单位：dB(A)</w:t>
            </w:r>
          </w:p>
          <w:tbl>
            <w:tblPr>
              <w:tblStyle w:val="70"/>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888"/>
              <w:gridCol w:w="1462"/>
              <w:gridCol w:w="1338"/>
              <w:gridCol w:w="1387"/>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93" w:type="dxa"/>
                  <w:vMerge w:val="restart"/>
                  <w:noWrap w:val="0"/>
                  <w:vAlign w:val="center"/>
                </w:tcPr>
                <w:p>
                  <w:pPr>
                    <w:jc w:val="center"/>
                    <w:rPr>
                      <w:rFonts w:hint="eastAsia"/>
                      <w:szCs w:val="21"/>
                      <w:lang w:val="en-US" w:eastAsia="zh-CN"/>
                    </w:rPr>
                  </w:pPr>
                  <w:r>
                    <w:rPr>
                      <w:rFonts w:hint="eastAsia"/>
                      <w:szCs w:val="21"/>
                      <w:lang w:val="en-US" w:eastAsia="zh-CN"/>
                    </w:rPr>
                    <w:t>检测项目</w:t>
                  </w:r>
                </w:p>
              </w:tc>
              <w:tc>
                <w:tcPr>
                  <w:tcW w:w="1888" w:type="dxa"/>
                  <w:vMerge w:val="restart"/>
                  <w:noWrap w:val="0"/>
                  <w:vAlign w:val="center"/>
                </w:tcPr>
                <w:p>
                  <w:pPr>
                    <w:jc w:val="center"/>
                    <w:rPr>
                      <w:rFonts w:hint="eastAsia"/>
                      <w:szCs w:val="21"/>
                      <w:lang w:val="en-US" w:eastAsia="zh-CN"/>
                    </w:rPr>
                  </w:pPr>
                  <w:r>
                    <w:rPr>
                      <w:rFonts w:hint="eastAsia"/>
                      <w:szCs w:val="21"/>
                      <w:lang w:val="en-US" w:eastAsia="zh-CN"/>
                    </w:rPr>
                    <w:t>检测点位</w:t>
                  </w:r>
                </w:p>
              </w:tc>
              <w:tc>
                <w:tcPr>
                  <w:tcW w:w="5578" w:type="dxa"/>
                  <w:gridSpan w:val="4"/>
                  <w:noWrap w:val="0"/>
                  <w:vAlign w:val="center"/>
                </w:tcPr>
                <w:p>
                  <w:pPr>
                    <w:jc w:val="center"/>
                    <w:rPr>
                      <w:rFonts w:hint="eastAsia"/>
                      <w:szCs w:val="21"/>
                      <w:lang w:val="en-US" w:eastAsia="zh-CN"/>
                    </w:rPr>
                  </w:pPr>
                  <w:r>
                    <w:rPr>
                      <w:rFonts w:hint="eastAsia"/>
                      <w:szCs w:val="21"/>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93" w:type="dxa"/>
                  <w:vMerge w:val="continue"/>
                  <w:noWrap w:val="0"/>
                  <w:vAlign w:val="center"/>
                </w:tcPr>
                <w:p>
                  <w:pPr>
                    <w:jc w:val="center"/>
                    <w:rPr>
                      <w:rFonts w:hint="eastAsia"/>
                      <w:szCs w:val="21"/>
                      <w:lang w:val="en-US" w:eastAsia="zh-CN"/>
                    </w:rPr>
                  </w:pPr>
                </w:p>
              </w:tc>
              <w:tc>
                <w:tcPr>
                  <w:tcW w:w="1888" w:type="dxa"/>
                  <w:vMerge w:val="continue"/>
                  <w:noWrap w:val="0"/>
                  <w:vAlign w:val="center"/>
                </w:tcPr>
                <w:p>
                  <w:pPr>
                    <w:jc w:val="center"/>
                    <w:rPr>
                      <w:rFonts w:hint="eastAsia"/>
                      <w:szCs w:val="21"/>
                      <w:lang w:val="en-US" w:eastAsia="zh-CN"/>
                    </w:rPr>
                  </w:pPr>
                </w:p>
              </w:tc>
              <w:tc>
                <w:tcPr>
                  <w:tcW w:w="2800" w:type="dxa"/>
                  <w:gridSpan w:val="2"/>
                  <w:noWrap w:val="0"/>
                  <w:vAlign w:val="center"/>
                </w:tcPr>
                <w:p>
                  <w:pPr>
                    <w:jc w:val="center"/>
                    <w:rPr>
                      <w:rFonts w:hint="default"/>
                      <w:szCs w:val="21"/>
                      <w:lang w:val="en-US" w:eastAsia="zh-CN"/>
                    </w:rPr>
                  </w:pPr>
                  <w:r>
                    <w:rPr>
                      <w:rFonts w:hint="eastAsia"/>
                      <w:szCs w:val="21"/>
                      <w:lang w:val="en-US" w:eastAsia="zh-CN"/>
                    </w:rPr>
                    <w:t>2019.07.19</w:t>
                  </w:r>
                </w:p>
              </w:tc>
              <w:tc>
                <w:tcPr>
                  <w:tcW w:w="2778" w:type="dxa"/>
                  <w:gridSpan w:val="2"/>
                  <w:noWrap w:val="0"/>
                  <w:vAlign w:val="center"/>
                </w:tcPr>
                <w:p>
                  <w:pPr>
                    <w:jc w:val="center"/>
                    <w:rPr>
                      <w:rFonts w:hint="default"/>
                      <w:szCs w:val="21"/>
                      <w:lang w:val="en-US" w:eastAsia="zh-CN"/>
                    </w:rPr>
                  </w:pPr>
                  <w:r>
                    <w:rPr>
                      <w:rFonts w:hint="eastAsia"/>
                      <w:szCs w:val="21"/>
                      <w:lang w:val="en-US" w:eastAsia="zh-CN"/>
                    </w:rPr>
                    <w:t>2019.07.20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93" w:type="dxa"/>
                  <w:vMerge w:val="continue"/>
                  <w:noWrap w:val="0"/>
                  <w:vAlign w:val="center"/>
                </w:tcPr>
                <w:p>
                  <w:pPr>
                    <w:jc w:val="center"/>
                    <w:rPr>
                      <w:rFonts w:hint="eastAsia"/>
                      <w:szCs w:val="21"/>
                      <w:lang w:val="en-US" w:eastAsia="zh-CN"/>
                    </w:rPr>
                  </w:pPr>
                </w:p>
              </w:tc>
              <w:tc>
                <w:tcPr>
                  <w:tcW w:w="1888" w:type="dxa"/>
                  <w:vMerge w:val="continue"/>
                  <w:noWrap w:val="0"/>
                  <w:vAlign w:val="center"/>
                </w:tcPr>
                <w:p>
                  <w:pPr>
                    <w:jc w:val="center"/>
                    <w:rPr>
                      <w:rFonts w:hint="eastAsia"/>
                      <w:szCs w:val="21"/>
                      <w:lang w:val="en-US" w:eastAsia="zh-CN"/>
                    </w:rPr>
                  </w:pPr>
                </w:p>
              </w:tc>
              <w:tc>
                <w:tcPr>
                  <w:tcW w:w="1462" w:type="dxa"/>
                  <w:noWrap w:val="0"/>
                  <w:vAlign w:val="center"/>
                </w:tcPr>
                <w:p>
                  <w:pPr>
                    <w:jc w:val="center"/>
                    <w:rPr>
                      <w:rFonts w:hint="eastAsia"/>
                      <w:szCs w:val="21"/>
                      <w:lang w:val="en-US" w:eastAsia="zh-CN"/>
                    </w:rPr>
                  </w:pPr>
                  <w:r>
                    <w:rPr>
                      <w:rFonts w:hint="eastAsia"/>
                      <w:szCs w:val="21"/>
                      <w:lang w:val="en-US" w:eastAsia="zh-CN"/>
                    </w:rPr>
                    <w:t>昼间</w:t>
                  </w:r>
                </w:p>
              </w:tc>
              <w:tc>
                <w:tcPr>
                  <w:tcW w:w="1338" w:type="dxa"/>
                  <w:noWrap w:val="0"/>
                  <w:vAlign w:val="center"/>
                </w:tcPr>
                <w:p>
                  <w:pPr>
                    <w:jc w:val="center"/>
                    <w:rPr>
                      <w:rFonts w:hint="eastAsia"/>
                      <w:szCs w:val="21"/>
                      <w:lang w:val="en-US" w:eastAsia="zh-CN"/>
                    </w:rPr>
                  </w:pPr>
                  <w:r>
                    <w:rPr>
                      <w:rFonts w:hint="eastAsia"/>
                      <w:szCs w:val="21"/>
                      <w:lang w:val="en-US" w:eastAsia="zh-CN"/>
                    </w:rPr>
                    <w:t>夜间</w:t>
                  </w:r>
                </w:p>
              </w:tc>
              <w:tc>
                <w:tcPr>
                  <w:tcW w:w="1387" w:type="dxa"/>
                  <w:noWrap w:val="0"/>
                  <w:vAlign w:val="center"/>
                </w:tcPr>
                <w:p>
                  <w:pPr>
                    <w:jc w:val="center"/>
                    <w:rPr>
                      <w:rFonts w:hint="eastAsia"/>
                      <w:szCs w:val="21"/>
                      <w:lang w:val="en-US" w:eastAsia="zh-CN"/>
                    </w:rPr>
                  </w:pPr>
                  <w:r>
                    <w:rPr>
                      <w:rFonts w:hint="eastAsia"/>
                      <w:szCs w:val="21"/>
                      <w:lang w:val="en-US" w:eastAsia="zh-CN"/>
                    </w:rPr>
                    <w:t>昼间</w:t>
                  </w:r>
                </w:p>
              </w:tc>
              <w:tc>
                <w:tcPr>
                  <w:tcW w:w="1391" w:type="dxa"/>
                  <w:noWrap w:val="0"/>
                  <w:vAlign w:val="center"/>
                </w:tcPr>
                <w:p>
                  <w:pPr>
                    <w:jc w:val="center"/>
                    <w:rPr>
                      <w:rFonts w:hint="eastAsia"/>
                      <w:szCs w:val="21"/>
                      <w:lang w:val="en-US" w:eastAsia="zh-CN"/>
                    </w:rPr>
                  </w:pPr>
                  <w:r>
                    <w:rPr>
                      <w:rFonts w:hint="eastAsia"/>
                      <w:szCs w:val="21"/>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93" w:type="dxa"/>
                  <w:vMerge w:val="restart"/>
                  <w:noWrap w:val="0"/>
                  <w:vAlign w:val="center"/>
                </w:tcPr>
                <w:p>
                  <w:pPr>
                    <w:jc w:val="center"/>
                    <w:rPr>
                      <w:rFonts w:hint="eastAsia"/>
                      <w:szCs w:val="21"/>
                      <w:lang w:val="en-US" w:eastAsia="zh-CN"/>
                    </w:rPr>
                  </w:pPr>
                  <w:r>
                    <w:rPr>
                      <w:rFonts w:hint="eastAsia"/>
                      <w:szCs w:val="21"/>
                      <w:lang w:val="en-US" w:eastAsia="zh-CN"/>
                    </w:rPr>
                    <w:t>声环境噪声</w:t>
                  </w:r>
                </w:p>
              </w:tc>
              <w:tc>
                <w:tcPr>
                  <w:tcW w:w="1888" w:type="dxa"/>
                  <w:noWrap w:val="0"/>
                  <w:vAlign w:val="center"/>
                </w:tcPr>
                <w:p>
                  <w:pPr>
                    <w:jc w:val="center"/>
                    <w:rPr>
                      <w:rFonts w:hint="default"/>
                      <w:szCs w:val="21"/>
                      <w:lang w:val="en-US" w:eastAsia="zh-CN"/>
                    </w:rPr>
                  </w:pPr>
                  <w:r>
                    <w:rPr>
                      <w:rFonts w:hint="eastAsia"/>
                      <w:szCs w:val="21"/>
                      <w:lang w:val="en-US" w:eastAsia="zh-CN"/>
                    </w:rPr>
                    <w:t>N1厂界北侧外1m</w:t>
                  </w:r>
                </w:p>
              </w:tc>
              <w:tc>
                <w:tcPr>
                  <w:tcW w:w="1462" w:type="dxa"/>
                  <w:noWrap w:val="0"/>
                  <w:vAlign w:val="center"/>
                </w:tcPr>
                <w:p>
                  <w:pPr>
                    <w:jc w:val="center"/>
                    <w:rPr>
                      <w:rFonts w:hint="default"/>
                      <w:szCs w:val="21"/>
                      <w:lang w:val="en-US" w:eastAsia="zh-CN"/>
                    </w:rPr>
                  </w:pPr>
                  <w:r>
                    <w:rPr>
                      <w:rFonts w:hint="eastAsia"/>
                      <w:szCs w:val="21"/>
                      <w:lang w:val="en-US" w:eastAsia="zh-CN"/>
                    </w:rPr>
                    <w:t>58.1</w:t>
                  </w:r>
                </w:p>
              </w:tc>
              <w:tc>
                <w:tcPr>
                  <w:tcW w:w="1338" w:type="dxa"/>
                  <w:noWrap w:val="0"/>
                  <w:vAlign w:val="center"/>
                </w:tcPr>
                <w:p>
                  <w:pPr>
                    <w:jc w:val="center"/>
                    <w:rPr>
                      <w:rFonts w:hint="default"/>
                      <w:szCs w:val="21"/>
                      <w:lang w:val="en-US" w:eastAsia="zh-CN"/>
                    </w:rPr>
                  </w:pPr>
                  <w:r>
                    <w:rPr>
                      <w:rFonts w:hint="eastAsia"/>
                      <w:szCs w:val="21"/>
                      <w:lang w:val="en-US" w:eastAsia="zh-CN"/>
                    </w:rPr>
                    <w:t>48.0</w:t>
                  </w:r>
                </w:p>
              </w:tc>
              <w:tc>
                <w:tcPr>
                  <w:tcW w:w="1387" w:type="dxa"/>
                  <w:noWrap w:val="0"/>
                  <w:vAlign w:val="center"/>
                </w:tcPr>
                <w:p>
                  <w:pPr>
                    <w:jc w:val="center"/>
                    <w:rPr>
                      <w:rFonts w:hint="default"/>
                      <w:szCs w:val="21"/>
                      <w:lang w:val="en-US" w:eastAsia="zh-CN"/>
                    </w:rPr>
                  </w:pPr>
                  <w:r>
                    <w:rPr>
                      <w:rFonts w:hint="eastAsia"/>
                      <w:szCs w:val="21"/>
                      <w:lang w:val="en-US" w:eastAsia="zh-CN"/>
                    </w:rPr>
                    <w:t>57.0</w:t>
                  </w:r>
                </w:p>
              </w:tc>
              <w:tc>
                <w:tcPr>
                  <w:tcW w:w="1391" w:type="dxa"/>
                  <w:noWrap w:val="0"/>
                  <w:vAlign w:val="center"/>
                </w:tcPr>
                <w:p>
                  <w:pPr>
                    <w:jc w:val="center"/>
                    <w:rPr>
                      <w:rFonts w:hint="default"/>
                      <w:szCs w:val="21"/>
                      <w:lang w:val="en-US" w:eastAsia="zh-CN"/>
                    </w:rPr>
                  </w:pPr>
                  <w:r>
                    <w:rPr>
                      <w:rFonts w:hint="eastAsia"/>
                      <w:szCs w:val="21"/>
                      <w:lang w:val="en-US" w:eastAsia="zh-CN"/>
                    </w:rPr>
                    <w:t>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93" w:type="dxa"/>
                  <w:vMerge w:val="continue"/>
                  <w:noWrap w:val="0"/>
                  <w:vAlign w:val="center"/>
                </w:tcPr>
                <w:p>
                  <w:pPr>
                    <w:jc w:val="center"/>
                    <w:rPr>
                      <w:rFonts w:hint="eastAsia"/>
                      <w:szCs w:val="21"/>
                      <w:lang w:val="en-US" w:eastAsia="zh-CN"/>
                    </w:rPr>
                  </w:pPr>
                </w:p>
              </w:tc>
              <w:tc>
                <w:tcPr>
                  <w:tcW w:w="1888" w:type="dxa"/>
                  <w:noWrap w:val="0"/>
                  <w:vAlign w:val="center"/>
                </w:tcPr>
                <w:p>
                  <w:pPr>
                    <w:jc w:val="center"/>
                    <w:rPr>
                      <w:rFonts w:hint="eastAsia"/>
                      <w:szCs w:val="21"/>
                      <w:lang w:val="en-US" w:eastAsia="zh-CN"/>
                    </w:rPr>
                  </w:pPr>
                  <w:r>
                    <w:rPr>
                      <w:rFonts w:hint="eastAsia"/>
                      <w:szCs w:val="21"/>
                      <w:lang w:val="en-US" w:eastAsia="zh-CN"/>
                    </w:rPr>
                    <w:t>N2厂界东侧外1m</w:t>
                  </w:r>
                </w:p>
              </w:tc>
              <w:tc>
                <w:tcPr>
                  <w:tcW w:w="1462" w:type="dxa"/>
                  <w:noWrap w:val="0"/>
                  <w:vAlign w:val="center"/>
                </w:tcPr>
                <w:p>
                  <w:pPr>
                    <w:jc w:val="center"/>
                    <w:rPr>
                      <w:rFonts w:hint="default"/>
                      <w:szCs w:val="21"/>
                      <w:lang w:val="en-US" w:eastAsia="zh-CN"/>
                    </w:rPr>
                  </w:pPr>
                  <w:r>
                    <w:rPr>
                      <w:rFonts w:hint="eastAsia"/>
                      <w:szCs w:val="21"/>
                      <w:lang w:val="en-US" w:eastAsia="zh-CN"/>
                    </w:rPr>
                    <w:t>56.9</w:t>
                  </w:r>
                </w:p>
              </w:tc>
              <w:tc>
                <w:tcPr>
                  <w:tcW w:w="1338" w:type="dxa"/>
                  <w:noWrap w:val="0"/>
                  <w:vAlign w:val="center"/>
                </w:tcPr>
                <w:p>
                  <w:pPr>
                    <w:jc w:val="center"/>
                    <w:rPr>
                      <w:rFonts w:hint="default"/>
                      <w:szCs w:val="21"/>
                      <w:lang w:val="en-US" w:eastAsia="zh-CN"/>
                    </w:rPr>
                  </w:pPr>
                  <w:r>
                    <w:rPr>
                      <w:rFonts w:hint="eastAsia"/>
                      <w:szCs w:val="21"/>
                      <w:lang w:val="en-US" w:eastAsia="zh-CN"/>
                    </w:rPr>
                    <w:t>46.5</w:t>
                  </w:r>
                </w:p>
              </w:tc>
              <w:tc>
                <w:tcPr>
                  <w:tcW w:w="1387" w:type="dxa"/>
                  <w:noWrap w:val="0"/>
                  <w:vAlign w:val="center"/>
                </w:tcPr>
                <w:p>
                  <w:pPr>
                    <w:jc w:val="center"/>
                    <w:rPr>
                      <w:rFonts w:hint="default"/>
                      <w:szCs w:val="21"/>
                      <w:lang w:val="en-US" w:eastAsia="zh-CN"/>
                    </w:rPr>
                  </w:pPr>
                  <w:r>
                    <w:rPr>
                      <w:rFonts w:hint="eastAsia"/>
                      <w:szCs w:val="21"/>
                      <w:lang w:val="en-US" w:eastAsia="zh-CN"/>
                    </w:rPr>
                    <w:t>55.8</w:t>
                  </w:r>
                </w:p>
              </w:tc>
              <w:tc>
                <w:tcPr>
                  <w:tcW w:w="1391" w:type="dxa"/>
                  <w:noWrap w:val="0"/>
                  <w:vAlign w:val="center"/>
                </w:tcPr>
                <w:p>
                  <w:pPr>
                    <w:jc w:val="center"/>
                    <w:rPr>
                      <w:rFonts w:hint="default"/>
                      <w:szCs w:val="21"/>
                      <w:lang w:val="en-US" w:eastAsia="zh-CN"/>
                    </w:rPr>
                  </w:pPr>
                  <w:r>
                    <w:rPr>
                      <w:rFonts w:hint="eastAsia"/>
                      <w:szCs w:val="21"/>
                      <w:lang w:val="en-US" w:eastAsia="zh-CN"/>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93" w:type="dxa"/>
                  <w:vMerge w:val="continue"/>
                  <w:noWrap w:val="0"/>
                  <w:vAlign w:val="center"/>
                </w:tcPr>
                <w:p>
                  <w:pPr>
                    <w:jc w:val="center"/>
                    <w:rPr>
                      <w:rFonts w:hint="eastAsia"/>
                      <w:szCs w:val="21"/>
                      <w:lang w:val="en-US" w:eastAsia="zh-CN"/>
                    </w:rPr>
                  </w:pPr>
                </w:p>
              </w:tc>
              <w:tc>
                <w:tcPr>
                  <w:tcW w:w="1888" w:type="dxa"/>
                  <w:noWrap w:val="0"/>
                  <w:vAlign w:val="center"/>
                </w:tcPr>
                <w:p>
                  <w:pPr>
                    <w:jc w:val="center"/>
                    <w:rPr>
                      <w:rFonts w:hint="eastAsia"/>
                      <w:szCs w:val="21"/>
                      <w:lang w:val="en-US" w:eastAsia="zh-CN"/>
                    </w:rPr>
                  </w:pPr>
                  <w:r>
                    <w:rPr>
                      <w:rFonts w:hint="eastAsia"/>
                      <w:szCs w:val="21"/>
                      <w:lang w:val="en-US" w:eastAsia="zh-CN"/>
                    </w:rPr>
                    <w:t>N3厂界南侧外1m</w:t>
                  </w:r>
                </w:p>
              </w:tc>
              <w:tc>
                <w:tcPr>
                  <w:tcW w:w="1462" w:type="dxa"/>
                  <w:noWrap w:val="0"/>
                  <w:vAlign w:val="center"/>
                </w:tcPr>
                <w:p>
                  <w:pPr>
                    <w:jc w:val="center"/>
                    <w:rPr>
                      <w:rFonts w:hint="default"/>
                      <w:szCs w:val="21"/>
                      <w:lang w:val="en-US" w:eastAsia="zh-CN"/>
                    </w:rPr>
                  </w:pPr>
                  <w:r>
                    <w:rPr>
                      <w:rFonts w:hint="eastAsia"/>
                      <w:szCs w:val="21"/>
                      <w:lang w:val="en-US" w:eastAsia="zh-CN"/>
                    </w:rPr>
                    <w:t>53.2</w:t>
                  </w:r>
                </w:p>
              </w:tc>
              <w:tc>
                <w:tcPr>
                  <w:tcW w:w="1338" w:type="dxa"/>
                  <w:noWrap w:val="0"/>
                  <w:vAlign w:val="center"/>
                </w:tcPr>
                <w:p>
                  <w:pPr>
                    <w:jc w:val="center"/>
                    <w:rPr>
                      <w:rFonts w:hint="default"/>
                      <w:szCs w:val="21"/>
                      <w:lang w:val="en-US" w:eastAsia="zh-CN"/>
                    </w:rPr>
                  </w:pPr>
                  <w:r>
                    <w:rPr>
                      <w:rFonts w:hint="eastAsia"/>
                      <w:szCs w:val="21"/>
                      <w:lang w:val="en-US" w:eastAsia="zh-CN"/>
                    </w:rPr>
                    <w:t>43.9</w:t>
                  </w:r>
                </w:p>
              </w:tc>
              <w:tc>
                <w:tcPr>
                  <w:tcW w:w="1387" w:type="dxa"/>
                  <w:noWrap w:val="0"/>
                  <w:vAlign w:val="center"/>
                </w:tcPr>
                <w:p>
                  <w:pPr>
                    <w:jc w:val="center"/>
                    <w:rPr>
                      <w:rFonts w:hint="default"/>
                      <w:szCs w:val="21"/>
                      <w:lang w:val="en-US" w:eastAsia="zh-CN"/>
                    </w:rPr>
                  </w:pPr>
                  <w:r>
                    <w:rPr>
                      <w:rFonts w:hint="eastAsia"/>
                      <w:szCs w:val="21"/>
                      <w:lang w:val="en-US" w:eastAsia="zh-CN"/>
                    </w:rPr>
                    <w:t>52.5</w:t>
                  </w:r>
                </w:p>
              </w:tc>
              <w:tc>
                <w:tcPr>
                  <w:tcW w:w="1391" w:type="dxa"/>
                  <w:noWrap w:val="0"/>
                  <w:vAlign w:val="center"/>
                </w:tcPr>
                <w:p>
                  <w:pPr>
                    <w:jc w:val="center"/>
                    <w:rPr>
                      <w:rFonts w:hint="default"/>
                      <w:szCs w:val="21"/>
                      <w:lang w:val="en-US" w:eastAsia="zh-CN"/>
                    </w:rPr>
                  </w:pPr>
                  <w:r>
                    <w:rPr>
                      <w:rFonts w:hint="eastAsia"/>
                      <w:szCs w:val="21"/>
                      <w:lang w:val="en-US" w:eastAsia="zh-CN"/>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93" w:type="dxa"/>
                  <w:vMerge w:val="continue"/>
                  <w:noWrap w:val="0"/>
                  <w:vAlign w:val="center"/>
                </w:tcPr>
                <w:p>
                  <w:pPr>
                    <w:jc w:val="center"/>
                    <w:rPr>
                      <w:rFonts w:hint="eastAsia"/>
                      <w:szCs w:val="21"/>
                      <w:lang w:val="en-US" w:eastAsia="zh-CN"/>
                    </w:rPr>
                  </w:pPr>
                </w:p>
              </w:tc>
              <w:tc>
                <w:tcPr>
                  <w:tcW w:w="1888" w:type="dxa"/>
                  <w:noWrap w:val="0"/>
                  <w:vAlign w:val="center"/>
                </w:tcPr>
                <w:p>
                  <w:pPr>
                    <w:jc w:val="center"/>
                    <w:rPr>
                      <w:rFonts w:hint="eastAsia"/>
                      <w:szCs w:val="21"/>
                      <w:lang w:val="en-US" w:eastAsia="zh-CN"/>
                    </w:rPr>
                  </w:pPr>
                  <w:r>
                    <w:rPr>
                      <w:rFonts w:hint="eastAsia"/>
                      <w:szCs w:val="21"/>
                      <w:lang w:val="en-US" w:eastAsia="zh-CN"/>
                    </w:rPr>
                    <w:t>N4厂界西侧外1m</w:t>
                  </w:r>
                </w:p>
              </w:tc>
              <w:tc>
                <w:tcPr>
                  <w:tcW w:w="1462" w:type="dxa"/>
                  <w:noWrap w:val="0"/>
                  <w:vAlign w:val="center"/>
                </w:tcPr>
                <w:p>
                  <w:pPr>
                    <w:jc w:val="center"/>
                    <w:rPr>
                      <w:rFonts w:hint="default"/>
                      <w:szCs w:val="21"/>
                      <w:lang w:val="en-US" w:eastAsia="zh-CN"/>
                    </w:rPr>
                  </w:pPr>
                  <w:r>
                    <w:rPr>
                      <w:rFonts w:hint="eastAsia"/>
                      <w:szCs w:val="21"/>
                      <w:lang w:val="en-US" w:eastAsia="zh-CN"/>
                    </w:rPr>
                    <w:t>55.1</w:t>
                  </w:r>
                </w:p>
              </w:tc>
              <w:tc>
                <w:tcPr>
                  <w:tcW w:w="1338" w:type="dxa"/>
                  <w:noWrap w:val="0"/>
                  <w:vAlign w:val="center"/>
                </w:tcPr>
                <w:p>
                  <w:pPr>
                    <w:jc w:val="center"/>
                    <w:rPr>
                      <w:rFonts w:hint="default"/>
                      <w:szCs w:val="21"/>
                      <w:lang w:val="en-US" w:eastAsia="zh-CN"/>
                    </w:rPr>
                  </w:pPr>
                  <w:r>
                    <w:rPr>
                      <w:rFonts w:hint="eastAsia"/>
                      <w:szCs w:val="21"/>
                      <w:lang w:val="en-US" w:eastAsia="zh-CN"/>
                    </w:rPr>
                    <w:t>44.9</w:t>
                  </w:r>
                </w:p>
              </w:tc>
              <w:tc>
                <w:tcPr>
                  <w:tcW w:w="1387" w:type="dxa"/>
                  <w:noWrap w:val="0"/>
                  <w:vAlign w:val="center"/>
                </w:tcPr>
                <w:p>
                  <w:pPr>
                    <w:jc w:val="center"/>
                    <w:rPr>
                      <w:rFonts w:hint="default"/>
                      <w:szCs w:val="21"/>
                      <w:lang w:val="en-US" w:eastAsia="zh-CN"/>
                    </w:rPr>
                  </w:pPr>
                  <w:r>
                    <w:rPr>
                      <w:rFonts w:hint="eastAsia"/>
                      <w:szCs w:val="21"/>
                      <w:lang w:val="en-US" w:eastAsia="zh-CN"/>
                    </w:rPr>
                    <w:t>53.6</w:t>
                  </w:r>
                </w:p>
              </w:tc>
              <w:tc>
                <w:tcPr>
                  <w:tcW w:w="1391" w:type="dxa"/>
                  <w:noWrap w:val="0"/>
                  <w:vAlign w:val="center"/>
                </w:tcPr>
                <w:p>
                  <w:pPr>
                    <w:jc w:val="center"/>
                    <w:rPr>
                      <w:rFonts w:hint="default"/>
                      <w:szCs w:val="21"/>
                      <w:lang w:val="en-US" w:eastAsia="zh-CN"/>
                    </w:rPr>
                  </w:pPr>
                  <w:r>
                    <w:rPr>
                      <w:rFonts w:hint="eastAsia"/>
                      <w:szCs w:val="21"/>
                      <w:lang w:val="en-US" w:eastAsia="zh-CN"/>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959" w:type="dxa"/>
                  <w:gridSpan w:val="6"/>
                  <w:noWrap w:val="0"/>
                  <w:vAlign w:val="center"/>
                </w:tcPr>
                <w:p>
                  <w:pPr>
                    <w:jc w:val="center"/>
                    <w:rPr>
                      <w:rFonts w:hint="default"/>
                      <w:szCs w:val="21"/>
                      <w:lang w:val="en-US" w:eastAsia="zh-CN"/>
                    </w:rPr>
                  </w:pPr>
                  <w:r>
                    <w:rPr>
                      <w:rFonts w:hint="eastAsia"/>
                      <w:szCs w:val="21"/>
                      <w:lang w:val="en-US" w:eastAsia="zh-CN"/>
                    </w:rPr>
                    <w:t>备注：声级计校准值为93.8dB（A），校准型号为AWA-6221B/CE010</w:t>
                  </w:r>
                </w:p>
              </w:tc>
            </w:tr>
          </w:tbl>
          <w:p>
            <w:pPr>
              <w:spacing w:line="360" w:lineRule="auto"/>
              <w:ind w:firstLine="720" w:firstLineChars="300"/>
              <w:rPr>
                <w:rFonts w:hint="eastAsia"/>
                <w:kern w:val="0"/>
                <w:sz w:val="24"/>
              </w:rPr>
            </w:pPr>
            <w:r>
              <w:rPr>
                <w:rFonts w:hint="eastAsia"/>
                <w:kern w:val="0"/>
                <w:sz w:val="24"/>
              </w:rPr>
              <w:t>根据上表监测结果表明本项目所在区域噪声昼间、夜间均达《声环境质量标准》（GB3096－2008）</w:t>
            </w:r>
            <w:r>
              <w:rPr>
                <w:rFonts w:hint="eastAsia"/>
                <w:kern w:val="0"/>
                <w:sz w:val="24"/>
                <w:lang w:val="en-US" w:eastAsia="zh-CN"/>
              </w:rPr>
              <w:t>2</w:t>
            </w:r>
            <w:r>
              <w:rPr>
                <w:rFonts w:hint="eastAsia"/>
                <w:kern w:val="0"/>
                <w:sz w:val="24"/>
              </w:rPr>
              <w:t>类标准限值区域声</w:t>
            </w:r>
            <w:r>
              <w:rPr>
                <w:kern w:val="0"/>
                <w:sz w:val="24"/>
              </w:rPr>
              <w:t>学环境质量</w:t>
            </w:r>
            <w:r>
              <w:rPr>
                <w:rFonts w:hint="eastAsia"/>
                <w:kern w:val="0"/>
                <w:sz w:val="24"/>
              </w:rPr>
              <w:t>现状较好</w:t>
            </w:r>
            <w:r>
              <w:rPr>
                <w:kern w:val="0"/>
                <w:sz w:val="24"/>
              </w:rPr>
              <w:t>。</w:t>
            </w:r>
          </w:p>
          <w:p>
            <w:pPr>
              <w:spacing w:line="360" w:lineRule="auto"/>
              <w:rPr>
                <w:rFonts w:hint="eastAsia" w:ascii="宋体" w:hAnsi="宋体"/>
                <w:b/>
                <w:sz w:val="24"/>
              </w:rPr>
            </w:pPr>
            <w:r>
              <w:rPr>
                <w:rFonts w:hint="eastAsia" w:ascii="宋体" w:hAnsi="宋体"/>
                <w:b/>
                <w:sz w:val="24"/>
              </w:rPr>
              <w:t>四、区域生态环境现状调查</w:t>
            </w:r>
          </w:p>
          <w:p>
            <w:pPr>
              <w:spacing w:line="360" w:lineRule="auto"/>
              <w:ind w:firstLine="480" w:firstLineChars="200"/>
              <w:rPr>
                <w:rFonts w:hint="eastAsia" w:hAnsi="宋体"/>
                <w:kern w:val="0"/>
                <w:sz w:val="24"/>
              </w:rPr>
            </w:pPr>
            <w:r>
              <w:rPr>
                <w:rFonts w:hint="eastAsia"/>
                <w:kern w:val="0"/>
                <w:sz w:val="24"/>
              </w:rPr>
              <w:t>本项目位于</w:t>
            </w:r>
            <w:r>
              <w:rPr>
                <w:rFonts w:hint="eastAsia" w:hAnsi="宋体"/>
                <w:bCs/>
                <w:sz w:val="24"/>
              </w:rPr>
              <w:t>乐山市</w:t>
            </w:r>
            <w:r>
              <w:rPr>
                <w:rFonts w:hint="eastAsia" w:hAnsi="宋体"/>
                <w:bCs/>
                <w:sz w:val="24"/>
                <w:lang w:eastAsia="zh-CN"/>
              </w:rPr>
              <w:t>市中区土主镇红岩坝村六组</w:t>
            </w:r>
            <w:r>
              <w:rPr>
                <w:rFonts w:hint="eastAsia" w:hAnsi="宋体"/>
                <w:bCs/>
                <w:sz w:val="24"/>
                <w:lang w:val="en-US" w:eastAsia="zh-CN"/>
              </w:rPr>
              <w:t>478号1幢</w:t>
            </w:r>
            <w:r>
              <w:rPr>
                <w:rFonts w:hint="eastAsia" w:hAnsi="宋体"/>
                <w:bCs/>
                <w:sz w:val="24"/>
              </w:rPr>
              <w:t>的厂房</w:t>
            </w:r>
            <w:r>
              <w:rPr>
                <w:sz w:val="24"/>
              </w:rPr>
              <w:t>（经度</w:t>
            </w:r>
            <w:r>
              <w:rPr>
                <w:rFonts w:hint="eastAsia"/>
                <w:sz w:val="24"/>
              </w:rPr>
              <w:t>103.</w:t>
            </w:r>
            <w:r>
              <w:rPr>
                <w:rFonts w:hint="eastAsia"/>
                <w:sz w:val="24"/>
                <w:lang w:val="en-US" w:eastAsia="zh-CN"/>
              </w:rPr>
              <w:t>8458</w:t>
            </w:r>
            <w:r>
              <w:rPr>
                <w:sz w:val="24"/>
              </w:rPr>
              <w:t>°</w:t>
            </w:r>
            <w:r>
              <w:rPr>
                <w:rFonts w:hAnsi="宋体"/>
                <w:sz w:val="24"/>
              </w:rPr>
              <w:t>，纬度</w:t>
            </w:r>
            <w:r>
              <w:rPr>
                <w:rFonts w:hint="eastAsia"/>
                <w:sz w:val="24"/>
              </w:rPr>
              <w:t>29.</w:t>
            </w:r>
            <w:r>
              <w:rPr>
                <w:rFonts w:hint="eastAsia"/>
                <w:sz w:val="24"/>
                <w:lang w:val="en-US" w:eastAsia="zh-CN"/>
              </w:rPr>
              <w:t>6519</w:t>
            </w:r>
            <w:r>
              <w:rPr>
                <w:sz w:val="24"/>
              </w:rPr>
              <w:t>°）</w:t>
            </w:r>
            <w:r>
              <w:rPr>
                <w:rFonts w:hint="eastAsia"/>
                <w:kern w:val="0"/>
                <w:sz w:val="24"/>
              </w:rPr>
              <w:t>，周边主要为企业与厂房。项目所在区内地质条件良好，地形地貌大部为丘陵地形。由于</w:t>
            </w:r>
            <w:r>
              <w:rPr>
                <w:kern w:val="0"/>
                <w:sz w:val="24"/>
              </w:rPr>
              <w:t>人为活动频繁，已不存在原生植被。区内无大型野生动物及古大珍稀植物，无特殊文物保护单位。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6949" w:hRule="atLeast"/>
          <w:jc w:val="center"/>
        </w:trPr>
        <w:tc>
          <w:tcPr>
            <w:tcW w:w="9089" w:type="dxa"/>
            <w:gridSpan w:val="2"/>
            <w:noWrap/>
            <w:vAlign w:val="bottom"/>
          </w:tcPr>
          <w:p>
            <w:pPr>
              <w:spacing w:line="360" w:lineRule="auto"/>
              <w:rPr>
                <w:rFonts w:hint="eastAsia" w:ascii="宋体" w:hAnsi="宋体" w:cs="黑体"/>
                <w:b/>
                <w:bCs/>
                <w:sz w:val="28"/>
                <w:szCs w:val="28"/>
              </w:rPr>
            </w:pPr>
            <w:r>
              <w:rPr>
                <w:rFonts w:hint="eastAsia" w:ascii="宋体" w:hAnsi="宋体" w:cs="黑体"/>
                <w:b/>
                <w:bCs/>
                <w:sz w:val="28"/>
                <w:szCs w:val="28"/>
              </w:rPr>
              <w:t>主要环境保护目标（列出名单及保护级别）</w:t>
            </w:r>
          </w:p>
          <w:p>
            <w:pPr>
              <w:spacing w:line="360" w:lineRule="auto"/>
              <w:rPr>
                <w:rFonts w:hint="eastAsia" w:ascii="宋体" w:hAnsi="宋体" w:cs="宋体"/>
                <w:b/>
                <w:sz w:val="24"/>
              </w:rPr>
            </w:pPr>
            <w:r>
              <w:rPr>
                <w:rFonts w:hint="eastAsia" w:ascii="宋体" w:hAnsi="宋体" w:cs="宋体"/>
                <w:b/>
                <w:sz w:val="24"/>
              </w:rPr>
              <w:t>一、项目外环境关系</w:t>
            </w:r>
          </w:p>
          <w:p>
            <w:pPr>
              <w:spacing w:line="360" w:lineRule="auto"/>
              <w:ind w:firstLine="480" w:firstLineChars="200"/>
              <w:rPr>
                <w:rFonts w:hint="eastAsia"/>
                <w:bCs/>
                <w:sz w:val="24"/>
              </w:rPr>
            </w:pPr>
            <w:r>
              <w:rPr>
                <w:rFonts w:hint="eastAsia"/>
                <w:sz w:val="24"/>
              </w:rPr>
              <w:t>本项目位于</w:t>
            </w:r>
            <w:r>
              <w:rPr>
                <w:rFonts w:hint="eastAsia"/>
                <w:bCs/>
                <w:sz w:val="24"/>
              </w:rPr>
              <w:t>乐山市</w:t>
            </w:r>
            <w:r>
              <w:rPr>
                <w:rFonts w:hint="eastAsia"/>
                <w:bCs/>
                <w:sz w:val="24"/>
                <w:lang w:eastAsia="zh-CN"/>
              </w:rPr>
              <w:t>市中区土主镇红岩坝村六组</w:t>
            </w:r>
            <w:r>
              <w:rPr>
                <w:sz w:val="24"/>
              </w:rPr>
              <w:t>（经度</w:t>
            </w:r>
            <w:r>
              <w:rPr>
                <w:rFonts w:hint="eastAsia"/>
                <w:sz w:val="24"/>
              </w:rPr>
              <w:t>103.</w:t>
            </w:r>
            <w:r>
              <w:rPr>
                <w:rFonts w:hint="eastAsia"/>
                <w:sz w:val="24"/>
                <w:lang w:val="en-US" w:eastAsia="zh-CN"/>
              </w:rPr>
              <w:t>8458</w:t>
            </w:r>
            <w:r>
              <w:rPr>
                <w:sz w:val="24"/>
              </w:rPr>
              <w:t>°</w:t>
            </w:r>
            <w:r>
              <w:rPr>
                <w:rFonts w:hAnsi="宋体"/>
                <w:sz w:val="24"/>
              </w:rPr>
              <w:t>，纬度</w:t>
            </w:r>
            <w:r>
              <w:rPr>
                <w:rFonts w:hint="eastAsia"/>
                <w:sz w:val="24"/>
              </w:rPr>
              <w:t>29.</w:t>
            </w:r>
            <w:r>
              <w:rPr>
                <w:rFonts w:hint="eastAsia"/>
                <w:sz w:val="24"/>
                <w:lang w:val="en-US" w:eastAsia="zh-CN"/>
              </w:rPr>
              <w:t>6519</w:t>
            </w:r>
            <w:r>
              <w:rPr>
                <w:sz w:val="24"/>
              </w:rPr>
              <w:t>°）</w:t>
            </w:r>
            <w:r>
              <w:rPr>
                <w:rFonts w:hint="eastAsia"/>
                <w:bCs/>
                <w:sz w:val="24"/>
              </w:rPr>
              <w:t>，租用</w:t>
            </w:r>
            <w:r>
              <w:rPr>
                <w:rFonts w:hint="eastAsia" w:hAnsi="宋体"/>
                <w:bCs/>
                <w:sz w:val="24"/>
              </w:rPr>
              <w:t>乐山市</w:t>
            </w:r>
            <w:r>
              <w:rPr>
                <w:rFonts w:hint="eastAsia" w:hAnsi="宋体"/>
                <w:bCs/>
                <w:sz w:val="24"/>
                <w:lang w:eastAsia="zh-CN"/>
              </w:rPr>
              <w:t>鑫瑞纺织有限公司的部分</w:t>
            </w:r>
            <w:r>
              <w:rPr>
                <w:rFonts w:hint="eastAsia"/>
                <w:sz w:val="24"/>
              </w:rPr>
              <w:t>厂房</w:t>
            </w:r>
            <w:r>
              <w:rPr>
                <w:rFonts w:hint="eastAsia"/>
                <w:sz w:val="24"/>
                <w:lang w:eastAsia="zh-CN"/>
              </w:rPr>
              <w:t>，厂房南部仍为原纺织厂仓库</w:t>
            </w:r>
            <w:r>
              <w:rPr>
                <w:rFonts w:hint="eastAsia"/>
                <w:sz w:val="24"/>
              </w:rPr>
              <w:t>。</w:t>
            </w:r>
            <w:r>
              <w:rPr>
                <w:rFonts w:hint="eastAsia"/>
                <w:bCs/>
                <w:sz w:val="24"/>
              </w:rPr>
              <w:t>项目</w:t>
            </w:r>
            <w:r>
              <w:rPr>
                <w:rFonts w:hint="eastAsia"/>
                <w:bCs/>
                <w:sz w:val="24"/>
                <w:lang w:eastAsia="zh-CN"/>
              </w:rPr>
              <w:t>西面紧邻乐山佳利来纺织厂</w:t>
            </w:r>
            <w:r>
              <w:rPr>
                <w:rFonts w:hint="eastAsia"/>
                <w:bCs/>
                <w:sz w:val="24"/>
              </w:rPr>
              <w:t>；</w:t>
            </w:r>
            <w:r>
              <w:rPr>
                <w:rFonts w:hint="eastAsia"/>
                <w:bCs/>
                <w:sz w:val="24"/>
                <w:lang w:eastAsia="zh-CN"/>
              </w:rPr>
              <w:t>西面约</w:t>
            </w:r>
            <w:r>
              <w:rPr>
                <w:rFonts w:hint="eastAsia"/>
                <w:bCs/>
                <w:sz w:val="24"/>
                <w:lang w:val="en-US" w:eastAsia="zh-CN"/>
              </w:rPr>
              <w:t>150</w:t>
            </w:r>
            <w:r>
              <w:rPr>
                <w:rFonts w:hint="eastAsia"/>
                <w:bCs/>
                <w:sz w:val="24"/>
              </w:rPr>
              <w:t>m处为</w:t>
            </w:r>
            <w:r>
              <w:rPr>
                <w:rFonts w:hint="eastAsia"/>
                <w:bCs/>
                <w:sz w:val="24"/>
                <w:lang w:eastAsia="zh-CN"/>
              </w:rPr>
              <w:t>搏乐织布厂</w:t>
            </w:r>
            <w:r>
              <w:rPr>
                <w:rFonts w:hint="eastAsia"/>
                <w:bCs/>
                <w:sz w:val="24"/>
              </w:rPr>
              <w:t>；项目</w:t>
            </w:r>
            <w:r>
              <w:rPr>
                <w:rFonts w:hint="eastAsia"/>
                <w:bCs/>
                <w:sz w:val="24"/>
                <w:lang w:eastAsia="zh-CN"/>
              </w:rPr>
              <w:t>北</w:t>
            </w:r>
            <w:r>
              <w:rPr>
                <w:rFonts w:hint="eastAsia"/>
                <w:bCs/>
                <w:sz w:val="24"/>
              </w:rPr>
              <w:t>紧邻</w:t>
            </w:r>
            <w:r>
              <w:rPr>
                <w:rFonts w:hint="eastAsia"/>
                <w:bCs/>
                <w:sz w:val="24"/>
                <w:lang w:eastAsia="zh-CN"/>
              </w:rPr>
              <w:t>乐井路；东面约</w:t>
            </w:r>
            <w:r>
              <w:rPr>
                <w:rFonts w:hint="eastAsia"/>
                <w:bCs/>
                <w:sz w:val="24"/>
                <w:lang w:val="en-US" w:eastAsia="zh-CN"/>
              </w:rPr>
              <w:t>100m处为剑锋河；</w:t>
            </w:r>
            <w:r>
              <w:rPr>
                <w:rFonts w:hint="eastAsia"/>
                <w:bCs/>
                <w:sz w:val="24"/>
              </w:rPr>
              <w:t>西</w:t>
            </w:r>
            <w:r>
              <w:rPr>
                <w:rFonts w:hint="eastAsia"/>
                <w:bCs/>
                <w:sz w:val="24"/>
                <w:lang w:eastAsia="zh-CN"/>
              </w:rPr>
              <w:t>北</w:t>
            </w:r>
            <w:r>
              <w:rPr>
                <w:rFonts w:hint="eastAsia"/>
                <w:bCs/>
                <w:sz w:val="24"/>
              </w:rPr>
              <w:t>面</w:t>
            </w:r>
            <w:r>
              <w:rPr>
                <w:rFonts w:hint="eastAsia"/>
                <w:bCs/>
                <w:sz w:val="24"/>
                <w:lang w:val="en-US" w:eastAsia="zh-CN"/>
              </w:rPr>
              <w:t>176m</w:t>
            </w:r>
            <w:r>
              <w:rPr>
                <w:rFonts w:hint="eastAsia"/>
                <w:bCs/>
                <w:sz w:val="24"/>
              </w:rPr>
              <w:t>处为</w:t>
            </w:r>
            <w:r>
              <w:rPr>
                <w:rFonts w:hint="eastAsia"/>
                <w:bCs/>
                <w:sz w:val="24"/>
                <w:lang w:eastAsia="zh-CN"/>
              </w:rPr>
              <w:t>永盛纺织</w:t>
            </w:r>
            <w:r>
              <w:rPr>
                <w:rFonts w:hint="eastAsia"/>
                <w:bCs/>
                <w:sz w:val="24"/>
              </w:rPr>
              <w:t>；西北面</w:t>
            </w:r>
            <w:r>
              <w:rPr>
                <w:rFonts w:hint="eastAsia"/>
                <w:bCs/>
                <w:sz w:val="24"/>
                <w:lang w:val="en-US" w:eastAsia="zh-CN"/>
              </w:rPr>
              <w:t>290m</w:t>
            </w:r>
            <w:r>
              <w:rPr>
                <w:rFonts w:hint="eastAsia"/>
                <w:bCs/>
                <w:sz w:val="24"/>
                <w:lang w:eastAsia="zh-CN"/>
              </w:rPr>
              <w:t>是永逸汽修</w:t>
            </w:r>
            <w:r>
              <w:rPr>
                <w:rFonts w:hint="eastAsia"/>
                <w:bCs/>
                <w:sz w:val="24"/>
              </w:rPr>
              <w:t>；项目建设区域周围200m范围内</w:t>
            </w:r>
            <w:r>
              <w:rPr>
                <w:rFonts w:hint="eastAsia"/>
                <w:bCs/>
                <w:sz w:val="24"/>
                <w:lang w:eastAsia="zh-CN"/>
              </w:rPr>
              <w:t>有大约</w:t>
            </w:r>
            <w:r>
              <w:rPr>
                <w:rFonts w:hint="eastAsia"/>
                <w:bCs/>
                <w:sz w:val="24"/>
                <w:lang w:val="en-US" w:eastAsia="zh-CN"/>
              </w:rPr>
              <w:t>10户居民</w:t>
            </w:r>
            <w:r>
              <w:rPr>
                <w:rFonts w:hint="eastAsia"/>
                <w:bCs/>
                <w:sz w:val="24"/>
              </w:rPr>
              <w:t>，最近住户位于本项目</w:t>
            </w:r>
            <w:r>
              <w:rPr>
                <w:rFonts w:hint="eastAsia"/>
                <w:bCs/>
                <w:sz w:val="24"/>
                <w:lang w:eastAsia="zh-CN"/>
              </w:rPr>
              <w:t>东</w:t>
            </w:r>
            <w:r>
              <w:rPr>
                <w:rFonts w:hint="eastAsia"/>
                <w:bCs/>
                <w:sz w:val="24"/>
              </w:rPr>
              <w:t>南面，距离厂界</w:t>
            </w:r>
            <w:r>
              <w:rPr>
                <w:rFonts w:hint="eastAsia"/>
                <w:bCs/>
                <w:sz w:val="24"/>
                <w:lang w:val="en-US" w:eastAsia="zh-CN"/>
              </w:rPr>
              <w:t>90</w:t>
            </w:r>
            <w:r>
              <w:rPr>
                <w:rFonts w:hint="eastAsia"/>
                <w:bCs/>
                <w:sz w:val="24"/>
              </w:rPr>
              <w:t>m，项目</w:t>
            </w:r>
            <w:r>
              <w:rPr>
                <w:rFonts w:hint="eastAsia"/>
                <w:bCs/>
                <w:sz w:val="24"/>
                <w:lang w:eastAsia="zh-CN"/>
              </w:rPr>
              <w:t>西</w:t>
            </w:r>
            <w:r>
              <w:rPr>
                <w:rFonts w:hint="eastAsia"/>
                <w:bCs/>
                <w:sz w:val="24"/>
              </w:rPr>
              <w:t>面</w:t>
            </w:r>
            <w:r>
              <w:rPr>
                <w:rFonts w:hint="eastAsia"/>
                <w:bCs/>
                <w:sz w:val="24"/>
                <w:lang w:val="en-US" w:eastAsia="zh-CN"/>
              </w:rPr>
              <w:t>250-350</w:t>
            </w:r>
            <w:r>
              <w:rPr>
                <w:rFonts w:hint="eastAsia"/>
                <w:bCs/>
                <w:sz w:val="24"/>
              </w:rPr>
              <w:t>m为居民聚居地。</w:t>
            </w:r>
          </w:p>
          <w:p>
            <w:pPr>
              <w:spacing w:line="360" w:lineRule="auto"/>
              <w:ind w:firstLine="480" w:firstLineChars="200"/>
              <w:rPr>
                <w:rFonts w:hint="eastAsia"/>
                <w:sz w:val="24"/>
              </w:rPr>
            </w:pPr>
            <w:r>
              <w:rPr>
                <w:rFonts w:hint="eastAsia"/>
                <w:sz w:val="24"/>
              </w:rPr>
              <w:t>本项目建设区域不涉及自然保护区、风景名胜区、饮用水源保护区、基本农田保护区和其他需要特别保护的区域，无重大制约因素。</w:t>
            </w:r>
          </w:p>
          <w:p>
            <w:pPr>
              <w:spacing w:line="360" w:lineRule="auto"/>
              <w:rPr>
                <w:rFonts w:hint="eastAsia" w:ascii="宋体" w:hAnsi="宋体" w:cs="宋体"/>
                <w:b/>
                <w:sz w:val="24"/>
              </w:rPr>
            </w:pPr>
            <w:r>
              <w:rPr>
                <w:rFonts w:hint="eastAsia" w:ascii="宋体" w:hAnsi="宋体" w:cs="宋体"/>
                <w:b/>
                <w:sz w:val="24"/>
              </w:rPr>
              <w:t>二、主要环境保护目标</w:t>
            </w:r>
          </w:p>
          <w:p>
            <w:pPr>
              <w:spacing w:line="360" w:lineRule="auto"/>
              <w:ind w:firstLine="480" w:firstLineChars="200"/>
              <w:rPr>
                <w:sz w:val="24"/>
              </w:rPr>
            </w:pPr>
            <w:r>
              <w:rPr>
                <w:sz w:val="24"/>
              </w:rPr>
              <w:t>1、环境大气</w:t>
            </w:r>
          </w:p>
          <w:p>
            <w:pPr>
              <w:spacing w:line="360" w:lineRule="auto"/>
              <w:ind w:firstLine="480" w:firstLineChars="200"/>
              <w:rPr>
                <w:sz w:val="24"/>
              </w:rPr>
            </w:pPr>
            <w:r>
              <w:rPr>
                <w:sz w:val="24"/>
              </w:rPr>
              <w:t>项目大气环境保护目标为项目所在区域大气环境，环境空气应符合《环境空气质量标准》（GB3095-2012）二级标准要求。</w:t>
            </w:r>
          </w:p>
          <w:p>
            <w:pPr>
              <w:spacing w:line="360" w:lineRule="auto"/>
              <w:ind w:firstLine="480" w:firstLineChars="200"/>
              <w:rPr>
                <w:sz w:val="24"/>
              </w:rPr>
            </w:pPr>
            <w:r>
              <w:rPr>
                <w:sz w:val="24"/>
              </w:rPr>
              <w:t>2、地表水</w:t>
            </w:r>
          </w:p>
          <w:p>
            <w:pPr>
              <w:spacing w:line="360" w:lineRule="auto"/>
              <w:ind w:firstLine="480" w:firstLineChars="200"/>
              <w:rPr>
                <w:rFonts w:hint="eastAsia"/>
                <w:sz w:val="24"/>
                <w:lang w:eastAsia="zh-CN"/>
              </w:rPr>
            </w:pPr>
            <w:r>
              <w:rPr>
                <w:sz w:val="24"/>
              </w:rPr>
              <w:t>本项目所在地地表水体为</w:t>
            </w:r>
            <w:r>
              <w:rPr>
                <w:rFonts w:hint="eastAsia"/>
                <w:sz w:val="24"/>
                <w:lang w:eastAsia="zh-CN"/>
              </w:rPr>
              <w:t>剑峰河</w:t>
            </w:r>
            <w:r>
              <w:rPr>
                <w:sz w:val="24"/>
              </w:rPr>
              <w:t>，</w:t>
            </w:r>
            <w:r>
              <w:rPr>
                <w:rFonts w:hint="eastAsia"/>
                <w:sz w:val="24"/>
                <w:lang w:eastAsia="zh-CN"/>
              </w:rPr>
              <w:t>因本项目无生产废水外排，所以不会对水体环境质量造成影响。</w:t>
            </w:r>
          </w:p>
          <w:p>
            <w:pPr>
              <w:spacing w:line="360" w:lineRule="auto"/>
              <w:ind w:firstLine="480" w:firstLineChars="200"/>
              <w:rPr>
                <w:sz w:val="24"/>
              </w:rPr>
            </w:pPr>
            <w:r>
              <w:rPr>
                <w:sz w:val="24"/>
              </w:rPr>
              <w:t>3、声环境</w:t>
            </w:r>
          </w:p>
          <w:p>
            <w:pPr>
              <w:spacing w:line="360" w:lineRule="auto"/>
              <w:ind w:firstLine="480" w:firstLineChars="200"/>
              <w:rPr>
                <w:sz w:val="24"/>
              </w:rPr>
            </w:pPr>
            <w:r>
              <w:rPr>
                <w:sz w:val="24"/>
              </w:rPr>
              <w:t>声环境保护目标为项目所在地为中心200m范围内的噪声敏感区，项目所在地声学环境质量应符合《声环境质量标准》(GB3096-2008</w:t>
            </w:r>
            <w:r>
              <w:rPr>
                <w:rFonts w:hint="eastAsia"/>
                <w:sz w:val="24"/>
              </w:rPr>
              <w:t xml:space="preserve">) </w:t>
            </w:r>
            <w:r>
              <w:rPr>
                <w:rFonts w:hint="eastAsia"/>
                <w:sz w:val="24"/>
                <w:lang w:val="en-US" w:eastAsia="zh-CN"/>
              </w:rPr>
              <w:t>2</w:t>
            </w:r>
            <w:r>
              <w:rPr>
                <w:sz w:val="24"/>
              </w:rPr>
              <w:t>类标准要求。</w:t>
            </w:r>
          </w:p>
          <w:p>
            <w:pPr>
              <w:spacing w:line="360" w:lineRule="auto"/>
              <w:ind w:firstLine="480" w:firstLineChars="200"/>
              <w:rPr>
                <w:rFonts w:hint="eastAsia"/>
                <w:kern w:val="0"/>
                <w:sz w:val="24"/>
              </w:rPr>
            </w:pPr>
            <w:r>
              <w:rPr>
                <w:sz w:val="24"/>
              </w:rPr>
              <w:t>根据区域环境功能特征及建设项目地理位置和性质，确定</w:t>
            </w:r>
            <w:r>
              <w:rPr>
                <w:kern w:val="0"/>
                <w:sz w:val="24"/>
              </w:rPr>
              <w:t>本项目主要环境保护目标详见表3-</w:t>
            </w:r>
            <w:r>
              <w:rPr>
                <w:rFonts w:hint="eastAsia"/>
                <w:kern w:val="0"/>
                <w:sz w:val="24"/>
                <w:lang w:val="en-US" w:eastAsia="zh-CN"/>
              </w:rPr>
              <w:t>4</w:t>
            </w:r>
            <w:r>
              <w:rPr>
                <w:kern w:val="0"/>
                <w:sz w:val="24"/>
              </w:rPr>
              <w:t>。</w:t>
            </w:r>
          </w:p>
          <w:p>
            <w:pPr>
              <w:pStyle w:val="18"/>
              <w:keepNext/>
              <w:spacing w:line="360" w:lineRule="auto"/>
              <w:jc w:val="center"/>
              <w:rPr>
                <w:rFonts w:ascii="Times New Roman" w:hAnsi="Times New Roman" w:eastAsia="宋体"/>
                <w:b/>
                <w:sz w:val="21"/>
                <w:szCs w:val="21"/>
              </w:rPr>
            </w:pPr>
            <w:r>
              <w:rPr>
                <w:rFonts w:ascii="Times New Roman" w:hAnsi="Times New Roman" w:eastAsia="宋体"/>
                <w:b/>
                <w:sz w:val="21"/>
                <w:szCs w:val="21"/>
              </w:rPr>
              <w:t>表3-</w:t>
            </w:r>
            <w:r>
              <w:rPr>
                <w:rFonts w:hint="eastAsia" w:ascii="Times New Roman" w:hAnsi="Times New Roman" w:eastAsia="宋体"/>
                <w:b/>
                <w:sz w:val="21"/>
                <w:szCs w:val="21"/>
                <w:lang w:val="en-US" w:eastAsia="zh-CN"/>
              </w:rPr>
              <w:t>4</w:t>
            </w:r>
            <w:r>
              <w:rPr>
                <w:rFonts w:ascii="Times New Roman" w:hAnsi="Times New Roman" w:eastAsia="宋体"/>
                <w:b/>
                <w:sz w:val="21"/>
                <w:szCs w:val="21"/>
              </w:rPr>
              <w:t xml:space="preserve">  本项目主要环境保护目标表</w:t>
            </w:r>
          </w:p>
          <w:tbl>
            <w:tblPr>
              <w:tblStyle w:val="69"/>
              <w:tblW w:w="87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093"/>
              <w:gridCol w:w="1334"/>
              <w:gridCol w:w="934"/>
              <w:gridCol w:w="882"/>
              <w:gridCol w:w="1155"/>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jc w:val="center"/>
              </w:trPr>
              <w:tc>
                <w:tcPr>
                  <w:tcW w:w="1136" w:type="dxa"/>
                  <w:noWrap w:val="0"/>
                  <w:vAlign w:val="center"/>
                </w:tcPr>
                <w:p>
                  <w:pPr>
                    <w:jc w:val="center"/>
                    <w:rPr>
                      <w:rFonts w:hint="eastAsia"/>
                      <w:b/>
                      <w:szCs w:val="21"/>
                    </w:rPr>
                  </w:pPr>
                  <w:r>
                    <w:rPr>
                      <w:rFonts w:hint="eastAsia"/>
                      <w:b/>
                      <w:szCs w:val="21"/>
                    </w:rPr>
                    <w:t>类别</w:t>
                  </w:r>
                </w:p>
              </w:tc>
              <w:tc>
                <w:tcPr>
                  <w:tcW w:w="1093" w:type="dxa"/>
                  <w:noWrap w:val="0"/>
                  <w:vAlign w:val="center"/>
                </w:tcPr>
                <w:p>
                  <w:pPr>
                    <w:jc w:val="center"/>
                    <w:rPr>
                      <w:rFonts w:hint="eastAsia"/>
                      <w:b/>
                      <w:szCs w:val="21"/>
                    </w:rPr>
                  </w:pPr>
                  <w:r>
                    <w:rPr>
                      <w:rFonts w:hint="eastAsia"/>
                      <w:b/>
                      <w:szCs w:val="21"/>
                    </w:rPr>
                    <w:t>保护目标</w:t>
                  </w:r>
                </w:p>
              </w:tc>
              <w:tc>
                <w:tcPr>
                  <w:tcW w:w="1334" w:type="dxa"/>
                  <w:noWrap w:val="0"/>
                  <w:vAlign w:val="center"/>
                </w:tcPr>
                <w:p>
                  <w:pPr>
                    <w:jc w:val="center"/>
                    <w:rPr>
                      <w:rFonts w:hint="eastAsia"/>
                      <w:b/>
                      <w:szCs w:val="21"/>
                    </w:rPr>
                  </w:pPr>
                  <w:r>
                    <w:rPr>
                      <w:rFonts w:hint="eastAsia"/>
                      <w:b/>
                      <w:szCs w:val="21"/>
                    </w:rPr>
                    <w:t>性质</w:t>
                  </w:r>
                </w:p>
              </w:tc>
              <w:tc>
                <w:tcPr>
                  <w:tcW w:w="934" w:type="dxa"/>
                  <w:noWrap w:val="0"/>
                  <w:vAlign w:val="center"/>
                </w:tcPr>
                <w:p>
                  <w:pPr>
                    <w:jc w:val="center"/>
                    <w:rPr>
                      <w:rFonts w:hint="eastAsia"/>
                      <w:b/>
                      <w:szCs w:val="21"/>
                    </w:rPr>
                  </w:pPr>
                  <w:r>
                    <w:rPr>
                      <w:rFonts w:hint="eastAsia"/>
                      <w:b/>
                      <w:szCs w:val="21"/>
                    </w:rPr>
                    <w:t>方位</w:t>
                  </w:r>
                </w:p>
              </w:tc>
              <w:tc>
                <w:tcPr>
                  <w:tcW w:w="882" w:type="dxa"/>
                  <w:noWrap w:val="0"/>
                  <w:vAlign w:val="center"/>
                </w:tcPr>
                <w:p>
                  <w:pPr>
                    <w:jc w:val="center"/>
                    <w:rPr>
                      <w:rFonts w:hint="eastAsia"/>
                      <w:b/>
                      <w:szCs w:val="21"/>
                    </w:rPr>
                  </w:pPr>
                  <w:r>
                    <w:rPr>
                      <w:rFonts w:hint="eastAsia"/>
                      <w:b/>
                      <w:szCs w:val="21"/>
                    </w:rPr>
                    <w:t>规模</w:t>
                  </w:r>
                </w:p>
              </w:tc>
              <w:tc>
                <w:tcPr>
                  <w:tcW w:w="1155" w:type="dxa"/>
                  <w:noWrap w:val="0"/>
                  <w:vAlign w:val="center"/>
                </w:tcPr>
                <w:p>
                  <w:pPr>
                    <w:jc w:val="center"/>
                    <w:rPr>
                      <w:rFonts w:hint="eastAsia"/>
                      <w:b/>
                      <w:szCs w:val="21"/>
                    </w:rPr>
                  </w:pPr>
                  <w:r>
                    <w:rPr>
                      <w:rFonts w:hint="eastAsia"/>
                      <w:b/>
                      <w:szCs w:val="21"/>
                    </w:rPr>
                    <w:t>距离</w:t>
                  </w:r>
                </w:p>
              </w:tc>
              <w:tc>
                <w:tcPr>
                  <w:tcW w:w="2244" w:type="dxa"/>
                  <w:noWrap w:val="0"/>
                  <w:vAlign w:val="top"/>
                </w:tcPr>
                <w:p>
                  <w:pPr>
                    <w:jc w:val="center"/>
                    <w:rPr>
                      <w:rFonts w:hint="eastAsia"/>
                      <w:b/>
                      <w:szCs w:val="21"/>
                    </w:rPr>
                  </w:pPr>
                  <w:r>
                    <w:rPr>
                      <w:rFonts w:hint="eastAsia"/>
                      <w:b/>
                      <w:szCs w:val="21"/>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1136" w:type="dxa"/>
                  <w:vMerge w:val="restart"/>
                  <w:noWrap w:val="0"/>
                  <w:vAlign w:val="center"/>
                </w:tcPr>
                <w:p>
                  <w:pPr>
                    <w:jc w:val="center"/>
                    <w:rPr>
                      <w:rFonts w:hint="eastAsia"/>
                      <w:szCs w:val="21"/>
                    </w:rPr>
                  </w:pPr>
                  <w:r>
                    <w:rPr>
                      <w:rFonts w:hint="eastAsia"/>
                      <w:szCs w:val="21"/>
                    </w:rPr>
                    <w:t>大气环境</w:t>
                  </w:r>
                </w:p>
              </w:tc>
              <w:tc>
                <w:tcPr>
                  <w:tcW w:w="1093" w:type="dxa"/>
                  <w:noWrap w:val="0"/>
                  <w:vAlign w:val="center"/>
                </w:tcPr>
                <w:p>
                  <w:pPr>
                    <w:jc w:val="center"/>
                    <w:rPr>
                      <w:rFonts w:hint="eastAsia"/>
                      <w:szCs w:val="21"/>
                    </w:rPr>
                  </w:pPr>
                  <w:r>
                    <w:rPr>
                      <w:rFonts w:hint="eastAsia"/>
                      <w:szCs w:val="21"/>
                    </w:rPr>
                    <w:t>住户</w:t>
                  </w:r>
                </w:p>
              </w:tc>
              <w:tc>
                <w:tcPr>
                  <w:tcW w:w="1334" w:type="dxa"/>
                  <w:noWrap w:val="0"/>
                  <w:vAlign w:val="center"/>
                </w:tcPr>
                <w:p>
                  <w:pPr>
                    <w:jc w:val="center"/>
                    <w:rPr>
                      <w:rFonts w:hint="eastAsia"/>
                      <w:szCs w:val="21"/>
                    </w:rPr>
                  </w:pPr>
                  <w:r>
                    <w:rPr>
                      <w:rFonts w:hint="eastAsia"/>
                      <w:kern w:val="0"/>
                      <w:szCs w:val="21"/>
                    </w:rPr>
                    <w:t>居民聚居地</w:t>
                  </w:r>
                </w:p>
              </w:tc>
              <w:tc>
                <w:tcPr>
                  <w:tcW w:w="934" w:type="dxa"/>
                  <w:noWrap w:val="0"/>
                  <w:vAlign w:val="center"/>
                </w:tcPr>
                <w:p>
                  <w:pPr>
                    <w:jc w:val="center"/>
                    <w:rPr>
                      <w:rFonts w:hint="eastAsia"/>
                      <w:szCs w:val="21"/>
                    </w:rPr>
                  </w:pPr>
                  <w:r>
                    <w:rPr>
                      <w:rFonts w:hint="eastAsia"/>
                      <w:szCs w:val="21"/>
                      <w:lang w:eastAsia="zh-CN"/>
                    </w:rPr>
                    <w:t>西</w:t>
                  </w:r>
                  <w:r>
                    <w:rPr>
                      <w:rFonts w:hint="eastAsia"/>
                      <w:szCs w:val="21"/>
                    </w:rPr>
                    <w:t>面</w:t>
                  </w:r>
                </w:p>
              </w:tc>
              <w:tc>
                <w:tcPr>
                  <w:tcW w:w="882" w:type="dxa"/>
                  <w:noWrap w:val="0"/>
                  <w:vAlign w:val="center"/>
                </w:tcPr>
                <w:p>
                  <w:pPr>
                    <w:jc w:val="center"/>
                    <w:rPr>
                      <w:rFonts w:hint="eastAsia" w:eastAsia="宋体"/>
                      <w:szCs w:val="21"/>
                      <w:lang w:eastAsia="zh-CN"/>
                    </w:rPr>
                  </w:pPr>
                  <w:r>
                    <w:rPr>
                      <w:rFonts w:hint="eastAsia"/>
                      <w:szCs w:val="21"/>
                      <w:lang w:val="en-US" w:eastAsia="zh-CN"/>
                    </w:rPr>
                    <w:t>/</w:t>
                  </w:r>
                </w:p>
              </w:tc>
              <w:tc>
                <w:tcPr>
                  <w:tcW w:w="1155" w:type="dxa"/>
                  <w:noWrap w:val="0"/>
                  <w:vAlign w:val="center"/>
                </w:tcPr>
                <w:p>
                  <w:pPr>
                    <w:jc w:val="center"/>
                    <w:rPr>
                      <w:rFonts w:hint="eastAsia"/>
                      <w:szCs w:val="21"/>
                    </w:rPr>
                  </w:pPr>
                  <w:r>
                    <w:rPr>
                      <w:rFonts w:hint="eastAsia"/>
                      <w:szCs w:val="21"/>
                      <w:lang w:val="en-US" w:eastAsia="zh-CN"/>
                    </w:rPr>
                    <w:t>250-350</w:t>
                  </w:r>
                  <w:r>
                    <w:rPr>
                      <w:rFonts w:hint="eastAsia"/>
                      <w:szCs w:val="21"/>
                    </w:rPr>
                    <w:t>m</w:t>
                  </w:r>
                </w:p>
              </w:tc>
              <w:tc>
                <w:tcPr>
                  <w:tcW w:w="2244" w:type="dxa"/>
                  <w:vMerge w:val="restart"/>
                  <w:noWrap w:val="0"/>
                  <w:vAlign w:val="center"/>
                </w:tcPr>
                <w:p>
                  <w:pPr>
                    <w:jc w:val="center"/>
                    <w:rPr>
                      <w:rFonts w:hint="eastAsia"/>
                      <w:szCs w:val="21"/>
                    </w:rPr>
                  </w:pPr>
                  <w:r>
                    <w:rPr>
                      <w:szCs w:val="21"/>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1136" w:type="dxa"/>
                  <w:vMerge w:val="continue"/>
                  <w:noWrap w:val="0"/>
                  <w:vAlign w:val="center"/>
                </w:tcPr>
                <w:p>
                  <w:pPr>
                    <w:jc w:val="center"/>
                    <w:rPr>
                      <w:rFonts w:hint="eastAsia"/>
                      <w:szCs w:val="21"/>
                    </w:rPr>
                  </w:pPr>
                </w:p>
              </w:tc>
              <w:tc>
                <w:tcPr>
                  <w:tcW w:w="1093" w:type="dxa"/>
                  <w:noWrap w:val="0"/>
                  <w:vAlign w:val="center"/>
                </w:tcPr>
                <w:p>
                  <w:pPr>
                    <w:jc w:val="center"/>
                    <w:rPr>
                      <w:rFonts w:hint="eastAsia"/>
                      <w:szCs w:val="21"/>
                    </w:rPr>
                  </w:pPr>
                  <w:r>
                    <w:rPr>
                      <w:rFonts w:hint="eastAsia"/>
                      <w:szCs w:val="21"/>
                      <w:lang w:eastAsia="zh-CN"/>
                    </w:rPr>
                    <w:t>住户</w:t>
                  </w:r>
                </w:p>
              </w:tc>
              <w:tc>
                <w:tcPr>
                  <w:tcW w:w="1334" w:type="dxa"/>
                  <w:noWrap w:val="0"/>
                  <w:vAlign w:val="center"/>
                </w:tcPr>
                <w:p>
                  <w:pPr>
                    <w:jc w:val="center"/>
                    <w:rPr>
                      <w:rFonts w:hint="eastAsia"/>
                      <w:kern w:val="0"/>
                      <w:szCs w:val="21"/>
                    </w:rPr>
                  </w:pPr>
                  <w:r>
                    <w:rPr>
                      <w:rFonts w:hint="eastAsia"/>
                      <w:szCs w:val="21"/>
                    </w:rPr>
                    <w:t>住宅</w:t>
                  </w:r>
                </w:p>
              </w:tc>
              <w:tc>
                <w:tcPr>
                  <w:tcW w:w="934" w:type="dxa"/>
                  <w:noWrap w:val="0"/>
                  <w:vAlign w:val="center"/>
                </w:tcPr>
                <w:p>
                  <w:pPr>
                    <w:jc w:val="center"/>
                    <w:rPr>
                      <w:rFonts w:hint="eastAsia"/>
                      <w:szCs w:val="21"/>
                      <w:lang w:eastAsia="zh-CN"/>
                    </w:rPr>
                  </w:pPr>
                  <w:r>
                    <w:rPr>
                      <w:rFonts w:hint="eastAsia"/>
                      <w:szCs w:val="21"/>
                      <w:lang w:eastAsia="zh-CN"/>
                    </w:rPr>
                    <w:t>东面</w:t>
                  </w:r>
                </w:p>
              </w:tc>
              <w:tc>
                <w:tcPr>
                  <w:tcW w:w="882" w:type="dxa"/>
                  <w:noWrap w:val="0"/>
                  <w:vAlign w:val="center"/>
                </w:tcPr>
                <w:p>
                  <w:pPr>
                    <w:jc w:val="center"/>
                    <w:rPr>
                      <w:rFonts w:hint="eastAsia"/>
                      <w:szCs w:val="21"/>
                      <w:lang w:val="en-US" w:eastAsia="zh-CN"/>
                    </w:rPr>
                  </w:pPr>
                  <w:r>
                    <w:rPr>
                      <w:rFonts w:hint="eastAsia"/>
                      <w:szCs w:val="21"/>
                      <w:lang w:val="en-US" w:eastAsia="zh-CN"/>
                    </w:rPr>
                    <w:t>10户</w:t>
                  </w:r>
                </w:p>
              </w:tc>
              <w:tc>
                <w:tcPr>
                  <w:tcW w:w="1155" w:type="dxa"/>
                  <w:noWrap w:val="0"/>
                  <w:vAlign w:val="center"/>
                </w:tcPr>
                <w:p>
                  <w:pPr>
                    <w:jc w:val="center"/>
                    <w:rPr>
                      <w:rFonts w:hint="eastAsia"/>
                      <w:szCs w:val="21"/>
                      <w:lang w:val="en-US" w:eastAsia="zh-CN"/>
                    </w:rPr>
                  </w:pPr>
                  <w:r>
                    <w:rPr>
                      <w:rFonts w:hint="eastAsia"/>
                      <w:szCs w:val="21"/>
                      <w:lang w:val="en-US" w:eastAsia="zh-CN"/>
                    </w:rPr>
                    <w:t>90-200m</w:t>
                  </w:r>
                </w:p>
              </w:tc>
              <w:tc>
                <w:tcPr>
                  <w:tcW w:w="2244"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6" w:type="dxa"/>
                  <w:noWrap w:val="0"/>
                  <w:vAlign w:val="center"/>
                </w:tcPr>
                <w:p>
                  <w:pPr>
                    <w:jc w:val="center"/>
                    <w:rPr>
                      <w:rFonts w:hint="eastAsia"/>
                      <w:szCs w:val="21"/>
                    </w:rPr>
                  </w:pPr>
                  <w:r>
                    <w:rPr>
                      <w:rFonts w:hint="eastAsia"/>
                      <w:szCs w:val="21"/>
                    </w:rPr>
                    <w:t>声环境</w:t>
                  </w:r>
                </w:p>
              </w:tc>
              <w:tc>
                <w:tcPr>
                  <w:tcW w:w="1093" w:type="dxa"/>
                  <w:noWrap w:val="0"/>
                  <w:vAlign w:val="center"/>
                </w:tcPr>
                <w:p>
                  <w:pPr>
                    <w:jc w:val="center"/>
                    <w:rPr>
                      <w:rFonts w:hint="eastAsia" w:eastAsia="宋体"/>
                      <w:szCs w:val="21"/>
                      <w:lang w:eastAsia="zh-CN"/>
                    </w:rPr>
                  </w:pPr>
                  <w:r>
                    <w:rPr>
                      <w:rFonts w:hint="eastAsia"/>
                      <w:szCs w:val="21"/>
                      <w:lang w:eastAsia="zh-CN"/>
                    </w:rPr>
                    <w:t>住户</w:t>
                  </w:r>
                </w:p>
              </w:tc>
              <w:tc>
                <w:tcPr>
                  <w:tcW w:w="1334" w:type="dxa"/>
                  <w:noWrap w:val="0"/>
                  <w:vAlign w:val="center"/>
                </w:tcPr>
                <w:p>
                  <w:pPr>
                    <w:jc w:val="center"/>
                    <w:rPr>
                      <w:rFonts w:hint="eastAsia"/>
                      <w:kern w:val="0"/>
                      <w:szCs w:val="21"/>
                    </w:rPr>
                  </w:pPr>
                  <w:r>
                    <w:rPr>
                      <w:rFonts w:hint="eastAsia"/>
                      <w:szCs w:val="21"/>
                    </w:rPr>
                    <w:t>住宅</w:t>
                  </w:r>
                </w:p>
              </w:tc>
              <w:tc>
                <w:tcPr>
                  <w:tcW w:w="934" w:type="dxa"/>
                  <w:noWrap w:val="0"/>
                  <w:vAlign w:val="center"/>
                </w:tcPr>
                <w:p>
                  <w:pPr>
                    <w:jc w:val="center"/>
                    <w:rPr>
                      <w:rFonts w:hint="eastAsia" w:eastAsia="宋体"/>
                      <w:szCs w:val="21"/>
                      <w:lang w:eastAsia="zh-CN"/>
                    </w:rPr>
                  </w:pPr>
                  <w:r>
                    <w:rPr>
                      <w:rFonts w:hint="eastAsia"/>
                      <w:szCs w:val="21"/>
                      <w:lang w:eastAsia="zh-CN"/>
                    </w:rPr>
                    <w:t>东面</w:t>
                  </w:r>
                </w:p>
              </w:tc>
              <w:tc>
                <w:tcPr>
                  <w:tcW w:w="882" w:type="dxa"/>
                  <w:noWrap w:val="0"/>
                  <w:vAlign w:val="center"/>
                </w:tcPr>
                <w:p>
                  <w:pPr>
                    <w:jc w:val="center"/>
                    <w:rPr>
                      <w:rFonts w:hint="default" w:eastAsia="宋体"/>
                      <w:szCs w:val="21"/>
                      <w:lang w:val="en-US" w:eastAsia="zh-CN"/>
                    </w:rPr>
                  </w:pPr>
                  <w:r>
                    <w:rPr>
                      <w:rFonts w:hint="eastAsia"/>
                      <w:szCs w:val="21"/>
                      <w:lang w:val="en-US" w:eastAsia="zh-CN"/>
                    </w:rPr>
                    <w:t>10户</w:t>
                  </w:r>
                </w:p>
              </w:tc>
              <w:tc>
                <w:tcPr>
                  <w:tcW w:w="1155" w:type="dxa"/>
                  <w:noWrap w:val="0"/>
                  <w:vAlign w:val="center"/>
                </w:tcPr>
                <w:p>
                  <w:pPr>
                    <w:jc w:val="center"/>
                    <w:rPr>
                      <w:rFonts w:hint="default" w:eastAsia="宋体"/>
                      <w:szCs w:val="21"/>
                      <w:lang w:val="en-US" w:eastAsia="zh-CN"/>
                    </w:rPr>
                  </w:pPr>
                  <w:r>
                    <w:rPr>
                      <w:rFonts w:hint="eastAsia"/>
                      <w:szCs w:val="21"/>
                      <w:lang w:val="en-US" w:eastAsia="zh-CN"/>
                    </w:rPr>
                    <w:t>90-200m</w:t>
                  </w:r>
                </w:p>
              </w:tc>
              <w:tc>
                <w:tcPr>
                  <w:tcW w:w="2244" w:type="dxa"/>
                  <w:noWrap w:val="0"/>
                  <w:vAlign w:val="top"/>
                </w:tcPr>
                <w:p>
                  <w:pPr>
                    <w:jc w:val="center"/>
                    <w:rPr>
                      <w:rFonts w:hint="eastAsia"/>
                      <w:szCs w:val="21"/>
                    </w:rPr>
                  </w:pPr>
                  <w:r>
                    <w:rPr>
                      <w:rFonts w:hint="eastAsia"/>
                      <w:szCs w:val="21"/>
                    </w:rPr>
                    <w:t>《声环境质量标准》（GB3098-2008）中3类标准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1136" w:type="dxa"/>
                  <w:noWrap w:val="0"/>
                  <w:vAlign w:val="center"/>
                </w:tcPr>
                <w:p>
                  <w:pPr>
                    <w:jc w:val="center"/>
                    <w:rPr>
                      <w:rFonts w:hint="eastAsia"/>
                      <w:szCs w:val="21"/>
                    </w:rPr>
                  </w:pPr>
                  <w:r>
                    <w:rPr>
                      <w:rFonts w:hint="eastAsia"/>
                      <w:szCs w:val="21"/>
                    </w:rPr>
                    <w:t>地表水</w:t>
                  </w:r>
                </w:p>
              </w:tc>
              <w:tc>
                <w:tcPr>
                  <w:tcW w:w="1093" w:type="dxa"/>
                  <w:noWrap w:val="0"/>
                  <w:vAlign w:val="center"/>
                </w:tcPr>
                <w:p>
                  <w:pPr>
                    <w:jc w:val="center"/>
                    <w:rPr>
                      <w:rFonts w:hint="eastAsia" w:eastAsia="宋体"/>
                      <w:szCs w:val="21"/>
                      <w:lang w:eastAsia="zh-CN"/>
                    </w:rPr>
                  </w:pPr>
                  <w:r>
                    <w:rPr>
                      <w:rFonts w:hint="eastAsia"/>
                      <w:szCs w:val="21"/>
                      <w:lang w:eastAsia="zh-CN"/>
                    </w:rPr>
                    <w:t>剑峰河</w:t>
                  </w:r>
                </w:p>
              </w:tc>
              <w:tc>
                <w:tcPr>
                  <w:tcW w:w="1334" w:type="dxa"/>
                  <w:noWrap w:val="0"/>
                  <w:vAlign w:val="center"/>
                </w:tcPr>
                <w:p>
                  <w:pPr>
                    <w:jc w:val="center"/>
                    <w:rPr>
                      <w:rFonts w:hint="eastAsia"/>
                      <w:szCs w:val="21"/>
                    </w:rPr>
                  </w:pPr>
                  <w:r>
                    <w:rPr>
                      <w:rFonts w:hint="eastAsia"/>
                      <w:szCs w:val="21"/>
                    </w:rPr>
                    <w:t>河流</w:t>
                  </w:r>
                </w:p>
              </w:tc>
              <w:tc>
                <w:tcPr>
                  <w:tcW w:w="934" w:type="dxa"/>
                  <w:noWrap w:val="0"/>
                  <w:vAlign w:val="center"/>
                </w:tcPr>
                <w:p>
                  <w:pPr>
                    <w:jc w:val="center"/>
                    <w:rPr>
                      <w:rFonts w:hint="eastAsia"/>
                      <w:szCs w:val="21"/>
                    </w:rPr>
                  </w:pPr>
                  <w:r>
                    <w:rPr>
                      <w:rFonts w:hint="eastAsia"/>
                      <w:szCs w:val="21"/>
                    </w:rPr>
                    <w:t>东面</w:t>
                  </w:r>
                </w:p>
              </w:tc>
              <w:tc>
                <w:tcPr>
                  <w:tcW w:w="882" w:type="dxa"/>
                  <w:noWrap w:val="0"/>
                  <w:vAlign w:val="center"/>
                </w:tcPr>
                <w:p>
                  <w:pPr>
                    <w:jc w:val="center"/>
                    <w:rPr>
                      <w:rFonts w:hint="eastAsia"/>
                      <w:szCs w:val="21"/>
                    </w:rPr>
                  </w:pPr>
                  <w:r>
                    <w:rPr>
                      <w:rFonts w:hint="eastAsia"/>
                      <w:szCs w:val="21"/>
                      <w:lang w:eastAsia="zh-CN"/>
                    </w:rPr>
                    <w:t>小</w:t>
                  </w:r>
                  <w:r>
                    <w:rPr>
                      <w:rFonts w:hint="eastAsia"/>
                      <w:szCs w:val="21"/>
                    </w:rPr>
                    <w:t>河</w:t>
                  </w:r>
                </w:p>
              </w:tc>
              <w:tc>
                <w:tcPr>
                  <w:tcW w:w="1155" w:type="dxa"/>
                  <w:noWrap w:val="0"/>
                  <w:vAlign w:val="center"/>
                </w:tcPr>
                <w:p>
                  <w:pPr>
                    <w:jc w:val="center"/>
                    <w:rPr>
                      <w:rFonts w:hint="eastAsia"/>
                      <w:szCs w:val="21"/>
                    </w:rPr>
                  </w:pPr>
                  <w:r>
                    <w:rPr>
                      <w:rFonts w:hint="eastAsia"/>
                      <w:szCs w:val="21"/>
                      <w:lang w:val="en-US" w:eastAsia="zh-CN"/>
                    </w:rPr>
                    <w:t>100</w:t>
                  </w:r>
                  <w:r>
                    <w:rPr>
                      <w:rFonts w:hint="eastAsia"/>
                      <w:szCs w:val="21"/>
                    </w:rPr>
                    <w:t>m</w:t>
                  </w:r>
                </w:p>
              </w:tc>
              <w:tc>
                <w:tcPr>
                  <w:tcW w:w="2244" w:type="dxa"/>
                  <w:noWrap w:val="0"/>
                  <w:vAlign w:val="top"/>
                </w:tcPr>
                <w:p>
                  <w:pPr>
                    <w:jc w:val="center"/>
                    <w:rPr>
                      <w:rFonts w:hint="eastAsia"/>
                      <w:szCs w:val="21"/>
                    </w:rPr>
                  </w:pPr>
                  <w:r>
                    <w:rPr>
                      <w:szCs w:val="21"/>
                    </w:rPr>
                    <w:t>《地表水环境质量标准》（GB3838-2002）Ⅲ类水域标准</w:t>
                  </w:r>
                </w:p>
              </w:tc>
            </w:tr>
          </w:tbl>
          <w:p>
            <w:pPr>
              <w:autoSpaceDE w:val="0"/>
              <w:autoSpaceDN w:val="0"/>
              <w:adjustRightInd w:val="0"/>
              <w:spacing w:line="440" w:lineRule="exact"/>
              <w:jc w:val="left"/>
              <w:rPr>
                <w:rFonts w:hint="eastAsia"/>
                <w:sz w:val="24"/>
              </w:rPr>
            </w:pPr>
          </w:p>
          <w:p>
            <w:pPr>
              <w:autoSpaceDE w:val="0"/>
              <w:autoSpaceDN w:val="0"/>
              <w:adjustRightInd w:val="0"/>
              <w:spacing w:line="440" w:lineRule="exact"/>
              <w:jc w:val="left"/>
              <w:rPr>
                <w:rFonts w:hint="eastAsia"/>
                <w:sz w:val="24"/>
              </w:rPr>
            </w:pPr>
          </w:p>
          <w:p>
            <w:pPr>
              <w:autoSpaceDE w:val="0"/>
              <w:autoSpaceDN w:val="0"/>
              <w:adjustRightInd w:val="0"/>
              <w:spacing w:line="440" w:lineRule="exact"/>
              <w:jc w:val="left"/>
              <w:rPr>
                <w:rFonts w:hint="eastAsia"/>
                <w:sz w:val="24"/>
              </w:rPr>
            </w:pPr>
          </w:p>
          <w:p>
            <w:pPr>
              <w:autoSpaceDE w:val="0"/>
              <w:autoSpaceDN w:val="0"/>
              <w:adjustRightInd w:val="0"/>
              <w:spacing w:line="440" w:lineRule="exact"/>
              <w:jc w:val="left"/>
              <w:rPr>
                <w:rFonts w:hint="eastAsia"/>
                <w:sz w:val="24"/>
              </w:rPr>
            </w:pPr>
          </w:p>
          <w:p>
            <w:pPr>
              <w:autoSpaceDE w:val="0"/>
              <w:autoSpaceDN w:val="0"/>
              <w:adjustRightInd w:val="0"/>
              <w:spacing w:line="440" w:lineRule="exact"/>
              <w:jc w:val="left"/>
              <w:rPr>
                <w:rFonts w:hint="eastAsia"/>
                <w:sz w:val="24"/>
              </w:rPr>
            </w:pPr>
          </w:p>
          <w:p>
            <w:pPr>
              <w:autoSpaceDE w:val="0"/>
              <w:autoSpaceDN w:val="0"/>
              <w:adjustRightInd w:val="0"/>
              <w:spacing w:line="440" w:lineRule="exact"/>
              <w:jc w:val="left"/>
              <w:rPr>
                <w:rFonts w:hint="eastAsia"/>
                <w:sz w:val="24"/>
              </w:rPr>
            </w:pPr>
          </w:p>
          <w:p>
            <w:pPr>
              <w:autoSpaceDE w:val="0"/>
              <w:autoSpaceDN w:val="0"/>
              <w:adjustRightInd w:val="0"/>
              <w:spacing w:line="440" w:lineRule="exact"/>
              <w:jc w:val="left"/>
              <w:rPr>
                <w:rFonts w:hint="eastAsia"/>
                <w:sz w:val="24"/>
              </w:rPr>
            </w:pPr>
          </w:p>
          <w:p>
            <w:pPr>
              <w:autoSpaceDE w:val="0"/>
              <w:autoSpaceDN w:val="0"/>
              <w:adjustRightInd w:val="0"/>
              <w:spacing w:line="440" w:lineRule="exact"/>
              <w:jc w:val="left"/>
              <w:rPr>
                <w:rFonts w:hint="eastAsia"/>
                <w:sz w:val="24"/>
              </w:rPr>
            </w:pPr>
          </w:p>
          <w:p>
            <w:pPr>
              <w:autoSpaceDE w:val="0"/>
              <w:autoSpaceDN w:val="0"/>
              <w:adjustRightInd w:val="0"/>
              <w:spacing w:line="440" w:lineRule="exact"/>
              <w:jc w:val="left"/>
              <w:rPr>
                <w:rFonts w:hint="eastAsia"/>
                <w:sz w:val="24"/>
              </w:rPr>
            </w:pPr>
          </w:p>
          <w:p>
            <w:pPr>
              <w:autoSpaceDE w:val="0"/>
              <w:autoSpaceDN w:val="0"/>
              <w:adjustRightInd w:val="0"/>
              <w:spacing w:line="440" w:lineRule="exact"/>
              <w:jc w:val="left"/>
              <w:rPr>
                <w:rFonts w:hint="eastAsia"/>
                <w:sz w:val="24"/>
              </w:rPr>
            </w:pPr>
          </w:p>
          <w:p>
            <w:pPr>
              <w:autoSpaceDE w:val="0"/>
              <w:autoSpaceDN w:val="0"/>
              <w:adjustRightInd w:val="0"/>
              <w:spacing w:line="440" w:lineRule="exact"/>
              <w:jc w:val="left"/>
              <w:rPr>
                <w:rFonts w:hint="eastAsia"/>
                <w:sz w:val="24"/>
              </w:rPr>
            </w:pPr>
          </w:p>
          <w:p>
            <w:pPr>
              <w:autoSpaceDE w:val="0"/>
              <w:autoSpaceDN w:val="0"/>
              <w:adjustRightInd w:val="0"/>
              <w:spacing w:line="440" w:lineRule="exact"/>
              <w:jc w:val="left"/>
              <w:rPr>
                <w:rFonts w:hint="eastAsia"/>
                <w:sz w:val="24"/>
              </w:rPr>
            </w:pPr>
          </w:p>
          <w:p>
            <w:pPr>
              <w:autoSpaceDE w:val="0"/>
              <w:autoSpaceDN w:val="0"/>
              <w:adjustRightInd w:val="0"/>
              <w:spacing w:line="440" w:lineRule="exact"/>
              <w:jc w:val="left"/>
              <w:rPr>
                <w:rFonts w:hint="eastAsia"/>
                <w:sz w:val="24"/>
              </w:rPr>
            </w:pPr>
          </w:p>
        </w:tc>
      </w:tr>
    </w:tbl>
    <w:p>
      <w:pPr>
        <w:spacing w:line="360" w:lineRule="auto"/>
        <w:outlineLvl w:val="0"/>
        <w:rPr>
          <w:rFonts w:hint="eastAsia" w:ascii="宋体" w:hAnsi="宋体" w:cs="黑体"/>
          <w:b/>
          <w:bCs/>
          <w:sz w:val="32"/>
          <w:szCs w:val="32"/>
        </w:rPr>
      </w:pPr>
      <w:r>
        <w:rPr>
          <w:rFonts w:ascii="宋体" w:hAnsi="宋体" w:cs="黑体"/>
          <w:b/>
          <w:bCs/>
          <w:sz w:val="28"/>
          <w:szCs w:val="28"/>
        </w:rPr>
        <w:br w:type="page"/>
      </w:r>
      <w:r>
        <w:rPr>
          <w:rFonts w:hint="eastAsia" w:ascii="宋体" w:hAnsi="宋体" w:cs="黑体"/>
          <w:b/>
          <w:bCs/>
          <w:sz w:val="32"/>
          <w:szCs w:val="32"/>
        </w:rPr>
        <w:t>评价适用标准                                (表四)</w:t>
      </w:r>
    </w:p>
    <w:tbl>
      <w:tblPr>
        <w:tblStyle w:val="69"/>
        <w:tblW w:w="89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8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3" w:hRule="atLeast"/>
          <w:jc w:val="center"/>
        </w:trPr>
        <w:tc>
          <w:tcPr>
            <w:tcW w:w="531" w:type="dxa"/>
            <w:noWrap w:val="0"/>
            <w:vAlign w:val="center"/>
          </w:tcPr>
          <w:p>
            <w:pPr>
              <w:spacing w:line="720" w:lineRule="auto"/>
              <w:rPr>
                <w:b/>
                <w:sz w:val="28"/>
                <w:szCs w:val="28"/>
              </w:rPr>
            </w:pPr>
            <w:r>
              <w:rPr>
                <w:b/>
                <w:sz w:val="28"/>
                <w:szCs w:val="28"/>
              </w:rPr>
              <w:t>环</w:t>
            </w:r>
          </w:p>
          <w:p>
            <w:pPr>
              <w:spacing w:line="720" w:lineRule="auto"/>
              <w:rPr>
                <w:b/>
                <w:sz w:val="28"/>
                <w:szCs w:val="28"/>
              </w:rPr>
            </w:pPr>
            <w:r>
              <w:rPr>
                <w:b/>
                <w:sz w:val="28"/>
                <w:szCs w:val="28"/>
              </w:rPr>
              <w:t>境</w:t>
            </w:r>
          </w:p>
          <w:p>
            <w:pPr>
              <w:spacing w:line="720" w:lineRule="auto"/>
              <w:rPr>
                <w:b/>
                <w:sz w:val="28"/>
                <w:szCs w:val="28"/>
              </w:rPr>
            </w:pPr>
            <w:r>
              <w:rPr>
                <w:b/>
                <w:sz w:val="28"/>
                <w:szCs w:val="28"/>
              </w:rPr>
              <w:t>质</w:t>
            </w:r>
          </w:p>
          <w:p>
            <w:pPr>
              <w:spacing w:line="720" w:lineRule="auto"/>
              <w:rPr>
                <w:b/>
                <w:sz w:val="28"/>
                <w:szCs w:val="28"/>
              </w:rPr>
            </w:pPr>
            <w:r>
              <w:rPr>
                <w:b/>
                <w:sz w:val="28"/>
                <w:szCs w:val="28"/>
              </w:rPr>
              <w:t>量</w:t>
            </w:r>
          </w:p>
          <w:p>
            <w:pPr>
              <w:spacing w:line="720" w:lineRule="auto"/>
              <w:rPr>
                <w:b/>
                <w:sz w:val="28"/>
                <w:szCs w:val="28"/>
              </w:rPr>
            </w:pPr>
            <w:r>
              <w:rPr>
                <w:b/>
                <w:sz w:val="28"/>
                <w:szCs w:val="28"/>
              </w:rPr>
              <w:t>标</w:t>
            </w:r>
          </w:p>
          <w:p>
            <w:pPr>
              <w:spacing w:line="720" w:lineRule="auto"/>
            </w:pPr>
            <w:r>
              <w:rPr>
                <w:b/>
                <w:sz w:val="28"/>
                <w:szCs w:val="28"/>
              </w:rPr>
              <w:t>准</w:t>
            </w:r>
          </w:p>
        </w:tc>
        <w:tc>
          <w:tcPr>
            <w:tcW w:w="8459" w:type="dxa"/>
            <w:noWrap w:val="0"/>
            <w:vAlign w:val="top"/>
          </w:tcPr>
          <w:p>
            <w:pPr>
              <w:spacing w:line="360" w:lineRule="auto"/>
              <w:rPr>
                <w:b/>
                <w:bCs/>
                <w:color w:val="auto"/>
                <w:sz w:val="24"/>
              </w:rPr>
            </w:pPr>
            <w:r>
              <w:rPr>
                <w:b/>
                <w:bCs/>
                <w:sz w:val="24"/>
              </w:rPr>
              <w:t>一、环境空气质量：</w:t>
            </w:r>
            <w:r>
              <w:rPr>
                <w:color w:val="auto"/>
                <w:sz w:val="24"/>
              </w:rPr>
              <w:t>执行国家《环境空气质量标准》（GB3095-2012）二级标准，标准限值见表4-1。</w:t>
            </w:r>
          </w:p>
          <w:p>
            <w:pPr>
              <w:spacing w:line="360" w:lineRule="auto"/>
              <w:jc w:val="center"/>
              <w:rPr>
                <w:rFonts w:hint="eastAsia"/>
                <w:sz w:val="21"/>
                <w:szCs w:val="21"/>
                <w:vertAlign w:val="superscript"/>
              </w:rPr>
            </w:pPr>
            <w:r>
              <w:rPr>
                <w:b/>
                <w:sz w:val="21"/>
                <w:szCs w:val="21"/>
              </w:rPr>
              <w:t xml:space="preserve">表4-1  环境空气质量标准     </w:t>
            </w:r>
            <w:r>
              <w:rPr>
                <w:sz w:val="21"/>
                <w:szCs w:val="21"/>
              </w:rPr>
              <w:t>单位：</w:t>
            </w:r>
            <w:r>
              <w:rPr>
                <w:rFonts w:hint="eastAsia"/>
                <w:sz w:val="21"/>
                <w:szCs w:val="21"/>
              </w:rPr>
              <w:t>m</w:t>
            </w:r>
            <w:r>
              <w:rPr>
                <w:sz w:val="21"/>
                <w:szCs w:val="21"/>
              </w:rPr>
              <w:t>g/m</w:t>
            </w:r>
            <w:r>
              <w:rPr>
                <w:sz w:val="21"/>
                <w:szCs w:val="21"/>
                <w:vertAlign w:val="superscript"/>
              </w:rPr>
              <w:t>3</w:t>
            </w:r>
          </w:p>
          <w:tbl>
            <w:tblPr>
              <w:tblStyle w:val="69"/>
              <w:tblW w:w="6976"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808"/>
              <w:gridCol w:w="1807"/>
              <w:gridCol w:w="174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21" w:hRule="atLeast"/>
                <w:jc w:val="center"/>
              </w:trPr>
              <w:tc>
                <w:tcPr>
                  <w:tcW w:w="1615" w:type="dxa"/>
                  <w:noWrap w:val="0"/>
                  <w:vAlign w:val="center"/>
                </w:tcPr>
                <w:p>
                  <w:pPr>
                    <w:jc w:val="center"/>
                    <w:rPr>
                      <w:rFonts w:hint="eastAsia"/>
                      <w:szCs w:val="21"/>
                    </w:rPr>
                  </w:pPr>
                  <w:r>
                    <w:rPr>
                      <w:rFonts w:hint="eastAsia"/>
                      <w:szCs w:val="21"/>
                    </w:rPr>
                    <w:t>项目</w:t>
                  </w:r>
                </w:p>
              </w:tc>
              <w:tc>
                <w:tcPr>
                  <w:tcW w:w="1808" w:type="dxa"/>
                  <w:noWrap w:val="0"/>
                  <w:vAlign w:val="center"/>
                </w:tcPr>
                <w:p>
                  <w:pPr>
                    <w:jc w:val="center"/>
                    <w:rPr>
                      <w:rFonts w:hint="eastAsia"/>
                      <w:szCs w:val="21"/>
                    </w:rPr>
                  </w:pPr>
                  <w:r>
                    <w:rPr>
                      <w:szCs w:val="21"/>
                    </w:rPr>
                    <w:t>SO</w:t>
                  </w:r>
                  <w:r>
                    <w:rPr>
                      <w:szCs w:val="21"/>
                      <w:vertAlign w:val="subscript"/>
                    </w:rPr>
                    <w:t>2</w:t>
                  </w:r>
                </w:p>
              </w:tc>
              <w:tc>
                <w:tcPr>
                  <w:tcW w:w="1807" w:type="dxa"/>
                  <w:noWrap w:val="0"/>
                  <w:vAlign w:val="center"/>
                </w:tcPr>
                <w:p>
                  <w:pPr>
                    <w:jc w:val="center"/>
                    <w:rPr>
                      <w:rFonts w:hint="eastAsia"/>
                      <w:szCs w:val="21"/>
                    </w:rPr>
                  </w:pPr>
                  <w:r>
                    <w:rPr>
                      <w:szCs w:val="21"/>
                    </w:rPr>
                    <w:t>NO</w:t>
                  </w:r>
                  <w:r>
                    <w:rPr>
                      <w:szCs w:val="21"/>
                      <w:vertAlign w:val="subscript"/>
                    </w:rPr>
                    <w:t>2</w:t>
                  </w:r>
                </w:p>
              </w:tc>
              <w:tc>
                <w:tcPr>
                  <w:tcW w:w="1746" w:type="dxa"/>
                  <w:noWrap w:val="0"/>
                  <w:vAlign w:val="center"/>
                </w:tcPr>
                <w:p>
                  <w:pPr>
                    <w:jc w:val="center"/>
                    <w:rPr>
                      <w:rFonts w:hint="eastAsia" w:eastAsia="宋体"/>
                      <w:szCs w:val="21"/>
                      <w:lang w:eastAsia="zh-CN"/>
                    </w:rPr>
                  </w:pPr>
                  <w:r>
                    <w:rPr>
                      <w:rFonts w:hint="eastAsia"/>
                      <w:szCs w:val="21"/>
                      <w:lang w:eastAsia="zh-CN"/>
                    </w:rPr>
                    <w:t>颗粒物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75" w:hRule="atLeast"/>
                <w:jc w:val="center"/>
              </w:trPr>
              <w:tc>
                <w:tcPr>
                  <w:tcW w:w="1615" w:type="dxa"/>
                  <w:noWrap w:val="0"/>
                  <w:vAlign w:val="center"/>
                </w:tcPr>
                <w:p>
                  <w:pPr>
                    <w:jc w:val="center"/>
                    <w:rPr>
                      <w:szCs w:val="21"/>
                    </w:rPr>
                  </w:pPr>
                  <w:r>
                    <w:rPr>
                      <w:szCs w:val="21"/>
                    </w:rPr>
                    <w:t>年均值</w:t>
                  </w:r>
                </w:p>
              </w:tc>
              <w:tc>
                <w:tcPr>
                  <w:tcW w:w="1808" w:type="dxa"/>
                  <w:noWrap w:val="0"/>
                  <w:vAlign w:val="center"/>
                </w:tcPr>
                <w:p>
                  <w:pPr>
                    <w:jc w:val="center"/>
                    <w:rPr>
                      <w:rFonts w:hint="eastAsia"/>
                      <w:szCs w:val="21"/>
                    </w:rPr>
                  </w:pPr>
                  <w:r>
                    <w:rPr>
                      <w:rFonts w:hint="eastAsia"/>
                      <w:szCs w:val="21"/>
                    </w:rPr>
                    <w:t>0</w:t>
                  </w:r>
                  <w:r>
                    <w:rPr>
                      <w:rFonts w:hint="eastAsia"/>
                      <w:szCs w:val="21"/>
                      <w:lang w:val="en-US" w:eastAsia="zh-CN"/>
                    </w:rPr>
                    <w:t>.</w:t>
                  </w:r>
                  <w:r>
                    <w:rPr>
                      <w:rFonts w:hint="eastAsia"/>
                      <w:szCs w:val="21"/>
                    </w:rPr>
                    <w:t>06</w:t>
                  </w:r>
                </w:p>
              </w:tc>
              <w:tc>
                <w:tcPr>
                  <w:tcW w:w="1807" w:type="dxa"/>
                  <w:noWrap w:val="0"/>
                  <w:vAlign w:val="center"/>
                </w:tcPr>
                <w:p>
                  <w:pPr>
                    <w:jc w:val="center"/>
                    <w:rPr>
                      <w:rFonts w:hint="eastAsia"/>
                      <w:szCs w:val="21"/>
                    </w:rPr>
                  </w:pPr>
                  <w:r>
                    <w:rPr>
                      <w:rFonts w:hint="eastAsia"/>
                      <w:szCs w:val="21"/>
                    </w:rPr>
                    <w:t>0.04</w:t>
                  </w:r>
                </w:p>
              </w:tc>
              <w:tc>
                <w:tcPr>
                  <w:tcW w:w="1746" w:type="dxa"/>
                  <w:noWrap w:val="0"/>
                  <w:vAlign w:val="center"/>
                </w:tcPr>
                <w:p>
                  <w:pPr>
                    <w:jc w:val="center"/>
                    <w:rPr>
                      <w:rFonts w:hint="eastAsia"/>
                      <w:szCs w:val="21"/>
                    </w:rPr>
                  </w:pPr>
                  <w:r>
                    <w:rPr>
                      <w:rFonts w:hint="eastAsia"/>
                      <w:szCs w:val="21"/>
                    </w:rPr>
                    <w:t>0.20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48" w:hRule="atLeast"/>
                <w:jc w:val="center"/>
              </w:trPr>
              <w:tc>
                <w:tcPr>
                  <w:tcW w:w="1615" w:type="dxa"/>
                  <w:noWrap w:val="0"/>
                  <w:vAlign w:val="center"/>
                </w:tcPr>
                <w:p>
                  <w:pPr>
                    <w:jc w:val="center"/>
                    <w:rPr>
                      <w:rFonts w:hint="eastAsia"/>
                      <w:szCs w:val="21"/>
                    </w:rPr>
                  </w:pPr>
                  <w:r>
                    <w:rPr>
                      <w:szCs w:val="21"/>
                    </w:rPr>
                    <w:t>日均值</w:t>
                  </w:r>
                </w:p>
              </w:tc>
              <w:tc>
                <w:tcPr>
                  <w:tcW w:w="1808" w:type="dxa"/>
                  <w:noWrap w:val="0"/>
                  <w:vAlign w:val="center"/>
                </w:tcPr>
                <w:p>
                  <w:pPr>
                    <w:jc w:val="center"/>
                    <w:rPr>
                      <w:rFonts w:hint="eastAsia"/>
                      <w:szCs w:val="21"/>
                    </w:rPr>
                  </w:pPr>
                  <w:r>
                    <w:rPr>
                      <w:rFonts w:hint="eastAsia"/>
                      <w:szCs w:val="21"/>
                    </w:rPr>
                    <w:t>0.15</w:t>
                  </w:r>
                </w:p>
              </w:tc>
              <w:tc>
                <w:tcPr>
                  <w:tcW w:w="1807" w:type="dxa"/>
                  <w:noWrap w:val="0"/>
                  <w:vAlign w:val="center"/>
                </w:tcPr>
                <w:p>
                  <w:pPr>
                    <w:jc w:val="center"/>
                    <w:rPr>
                      <w:rFonts w:hint="eastAsia"/>
                      <w:szCs w:val="21"/>
                    </w:rPr>
                  </w:pPr>
                  <w:r>
                    <w:rPr>
                      <w:rFonts w:hint="eastAsia"/>
                      <w:szCs w:val="21"/>
                    </w:rPr>
                    <w:t>0</w:t>
                  </w:r>
                  <w:r>
                    <w:rPr>
                      <w:rFonts w:hint="eastAsia"/>
                      <w:szCs w:val="21"/>
                      <w:lang w:val="en-US" w:eastAsia="zh-CN"/>
                    </w:rPr>
                    <w:t>.</w:t>
                  </w:r>
                  <w:r>
                    <w:rPr>
                      <w:rFonts w:hint="eastAsia"/>
                      <w:szCs w:val="21"/>
                    </w:rPr>
                    <w:t>08</w:t>
                  </w:r>
                </w:p>
              </w:tc>
              <w:tc>
                <w:tcPr>
                  <w:tcW w:w="1746" w:type="dxa"/>
                  <w:noWrap w:val="0"/>
                  <w:vAlign w:val="center"/>
                </w:tcPr>
                <w:p>
                  <w:pPr>
                    <w:jc w:val="center"/>
                    <w:rPr>
                      <w:rFonts w:hint="default" w:eastAsia="宋体"/>
                      <w:szCs w:val="21"/>
                      <w:lang w:val="en-US" w:eastAsia="zh-CN"/>
                    </w:rPr>
                  </w:pPr>
                  <w:r>
                    <w:rPr>
                      <w:rFonts w:hint="eastAsia"/>
                      <w:color w:val="auto"/>
                      <w:szCs w:val="21"/>
                    </w:rPr>
                    <w:t>0.</w:t>
                  </w:r>
                  <w:r>
                    <w:rPr>
                      <w:rFonts w:hint="eastAsia"/>
                      <w:color w:val="auto"/>
                      <w:szCs w:val="21"/>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92" w:hRule="atLeast"/>
                <w:jc w:val="center"/>
              </w:trPr>
              <w:tc>
                <w:tcPr>
                  <w:tcW w:w="1615" w:type="dxa"/>
                  <w:noWrap w:val="0"/>
                  <w:vAlign w:val="center"/>
                </w:tcPr>
                <w:p>
                  <w:pPr>
                    <w:jc w:val="center"/>
                    <w:rPr>
                      <w:rFonts w:hint="eastAsia"/>
                      <w:szCs w:val="21"/>
                    </w:rPr>
                  </w:pPr>
                  <w:r>
                    <w:rPr>
                      <w:rFonts w:hint="eastAsia"/>
                      <w:szCs w:val="21"/>
                    </w:rPr>
                    <w:t>小时均值</w:t>
                  </w:r>
                </w:p>
              </w:tc>
              <w:tc>
                <w:tcPr>
                  <w:tcW w:w="1808" w:type="dxa"/>
                  <w:noWrap w:val="0"/>
                  <w:vAlign w:val="center"/>
                </w:tcPr>
                <w:p>
                  <w:pPr>
                    <w:jc w:val="center"/>
                    <w:rPr>
                      <w:rFonts w:hint="eastAsia"/>
                      <w:szCs w:val="21"/>
                    </w:rPr>
                  </w:pPr>
                  <w:r>
                    <w:rPr>
                      <w:rFonts w:hint="eastAsia"/>
                      <w:szCs w:val="21"/>
                    </w:rPr>
                    <w:t>0.5</w:t>
                  </w:r>
                </w:p>
              </w:tc>
              <w:tc>
                <w:tcPr>
                  <w:tcW w:w="1807" w:type="dxa"/>
                  <w:noWrap w:val="0"/>
                  <w:vAlign w:val="center"/>
                </w:tcPr>
                <w:p>
                  <w:pPr>
                    <w:jc w:val="center"/>
                    <w:rPr>
                      <w:rFonts w:hint="eastAsia"/>
                      <w:szCs w:val="21"/>
                    </w:rPr>
                  </w:pPr>
                  <w:r>
                    <w:rPr>
                      <w:rFonts w:hint="eastAsia"/>
                      <w:szCs w:val="21"/>
                    </w:rPr>
                    <w:t>0.2</w:t>
                  </w:r>
                </w:p>
              </w:tc>
              <w:tc>
                <w:tcPr>
                  <w:tcW w:w="1746" w:type="dxa"/>
                  <w:noWrap w:val="0"/>
                  <w:vAlign w:val="center"/>
                </w:tcPr>
                <w:p>
                  <w:pPr>
                    <w:jc w:val="center"/>
                    <w:rPr>
                      <w:rFonts w:hint="eastAsia"/>
                      <w:szCs w:val="21"/>
                    </w:rPr>
                  </w:pPr>
                  <w:r>
                    <w:rPr>
                      <w:rFonts w:hint="eastAsia"/>
                      <w:szCs w:val="21"/>
                    </w:rPr>
                    <w:t>/</w:t>
                  </w:r>
                </w:p>
              </w:tc>
            </w:tr>
          </w:tbl>
          <w:p>
            <w:pPr>
              <w:pStyle w:val="41"/>
              <w:spacing w:line="360" w:lineRule="auto"/>
              <w:ind w:left="0" w:firstLine="480" w:firstLineChars="200"/>
              <w:rPr>
                <w:rFonts w:hint="eastAsia"/>
                <w:b/>
                <w:bCs/>
                <w:color w:val="auto"/>
                <w:sz w:val="24"/>
                <w:szCs w:val="24"/>
              </w:rPr>
            </w:pPr>
            <w:r>
              <w:rPr>
                <w:rFonts w:hint="eastAsia"/>
                <w:sz w:val="24"/>
                <w:szCs w:val="32"/>
                <w:lang w:eastAsia="zh-CN"/>
              </w:rPr>
              <w:t>执行</w:t>
            </w:r>
            <w:r>
              <w:rPr>
                <w:rFonts w:hint="default"/>
                <w:color w:val="auto"/>
                <w:kern w:val="2"/>
                <w:sz w:val="24"/>
                <w:szCs w:val="24"/>
                <w:lang w:val="en-US" w:eastAsia="zh-CN" w:bidi="ar-SA"/>
              </w:rPr>
              <w:t>《环境影响评价技术导则 大气环境》（HJ2.2-2018）</w:t>
            </w:r>
            <w:r>
              <w:rPr>
                <w:rFonts w:hint="eastAsia"/>
                <w:color w:val="auto"/>
                <w:kern w:val="2"/>
                <w:sz w:val="24"/>
                <w:szCs w:val="24"/>
                <w:lang w:val="en-US" w:eastAsia="zh-CN" w:bidi="ar-SA"/>
              </w:rPr>
              <w:t>附录D中标准值</w:t>
            </w:r>
            <w:r>
              <w:rPr>
                <w:rFonts w:hint="eastAsia"/>
                <w:color w:val="auto"/>
                <w:sz w:val="24"/>
                <w:szCs w:val="32"/>
                <w:lang w:eastAsia="zh-CN"/>
              </w:rPr>
              <w:t>，</w:t>
            </w:r>
            <w:r>
              <w:rPr>
                <w:color w:val="auto"/>
                <w:sz w:val="24"/>
              </w:rPr>
              <w:t>标准限值见表4-</w:t>
            </w:r>
            <w:r>
              <w:rPr>
                <w:rFonts w:hint="eastAsia"/>
                <w:color w:val="auto"/>
                <w:sz w:val="24"/>
                <w:lang w:val="en-US" w:eastAsia="zh-CN"/>
              </w:rPr>
              <w:t>2</w:t>
            </w:r>
            <w:r>
              <w:rPr>
                <w:color w:val="auto"/>
                <w:sz w:val="24"/>
              </w:rPr>
              <w:t>。</w:t>
            </w:r>
          </w:p>
          <w:p>
            <w:pPr>
              <w:spacing w:line="360" w:lineRule="auto"/>
              <w:jc w:val="center"/>
              <w:rPr>
                <w:b/>
                <w:sz w:val="21"/>
                <w:szCs w:val="21"/>
                <w:vertAlign w:val="baseline"/>
              </w:rPr>
            </w:pPr>
            <w:r>
              <w:rPr>
                <w:b/>
                <w:sz w:val="21"/>
                <w:szCs w:val="21"/>
              </w:rPr>
              <w:t>表4-</w:t>
            </w:r>
            <w:r>
              <w:rPr>
                <w:rFonts w:hint="eastAsia"/>
                <w:b/>
                <w:sz w:val="21"/>
                <w:szCs w:val="21"/>
                <w:lang w:val="en-US" w:eastAsia="zh-CN"/>
              </w:rPr>
              <w:t>2</w:t>
            </w:r>
            <w:r>
              <w:rPr>
                <w:b/>
                <w:sz w:val="21"/>
                <w:szCs w:val="21"/>
              </w:rPr>
              <w:t xml:space="preserve">  环境空气</w:t>
            </w:r>
            <w:r>
              <w:rPr>
                <w:rFonts w:hint="eastAsia"/>
                <w:b/>
                <w:sz w:val="21"/>
                <w:szCs w:val="21"/>
                <w:lang w:eastAsia="zh-CN"/>
              </w:rPr>
              <w:t>中非甲烷总烃浓度限值</w:t>
            </w:r>
          </w:p>
          <w:tbl>
            <w:tblPr>
              <w:tblStyle w:val="70"/>
              <w:tblW w:w="7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8"/>
              <w:gridCol w:w="3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4558" w:type="dxa"/>
                  <w:noWrap w:val="0"/>
                  <w:vAlign w:val="center"/>
                </w:tcPr>
                <w:p>
                  <w:pPr>
                    <w:jc w:val="center"/>
                    <w:rPr>
                      <w:rFonts w:hint="eastAsia"/>
                      <w:szCs w:val="21"/>
                      <w:lang w:eastAsia="zh-CN"/>
                    </w:rPr>
                  </w:pPr>
                  <w:r>
                    <w:rPr>
                      <w:rFonts w:hint="eastAsia"/>
                      <w:szCs w:val="21"/>
                      <w:lang w:eastAsia="zh-CN"/>
                    </w:rPr>
                    <w:t>项目</w:t>
                  </w:r>
                </w:p>
              </w:tc>
              <w:tc>
                <w:tcPr>
                  <w:tcW w:w="3102" w:type="dxa"/>
                  <w:noWrap w:val="0"/>
                  <w:vAlign w:val="center"/>
                </w:tcPr>
                <w:p>
                  <w:pPr>
                    <w:jc w:val="center"/>
                    <w:rPr>
                      <w:rFonts w:hint="eastAsia"/>
                      <w:szCs w:val="21"/>
                      <w:lang w:eastAsia="zh-CN"/>
                    </w:rPr>
                  </w:pPr>
                  <w:r>
                    <w:rPr>
                      <w:rFonts w:hint="eastAsia"/>
                      <w:szCs w:val="21"/>
                      <w:lang w:eastAsia="zh-CN"/>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4558" w:type="dxa"/>
                  <w:noWrap w:val="0"/>
                  <w:vAlign w:val="center"/>
                </w:tcPr>
                <w:p>
                  <w:pPr>
                    <w:jc w:val="center"/>
                    <w:rPr>
                      <w:rFonts w:hint="default"/>
                      <w:szCs w:val="21"/>
                      <w:lang w:val="en-US" w:eastAsia="zh-CN"/>
                    </w:rPr>
                  </w:pPr>
                  <w:r>
                    <w:rPr>
                      <w:rFonts w:hint="eastAsia"/>
                      <w:szCs w:val="21"/>
                      <w:lang w:val="en-US" w:eastAsia="zh-CN"/>
                    </w:rPr>
                    <w:t>1小时平均浓度限值，mg/m</w:t>
                  </w:r>
                  <w:r>
                    <w:rPr>
                      <w:rFonts w:hint="eastAsia"/>
                      <w:szCs w:val="21"/>
                      <w:vertAlign w:val="superscript"/>
                      <w:lang w:val="en-US" w:eastAsia="zh-CN"/>
                    </w:rPr>
                    <w:t>3</w:t>
                  </w:r>
                  <w:r>
                    <w:rPr>
                      <w:rFonts w:hint="eastAsia"/>
                      <w:szCs w:val="21"/>
                      <w:lang w:val="en-US" w:eastAsia="zh-CN"/>
                    </w:rPr>
                    <w:t>（标准状态）</w:t>
                  </w:r>
                </w:p>
              </w:tc>
              <w:tc>
                <w:tcPr>
                  <w:tcW w:w="3102" w:type="dxa"/>
                  <w:noWrap w:val="0"/>
                  <w:vAlign w:val="center"/>
                </w:tcPr>
                <w:p>
                  <w:pPr>
                    <w:jc w:val="center"/>
                    <w:rPr>
                      <w:rFonts w:hint="default"/>
                      <w:szCs w:val="21"/>
                      <w:lang w:val="en-US" w:eastAsia="zh-CN"/>
                    </w:rPr>
                  </w:pPr>
                  <w:r>
                    <w:rPr>
                      <w:rFonts w:hint="eastAsia"/>
                      <w:szCs w:val="21"/>
                      <w:lang w:val="en-US" w:eastAsia="zh-CN"/>
                    </w:rPr>
                    <w:t>1.8</w:t>
                  </w:r>
                </w:p>
              </w:tc>
            </w:tr>
          </w:tbl>
          <w:p>
            <w:pPr>
              <w:pStyle w:val="41"/>
              <w:spacing w:line="360" w:lineRule="auto"/>
              <w:ind w:left="0" w:firstLine="0" w:firstLineChars="0"/>
              <w:rPr>
                <w:sz w:val="24"/>
                <w:szCs w:val="24"/>
              </w:rPr>
            </w:pPr>
            <w:r>
              <w:rPr>
                <w:rFonts w:hint="eastAsia"/>
                <w:b/>
                <w:bCs/>
                <w:sz w:val="24"/>
                <w:szCs w:val="24"/>
              </w:rPr>
              <w:t>二、</w:t>
            </w:r>
            <w:r>
              <w:rPr>
                <w:b/>
                <w:bCs/>
                <w:sz w:val="24"/>
                <w:szCs w:val="24"/>
              </w:rPr>
              <w:t>地表水环境质量:</w:t>
            </w:r>
            <w:r>
              <w:rPr>
                <w:sz w:val="24"/>
                <w:szCs w:val="24"/>
              </w:rPr>
              <w:t>执行国家《地表水环境质量标准》（GB3838-2002）</w:t>
            </w:r>
            <w:r>
              <w:rPr>
                <w:rFonts w:hint="eastAsia" w:ascii="宋体" w:hAnsi="宋体" w:cs="宋体"/>
                <w:sz w:val="24"/>
                <w:szCs w:val="24"/>
              </w:rPr>
              <w:t>Ⅲ</w:t>
            </w:r>
            <w:r>
              <w:rPr>
                <w:sz w:val="24"/>
                <w:szCs w:val="24"/>
              </w:rPr>
              <w:t>类标准。标准限值见表4-</w:t>
            </w:r>
            <w:r>
              <w:rPr>
                <w:rFonts w:hint="eastAsia"/>
                <w:sz w:val="24"/>
                <w:szCs w:val="24"/>
                <w:lang w:val="en-US" w:eastAsia="zh-CN"/>
              </w:rPr>
              <w:t>3</w:t>
            </w:r>
            <w:r>
              <w:rPr>
                <w:sz w:val="24"/>
                <w:szCs w:val="24"/>
              </w:rPr>
              <w:t>。</w:t>
            </w:r>
          </w:p>
          <w:p>
            <w:pPr>
              <w:pStyle w:val="177"/>
              <w:rPr>
                <w:rFonts w:ascii="宋体" w:hAnsi="宋体" w:eastAsia="宋体"/>
                <w:b/>
                <w:color w:val="000000"/>
                <w:sz w:val="21"/>
              </w:rPr>
            </w:pPr>
            <w:r>
              <w:rPr>
                <w:rFonts w:ascii="宋体" w:hAnsi="宋体" w:eastAsia="宋体"/>
                <w:b/>
                <w:color w:val="000000"/>
                <w:sz w:val="21"/>
              </w:rPr>
              <w:t>表4-</w:t>
            </w:r>
            <w:r>
              <w:rPr>
                <w:rFonts w:hint="eastAsia" w:ascii="宋体" w:hAnsi="宋体" w:eastAsia="宋体"/>
                <w:b/>
                <w:color w:val="000000"/>
                <w:sz w:val="21"/>
                <w:lang w:val="en-US" w:eastAsia="zh-CN"/>
              </w:rPr>
              <w:t>3</w:t>
            </w:r>
            <w:r>
              <w:rPr>
                <w:rFonts w:hint="eastAsia" w:ascii="宋体" w:hAnsi="宋体" w:eastAsia="宋体"/>
                <w:b/>
                <w:color w:val="000000"/>
                <w:sz w:val="21"/>
              </w:rPr>
              <w:t xml:space="preserve">   </w:t>
            </w:r>
            <w:r>
              <w:rPr>
                <w:rFonts w:ascii="宋体" w:hAnsi="宋体" w:eastAsia="宋体"/>
                <w:b/>
                <w:color w:val="000000"/>
                <w:sz w:val="21"/>
              </w:rPr>
              <w:t>《地表水环境质量标准》(GB3838－2002) 单位：mg/L(pH除外)</w:t>
            </w:r>
          </w:p>
          <w:tbl>
            <w:tblPr>
              <w:tblStyle w:val="69"/>
              <w:tblW w:w="7267" w:type="dxa"/>
              <w:jc w:val="center"/>
              <w:tblInd w:w="6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27"/>
              <w:gridCol w:w="3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color w:val="000000"/>
                    </w:rPr>
                  </w:pPr>
                  <w:r>
                    <w:rPr>
                      <w:rFonts w:hAnsi="宋体"/>
                      <w:color w:val="000000"/>
                    </w:rPr>
                    <w:t>指标</w:t>
                  </w:r>
                </w:p>
              </w:tc>
              <w:tc>
                <w:tcPr>
                  <w:tcW w:w="3740" w:type="dxa"/>
                  <w:noWrap w:val="0"/>
                  <w:vAlign w:val="center"/>
                </w:tcPr>
                <w:p>
                  <w:pPr>
                    <w:adjustRightInd w:val="0"/>
                    <w:snapToGrid w:val="0"/>
                    <w:jc w:val="center"/>
                    <w:rPr>
                      <w:color w:val="000000"/>
                    </w:rPr>
                  </w:pPr>
                  <w:r>
                    <w:rPr>
                      <w:rFonts w:ascii="宋体" w:hAnsi="宋体"/>
                      <w:color w:val="000000"/>
                    </w:rPr>
                    <w:t>Ⅲ</w:t>
                  </w:r>
                  <w:r>
                    <w:rPr>
                      <w:rFonts w:hAnsi="宋体"/>
                      <w:color w:val="000000"/>
                    </w:rPr>
                    <w:t>类水域标准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color w:val="000000"/>
                    </w:rPr>
                  </w:pPr>
                  <w:r>
                    <w:rPr>
                      <w:color w:val="000000"/>
                    </w:rPr>
                    <w:t>pH</w:t>
                  </w:r>
                </w:p>
              </w:tc>
              <w:tc>
                <w:tcPr>
                  <w:tcW w:w="3740" w:type="dxa"/>
                  <w:noWrap w:val="0"/>
                  <w:vAlign w:val="center"/>
                </w:tcPr>
                <w:p>
                  <w:pPr>
                    <w:adjustRightInd w:val="0"/>
                    <w:snapToGrid w:val="0"/>
                    <w:jc w:val="center"/>
                    <w:rPr>
                      <w:color w:val="000000"/>
                    </w:rPr>
                  </w:pPr>
                  <w:r>
                    <w:rPr>
                      <w:color w:val="000000"/>
                    </w:rPr>
                    <w:t>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color w:val="000000"/>
                    </w:rPr>
                  </w:pPr>
                  <w:r>
                    <w:rPr>
                      <w:color w:val="000000"/>
                    </w:rPr>
                    <w:t>BOD</w:t>
                  </w:r>
                  <w:r>
                    <w:rPr>
                      <w:color w:val="000000"/>
                      <w:vertAlign w:val="subscript"/>
                    </w:rPr>
                    <w:t>5</w:t>
                  </w:r>
                  <w:r>
                    <w:rPr>
                      <w:color w:val="000000"/>
                      <w:lang w:val="en-GB"/>
                    </w:rPr>
                    <w:t>≤</w:t>
                  </w:r>
                </w:p>
              </w:tc>
              <w:tc>
                <w:tcPr>
                  <w:tcW w:w="3740" w:type="dxa"/>
                  <w:noWrap w:val="0"/>
                  <w:vAlign w:val="center"/>
                </w:tcPr>
                <w:p>
                  <w:pPr>
                    <w:adjustRightInd w:val="0"/>
                    <w:snapToGrid w:val="0"/>
                    <w:jc w:val="center"/>
                    <w:rPr>
                      <w:color w:val="000000"/>
                    </w:rPr>
                  </w:pPr>
                  <w:r>
                    <w:rPr>
                      <w:color w:val="00000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color w:val="000000"/>
                    </w:rPr>
                  </w:pPr>
                  <w:r>
                    <w:rPr>
                      <w:color w:val="000000"/>
                    </w:rPr>
                    <w:t>COD</w:t>
                  </w:r>
                  <w:r>
                    <w:rPr>
                      <w:color w:val="000000"/>
                      <w:vertAlign w:val="subscript"/>
                    </w:rPr>
                    <w:t>Cr</w:t>
                  </w:r>
                  <w:r>
                    <w:rPr>
                      <w:color w:val="000000"/>
                      <w:lang w:val="en-GB"/>
                    </w:rPr>
                    <w:t>≤</w:t>
                  </w:r>
                </w:p>
              </w:tc>
              <w:tc>
                <w:tcPr>
                  <w:tcW w:w="3740" w:type="dxa"/>
                  <w:noWrap w:val="0"/>
                  <w:vAlign w:val="center"/>
                </w:tcPr>
                <w:p>
                  <w:pPr>
                    <w:adjustRightInd w:val="0"/>
                    <w:snapToGrid w:val="0"/>
                    <w:jc w:val="center"/>
                    <w:rPr>
                      <w:color w:val="000000"/>
                    </w:rPr>
                  </w:pPr>
                  <w:r>
                    <w:rPr>
                      <w:color w:val="000000"/>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color w:val="000000"/>
                    </w:rPr>
                  </w:pPr>
                  <w:r>
                    <w:rPr>
                      <w:color w:val="000000"/>
                    </w:rPr>
                    <w:t>DO</w:t>
                  </w:r>
                  <w:r>
                    <w:rPr>
                      <w:color w:val="000000"/>
                      <w:lang w:val="en-GB"/>
                    </w:rPr>
                    <w:t>≥</w:t>
                  </w:r>
                </w:p>
              </w:tc>
              <w:tc>
                <w:tcPr>
                  <w:tcW w:w="3740" w:type="dxa"/>
                  <w:noWrap w:val="0"/>
                  <w:vAlign w:val="center"/>
                </w:tcPr>
                <w:p>
                  <w:pPr>
                    <w:adjustRightInd w:val="0"/>
                    <w:snapToGrid w:val="0"/>
                    <w:jc w:val="center"/>
                    <w:rPr>
                      <w:color w:val="000000"/>
                    </w:rPr>
                  </w:pPr>
                  <w:r>
                    <w:rPr>
                      <w:color w:val="00000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color w:val="000000"/>
                    </w:rPr>
                  </w:pPr>
                  <w:r>
                    <w:rPr>
                      <w:color w:val="000000"/>
                    </w:rPr>
                    <w:t>NH</w:t>
                  </w:r>
                  <w:r>
                    <w:rPr>
                      <w:color w:val="000000"/>
                      <w:vertAlign w:val="subscript"/>
                    </w:rPr>
                    <w:t>3</w:t>
                  </w:r>
                  <w:r>
                    <w:rPr>
                      <w:color w:val="000000"/>
                    </w:rPr>
                    <w:t>-N</w:t>
                  </w:r>
                  <w:r>
                    <w:rPr>
                      <w:color w:val="000000"/>
                      <w:lang w:val="en-GB"/>
                    </w:rPr>
                    <w:t>≤</w:t>
                  </w:r>
                </w:p>
              </w:tc>
              <w:tc>
                <w:tcPr>
                  <w:tcW w:w="3740" w:type="dxa"/>
                  <w:noWrap w:val="0"/>
                  <w:vAlign w:val="center"/>
                </w:tcPr>
                <w:p>
                  <w:pPr>
                    <w:adjustRightInd w:val="0"/>
                    <w:snapToGrid w:val="0"/>
                    <w:jc w:val="center"/>
                    <w:rPr>
                      <w:color w:val="000000"/>
                    </w:rPr>
                  </w:pPr>
                  <w:r>
                    <w:rPr>
                      <w:color w:val="00000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rFonts w:hint="eastAsia"/>
                      <w:color w:val="000000"/>
                    </w:rPr>
                  </w:pPr>
                  <w:r>
                    <w:rPr>
                      <w:rFonts w:hint="eastAsia"/>
                      <w:color w:val="000000"/>
                    </w:rPr>
                    <w:t>悬浮物</w:t>
                  </w:r>
                </w:p>
              </w:tc>
              <w:tc>
                <w:tcPr>
                  <w:tcW w:w="3740" w:type="dxa"/>
                  <w:noWrap w:val="0"/>
                  <w:vAlign w:val="center"/>
                </w:tcPr>
                <w:p>
                  <w:pPr>
                    <w:adjustRightInd w:val="0"/>
                    <w:snapToGrid w:val="0"/>
                    <w:jc w:val="center"/>
                    <w:rPr>
                      <w:rFonts w:hint="eastAsia"/>
                      <w:color w:val="000000"/>
                    </w:rPr>
                  </w:pPr>
                  <w:r>
                    <w:rPr>
                      <w:rFonts w:hint="eastAsia"/>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color w:val="000000"/>
                    </w:rPr>
                  </w:pPr>
                  <w:r>
                    <w:rPr>
                      <w:rFonts w:hAnsi="宋体"/>
                      <w:color w:val="000000"/>
                    </w:rPr>
                    <w:t>石油类</w:t>
                  </w:r>
                  <w:r>
                    <w:rPr>
                      <w:color w:val="000000"/>
                      <w:lang w:val="en-GB"/>
                    </w:rPr>
                    <w:t>≤</w:t>
                  </w:r>
                </w:p>
              </w:tc>
              <w:tc>
                <w:tcPr>
                  <w:tcW w:w="3740" w:type="dxa"/>
                  <w:noWrap w:val="0"/>
                  <w:vAlign w:val="center"/>
                </w:tcPr>
                <w:p>
                  <w:pPr>
                    <w:adjustRightInd w:val="0"/>
                    <w:snapToGrid w:val="0"/>
                    <w:jc w:val="center"/>
                    <w:rPr>
                      <w:color w:val="000000"/>
                    </w:rPr>
                  </w:pPr>
                  <w:r>
                    <w:rPr>
                      <w:rFonts w:hint="eastAsia"/>
                      <w:color w:val="000000"/>
                      <w:lang w:val="en-US" w:eastAsia="zh-CN"/>
                    </w:rPr>
                    <w:t>0</w:t>
                  </w:r>
                  <w:r>
                    <w:rPr>
                      <w:color w:val="00000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rFonts w:hint="eastAsia"/>
                      <w:color w:val="000000"/>
                    </w:rPr>
                  </w:pPr>
                  <w:r>
                    <w:rPr>
                      <w:rFonts w:hint="eastAsia"/>
                      <w:color w:val="000000"/>
                    </w:rPr>
                    <w:t>总磷</w:t>
                  </w:r>
                  <w:r>
                    <w:rPr>
                      <w:color w:val="000000"/>
                      <w:lang w:val="en-GB"/>
                    </w:rPr>
                    <w:t>≤</w:t>
                  </w:r>
                </w:p>
              </w:tc>
              <w:tc>
                <w:tcPr>
                  <w:tcW w:w="3740" w:type="dxa"/>
                  <w:noWrap w:val="0"/>
                  <w:vAlign w:val="center"/>
                </w:tcPr>
                <w:p>
                  <w:pPr>
                    <w:adjustRightInd w:val="0"/>
                    <w:snapToGrid w:val="0"/>
                    <w:jc w:val="center"/>
                    <w:rPr>
                      <w:rFonts w:hint="eastAsia"/>
                      <w:color w:val="000000"/>
                    </w:rPr>
                  </w:pPr>
                  <w:r>
                    <w:rPr>
                      <w:rFonts w:hint="eastAsia"/>
                      <w:color w:val="000000"/>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rFonts w:hint="eastAsia" w:hAnsi="宋体"/>
                      <w:color w:val="000000"/>
                    </w:rPr>
                  </w:pPr>
                  <w:r>
                    <w:rPr>
                      <w:rFonts w:hint="eastAsia" w:hAnsi="宋体"/>
                      <w:color w:val="000000"/>
                    </w:rPr>
                    <w:t>总氮</w:t>
                  </w:r>
                  <w:r>
                    <w:rPr>
                      <w:color w:val="000000"/>
                      <w:lang w:val="en-GB"/>
                    </w:rPr>
                    <w:t>≤</w:t>
                  </w:r>
                </w:p>
              </w:tc>
              <w:tc>
                <w:tcPr>
                  <w:tcW w:w="3740" w:type="dxa"/>
                  <w:noWrap w:val="0"/>
                  <w:vAlign w:val="center"/>
                </w:tcPr>
                <w:p>
                  <w:pPr>
                    <w:adjustRightInd w:val="0"/>
                    <w:snapToGrid w:val="0"/>
                    <w:jc w:val="center"/>
                    <w:rPr>
                      <w:rFonts w:hint="eastAsia"/>
                      <w:color w:val="000000"/>
                    </w:rPr>
                  </w:pPr>
                  <w:r>
                    <w:rPr>
                      <w:rFonts w:hint="eastAsia"/>
                      <w:color w:val="00000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rFonts w:hint="eastAsia" w:hAnsi="宋体"/>
                      <w:color w:val="000000"/>
                    </w:rPr>
                  </w:pPr>
                  <w:r>
                    <w:rPr>
                      <w:rFonts w:hint="eastAsia" w:hAnsi="宋体"/>
                      <w:color w:val="000000"/>
                    </w:rPr>
                    <w:t>砷</w:t>
                  </w:r>
                  <w:r>
                    <w:rPr>
                      <w:color w:val="000000"/>
                      <w:lang w:val="en-GB"/>
                    </w:rPr>
                    <w:t>≤</w:t>
                  </w:r>
                </w:p>
              </w:tc>
              <w:tc>
                <w:tcPr>
                  <w:tcW w:w="3740" w:type="dxa"/>
                  <w:noWrap w:val="0"/>
                  <w:vAlign w:val="center"/>
                </w:tcPr>
                <w:p>
                  <w:pPr>
                    <w:adjustRightInd w:val="0"/>
                    <w:snapToGrid w:val="0"/>
                    <w:jc w:val="center"/>
                    <w:rPr>
                      <w:rFonts w:hint="eastAsia"/>
                      <w:color w:val="000000"/>
                    </w:rPr>
                  </w:pPr>
                  <w:r>
                    <w:rPr>
                      <w:rFonts w:hint="eastAsia"/>
                      <w:color w:val="000000"/>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rFonts w:hint="eastAsia" w:hAnsi="宋体"/>
                      <w:color w:val="000000"/>
                    </w:rPr>
                  </w:pPr>
                  <w:r>
                    <w:rPr>
                      <w:rFonts w:hint="eastAsia" w:hAnsi="宋体"/>
                      <w:color w:val="000000"/>
                    </w:rPr>
                    <w:t>汞</w:t>
                  </w:r>
                  <w:r>
                    <w:rPr>
                      <w:color w:val="000000"/>
                      <w:lang w:val="en-GB"/>
                    </w:rPr>
                    <w:t>≤</w:t>
                  </w:r>
                </w:p>
              </w:tc>
              <w:tc>
                <w:tcPr>
                  <w:tcW w:w="3740" w:type="dxa"/>
                  <w:noWrap w:val="0"/>
                  <w:vAlign w:val="center"/>
                </w:tcPr>
                <w:p>
                  <w:pPr>
                    <w:adjustRightInd w:val="0"/>
                    <w:snapToGrid w:val="0"/>
                    <w:jc w:val="center"/>
                    <w:rPr>
                      <w:rFonts w:hint="eastAsia"/>
                      <w:color w:val="000000"/>
                    </w:rPr>
                  </w:pPr>
                  <w:r>
                    <w:rPr>
                      <w:rFonts w:hint="eastAsia"/>
                      <w:color w:val="000000"/>
                    </w:rPr>
                    <w:t>0.0001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rFonts w:hint="eastAsia" w:hAnsi="宋体"/>
                      <w:color w:val="000000"/>
                    </w:rPr>
                  </w:pPr>
                  <w:r>
                    <w:rPr>
                      <w:rFonts w:hint="eastAsia" w:hAnsi="宋体"/>
                      <w:color w:val="000000"/>
                    </w:rPr>
                    <w:t>镉</w:t>
                  </w:r>
                  <w:r>
                    <w:rPr>
                      <w:color w:val="000000"/>
                      <w:lang w:val="en-GB"/>
                    </w:rPr>
                    <w:t>≤</w:t>
                  </w:r>
                </w:p>
              </w:tc>
              <w:tc>
                <w:tcPr>
                  <w:tcW w:w="3740" w:type="dxa"/>
                  <w:noWrap w:val="0"/>
                  <w:vAlign w:val="center"/>
                </w:tcPr>
                <w:p>
                  <w:pPr>
                    <w:adjustRightInd w:val="0"/>
                    <w:snapToGrid w:val="0"/>
                    <w:jc w:val="center"/>
                    <w:rPr>
                      <w:rFonts w:hint="eastAsia"/>
                      <w:color w:val="000000"/>
                    </w:rPr>
                  </w:pPr>
                  <w:r>
                    <w:rPr>
                      <w:rFonts w:hint="eastAsia"/>
                      <w:color w:val="000000"/>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rFonts w:hint="eastAsia" w:hAnsi="宋体"/>
                      <w:color w:val="000000"/>
                    </w:rPr>
                  </w:pPr>
                  <w:r>
                    <w:rPr>
                      <w:rFonts w:hint="eastAsia" w:hAnsi="宋体"/>
                      <w:color w:val="000000"/>
                    </w:rPr>
                    <w:t>铅</w:t>
                  </w:r>
                  <w:r>
                    <w:rPr>
                      <w:color w:val="000000"/>
                      <w:lang w:val="en-GB"/>
                    </w:rPr>
                    <w:t>≤</w:t>
                  </w:r>
                </w:p>
              </w:tc>
              <w:tc>
                <w:tcPr>
                  <w:tcW w:w="3740" w:type="dxa"/>
                  <w:noWrap w:val="0"/>
                  <w:vAlign w:val="center"/>
                </w:tcPr>
                <w:p>
                  <w:pPr>
                    <w:adjustRightInd w:val="0"/>
                    <w:snapToGrid w:val="0"/>
                    <w:jc w:val="center"/>
                    <w:rPr>
                      <w:rFonts w:hint="eastAsia"/>
                      <w:color w:val="000000"/>
                    </w:rPr>
                  </w:pPr>
                  <w:r>
                    <w:rPr>
                      <w:rFonts w:hint="eastAsia"/>
                      <w:color w:val="000000"/>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rFonts w:hint="eastAsia" w:hAnsi="宋体"/>
                      <w:color w:val="000000"/>
                    </w:rPr>
                  </w:pPr>
                  <w:r>
                    <w:rPr>
                      <w:rFonts w:hint="eastAsia" w:hAnsi="宋体"/>
                      <w:color w:val="000000"/>
                    </w:rPr>
                    <w:t>六价铬</w:t>
                  </w:r>
                  <w:r>
                    <w:rPr>
                      <w:color w:val="000000"/>
                      <w:lang w:val="en-GB"/>
                    </w:rPr>
                    <w:t>≤</w:t>
                  </w:r>
                </w:p>
              </w:tc>
              <w:tc>
                <w:tcPr>
                  <w:tcW w:w="3740" w:type="dxa"/>
                  <w:noWrap w:val="0"/>
                  <w:vAlign w:val="center"/>
                </w:tcPr>
                <w:p>
                  <w:pPr>
                    <w:adjustRightInd w:val="0"/>
                    <w:snapToGrid w:val="0"/>
                    <w:jc w:val="center"/>
                    <w:rPr>
                      <w:rFonts w:hint="eastAsia"/>
                      <w:color w:val="000000"/>
                    </w:rPr>
                  </w:pPr>
                  <w:r>
                    <w:rPr>
                      <w:rFonts w:hint="eastAsia"/>
                      <w:color w:val="000000"/>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rFonts w:hint="eastAsia" w:hAnsi="宋体"/>
                      <w:color w:val="000000"/>
                    </w:rPr>
                  </w:pPr>
                  <w:r>
                    <w:rPr>
                      <w:rFonts w:hint="eastAsia" w:hAnsi="宋体"/>
                      <w:color w:val="000000"/>
                    </w:rPr>
                    <w:t>硫化物</w:t>
                  </w:r>
                  <w:r>
                    <w:rPr>
                      <w:color w:val="000000"/>
                      <w:lang w:val="en-GB"/>
                    </w:rPr>
                    <w:t>≤</w:t>
                  </w:r>
                </w:p>
              </w:tc>
              <w:tc>
                <w:tcPr>
                  <w:tcW w:w="3740" w:type="dxa"/>
                  <w:noWrap w:val="0"/>
                  <w:vAlign w:val="center"/>
                </w:tcPr>
                <w:p>
                  <w:pPr>
                    <w:adjustRightInd w:val="0"/>
                    <w:snapToGrid w:val="0"/>
                    <w:jc w:val="center"/>
                    <w:rPr>
                      <w:rFonts w:hint="eastAsia"/>
                      <w:color w:val="000000"/>
                    </w:rPr>
                  </w:pPr>
                  <w:r>
                    <w:rPr>
                      <w:rFonts w:hint="eastAsia"/>
                      <w:color w:val="000000"/>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3527" w:type="dxa"/>
                  <w:noWrap w:val="0"/>
                  <w:vAlign w:val="center"/>
                </w:tcPr>
                <w:p>
                  <w:pPr>
                    <w:adjustRightInd w:val="0"/>
                    <w:snapToGrid w:val="0"/>
                    <w:jc w:val="center"/>
                    <w:rPr>
                      <w:rFonts w:hint="eastAsia" w:hAnsi="宋体"/>
                      <w:color w:val="000000"/>
                    </w:rPr>
                  </w:pPr>
                  <w:r>
                    <w:rPr>
                      <w:rFonts w:hint="eastAsia" w:hAnsi="宋体"/>
                      <w:color w:val="000000"/>
                    </w:rPr>
                    <w:t>高锰酸盐指数</w:t>
                  </w:r>
                  <w:r>
                    <w:rPr>
                      <w:color w:val="000000"/>
                      <w:lang w:val="en-GB"/>
                    </w:rPr>
                    <w:t>≤</w:t>
                  </w:r>
                </w:p>
              </w:tc>
              <w:tc>
                <w:tcPr>
                  <w:tcW w:w="3740" w:type="dxa"/>
                  <w:noWrap w:val="0"/>
                  <w:vAlign w:val="center"/>
                </w:tcPr>
                <w:p>
                  <w:pPr>
                    <w:adjustRightInd w:val="0"/>
                    <w:snapToGrid w:val="0"/>
                    <w:jc w:val="center"/>
                    <w:rPr>
                      <w:rFonts w:hint="eastAsia"/>
                      <w:color w:val="000000"/>
                    </w:rPr>
                  </w:pPr>
                  <w:r>
                    <w:rPr>
                      <w:rFonts w:hint="eastAsia"/>
                      <w:color w:val="000000"/>
                    </w:rPr>
                    <w:t>6</w:t>
                  </w:r>
                </w:p>
              </w:tc>
            </w:tr>
          </w:tbl>
          <w:p>
            <w:pPr>
              <w:pStyle w:val="41"/>
              <w:spacing w:line="360" w:lineRule="auto"/>
              <w:ind w:left="0" w:firstLine="0" w:firstLineChars="0"/>
              <w:rPr>
                <w:b/>
                <w:bCs/>
                <w:color w:val="auto"/>
                <w:sz w:val="24"/>
                <w:szCs w:val="24"/>
              </w:rPr>
            </w:pPr>
            <w:r>
              <w:rPr>
                <w:b/>
                <w:bCs/>
                <w:sz w:val="24"/>
                <w:szCs w:val="24"/>
              </w:rPr>
              <w:t>三、噪声环境质量：</w:t>
            </w:r>
            <w:r>
              <w:rPr>
                <w:color w:val="auto"/>
                <w:sz w:val="24"/>
                <w:szCs w:val="24"/>
              </w:rPr>
              <w:t>执行国家《声环境质量标准》（GB3096-2008）中</w:t>
            </w:r>
            <w:r>
              <w:rPr>
                <w:rFonts w:hint="eastAsia"/>
                <w:color w:val="auto"/>
                <w:sz w:val="24"/>
                <w:szCs w:val="24"/>
                <w:lang w:val="en-US" w:eastAsia="zh-CN"/>
              </w:rPr>
              <w:t>2</w:t>
            </w:r>
            <w:r>
              <w:rPr>
                <w:color w:val="auto"/>
                <w:sz w:val="24"/>
                <w:szCs w:val="24"/>
              </w:rPr>
              <w:t>类标准</w:t>
            </w:r>
            <w:r>
              <w:rPr>
                <w:bCs/>
                <w:color w:val="auto"/>
                <w:sz w:val="24"/>
                <w:szCs w:val="24"/>
              </w:rPr>
              <w:t>。标准限值见表4-</w:t>
            </w:r>
            <w:r>
              <w:rPr>
                <w:rFonts w:hint="eastAsia"/>
                <w:bCs/>
                <w:color w:val="auto"/>
                <w:sz w:val="24"/>
                <w:szCs w:val="24"/>
                <w:lang w:val="en-US" w:eastAsia="zh-CN"/>
              </w:rPr>
              <w:t>4</w:t>
            </w:r>
            <w:r>
              <w:rPr>
                <w:bCs/>
                <w:color w:val="auto"/>
                <w:sz w:val="24"/>
                <w:szCs w:val="24"/>
              </w:rPr>
              <w:t>。</w:t>
            </w:r>
          </w:p>
          <w:p>
            <w:pPr>
              <w:pStyle w:val="41"/>
              <w:spacing w:line="360" w:lineRule="auto"/>
              <w:ind w:left="0" w:firstLine="0" w:firstLineChars="0"/>
              <w:jc w:val="center"/>
              <w:rPr>
                <w:bCs/>
                <w:sz w:val="21"/>
                <w:szCs w:val="21"/>
              </w:rPr>
            </w:pPr>
            <w:r>
              <w:rPr>
                <w:b/>
                <w:bCs/>
                <w:sz w:val="21"/>
                <w:szCs w:val="21"/>
              </w:rPr>
              <w:t>表4-</w:t>
            </w:r>
            <w:r>
              <w:rPr>
                <w:rFonts w:hint="eastAsia"/>
                <w:b/>
                <w:bCs/>
                <w:sz w:val="21"/>
                <w:szCs w:val="21"/>
                <w:lang w:val="en-US" w:eastAsia="zh-CN"/>
              </w:rPr>
              <w:t>4</w:t>
            </w:r>
            <w:r>
              <w:rPr>
                <w:b/>
                <w:bCs/>
                <w:sz w:val="21"/>
                <w:szCs w:val="21"/>
              </w:rPr>
              <w:t xml:space="preserve">  环境噪声标准值表     </w:t>
            </w:r>
            <w:r>
              <w:rPr>
                <w:bCs/>
                <w:sz w:val="21"/>
                <w:szCs w:val="21"/>
              </w:rPr>
              <w:t>单位：dB(A)</w:t>
            </w:r>
          </w:p>
          <w:tbl>
            <w:tblPr>
              <w:tblStyle w:val="69"/>
              <w:tblW w:w="7906" w:type="dxa"/>
              <w:jc w:val="center"/>
              <w:tblInd w:w="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56"/>
              <w:gridCol w:w="3111"/>
              <w:gridCol w:w="2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52" w:hRule="atLeast"/>
                <w:jc w:val="center"/>
              </w:trPr>
              <w:tc>
                <w:tcPr>
                  <w:tcW w:w="2156" w:type="dxa"/>
                  <w:noWrap w:val="0"/>
                  <w:vAlign w:val="top"/>
                </w:tcPr>
                <w:p>
                  <w:pPr>
                    <w:jc w:val="center"/>
                    <w:rPr>
                      <w:b/>
                      <w:caps/>
                      <w:szCs w:val="21"/>
                    </w:rPr>
                  </w:pPr>
                  <w:r>
                    <w:rPr>
                      <w:b/>
                      <w:caps/>
                      <w:szCs w:val="21"/>
                    </w:rPr>
                    <w:t>标准</w:t>
                  </w:r>
                </w:p>
              </w:tc>
              <w:tc>
                <w:tcPr>
                  <w:tcW w:w="3111" w:type="dxa"/>
                  <w:noWrap w:val="0"/>
                  <w:vAlign w:val="top"/>
                </w:tcPr>
                <w:p>
                  <w:pPr>
                    <w:jc w:val="center"/>
                    <w:rPr>
                      <w:b/>
                      <w:caps/>
                      <w:szCs w:val="21"/>
                    </w:rPr>
                  </w:pPr>
                  <w:r>
                    <w:rPr>
                      <w:b/>
                      <w:caps/>
                      <w:szCs w:val="21"/>
                    </w:rPr>
                    <w:t>昼间</w:t>
                  </w:r>
                </w:p>
              </w:tc>
              <w:tc>
                <w:tcPr>
                  <w:tcW w:w="2639" w:type="dxa"/>
                  <w:noWrap w:val="0"/>
                  <w:vAlign w:val="top"/>
                </w:tcPr>
                <w:p>
                  <w:pPr>
                    <w:jc w:val="center"/>
                    <w:rPr>
                      <w:b/>
                      <w:caps/>
                      <w:szCs w:val="21"/>
                    </w:rPr>
                  </w:pPr>
                  <w:r>
                    <w:rPr>
                      <w:b/>
                      <w:caps/>
                      <w:szCs w:val="21"/>
                    </w:rPr>
                    <w:t>夜间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156" w:type="dxa"/>
                  <w:noWrap w:val="0"/>
                  <w:vAlign w:val="top"/>
                </w:tcPr>
                <w:p>
                  <w:pPr>
                    <w:jc w:val="center"/>
                    <w:rPr>
                      <w:caps/>
                      <w:szCs w:val="21"/>
                    </w:rPr>
                  </w:pPr>
                  <w:r>
                    <w:rPr>
                      <w:rFonts w:hint="eastAsia"/>
                      <w:caps/>
                      <w:szCs w:val="21"/>
                      <w:lang w:val="en-US" w:eastAsia="zh-CN"/>
                    </w:rPr>
                    <w:t>2</w:t>
                  </w:r>
                  <w:r>
                    <w:rPr>
                      <w:caps/>
                      <w:szCs w:val="21"/>
                    </w:rPr>
                    <w:t>类标准</w:t>
                  </w:r>
                </w:p>
              </w:tc>
              <w:tc>
                <w:tcPr>
                  <w:tcW w:w="3111" w:type="dxa"/>
                  <w:noWrap w:val="0"/>
                  <w:vAlign w:val="top"/>
                </w:tcPr>
                <w:p>
                  <w:pPr>
                    <w:jc w:val="center"/>
                    <w:rPr>
                      <w:rFonts w:hint="eastAsia" w:eastAsia="宋体"/>
                      <w:caps/>
                      <w:szCs w:val="21"/>
                      <w:lang w:eastAsia="zh-CN"/>
                    </w:rPr>
                  </w:pPr>
                  <w:r>
                    <w:rPr>
                      <w:caps/>
                      <w:szCs w:val="21"/>
                    </w:rPr>
                    <w:t>6</w:t>
                  </w:r>
                  <w:r>
                    <w:rPr>
                      <w:rFonts w:hint="eastAsia"/>
                      <w:caps/>
                      <w:szCs w:val="21"/>
                      <w:lang w:val="en-US" w:eastAsia="zh-CN"/>
                    </w:rPr>
                    <w:t>0</w:t>
                  </w:r>
                </w:p>
              </w:tc>
              <w:tc>
                <w:tcPr>
                  <w:tcW w:w="2639" w:type="dxa"/>
                  <w:noWrap w:val="0"/>
                  <w:vAlign w:val="top"/>
                </w:tcPr>
                <w:p>
                  <w:pPr>
                    <w:jc w:val="center"/>
                    <w:rPr>
                      <w:rFonts w:hint="eastAsia" w:eastAsia="宋体"/>
                      <w:caps/>
                      <w:szCs w:val="21"/>
                      <w:lang w:eastAsia="zh-CN"/>
                    </w:rPr>
                  </w:pPr>
                  <w:r>
                    <w:rPr>
                      <w:caps/>
                      <w:szCs w:val="21"/>
                    </w:rPr>
                    <w:t>5</w:t>
                  </w:r>
                  <w:r>
                    <w:rPr>
                      <w:rFonts w:hint="eastAsia"/>
                      <w:caps/>
                      <w:szCs w:val="21"/>
                      <w:lang w:val="en-US" w:eastAsia="zh-CN"/>
                    </w:rPr>
                    <w:t>0</w:t>
                  </w:r>
                </w:p>
              </w:tc>
            </w:tr>
          </w:tbl>
          <w:p>
            <w:pPr>
              <w:pStyle w:val="41"/>
              <w:spacing w:line="360" w:lineRule="auto"/>
              <w:ind w:left="0" w:firstLine="0" w:firstLineChars="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531" w:type="dxa"/>
            <w:noWrap w:val="0"/>
            <w:vAlign w:val="center"/>
          </w:tcPr>
          <w:p>
            <w:pPr>
              <w:spacing w:line="360" w:lineRule="auto"/>
              <w:rPr>
                <w:b/>
                <w:sz w:val="28"/>
                <w:szCs w:val="28"/>
              </w:rPr>
            </w:pPr>
            <w:r>
              <w:rPr>
                <w:b/>
                <w:sz w:val="28"/>
                <w:szCs w:val="28"/>
              </w:rPr>
              <w:t>污</w:t>
            </w:r>
          </w:p>
          <w:p>
            <w:pPr>
              <w:spacing w:line="360" w:lineRule="auto"/>
              <w:rPr>
                <w:b/>
                <w:sz w:val="28"/>
                <w:szCs w:val="28"/>
              </w:rPr>
            </w:pPr>
            <w:r>
              <w:rPr>
                <w:b/>
                <w:sz w:val="28"/>
                <w:szCs w:val="28"/>
              </w:rPr>
              <w:t>染</w:t>
            </w:r>
          </w:p>
          <w:p>
            <w:pPr>
              <w:spacing w:line="360" w:lineRule="auto"/>
              <w:rPr>
                <w:b/>
                <w:sz w:val="28"/>
                <w:szCs w:val="28"/>
              </w:rPr>
            </w:pPr>
            <w:r>
              <w:rPr>
                <w:b/>
                <w:sz w:val="28"/>
                <w:szCs w:val="28"/>
              </w:rPr>
              <w:t>物</w:t>
            </w:r>
          </w:p>
          <w:p>
            <w:pPr>
              <w:spacing w:line="360" w:lineRule="auto"/>
              <w:rPr>
                <w:b/>
                <w:sz w:val="28"/>
                <w:szCs w:val="28"/>
              </w:rPr>
            </w:pPr>
            <w:r>
              <w:rPr>
                <w:b/>
                <w:sz w:val="28"/>
                <w:szCs w:val="28"/>
              </w:rPr>
              <w:t>排</w:t>
            </w:r>
          </w:p>
          <w:p>
            <w:pPr>
              <w:spacing w:line="360" w:lineRule="auto"/>
              <w:rPr>
                <w:b/>
                <w:sz w:val="28"/>
                <w:szCs w:val="28"/>
              </w:rPr>
            </w:pPr>
            <w:r>
              <w:rPr>
                <w:b/>
                <w:sz w:val="28"/>
                <w:szCs w:val="28"/>
              </w:rPr>
              <w:t>放</w:t>
            </w:r>
          </w:p>
          <w:p>
            <w:pPr>
              <w:spacing w:line="360" w:lineRule="auto"/>
              <w:rPr>
                <w:b/>
                <w:sz w:val="28"/>
                <w:szCs w:val="28"/>
              </w:rPr>
            </w:pPr>
            <w:r>
              <w:rPr>
                <w:b/>
                <w:sz w:val="28"/>
                <w:szCs w:val="28"/>
              </w:rPr>
              <w:t>标</w:t>
            </w:r>
          </w:p>
          <w:p>
            <w:pPr>
              <w:spacing w:line="360" w:lineRule="auto"/>
              <w:rPr>
                <w:b/>
                <w:sz w:val="28"/>
                <w:szCs w:val="28"/>
              </w:rPr>
            </w:pPr>
            <w:r>
              <w:rPr>
                <w:b/>
                <w:sz w:val="28"/>
                <w:szCs w:val="28"/>
              </w:rPr>
              <w:t>准</w:t>
            </w:r>
          </w:p>
          <w:p>
            <w:pPr>
              <w:spacing w:line="360" w:lineRule="exact"/>
              <w:ind w:left="482" w:firstLine="482"/>
              <w:rPr>
                <w:b/>
                <w:sz w:val="24"/>
              </w:rPr>
            </w:pPr>
          </w:p>
        </w:tc>
        <w:tc>
          <w:tcPr>
            <w:tcW w:w="8459" w:type="dxa"/>
            <w:noWrap w:val="0"/>
            <w:vAlign w:val="top"/>
          </w:tcPr>
          <w:p>
            <w:pPr>
              <w:spacing w:line="360" w:lineRule="auto"/>
              <w:rPr>
                <w:rFonts w:hint="eastAsia" w:ascii="宋体" w:hAnsi="宋体" w:cs="宋体"/>
                <w:b/>
                <w:bCs/>
                <w:sz w:val="24"/>
              </w:rPr>
            </w:pPr>
            <w:r>
              <w:rPr>
                <w:rFonts w:hint="eastAsia" w:ascii="宋体" w:hAnsi="宋体" w:cs="宋体"/>
                <w:b/>
                <w:bCs/>
                <w:sz w:val="24"/>
              </w:rPr>
              <w:t>一、废水排放标准</w:t>
            </w:r>
          </w:p>
          <w:p>
            <w:pPr>
              <w:spacing w:line="360" w:lineRule="auto"/>
              <w:rPr>
                <w:rFonts w:hint="eastAsia" w:ascii="宋体" w:hAnsi="宋体" w:cs="宋体"/>
                <w:bCs/>
                <w:sz w:val="24"/>
              </w:rPr>
            </w:pPr>
            <w:r>
              <w:rPr>
                <w:rFonts w:hint="eastAsia" w:ascii="宋体" w:hAnsi="宋体" w:cs="宋体"/>
                <w:b/>
                <w:bCs/>
                <w:sz w:val="24"/>
              </w:rPr>
              <w:t xml:space="preserve">    </w:t>
            </w:r>
            <w:r>
              <w:rPr>
                <w:rFonts w:hint="eastAsia" w:ascii="宋体" w:hAnsi="宋体" w:cs="宋体"/>
                <w:bCs/>
                <w:sz w:val="24"/>
              </w:rPr>
              <w:t>本项目产生的废水基本为生活废水，废水经现有化粪池收集与处理后用于农肥，废水不外排。</w:t>
            </w:r>
          </w:p>
          <w:p>
            <w:pPr>
              <w:pStyle w:val="41"/>
              <w:spacing w:line="360" w:lineRule="auto"/>
              <w:ind w:left="0" w:firstLine="0" w:firstLineChars="0"/>
              <w:rPr>
                <w:rFonts w:hint="eastAsia"/>
                <w:b/>
                <w:bCs/>
                <w:sz w:val="24"/>
                <w:szCs w:val="24"/>
              </w:rPr>
            </w:pPr>
            <w:r>
              <w:rPr>
                <w:rFonts w:hint="eastAsia"/>
                <w:b/>
                <w:bCs/>
                <w:sz w:val="24"/>
                <w:szCs w:val="24"/>
              </w:rPr>
              <w:t>二、废气排放标准</w:t>
            </w:r>
          </w:p>
          <w:p>
            <w:pPr>
              <w:spacing w:line="360" w:lineRule="auto"/>
              <w:ind w:firstLine="480" w:firstLineChars="200"/>
              <w:rPr>
                <w:rFonts w:hint="eastAsia"/>
                <w:sz w:val="24"/>
              </w:rPr>
            </w:pPr>
            <w:r>
              <w:rPr>
                <w:rFonts w:hint="eastAsia"/>
                <w:sz w:val="24"/>
              </w:rPr>
              <w:t>导热油里废气执行</w:t>
            </w:r>
            <w:r>
              <w:rPr>
                <w:sz w:val="24"/>
              </w:rPr>
              <w:t>《</w:t>
            </w:r>
            <w:r>
              <w:rPr>
                <w:rFonts w:hint="eastAsia"/>
                <w:sz w:val="24"/>
              </w:rPr>
              <w:t>锅炉大气污染物</w:t>
            </w:r>
            <w:r>
              <w:rPr>
                <w:sz w:val="24"/>
              </w:rPr>
              <w:t>排放标准》</w:t>
            </w:r>
            <w:r>
              <w:rPr>
                <w:rFonts w:hint="eastAsia"/>
                <w:sz w:val="24"/>
              </w:rPr>
              <w:t>（</w:t>
            </w:r>
            <w:r>
              <w:rPr>
                <w:sz w:val="24"/>
              </w:rPr>
              <w:t>GB</w:t>
            </w:r>
            <w:r>
              <w:rPr>
                <w:rFonts w:hint="eastAsia"/>
                <w:sz w:val="24"/>
              </w:rPr>
              <w:t>13271</w:t>
            </w:r>
            <w:r>
              <w:rPr>
                <w:sz w:val="24"/>
              </w:rPr>
              <w:t>-</w:t>
            </w:r>
            <w:r>
              <w:rPr>
                <w:rFonts w:hint="eastAsia"/>
                <w:sz w:val="24"/>
              </w:rPr>
              <w:t>2014）新建锅炉大气污染物浓度排放限值</w:t>
            </w:r>
            <w:r>
              <w:rPr>
                <w:sz w:val="24"/>
              </w:rPr>
              <w:t>，</w:t>
            </w:r>
            <w:r>
              <w:rPr>
                <w:rFonts w:hint="eastAsia"/>
                <w:sz w:val="24"/>
              </w:rPr>
              <w:t>具体指标见表</w:t>
            </w:r>
            <w:r>
              <w:rPr>
                <w:rFonts w:hint="eastAsia"/>
                <w:sz w:val="24"/>
                <w:lang w:val="en-US" w:eastAsia="zh-CN"/>
              </w:rPr>
              <w:t>4-5</w:t>
            </w:r>
            <w:r>
              <w:rPr>
                <w:rFonts w:hint="eastAsia"/>
                <w:sz w:val="24"/>
              </w:rPr>
              <w:t>；热压工序有机废气执行《四川省固定污染源大气挥发性有机物排放标准》（DB51/2377-2017）</w:t>
            </w:r>
            <w:r>
              <w:rPr>
                <w:rFonts w:hint="eastAsia"/>
                <w:sz w:val="24"/>
                <w:lang w:eastAsia="zh-CN"/>
              </w:rPr>
              <w:t>和《挥发性有机物无组织排放控制标准》（</w:t>
            </w:r>
            <w:r>
              <w:rPr>
                <w:rFonts w:hint="eastAsia"/>
                <w:sz w:val="24"/>
                <w:lang w:val="en-US" w:eastAsia="zh-CN"/>
              </w:rPr>
              <w:t>GB37822-2017</w:t>
            </w:r>
            <w:r>
              <w:rPr>
                <w:rFonts w:hint="eastAsia"/>
                <w:sz w:val="24"/>
                <w:lang w:eastAsia="zh-CN"/>
              </w:rPr>
              <w:t>）</w:t>
            </w:r>
            <w:r>
              <w:rPr>
                <w:rFonts w:hint="eastAsia"/>
                <w:sz w:val="24"/>
              </w:rPr>
              <w:t>，具体见表4-</w:t>
            </w:r>
            <w:r>
              <w:rPr>
                <w:rFonts w:hint="eastAsia"/>
                <w:sz w:val="24"/>
                <w:lang w:val="en-US" w:eastAsia="zh-CN"/>
              </w:rPr>
              <w:t>6和4-7</w:t>
            </w:r>
            <w:r>
              <w:rPr>
                <w:rFonts w:hint="eastAsia"/>
                <w:sz w:val="24"/>
              </w:rPr>
              <w:t>。</w:t>
            </w:r>
          </w:p>
          <w:tbl>
            <w:tblPr>
              <w:tblStyle w:val="69"/>
              <w:tblpPr w:leftFromText="180" w:rightFromText="180" w:vertAnchor="text" w:horzAnchor="page" w:tblpX="102" w:tblpY="468"/>
              <w:tblOverlap w:val="never"/>
              <w:tblW w:w="8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1304"/>
              <w:gridCol w:w="1326"/>
              <w:gridCol w:w="1111"/>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2557" w:type="dxa"/>
                  <w:vMerge w:val="restart"/>
                  <w:noWrap w:val="0"/>
                  <w:vAlign w:val="center"/>
                </w:tcPr>
                <w:p>
                  <w:pPr>
                    <w:jc w:val="center"/>
                    <w:rPr>
                      <w:rFonts w:hint="eastAsia"/>
                      <w:bCs/>
                    </w:rPr>
                  </w:pPr>
                  <w:r>
                    <w:rPr>
                      <w:rFonts w:hint="eastAsia"/>
                      <w:bCs/>
                    </w:rPr>
                    <w:t>污染物项目</w:t>
                  </w:r>
                </w:p>
              </w:tc>
              <w:tc>
                <w:tcPr>
                  <w:tcW w:w="3741" w:type="dxa"/>
                  <w:gridSpan w:val="3"/>
                  <w:noWrap w:val="0"/>
                  <w:vAlign w:val="center"/>
                </w:tcPr>
                <w:p>
                  <w:pPr>
                    <w:jc w:val="center"/>
                    <w:rPr>
                      <w:rFonts w:hint="eastAsia"/>
                      <w:bCs/>
                    </w:rPr>
                  </w:pPr>
                  <w:r>
                    <w:rPr>
                      <w:rFonts w:hint="eastAsia"/>
                      <w:bCs/>
                    </w:rPr>
                    <w:t>排放限值</w:t>
                  </w:r>
                </w:p>
              </w:tc>
              <w:tc>
                <w:tcPr>
                  <w:tcW w:w="1815" w:type="dxa"/>
                  <w:vMerge w:val="restart"/>
                  <w:noWrap w:val="0"/>
                  <w:vAlign w:val="center"/>
                </w:tcPr>
                <w:p>
                  <w:pPr>
                    <w:jc w:val="center"/>
                    <w:rPr>
                      <w:rFonts w:hint="eastAsia"/>
                      <w:bCs/>
                    </w:rPr>
                  </w:pPr>
                  <w:r>
                    <w:rPr>
                      <w:rFonts w:hint="eastAsia"/>
                      <w:bCs/>
                      <w:lang w:eastAsia="zh-CN"/>
                    </w:rPr>
                    <w:t>污染</w:t>
                  </w:r>
                  <w:r>
                    <w:rPr>
                      <w:rFonts w:hint="eastAsia"/>
                      <w:bCs/>
                    </w:rPr>
                    <w:t>物排放</w:t>
                  </w:r>
                </w:p>
                <w:p>
                  <w:pPr>
                    <w:jc w:val="center"/>
                    <w:rPr>
                      <w:rFonts w:hint="eastAsia"/>
                      <w:bCs/>
                    </w:rPr>
                  </w:pPr>
                  <w:r>
                    <w:rPr>
                      <w:rFonts w:hint="eastAsia"/>
                      <w:bCs/>
                    </w:rPr>
                    <w:t>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2557" w:type="dxa"/>
                  <w:vMerge w:val="continue"/>
                  <w:noWrap w:val="0"/>
                  <w:vAlign w:val="center"/>
                </w:tcPr>
                <w:p>
                  <w:pPr>
                    <w:jc w:val="center"/>
                    <w:rPr>
                      <w:rFonts w:hint="eastAsia"/>
                      <w:bCs/>
                    </w:rPr>
                  </w:pPr>
                </w:p>
              </w:tc>
              <w:tc>
                <w:tcPr>
                  <w:tcW w:w="1304" w:type="dxa"/>
                  <w:noWrap w:val="0"/>
                  <w:vAlign w:val="center"/>
                </w:tcPr>
                <w:p>
                  <w:pPr>
                    <w:jc w:val="center"/>
                    <w:rPr>
                      <w:rFonts w:hint="eastAsia"/>
                      <w:bCs/>
                    </w:rPr>
                  </w:pPr>
                  <w:r>
                    <w:rPr>
                      <w:rFonts w:hint="eastAsia"/>
                      <w:bCs/>
                    </w:rPr>
                    <w:t>燃煤锅炉</w:t>
                  </w:r>
                </w:p>
              </w:tc>
              <w:tc>
                <w:tcPr>
                  <w:tcW w:w="1326" w:type="dxa"/>
                  <w:noWrap w:val="0"/>
                  <w:vAlign w:val="center"/>
                </w:tcPr>
                <w:p>
                  <w:pPr>
                    <w:widowControl/>
                    <w:jc w:val="center"/>
                    <w:rPr>
                      <w:rFonts w:hint="eastAsia"/>
                      <w:bCs/>
                    </w:rPr>
                  </w:pPr>
                  <w:r>
                    <w:rPr>
                      <w:rFonts w:hint="eastAsia"/>
                      <w:bCs/>
                    </w:rPr>
                    <w:t>燃油锅炉</w:t>
                  </w:r>
                </w:p>
              </w:tc>
              <w:tc>
                <w:tcPr>
                  <w:tcW w:w="1111" w:type="dxa"/>
                  <w:noWrap w:val="0"/>
                  <w:vAlign w:val="center"/>
                </w:tcPr>
                <w:p>
                  <w:pPr>
                    <w:jc w:val="center"/>
                    <w:rPr>
                      <w:rFonts w:hint="eastAsia"/>
                      <w:bCs/>
                    </w:rPr>
                  </w:pPr>
                  <w:r>
                    <w:rPr>
                      <w:rFonts w:hint="eastAsia"/>
                      <w:bCs/>
                    </w:rPr>
                    <w:t>燃气锅炉</w:t>
                  </w:r>
                </w:p>
              </w:tc>
              <w:tc>
                <w:tcPr>
                  <w:tcW w:w="1815" w:type="dxa"/>
                  <w:vMerge w:val="continue"/>
                  <w:noWrap w:val="0"/>
                  <w:vAlign w:val="top"/>
                </w:tcPr>
                <w:p>
                  <w:pPr>
                    <w:jc w:val="center"/>
                    <w:rPr>
                      <w:rFonts w:hint="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2557" w:type="dxa"/>
                  <w:noWrap w:val="0"/>
                  <w:vAlign w:val="center"/>
                </w:tcPr>
                <w:p>
                  <w:pPr>
                    <w:jc w:val="center"/>
                    <w:rPr>
                      <w:rFonts w:hint="eastAsia"/>
                      <w:bCs/>
                    </w:rPr>
                  </w:pPr>
                  <w:r>
                    <w:rPr>
                      <w:rFonts w:hint="eastAsia"/>
                      <w:bCs/>
                    </w:rPr>
                    <w:t>颗粒物</w:t>
                  </w:r>
                </w:p>
              </w:tc>
              <w:tc>
                <w:tcPr>
                  <w:tcW w:w="1304" w:type="dxa"/>
                  <w:noWrap w:val="0"/>
                  <w:vAlign w:val="center"/>
                </w:tcPr>
                <w:p>
                  <w:pPr>
                    <w:jc w:val="center"/>
                    <w:rPr>
                      <w:rFonts w:hint="eastAsia"/>
                      <w:bCs/>
                    </w:rPr>
                  </w:pPr>
                  <w:r>
                    <w:rPr>
                      <w:rFonts w:hint="eastAsia"/>
                      <w:bCs/>
                      <w:lang w:val="en-US" w:eastAsia="zh-CN"/>
                    </w:rPr>
                    <w:t>5</w:t>
                  </w:r>
                  <w:r>
                    <w:rPr>
                      <w:rFonts w:hint="eastAsia"/>
                      <w:bCs/>
                    </w:rPr>
                    <w:t>0</w:t>
                  </w:r>
                </w:p>
              </w:tc>
              <w:tc>
                <w:tcPr>
                  <w:tcW w:w="1326" w:type="dxa"/>
                  <w:noWrap w:val="0"/>
                  <w:vAlign w:val="center"/>
                </w:tcPr>
                <w:p>
                  <w:pPr>
                    <w:jc w:val="center"/>
                    <w:rPr>
                      <w:rFonts w:hint="eastAsia"/>
                      <w:bCs/>
                    </w:rPr>
                  </w:pPr>
                  <w:r>
                    <w:rPr>
                      <w:rFonts w:hint="eastAsia"/>
                      <w:bCs/>
                    </w:rPr>
                    <w:t>30</w:t>
                  </w:r>
                </w:p>
              </w:tc>
              <w:tc>
                <w:tcPr>
                  <w:tcW w:w="1111" w:type="dxa"/>
                  <w:noWrap w:val="0"/>
                  <w:vAlign w:val="center"/>
                </w:tcPr>
                <w:p>
                  <w:pPr>
                    <w:jc w:val="center"/>
                    <w:rPr>
                      <w:rFonts w:hint="eastAsia"/>
                      <w:bCs/>
                    </w:rPr>
                  </w:pPr>
                  <w:r>
                    <w:rPr>
                      <w:rFonts w:hint="eastAsia"/>
                      <w:bCs/>
                    </w:rPr>
                    <w:t>20</w:t>
                  </w:r>
                </w:p>
              </w:tc>
              <w:tc>
                <w:tcPr>
                  <w:tcW w:w="1815" w:type="dxa"/>
                  <w:vMerge w:val="restart"/>
                  <w:noWrap w:val="0"/>
                  <w:vAlign w:val="center"/>
                </w:tcPr>
                <w:p>
                  <w:pPr>
                    <w:jc w:val="center"/>
                    <w:rPr>
                      <w:rFonts w:hint="eastAsia"/>
                      <w:bCs/>
                    </w:rPr>
                  </w:pPr>
                  <w:r>
                    <w:rPr>
                      <w:rFonts w:hint="eastAsia"/>
                      <w:bCs/>
                    </w:rPr>
                    <w:t>烟囱或烟道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2557" w:type="dxa"/>
                  <w:noWrap w:val="0"/>
                  <w:vAlign w:val="center"/>
                </w:tcPr>
                <w:p>
                  <w:pPr>
                    <w:jc w:val="center"/>
                    <w:rPr>
                      <w:rFonts w:hint="eastAsia"/>
                      <w:bCs/>
                    </w:rPr>
                  </w:pPr>
                  <w:r>
                    <w:rPr>
                      <w:rFonts w:hint="eastAsia"/>
                      <w:bCs/>
                    </w:rPr>
                    <w:t>二氧化硫</w:t>
                  </w:r>
                </w:p>
              </w:tc>
              <w:tc>
                <w:tcPr>
                  <w:tcW w:w="1304" w:type="dxa"/>
                  <w:noWrap w:val="0"/>
                  <w:vAlign w:val="center"/>
                </w:tcPr>
                <w:p>
                  <w:pPr>
                    <w:jc w:val="center"/>
                    <w:rPr>
                      <w:rFonts w:hint="eastAsia"/>
                      <w:bCs/>
                    </w:rPr>
                  </w:pPr>
                  <w:r>
                    <w:rPr>
                      <w:rFonts w:hint="eastAsia"/>
                      <w:bCs/>
                    </w:rPr>
                    <w:t>300</w:t>
                  </w:r>
                </w:p>
              </w:tc>
              <w:tc>
                <w:tcPr>
                  <w:tcW w:w="1326" w:type="dxa"/>
                  <w:noWrap w:val="0"/>
                  <w:vAlign w:val="center"/>
                </w:tcPr>
                <w:p>
                  <w:pPr>
                    <w:jc w:val="center"/>
                    <w:rPr>
                      <w:rFonts w:hint="eastAsia"/>
                      <w:bCs/>
                    </w:rPr>
                  </w:pPr>
                  <w:r>
                    <w:rPr>
                      <w:rFonts w:hint="eastAsia"/>
                      <w:bCs/>
                      <w:lang w:val="en-US" w:eastAsia="zh-CN"/>
                    </w:rPr>
                    <w:t>2</w:t>
                  </w:r>
                  <w:r>
                    <w:rPr>
                      <w:rFonts w:hint="eastAsia"/>
                      <w:bCs/>
                    </w:rPr>
                    <w:t>00</w:t>
                  </w:r>
                </w:p>
              </w:tc>
              <w:tc>
                <w:tcPr>
                  <w:tcW w:w="1111" w:type="dxa"/>
                  <w:noWrap w:val="0"/>
                  <w:vAlign w:val="center"/>
                </w:tcPr>
                <w:p>
                  <w:pPr>
                    <w:jc w:val="center"/>
                    <w:rPr>
                      <w:rFonts w:hint="eastAsia"/>
                      <w:bCs/>
                    </w:rPr>
                  </w:pPr>
                  <w:r>
                    <w:rPr>
                      <w:rFonts w:hint="eastAsia"/>
                      <w:bCs/>
                    </w:rPr>
                    <w:t>50</w:t>
                  </w:r>
                </w:p>
              </w:tc>
              <w:tc>
                <w:tcPr>
                  <w:tcW w:w="1815" w:type="dxa"/>
                  <w:vMerge w:val="continue"/>
                  <w:noWrap w:val="0"/>
                  <w:vAlign w:val="top"/>
                </w:tcPr>
                <w:p>
                  <w:pPr>
                    <w:jc w:val="center"/>
                    <w:rPr>
                      <w:rFonts w:hint="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2557" w:type="dxa"/>
                  <w:noWrap w:val="0"/>
                  <w:vAlign w:val="center"/>
                </w:tcPr>
                <w:p>
                  <w:pPr>
                    <w:jc w:val="center"/>
                    <w:rPr>
                      <w:rFonts w:hint="eastAsia"/>
                      <w:bCs/>
                    </w:rPr>
                  </w:pPr>
                  <w:r>
                    <w:rPr>
                      <w:rFonts w:hint="eastAsia"/>
                      <w:bCs/>
                    </w:rPr>
                    <w:t>氮氧化物</w:t>
                  </w:r>
                </w:p>
              </w:tc>
              <w:tc>
                <w:tcPr>
                  <w:tcW w:w="1304" w:type="dxa"/>
                  <w:noWrap w:val="0"/>
                  <w:vAlign w:val="center"/>
                </w:tcPr>
                <w:p>
                  <w:pPr>
                    <w:jc w:val="center"/>
                    <w:rPr>
                      <w:rFonts w:hint="eastAsia"/>
                      <w:bCs/>
                    </w:rPr>
                  </w:pPr>
                  <w:r>
                    <w:rPr>
                      <w:rFonts w:hint="eastAsia"/>
                      <w:bCs/>
                    </w:rPr>
                    <w:t>300</w:t>
                  </w:r>
                </w:p>
              </w:tc>
              <w:tc>
                <w:tcPr>
                  <w:tcW w:w="1326" w:type="dxa"/>
                  <w:noWrap w:val="0"/>
                  <w:vAlign w:val="center"/>
                </w:tcPr>
                <w:p>
                  <w:pPr>
                    <w:jc w:val="center"/>
                    <w:rPr>
                      <w:rFonts w:hint="eastAsia"/>
                      <w:bCs/>
                    </w:rPr>
                  </w:pPr>
                  <w:r>
                    <w:rPr>
                      <w:rFonts w:hint="eastAsia"/>
                      <w:bCs/>
                    </w:rPr>
                    <w:t>250</w:t>
                  </w:r>
                </w:p>
              </w:tc>
              <w:tc>
                <w:tcPr>
                  <w:tcW w:w="1111" w:type="dxa"/>
                  <w:noWrap w:val="0"/>
                  <w:vAlign w:val="center"/>
                </w:tcPr>
                <w:p>
                  <w:pPr>
                    <w:jc w:val="center"/>
                    <w:rPr>
                      <w:rFonts w:hint="eastAsia"/>
                      <w:bCs/>
                    </w:rPr>
                  </w:pPr>
                  <w:r>
                    <w:rPr>
                      <w:rFonts w:hint="eastAsia"/>
                      <w:bCs/>
                    </w:rPr>
                    <w:t>200</w:t>
                  </w:r>
                </w:p>
              </w:tc>
              <w:tc>
                <w:tcPr>
                  <w:tcW w:w="1815" w:type="dxa"/>
                  <w:vMerge w:val="continue"/>
                  <w:noWrap w:val="0"/>
                  <w:vAlign w:val="top"/>
                </w:tcPr>
                <w:p>
                  <w:pPr>
                    <w:jc w:val="center"/>
                    <w:rPr>
                      <w:rFonts w:hint="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2557" w:type="dxa"/>
                  <w:noWrap w:val="0"/>
                  <w:vAlign w:val="center"/>
                </w:tcPr>
                <w:p>
                  <w:pPr>
                    <w:jc w:val="center"/>
                    <w:rPr>
                      <w:rFonts w:hint="eastAsia" w:eastAsia="宋体"/>
                      <w:bCs/>
                      <w:lang w:val="en-US" w:eastAsia="zh-CN"/>
                    </w:rPr>
                  </w:pPr>
                  <w:r>
                    <w:rPr>
                      <w:rFonts w:hint="eastAsia"/>
                      <w:bCs/>
                    </w:rPr>
                    <w:t>汞及其</w:t>
                  </w:r>
                  <w:r>
                    <w:rPr>
                      <w:rFonts w:hint="eastAsia"/>
                      <w:bCs/>
                      <w:lang w:eastAsia="zh-CN"/>
                    </w:rPr>
                    <w:t>化合物</w:t>
                  </w:r>
                </w:p>
              </w:tc>
              <w:tc>
                <w:tcPr>
                  <w:tcW w:w="1304" w:type="dxa"/>
                  <w:noWrap w:val="0"/>
                  <w:vAlign w:val="center"/>
                </w:tcPr>
                <w:p>
                  <w:pPr>
                    <w:jc w:val="center"/>
                    <w:rPr>
                      <w:rFonts w:hint="eastAsia"/>
                      <w:bCs/>
                    </w:rPr>
                  </w:pPr>
                  <w:r>
                    <w:rPr>
                      <w:rFonts w:hint="eastAsia"/>
                      <w:bCs/>
                    </w:rPr>
                    <w:t>0.05</w:t>
                  </w:r>
                </w:p>
              </w:tc>
              <w:tc>
                <w:tcPr>
                  <w:tcW w:w="1326" w:type="dxa"/>
                  <w:noWrap w:val="0"/>
                  <w:vAlign w:val="center"/>
                </w:tcPr>
                <w:p>
                  <w:pPr>
                    <w:jc w:val="center"/>
                    <w:rPr>
                      <w:rFonts w:hint="eastAsia"/>
                      <w:bCs/>
                    </w:rPr>
                  </w:pPr>
                  <w:r>
                    <w:rPr>
                      <w:rFonts w:hint="eastAsia"/>
                      <w:bCs/>
                    </w:rPr>
                    <w:t>-</w:t>
                  </w:r>
                </w:p>
              </w:tc>
              <w:tc>
                <w:tcPr>
                  <w:tcW w:w="1111" w:type="dxa"/>
                  <w:noWrap w:val="0"/>
                  <w:vAlign w:val="center"/>
                </w:tcPr>
                <w:p>
                  <w:pPr>
                    <w:jc w:val="center"/>
                    <w:rPr>
                      <w:rFonts w:hint="eastAsia"/>
                      <w:bCs/>
                    </w:rPr>
                  </w:pPr>
                  <w:r>
                    <w:rPr>
                      <w:rFonts w:hint="eastAsia"/>
                      <w:bCs/>
                    </w:rPr>
                    <w:t>-</w:t>
                  </w:r>
                </w:p>
              </w:tc>
              <w:tc>
                <w:tcPr>
                  <w:tcW w:w="1815" w:type="dxa"/>
                  <w:vMerge w:val="continue"/>
                  <w:noWrap w:val="0"/>
                  <w:vAlign w:val="top"/>
                </w:tcPr>
                <w:p>
                  <w:pPr>
                    <w:jc w:val="center"/>
                    <w:rPr>
                      <w:rFonts w:hint="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2557" w:type="dxa"/>
                  <w:noWrap w:val="0"/>
                  <w:vAlign w:val="center"/>
                </w:tcPr>
                <w:p>
                  <w:pPr>
                    <w:jc w:val="center"/>
                    <w:rPr>
                      <w:rFonts w:hint="eastAsia"/>
                      <w:bCs/>
                    </w:rPr>
                  </w:pPr>
                  <w:r>
                    <w:rPr>
                      <w:rFonts w:hint="eastAsia"/>
                      <w:bCs/>
                    </w:rPr>
                    <w:t>烟气黑度（格曼黑度，级）</w:t>
                  </w:r>
                </w:p>
              </w:tc>
              <w:tc>
                <w:tcPr>
                  <w:tcW w:w="3741" w:type="dxa"/>
                  <w:gridSpan w:val="3"/>
                  <w:noWrap w:val="0"/>
                  <w:vAlign w:val="center"/>
                </w:tcPr>
                <w:p>
                  <w:pPr>
                    <w:jc w:val="center"/>
                    <w:rPr>
                      <w:rFonts w:hint="eastAsia"/>
                      <w:bCs/>
                    </w:rPr>
                  </w:pPr>
                  <w:r>
                    <w:rPr>
                      <w:bCs/>
                    </w:rPr>
                    <w:t>≤</w:t>
                  </w:r>
                  <w:r>
                    <w:rPr>
                      <w:rFonts w:hint="eastAsia"/>
                      <w:bCs/>
                    </w:rPr>
                    <w:t>1</w:t>
                  </w:r>
                </w:p>
              </w:tc>
              <w:tc>
                <w:tcPr>
                  <w:tcW w:w="1815" w:type="dxa"/>
                  <w:noWrap w:val="0"/>
                  <w:vAlign w:val="center"/>
                </w:tcPr>
                <w:p>
                  <w:pPr>
                    <w:jc w:val="center"/>
                    <w:rPr>
                      <w:rFonts w:hint="eastAsia"/>
                      <w:bCs/>
                    </w:rPr>
                  </w:pPr>
                  <w:r>
                    <w:rPr>
                      <w:rFonts w:hint="eastAsia"/>
                      <w:bCs/>
                    </w:rPr>
                    <w:t>烟囱排放口</w:t>
                  </w:r>
                </w:p>
              </w:tc>
            </w:tr>
          </w:tbl>
          <w:p>
            <w:pPr>
              <w:spacing w:line="360" w:lineRule="auto"/>
              <w:jc w:val="center"/>
              <w:rPr>
                <w:rFonts w:hint="default" w:eastAsia="宋体"/>
                <w:b/>
                <w:bCs/>
                <w:sz w:val="24"/>
                <w:lang w:val="en-US" w:eastAsia="zh-CN"/>
              </w:rPr>
            </w:pPr>
            <w:r>
              <w:rPr>
                <w:rFonts w:hint="eastAsia"/>
                <w:b/>
                <w:bCs/>
                <w:sz w:val="24"/>
                <w:lang w:val="en-US" w:eastAsia="zh-CN"/>
              </w:rPr>
              <w:t xml:space="preserve"> </w:t>
            </w:r>
            <w:r>
              <w:rPr>
                <w:rFonts w:hint="eastAsia"/>
                <w:b/>
                <w:bCs/>
                <w:sz w:val="21"/>
                <w:szCs w:val="21"/>
                <w:lang w:val="en-US" w:eastAsia="zh-CN"/>
              </w:rPr>
              <w:t xml:space="preserve">        </w:t>
            </w:r>
            <w:r>
              <w:rPr>
                <w:rFonts w:hint="eastAsia"/>
                <w:b/>
                <w:bCs/>
                <w:sz w:val="21"/>
                <w:szCs w:val="21"/>
              </w:rPr>
              <w:t>表</w:t>
            </w:r>
            <w:r>
              <w:rPr>
                <w:rFonts w:hint="eastAsia"/>
                <w:b/>
                <w:bCs/>
                <w:sz w:val="21"/>
                <w:szCs w:val="21"/>
                <w:lang w:val="en-US" w:eastAsia="zh-CN"/>
              </w:rPr>
              <w:t>4-5</w:t>
            </w:r>
            <w:r>
              <w:rPr>
                <w:rFonts w:hint="eastAsia"/>
                <w:b/>
                <w:bCs/>
                <w:sz w:val="21"/>
                <w:szCs w:val="21"/>
              </w:rPr>
              <w:t xml:space="preserve"> 新建锅炉大气污染物排放浓度限值</w:t>
            </w:r>
            <w:r>
              <w:rPr>
                <w:rFonts w:hint="eastAsia"/>
                <w:b/>
                <w:bCs/>
                <w:sz w:val="21"/>
                <w:szCs w:val="21"/>
                <w:lang w:val="en-US" w:eastAsia="zh-CN"/>
              </w:rPr>
              <w:t xml:space="preserve">      单位：mg/m</w:t>
            </w:r>
            <w:r>
              <w:rPr>
                <w:rFonts w:hint="eastAsia"/>
                <w:b/>
                <w:bCs/>
                <w:sz w:val="21"/>
                <w:szCs w:val="21"/>
                <w:vertAlign w:val="superscript"/>
                <w:lang w:val="en-US" w:eastAsia="zh-CN"/>
              </w:rPr>
              <w:t>3</w:t>
            </w:r>
          </w:p>
          <w:p>
            <w:pPr>
              <w:spacing w:line="360" w:lineRule="auto"/>
              <w:jc w:val="center"/>
              <w:rPr>
                <w:rFonts w:hint="eastAsia"/>
                <w:b/>
                <w:bCs/>
                <w:sz w:val="21"/>
                <w:szCs w:val="21"/>
              </w:rPr>
            </w:pPr>
            <w:r>
              <w:rPr>
                <w:rFonts w:hint="eastAsia"/>
                <w:b/>
                <w:bCs/>
                <w:sz w:val="21"/>
                <w:szCs w:val="21"/>
              </w:rPr>
              <w:t>表4-</w:t>
            </w:r>
            <w:r>
              <w:rPr>
                <w:rFonts w:hint="eastAsia"/>
                <w:b/>
                <w:bCs/>
                <w:sz w:val="21"/>
                <w:szCs w:val="21"/>
                <w:lang w:val="en-US" w:eastAsia="zh-CN"/>
              </w:rPr>
              <w:t>6</w:t>
            </w:r>
            <w:r>
              <w:rPr>
                <w:rFonts w:hint="eastAsia"/>
                <w:b/>
                <w:bCs/>
                <w:sz w:val="21"/>
                <w:szCs w:val="21"/>
              </w:rPr>
              <w:t>《</w:t>
            </w:r>
            <w:r>
              <w:rPr>
                <w:rFonts w:hint="eastAsia"/>
                <w:b/>
                <w:sz w:val="21"/>
                <w:szCs w:val="21"/>
              </w:rPr>
              <w:t>四川省固定污染源大气挥发性有机物排放标准》</w:t>
            </w:r>
          </w:p>
          <w:tbl>
            <w:tblPr>
              <w:tblStyle w:val="69"/>
              <w:tblW w:w="8240" w:type="dxa"/>
              <w:jc w:val="center"/>
              <w:tblInd w:w="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03"/>
              <w:gridCol w:w="1912"/>
              <w:gridCol w:w="1777"/>
              <w:gridCol w:w="25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2003" w:type="dxa"/>
                  <w:vMerge w:val="restart"/>
                  <w:noWrap w:val="0"/>
                  <w:vAlign w:val="center"/>
                </w:tcPr>
                <w:p>
                  <w:pPr>
                    <w:jc w:val="center"/>
                    <w:rPr>
                      <w:szCs w:val="21"/>
                    </w:rPr>
                  </w:pPr>
                  <w:r>
                    <w:rPr>
                      <w:szCs w:val="21"/>
                    </w:rPr>
                    <w:t>污染物</w:t>
                  </w:r>
                </w:p>
              </w:tc>
              <w:tc>
                <w:tcPr>
                  <w:tcW w:w="1912" w:type="dxa"/>
                  <w:vMerge w:val="restart"/>
                  <w:noWrap w:val="0"/>
                  <w:vAlign w:val="center"/>
                </w:tcPr>
                <w:p>
                  <w:pPr>
                    <w:jc w:val="center"/>
                    <w:rPr>
                      <w:szCs w:val="21"/>
                    </w:rPr>
                  </w:pPr>
                  <w:r>
                    <w:rPr>
                      <w:szCs w:val="21"/>
                    </w:rPr>
                    <w:t>最高允许排放浓度（mg/m</w:t>
                  </w:r>
                  <w:r>
                    <w:rPr>
                      <w:szCs w:val="21"/>
                      <w:vertAlign w:val="superscript"/>
                    </w:rPr>
                    <w:t>3</w:t>
                  </w:r>
                  <w:r>
                    <w:rPr>
                      <w:szCs w:val="21"/>
                    </w:rPr>
                    <w:t>）</w:t>
                  </w:r>
                </w:p>
              </w:tc>
              <w:tc>
                <w:tcPr>
                  <w:tcW w:w="1777" w:type="dxa"/>
                  <w:vMerge w:val="restart"/>
                  <w:noWrap w:val="0"/>
                  <w:vAlign w:val="center"/>
                </w:tcPr>
                <w:p>
                  <w:pPr>
                    <w:jc w:val="center"/>
                    <w:rPr>
                      <w:szCs w:val="21"/>
                    </w:rPr>
                  </w:pPr>
                  <w:r>
                    <w:rPr>
                      <w:szCs w:val="21"/>
                    </w:rPr>
                    <w:t>排气筒（m）</w:t>
                  </w:r>
                </w:p>
              </w:tc>
              <w:tc>
                <w:tcPr>
                  <w:tcW w:w="2548" w:type="dxa"/>
                  <w:vMerge w:val="restart"/>
                  <w:noWrap w:val="0"/>
                  <w:vAlign w:val="center"/>
                </w:tcPr>
                <w:p>
                  <w:pPr>
                    <w:rPr>
                      <w:szCs w:val="21"/>
                    </w:rPr>
                  </w:pPr>
                  <w:r>
                    <w:rPr>
                      <w:szCs w:val="21"/>
                    </w:rPr>
                    <w:t>最高允许排放速率（kg</w:t>
                  </w:r>
                  <w:r>
                    <w:rPr>
                      <w:rFonts w:hint="eastAsia"/>
                      <w:szCs w:val="21"/>
                    </w:rPr>
                    <w: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2003" w:type="dxa"/>
                  <w:vMerge w:val="continue"/>
                  <w:noWrap w:val="0"/>
                  <w:vAlign w:val="center"/>
                </w:tcPr>
                <w:p>
                  <w:pPr>
                    <w:ind w:firstLine="480"/>
                    <w:jc w:val="center"/>
                    <w:rPr>
                      <w:szCs w:val="21"/>
                    </w:rPr>
                  </w:pPr>
                </w:p>
              </w:tc>
              <w:tc>
                <w:tcPr>
                  <w:tcW w:w="1912" w:type="dxa"/>
                  <w:vMerge w:val="continue"/>
                  <w:noWrap w:val="0"/>
                  <w:vAlign w:val="center"/>
                </w:tcPr>
                <w:p>
                  <w:pPr>
                    <w:ind w:firstLine="480"/>
                    <w:jc w:val="center"/>
                    <w:rPr>
                      <w:szCs w:val="21"/>
                    </w:rPr>
                  </w:pPr>
                </w:p>
              </w:tc>
              <w:tc>
                <w:tcPr>
                  <w:tcW w:w="1777" w:type="dxa"/>
                  <w:vMerge w:val="continue"/>
                  <w:noWrap w:val="0"/>
                  <w:vAlign w:val="center"/>
                </w:tcPr>
                <w:p>
                  <w:pPr>
                    <w:jc w:val="center"/>
                    <w:rPr>
                      <w:szCs w:val="21"/>
                    </w:rPr>
                  </w:pPr>
                </w:p>
              </w:tc>
              <w:tc>
                <w:tcPr>
                  <w:tcW w:w="2548" w:type="dxa"/>
                  <w:vMerge w:val="continue"/>
                  <w:noWrap w:val="0"/>
                  <w:vAlign w:val="center"/>
                </w:tcPr>
                <w:p>
                  <w:pPr>
                    <w:ind w:firstLine="480"/>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03" w:type="dxa"/>
                  <w:noWrap w:val="0"/>
                  <w:vAlign w:val="center"/>
                </w:tcPr>
                <w:p>
                  <w:pPr>
                    <w:jc w:val="center"/>
                    <w:rPr>
                      <w:rFonts w:hint="eastAsia"/>
                      <w:szCs w:val="21"/>
                      <w:vertAlign w:val="subscript"/>
                    </w:rPr>
                  </w:pPr>
                  <w:r>
                    <w:rPr>
                      <w:rFonts w:hint="eastAsia"/>
                      <w:szCs w:val="21"/>
                    </w:rPr>
                    <w:t>VOC</w:t>
                  </w:r>
                  <w:r>
                    <w:rPr>
                      <w:rFonts w:hint="eastAsia"/>
                      <w:szCs w:val="21"/>
                      <w:vertAlign w:val="subscript"/>
                    </w:rPr>
                    <w:t>s</w:t>
                  </w:r>
                </w:p>
              </w:tc>
              <w:tc>
                <w:tcPr>
                  <w:tcW w:w="1912" w:type="dxa"/>
                  <w:noWrap w:val="0"/>
                  <w:vAlign w:val="center"/>
                </w:tcPr>
                <w:p>
                  <w:pPr>
                    <w:jc w:val="center"/>
                    <w:rPr>
                      <w:szCs w:val="21"/>
                    </w:rPr>
                  </w:pPr>
                  <w:r>
                    <w:rPr>
                      <w:rFonts w:hint="eastAsia"/>
                      <w:szCs w:val="21"/>
                    </w:rPr>
                    <w:t>80</w:t>
                  </w:r>
                </w:p>
              </w:tc>
              <w:tc>
                <w:tcPr>
                  <w:tcW w:w="1777" w:type="dxa"/>
                  <w:noWrap w:val="0"/>
                  <w:vAlign w:val="center"/>
                </w:tcPr>
                <w:p>
                  <w:pPr>
                    <w:jc w:val="center"/>
                    <w:rPr>
                      <w:szCs w:val="21"/>
                    </w:rPr>
                  </w:pPr>
                  <w:r>
                    <w:rPr>
                      <w:rFonts w:hint="eastAsia"/>
                      <w:szCs w:val="21"/>
                    </w:rPr>
                    <w:t>15</w:t>
                  </w:r>
                </w:p>
              </w:tc>
              <w:tc>
                <w:tcPr>
                  <w:tcW w:w="2548" w:type="dxa"/>
                  <w:noWrap w:val="0"/>
                  <w:vAlign w:val="center"/>
                </w:tcPr>
                <w:p>
                  <w:pPr>
                    <w:jc w:val="center"/>
                    <w:rPr>
                      <w:szCs w:val="21"/>
                    </w:rPr>
                  </w:pPr>
                  <w:r>
                    <w:rPr>
                      <w:rFonts w:hint="eastAsia"/>
                      <w:szCs w:val="21"/>
                    </w:rPr>
                    <w:t>4.0</w:t>
                  </w:r>
                </w:p>
              </w:tc>
            </w:tr>
          </w:tbl>
          <w:p>
            <w:pPr>
              <w:spacing w:line="360" w:lineRule="auto"/>
              <w:jc w:val="center"/>
              <w:rPr>
                <w:rFonts w:hint="eastAsia"/>
                <w:b/>
                <w:bCs/>
                <w:sz w:val="21"/>
                <w:szCs w:val="21"/>
              </w:rPr>
            </w:pPr>
            <w:r>
              <w:rPr>
                <w:rFonts w:hint="eastAsia"/>
                <w:b/>
                <w:bCs/>
                <w:sz w:val="21"/>
                <w:szCs w:val="21"/>
              </w:rPr>
              <w:t>表4-</w:t>
            </w:r>
            <w:r>
              <w:rPr>
                <w:rFonts w:hint="eastAsia"/>
                <w:b/>
                <w:bCs/>
                <w:sz w:val="21"/>
                <w:szCs w:val="21"/>
                <w:lang w:val="en-US" w:eastAsia="zh-CN"/>
              </w:rPr>
              <w:t>7</w:t>
            </w:r>
            <w:r>
              <w:rPr>
                <w:rFonts w:hint="eastAsia"/>
                <w:b/>
                <w:bCs/>
                <w:sz w:val="21"/>
                <w:szCs w:val="21"/>
              </w:rPr>
              <w:t>《</w:t>
            </w:r>
            <w:r>
              <w:rPr>
                <w:rFonts w:hint="eastAsia"/>
                <w:b/>
                <w:sz w:val="21"/>
                <w:szCs w:val="21"/>
                <w:lang w:eastAsia="zh-CN"/>
              </w:rPr>
              <w:t>挥发性有机物无组织排放控制标准</w:t>
            </w:r>
            <w:r>
              <w:rPr>
                <w:rFonts w:hint="eastAsia"/>
                <w:b/>
                <w:sz w:val="21"/>
                <w:szCs w:val="21"/>
              </w:rPr>
              <w:t>》</w:t>
            </w:r>
          </w:p>
          <w:tbl>
            <w:tblPr>
              <w:tblStyle w:val="70"/>
              <w:tblW w:w="8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118"/>
              <w:gridCol w:w="1500"/>
              <w:gridCol w:w="2414"/>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9" w:type="dxa"/>
                  <w:noWrap w:val="0"/>
                  <w:vAlign w:val="top"/>
                </w:tcPr>
                <w:p>
                  <w:pPr>
                    <w:jc w:val="center"/>
                    <w:rPr>
                      <w:rFonts w:hint="eastAsia" w:eastAsia="宋体"/>
                      <w:bCs/>
                      <w:lang w:eastAsia="zh-CN"/>
                    </w:rPr>
                  </w:pPr>
                  <w:r>
                    <w:rPr>
                      <w:rFonts w:hint="eastAsia"/>
                      <w:bCs/>
                      <w:lang w:eastAsia="zh-CN"/>
                    </w:rPr>
                    <w:t>污染物</w:t>
                  </w:r>
                </w:p>
              </w:tc>
              <w:tc>
                <w:tcPr>
                  <w:tcW w:w="1118" w:type="dxa"/>
                  <w:noWrap w:val="0"/>
                  <w:vAlign w:val="top"/>
                </w:tcPr>
                <w:p>
                  <w:pPr>
                    <w:jc w:val="center"/>
                    <w:rPr>
                      <w:rFonts w:hint="eastAsia" w:eastAsia="宋体"/>
                      <w:bCs/>
                      <w:lang w:eastAsia="zh-CN"/>
                    </w:rPr>
                  </w:pPr>
                  <w:r>
                    <w:rPr>
                      <w:rFonts w:hint="eastAsia"/>
                      <w:bCs/>
                      <w:lang w:eastAsia="zh-CN"/>
                    </w:rPr>
                    <w:t>排放限值</w:t>
                  </w:r>
                </w:p>
              </w:tc>
              <w:tc>
                <w:tcPr>
                  <w:tcW w:w="1500" w:type="dxa"/>
                  <w:noWrap w:val="0"/>
                  <w:vAlign w:val="top"/>
                </w:tcPr>
                <w:p>
                  <w:pPr>
                    <w:jc w:val="center"/>
                    <w:rPr>
                      <w:rFonts w:hint="eastAsia" w:eastAsia="宋体"/>
                      <w:bCs/>
                      <w:lang w:eastAsia="zh-CN"/>
                    </w:rPr>
                  </w:pPr>
                  <w:r>
                    <w:rPr>
                      <w:rFonts w:hint="eastAsia"/>
                      <w:bCs/>
                      <w:lang w:eastAsia="zh-CN"/>
                    </w:rPr>
                    <w:t>特别排放限值</w:t>
                  </w:r>
                </w:p>
              </w:tc>
              <w:tc>
                <w:tcPr>
                  <w:tcW w:w="2414" w:type="dxa"/>
                  <w:noWrap w:val="0"/>
                  <w:vAlign w:val="top"/>
                </w:tcPr>
                <w:p>
                  <w:pPr>
                    <w:jc w:val="center"/>
                    <w:rPr>
                      <w:rFonts w:hint="eastAsia" w:eastAsia="宋体"/>
                      <w:bCs/>
                      <w:lang w:eastAsia="zh-CN"/>
                    </w:rPr>
                  </w:pPr>
                  <w:r>
                    <w:rPr>
                      <w:rFonts w:hint="eastAsia"/>
                      <w:bCs/>
                      <w:lang w:eastAsia="zh-CN"/>
                    </w:rPr>
                    <w:t>限值含义</w:t>
                  </w:r>
                </w:p>
              </w:tc>
              <w:tc>
                <w:tcPr>
                  <w:tcW w:w="2202" w:type="dxa"/>
                  <w:noWrap w:val="0"/>
                  <w:vAlign w:val="top"/>
                </w:tcPr>
                <w:p>
                  <w:pPr>
                    <w:jc w:val="center"/>
                    <w:rPr>
                      <w:rFonts w:hint="eastAsia" w:eastAsia="宋体"/>
                      <w:bCs/>
                      <w:lang w:eastAsia="zh-CN"/>
                    </w:rPr>
                  </w:pPr>
                  <w:r>
                    <w:rPr>
                      <w:rFonts w:hint="eastAsia"/>
                      <w:bCs/>
                      <w:lang w:eastAsia="zh-CN"/>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9" w:type="dxa"/>
                  <w:noWrap w:val="0"/>
                  <w:vAlign w:val="top"/>
                </w:tcPr>
                <w:p>
                  <w:pPr>
                    <w:jc w:val="center"/>
                    <w:rPr>
                      <w:rFonts w:hint="default" w:eastAsia="宋体"/>
                      <w:bCs/>
                      <w:lang w:val="en-US" w:eastAsia="zh-CN"/>
                    </w:rPr>
                  </w:pPr>
                  <w:r>
                    <w:rPr>
                      <w:rFonts w:hint="eastAsia"/>
                      <w:bCs/>
                      <w:lang w:val="en-US" w:eastAsia="zh-CN"/>
                    </w:rPr>
                    <w:t>NMHC</w:t>
                  </w:r>
                </w:p>
              </w:tc>
              <w:tc>
                <w:tcPr>
                  <w:tcW w:w="1118" w:type="dxa"/>
                  <w:noWrap w:val="0"/>
                  <w:vAlign w:val="top"/>
                </w:tcPr>
                <w:p>
                  <w:pPr>
                    <w:jc w:val="center"/>
                    <w:rPr>
                      <w:rFonts w:hint="default" w:eastAsia="宋体"/>
                      <w:bCs/>
                      <w:lang w:val="en-US" w:eastAsia="zh-CN"/>
                    </w:rPr>
                  </w:pPr>
                  <w:r>
                    <w:rPr>
                      <w:rFonts w:hint="eastAsia"/>
                      <w:bCs/>
                      <w:lang w:val="en-US" w:eastAsia="zh-CN"/>
                    </w:rPr>
                    <w:t>10</w:t>
                  </w:r>
                </w:p>
              </w:tc>
              <w:tc>
                <w:tcPr>
                  <w:tcW w:w="1500" w:type="dxa"/>
                  <w:noWrap w:val="0"/>
                  <w:vAlign w:val="top"/>
                </w:tcPr>
                <w:p>
                  <w:pPr>
                    <w:jc w:val="center"/>
                    <w:rPr>
                      <w:rFonts w:hint="eastAsia" w:eastAsia="宋体"/>
                      <w:bCs/>
                      <w:lang w:val="en-US" w:eastAsia="zh-CN"/>
                    </w:rPr>
                  </w:pPr>
                  <w:r>
                    <w:rPr>
                      <w:rFonts w:hint="eastAsia"/>
                      <w:bCs/>
                      <w:lang w:val="en-US" w:eastAsia="zh-CN"/>
                    </w:rPr>
                    <w:t>6</w:t>
                  </w:r>
                </w:p>
              </w:tc>
              <w:tc>
                <w:tcPr>
                  <w:tcW w:w="2414" w:type="dxa"/>
                  <w:noWrap w:val="0"/>
                  <w:vAlign w:val="top"/>
                </w:tcPr>
                <w:p>
                  <w:pPr>
                    <w:jc w:val="center"/>
                    <w:rPr>
                      <w:rFonts w:hint="default" w:eastAsia="宋体"/>
                      <w:bCs/>
                      <w:lang w:val="en-US" w:eastAsia="zh-CN"/>
                    </w:rPr>
                  </w:pPr>
                  <w:r>
                    <w:rPr>
                      <w:rFonts w:hint="eastAsia"/>
                      <w:bCs/>
                      <w:lang w:eastAsia="zh-CN"/>
                    </w:rPr>
                    <w:t>监控点处</w:t>
                  </w:r>
                  <w:r>
                    <w:rPr>
                      <w:rFonts w:hint="eastAsia"/>
                      <w:bCs/>
                      <w:lang w:val="en-US" w:eastAsia="zh-CN"/>
                    </w:rPr>
                    <w:t>1h平均浓度值</w:t>
                  </w:r>
                </w:p>
              </w:tc>
              <w:tc>
                <w:tcPr>
                  <w:tcW w:w="2202" w:type="dxa"/>
                  <w:noWrap w:val="0"/>
                  <w:vAlign w:val="top"/>
                </w:tcPr>
                <w:p>
                  <w:pPr>
                    <w:jc w:val="center"/>
                    <w:rPr>
                      <w:rFonts w:hint="default" w:eastAsia="宋体"/>
                      <w:bCs/>
                      <w:lang w:val="en-US" w:eastAsia="zh-CN"/>
                    </w:rPr>
                  </w:pPr>
                  <w:r>
                    <w:rPr>
                      <w:rFonts w:hint="eastAsia"/>
                      <w:bCs/>
                      <w:lang w:eastAsia="zh-CN"/>
                    </w:rPr>
                    <w:t>在厂房外设置监控点</w:t>
                  </w:r>
                </w:p>
              </w:tc>
            </w:tr>
          </w:tbl>
          <w:p>
            <w:pPr>
              <w:spacing w:line="360" w:lineRule="auto"/>
              <w:rPr>
                <w:rFonts w:hint="eastAsia"/>
                <w:b/>
                <w:bCs/>
                <w:sz w:val="24"/>
              </w:rPr>
            </w:pPr>
            <w:r>
              <w:rPr>
                <w:rFonts w:hint="eastAsia"/>
                <w:b/>
                <w:bCs/>
                <w:sz w:val="24"/>
              </w:rPr>
              <w:t>三</w:t>
            </w:r>
            <w:r>
              <w:rPr>
                <w:b/>
                <w:bCs/>
                <w:sz w:val="24"/>
              </w:rPr>
              <w:t>、噪声执行标准</w:t>
            </w:r>
          </w:p>
          <w:p>
            <w:pPr>
              <w:spacing w:line="360" w:lineRule="auto"/>
              <w:ind w:firstLine="480" w:firstLineChars="200"/>
              <w:rPr>
                <w:sz w:val="24"/>
              </w:rPr>
            </w:pPr>
            <w:r>
              <w:rPr>
                <w:rFonts w:hint="eastAsia"/>
                <w:sz w:val="24"/>
              </w:rPr>
              <w:t>项目</w:t>
            </w:r>
            <w:r>
              <w:rPr>
                <w:sz w:val="24"/>
              </w:rPr>
              <w:t>噪声排放</w:t>
            </w:r>
            <w:r>
              <w:rPr>
                <w:rFonts w:hint="eastAsia"/>
                <w:sz w:val="24"/>
              </w:rPr>
              <w:t>执</w:t>
            </w:r>
            <w:r>
              <w:rPr>
                <w:sz w:val="24"/>
              </w:rPr>
              <w:t>行国家《工业企业厂界噪声排放标准》(GB12348-2008)中的</w:t>
            </w:r>
            <w:r>
              <w:rPr>
                <w:rFonts w:hint="eastAsia"/>
                <w:sz w:val="24"/>
                <w:lang w:val="en-US" w:eastAsia="zh-CN"/>
              </w:rPr>
              <w:t>2</w:t>
            </w:r>
            <w:r>
              <w:rPr>
                <w:sz w:val="24"/>
              </w:rPr>
              <w:t>类标准；</w:t>
            </w:r>
            <w:r>
              <w:rPr>
                <w:bCs/>
                <w:sz w:val="24"/>
              </w:rPr>
              <w:t>标准限值见表4-</w:t>
            </w:r>
            <w:r>
              <w:rPr>
                <w:rFonts w:hint="eastAsia"/>
                <w:bCs/>
                <w:sz w:val="24"/>
                <w:lang w:val="en-US" w:eastAsia="zh-CN"/>
              </w:rPr>
              <w:t>8</w:t>
            </w:r>
            <w:r>
              <w:rPr>
                <w:bCs/>
                <w:sz w:val="24"/>
              </w:rPr>
              <w:t>。</w:t>
            </w:r>
          </w:p>
          <w:p>
            <w:pPr>
              <w:spacing w:line="360" w:lineRule="auto"/>
              <w:jc w:val="center"/>
              <w:rPr>
                <w:bCs/>
                <w:sz w:val="21"/>
                <w:szCs w:val="21"/>
              </w:rPr>
            </w:pPr>
            <w:r>
              <w:rPr>
                <w:b/>
                <w:bCs/>
                <w:sz w:val="21"/>
                <w:szCs w:val="21"/>
              </w:rPr>
              <w:t>表4-</w:t>
            </w:r>
            <w:r>
              <w:rPr>
                <w:rFonts w:hint="eastAsia"/>
                <w:b/>
                <w:bCs/>
                <w:sz w:val="21"/>
                <w:szCs w:val="21"/>
                <w:lang w:val="en-US" w:eastAsia="zh-CN"/>
              </w:rPr>
              <w:t>8</w:t>
            </w:r>
            <w:r>
              <w:rPr>
                <w:b/>
                <w:bCs/>
                <w:sz w:val="21"/>
                <w:szCs w:val="21"/>
              </w:rPr>
              <w:t xml:space="preserve">  项目噪声执行标准   </w:t>
            </w:r>
            <w:r>
              <w:rPr>
                <w:b w:val="0"/>
                <w:bCs w:val="0"/>
                <w:sz w:val="21"/>
                <w:szCs w:val="21"/>
              </w:rPr>
              <w:t xml:space="preserve"> </w:t>
            </w:r>
            <w:r>
              <w:rPr>
                <w:b/>
                <w:bCs/>
                <w:sz w:val="21"/>
                <w:szCs w:val="21"/>
              </w:rPr>
              <w:t>单位：dB(A)</w:t>
            </w:r>
          </w:p>
          <w:tbl>
            <w:tblPr>
              <w:tblStyle w:val="69"/>
              <w:tblW w:w="8109" w:type="dxa"/>
              <w:jc w:val="center"/>
              <w:tblInd w:w="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610"/>
              <w:gridCol w:w="2693"/>
              <w:gridCol w:w="28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jc w:val="center"/>
              </w:trPr>
              <w:tc>
                <w:tcPr>
                  <w:tcW w:w="2610" w:type="dxa"/>
                  <w:noWrap w:val="0"/>
                  <w:vAlign w:val="top"/>
                </w:tcPr>
                <w:p>
                  <w:pPr>
                    <w:ind w:left="-59"/>
                    <w:jc w:val="center"/>
                    <w:rPr>
                      <w:b/>
                      <w:caps/>
                      <w:szCs w:val="21"/>
                    </w:rPr>
                  </w:pPr>
                  <w:r>
                    <w:rPr>
                      <w:b/>
                      <w:caps/>
                      <w:szCs w:val="21"/>
                    </w:rPr>
                    <w:t>类</w:t>
                  </w:r>
                  <w:r>
                    <w:rPr>
                      <w:b/>
                      <w:caps/>
                      <w:szCs w:val="21"/>
                    </w:rPr>
                    <w:cr/>
                  </w:r>
                  <w:r>
                    <w:rPr>
                      <w:b/>
                      <w:caps/>
                      <w:szCs w:val="21"/>
                    </w:rPr>
                    <w:t xml:space="preserve"> 别</w:t>
                  </w:r>
                </w:p>
              </w:tc>
              <w:tc>
                <w:tcPr>
                  <w:tcW w:w="2693" w:type="dxa"/>
                  <w:noWrap w:val="0"/>
                  <w:vAlign w:val="top"/>
                </w:tcPr>
                <w:p>
                  <w:pPr>
                    <w:ind w:left="43"/>
                    <w:jc w:val="center"/>
                    <w:rPr>
                      <w:b/>
                      <w:caps/>
                      <w:szCs w:val="21"/>
                    </w:rPr>
                  </w:pPr>
                  <w:r>
                    <w:rPr>
                      <w:b/>
                      <w:caps/>
                      <w:szCs w:val="21"/>
                    </w:rPr>
                    <w:t>昼  间</w:t>
                  </w:r>
                </w:p>
              </w:tc>
              <w:tc>
                <w:tcPr>
                  <w:tcW w:w="2806" w:type="dxa"/>
                  <w:noWrap w:val="0"/>
                  <w:vAlign w:val="top"/>
                </w:tcPr>
                <w:p>
                  <w:pPr>
                    <w:jc w:val="center"/>
                    <w:rPr>
                      <w:b/>
                      <w:caps/>
                      <w:szCs w:val="21"/>
                    </w:rPr>
                  </w:pPr>
                  <w:r>
                    <w:rPr>
                      <w:b/>
                      <w:caps/>
                      <w:szCs w:val="21"/>
                    </w:rPr>
                    <w:t>夜  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jc w:val="center"/>
              </w:trPr>
              <w:tc>
                <w:tcPr>
                  <w:tcW w:w="2610" w:type="dxa"/>
                  <w:noWrap w:val="0"/>
                  <w:vAlign w:val="top"/>
                </w:tcPr>
                <w:p>
                  <w:pPr>
                    <w:ind w:left="-59"/>
                    <w:jc w:val="center"/>
                    <w:rPr>
                      <w:caps/>
                      <w:szCs w:val="21"/>
                    </w:rPr>
                  </w:pPr>
                  <w:r>
                    <w:rPr>
                      <w:rFonts w:hint="eastAsia"/>
                      <w:caps/>
                      <w:szCs w:val="21"/>
                      <w:lang w:val="en-US" w:eastAsia="zh-CN"/>
                    </w:rPr>
                    <w:t>2</w:t>
                  </w:r>
                  <w:r>
                    <w:rPr>
                      <w:caps/>
                      <w:szCs w:val="21"/>
                    </w:rPr>
                    <w:t>类标准</w:t>
                  </w:r>
                </w:p>
              </w:tc>
              <w:tc>
                <w:tcPr>
                  <w:tcW w:w="2693" w:type="dxa"/>
                  <w:noWrap w:val="0"/>
                  <w:vAlign w:val="top"/>
                </w:tcPr>
                <w:p>
                  <w:pPr>
                    <w:ind w:left="43"/>
                    <w:jc w:val="center"/>
                    <w:rPr>
                      <w:rFonts w:hint="eastAsia" w:eastAsia="宋体"/>
                      <w:caps/>
                      <w:szCs w:val="21"/>
                      <w:lang w:eastAsia="zh-CN"/>
                    </w:rPr>
                  </w:pPr>
                  <w:r>
                    <w:rPr>
                      <w:caps/>
                      <w:szCs w:val="21"/>
                    </w:rPr>
                    <w:t>6</w:t>
                  </w:r>
                  <w:r>
                    <w:rPr>
                      <w:rFonts w:hint="eastAsia"/>
                      <w:caps/>
                      <w:szCs w:val="21"/>
                      <w:lang w:val="en-US" w:eastAsia="zh-CN"/>
                    </w:rPr>
                    <w:t>0</w:t>
                  </w:r>
                </w:p>
              </w:tc>
              <w:tc>
                <w:tcPr>
                  <w:tcW w:w="2806" w:type="dxa"/>
                  <w:noWrap w:val="0"/>
                  <w:vAlign w:val="top"/>
                </w:tcPr>
                <w:p>
                  <w:pPr>
                    <w:jc w:val="center"/>
                    <w:rPr>
                      <w:rFonts w:hint="eastAsia" w:eastAsia="宋体"/>
                      <w:caps/>
                      <w:szCs w:val="21"/>
                      <w:lang w:eastAsia="zh-CN"/>
                    </w:rPr>
                  </w:pPr>
                  <w:r>
                    <w:rPr>
                      <w:caps/>
                      <w:szCs w:val="21"/>
                    </w:rPr>
                    <w:t>5</w:t>
                  </w:r>
                  <w:r>
                    <w:rPr>
                      <w:rFonts w:hint="eastAsia"/>
                      <w:caps/>
                      <w:szCs w:val="21"/>
                      <w:lang w:val="en-US" w:eastAsia="zh-CN"/>
                    </w:rPr>
                    <w:t>0</w:t>
                  </w:r>
                </w:p>
              </w:tc>
            </w:tr>
          </w:tbl>
          <w:p>
            <w:pPr>
              <w:spacing w:line="360" w:lineRule="auto"/>
              <w:rPr>
                <w:rFonts w:hint="eastAsia" w:ascii="宋体" w:hAnsi="宋体" w:cs="宋体"/>
                <w:b/>
                <w:sz w:val="24"/>
              </w:rPr>
            </w:pPr>
            <w:r>
              <w:rPr>
                <w:rFonts w:hint="eastAsia" w:ascii="宋体" w:hAnsi="宋体" w:cs="宋体"/>
                <w:b/>
                <w:sz w:val="24"/>
              </w:rPr>
              <w:t>四、固体废弃物排放标准</w:t>
            </w:r>
          </w:p>
          <w:p>
            <w:pPr>
              <w:spacing w:line="360" w:lineRule="auto"/>
              <w:ind w:firstLine="480" w:firstLineChars="200"/>
              <w:rPr>
                <w:sz w:val="24"/>
              </w:rPr>
            </w:pPr>
            <w:r>
              <w:rPr>
                <w:rFonts w:hint="eastAsia"/>
                <w:sz w:val="24"/>
              </w:rPr>
              <w:t>项目</w:t>
            </w:r>
            <w:r>
              <w:rPr>
                <w:rFonts w:hint="eastAsia"/>
                <w:sz w:val="24"/>
                <w:lang w:eastAsia="zh-CN"/>
              </w:rPr>
              <w:t>一般</w:t>
            </w:r>
            <w:r>
              <w:rPr>
                <w:sz w:val="24"/>
              </w:rPr>
              <w:t>工业固体废物执行《一般工业固体废物贮存、处置场污染控制标准》（GB18599-2001）</w:t>
            </w:r>
            <w:r>
              <w:rPr>
                <w:rFonts w:hint="eastAsia"/>
                <w:sz w:val="24"/>
                <w:lang w:eastAsia="zh-CN"/>
              </w:rPr>
              <w:t>（</w:t>
            </w:r>
            <w:r>
              <w:rPr>
                <w:rFonts w:hint="eastAsia"/>
                <w:sz w:val="24"/>
                <w:lang w:val="en-US" w:eastAsia="zh-CN"/>
              </w:rPr>
              <w:t>2013年修订</w:t>
            </w:r>
            <w:r>
              <w:rPr>
                <w:rFonts w:hint="eastAsia"/>
                <w:sz w:val="24"/>
                <w:lang w:eastAsia="zh-CN"/>
              </w:rPr>
              <w:t>）；危险废物执行《危险废物贮存污染控制标准》（</w:t>
            </w:r>
            <w:r>
              <w:rPr>
                <w:rFonts w:hint="eastAsia"/>
                <w:sz w:val="24"/>
                <w:lang w:val="en-US" w:eastAsia="zh-CN"/>
              </w:rPr>
              <w:t>GB18597-2001</w:t>
            </w:r>
            <w:r>
              <w:rPr>
                <w:rFonts w:hint="eastAsia"/>
                <w:sz w:val="24"/>
                <w:lang w:eastAsia="zh-CN"/>
              </w:rPr>
              <w:t>）（</w:t>
            </w:r>
            <w:r>
              <w:rPr>
                <w:rFonts w:hint="eastAsia"/>
                <w:sz w:val="24"/>
                <w:lang w:val="en-US" w:eastAsia="zh-CN"/>
              </w:rPr>
              <w:t>2013年修订</w:t>
            </w:r>
            <w:r>
              <w:rPr>
                <w:rFonts w:hint="eastAsia"/>
                <w:sz w:val="24"/>
                <w:lang w:eastAsia="zh-CN"/>
              </w:rPr>
              <w:t>）</w:t>
            </w:r>
            <w:r>
              <w:rPr>
                <w:sz w:val="24"/>
              </w:rPr>
              <w:t>。</w:t>
            </w:r>
          </w:p>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9" w:hRule="atLeast"/>
          <w:jc w:val="center"/>
        </w:trPr>
        <w:tc>
          <w:tcPr>
            <w:tcW w:w="531" w:type="dxa"/>
            <w:noWrap w:val="0"/>
            <w:vAlign w:val="center"/>
          </w:tcPr>
          <w:p>
            <w:pPr>
              <w:spacing w:line="400" w:lineRule="exact"/>
              <w:rPr>
                <w:b/>
                <w:sz w:val="28"/>
                <w:szCs w:val="28"/>
              </w:rPr>
            </w:pPr>
            <w:r>
              <w:rPr>
                <w:b/>
                <w:sz w:val="28"/>
                <w:szCs w:val="28"/>
              </w:rPr>
              <w:t>总</w:t>
            </w:r>
          </w:p>
          <w:p>
            <w:pPr>
              <w:spacing w:line="400" w:lineRule="exact"/>
              <w:rPr>
                <w:b/>
                <w:sz w:val="28"/>
                <w:szCs w:val="28"/>
              </w:rPr>
            </w:pPr>
            <w:r>
              <w:rPr>
                <w:b/>
                <w:sz w:val="28"/>
                <w:szCs w:val="28"/>
              </w:rPr>
              <w:t>量</w:t>
            </w:r>
          </w:p>
          <w:p>
            <w:pPr>
              <w:spacing w:line="400" w:lineRule="exact"/>
              <w:rPr>
                <w:b/>
                <w:sz w:val="28"/>
                <w:szCs w:val="28"/>
              </w:rPr>
            </w:pPr>
            <w:r>
              <w:rPr>
                <w:b/>
                <w:sz w:val="28"/>
                <w:szCs w:val="28"/>
              </w:rPr>
              <w:t>控</w:t>
            </w:r>
          </w:p>
          <w:p>
            <w:pPr>
              <w:spacing w:line="400" w:lineRule="exact"/>
              <w:rPr>
                <w:b/>
                <w:sz w:val="28"/>
                <w:szCs w:val="28"/>
              </w:rPr>
            </w:pPr>
            <w:r>
              <w:rPr>
                <w:b/>
                <w:sz w:val="28"/>
                <w:szCs w:val="28"/>
              </w:rPr>
              <w:t>制</w:t>
            </w:r>
          </w:p>
          <w:p>
            <w:pPr>
              <w:spacing w:line="400" w:lineRule="exact"/>
              <w:rPr>
                <w:b/>
                <w:sz w:val="28"/>
                <w:szCs w:val="28"/>
              </w:rPr>
            </w:pPr>
            <w:r>
              <w:rPr>
                <w:b/>
                <w:sz w:val="28"/>
                <w:szCs w:val="28"/>
              </w:rPr>
              <w:t>指</w:t>
            </w:r>
          </w:p>
          <w:p>
            <w:pPr>
              <w:spacing w:line="400" w:lineRule="exact"/>
              <w:rPr>
                <w:sz w:val="24"/>
              </w:rPr>
            </w:pPr>
            <w:r>
              <w:rPr>
                <w:b/>
                <w:sz w:val="28"/>
                <w:szCs w:val="28"/>
              </w:rPr>
              <w:t>标</w:t>
            </w:r>
          </w:p>
        </w:tc>
        <w:tc>
          <w:tcPr>
            <w:tcW w:w="8459" w:type="dxa"/>
            <w:tcBorders>
              <w:bottom w:val="single" w:color="auto" w:sz="4" w:space="0"/>
            </w:tcBorders>
            <w:noWrap w:val="0"/>
            <w:vAlign w:val="top"/>
          </w:tcPr>
          <w:p>
            <w:pPr>
              <w:spacing w:line="360" w:lineRule="auto"/>
              <w:rPr>
                <w:rFonts w:hint="eastAsia"/>
                <w:sz w:val="24"/>
              </w:rPr>
            </w:pPr>
            <w:r>
              <w:rPr>
                <w:rFonts w:hint="eastAsia"/>
                <w:sz w:val="24"/>
              </w:rPr>
              <w:t>1、总量控制原则</w:t>
            </w:r>
          </w:p>
          <w:p>
            <w:pPr>
              <w:spacing w:line="360" w:lineRule="auto"/>
              <w:ind w:firstLine="480"/>
              <w:rPr>
                <w:rFonts w:hint="eastAsia"/>
                <w:sz w:val="24"/>
              </w:rPr>
            </w:pPr>
            <w:r>
              <w:rPr>
                <w:rFonts w:hint="eastAsia"/>
                <w:sz w:val="24"/>
              </w:rPr>
              <w:t>根据《国务院关于印发&lt;“十三五”节能减排综合性工作方案&gt;的通知》（国发【2016】74号）、《关于印发大气污染防治行动计划的通知》（国发【2013】37号），目前国家对化学需氧量（COD）、氨氮（NH</w:t>
            </w:r>
            <w:r>
              <w:rPr>
                <w:rFonts w:hint="eastAsia"/>
                <w:sz w:val="24"/>
                <w:vertAlign w:val="subscript"/>
              </w:rPr>
              <w:t>3</w:t>
            </w:r>
            <w:r>
              <w:rPr>
                <w:rFonts w:hint="eastAsia"/>
                <w:sz w:val="24"/>
              </w:rPr>
              <w:t>-N）、二氧化硫（SO</w:t>
            </w:r>
            <w:r>
              <w:rPr>
                <w:rFonts w:hint="eastAsia"/>
                <w:sz w:val="24"/>
                <w:vertAlign w:val="subscript"/>
              </w:rPr>
              <w:t>2</w:t>
            </w:r>
            <w:r>
              <w:rPr>
                <w:rFonts w:hint="eastAsia"/>
                <w:sz w:val="24"/>
              </w:rPr>
              <w:t>）、氮氧化物（NO</w:t>
            </w:r>
            <w:r>
              <w:rPr>
                <w:rFonts w:hint="eastAsia"/>
                <w:sz w:val="24"/>
                <w:vertAlign w:val="subscript"/>
              </w:rPr>
              <w:t>x</w:t>
            </w:r>
            <w:r>
              <w:rPr>
                <w:rFonts w:hint="eastAsia"/>
                <w:sz w:val="24"/>
              </w:rPr>
              <w:t>）、烟粉尘、有机废气（VOC</w:t>
            </w:r>
            <w:r>
              <w:rPr>
                <w:rFonts w:hint="eastAsia"/>
                <w:sz w:val="24"/>
                <w:vertAlign w:val="subscript"/>
              </w:rPr>
              <w:t>s</w:t>
            </w:r>
            <w:r>
              <w:rPr>
                <w:rFonts w:hint="eastAsia"/>
                <w:sz w:val="24"/>
              </w:rPr>
              <w:t>）等多种主要污染物实行排放总量控制计划管理。根据工程分析，该项目排放的污染因子中，纳入总量控制要求的主要污染物是</w:t>
            </w:r>
            <w:r>
              <w:rPr>
                <w:rFonts w:hint="eastAsia"/>
                <w:sz w:val="24"/>
                <w:lang w:eastAsia="zh-CN"/>
              </w:rPr>
              <w:t>颗粒物、</w:t>
            </w:r>
            <w:r>
              <w:rPr>
                <w:rFonts w:hint="eastAsia"/>
                <w:sz w:val="24"/>
              </w:rPr>
              <w:t>SO</w:t>
            </w:r>
            <w:r>
              <w:rPr>
                <w:rFonts w:hint="eastAsia"/>
                <w:sz w:val="24"/>
                <w:vertAlign w:val="subscript"/>
              </w:rPr>
              <w:t>2</w:t>
            </w:r>
            <w:r>
              <w:rPr>
                <w:rFonts w:hint="eastAsia"/>
                <w:sz w:val="24"/>
              </w:rPr>
              <w:t>、NO</w:t>
            </w:r>
            <w:r>
              <w:rPr>
                <w:rFonts w:hint="eastAsia"/>
                <w:sz w:val="24"/>
                <w:vertAlign w:val="subscript"/>
              </w:rPr>
              <w:t>x</w:t>
            </w:r>
            <w:r>
              <w:rPr>
                <w:rFonts w:hint="eastAsia"/>
                <w:sz w:val="24"/>
              </w:rPr>
              <w:t>、VOC</w:t>
            </w:r>
            <w:r>
              <w:rPr>
                <w:rFonts w:hint="eastAsia"/>
                <w:sz w:val="24"/>
                <w:vertAlign w:val="subscript"/>
              </w:rPr>
              <w:t>s</w:t>
            </w:r>
            <w:r>
              <w:rPr>
                <w:rFonts w:hint="eastAsia"/>
                <w:sz w:val="24"/>
              </w:rPr>
              <w:t>。</w:t>
            </w:r>
          </w:p>
          <w:p>
            <w:pPr>
              <w:spacing w:line="360" w:lineRule="auto"/>
              <w:rPr>
                <w:rFonts w:hint="eastAsia"/>
                <w:sz w:val="24"/>
              </w:rPr>
            </w:pPr>
            <w:r>
              <w:rPr>
                <w:rFonts w:hint="eastAsia"/>
                <w:sz w:val="24"/>
              </w:rPr>
              <w:t>2、总量控制建议值</w:t>
            </w:r>
          </w:p>
          <w:p>
            <w:pPr>
              <w:spacing w:line="360" w:lineRule="auto"/>
              <w:ind w:firstLine="480"/>
              <w:rPr>
                <w:rFonts w:hint="eastAsia"/>
                <w:color w:val="FF0000"/>
                <w:sz w:val="24"/>
              </w:rPr>
            </w:pPr>
            <w:r>
              <w:rPr>
                <w:rFonts w:hint="eastAsia"/>
                <w:sz w:val="24"/>
                <w:lang w:eastAsia="zh-CN"/>
              </w:rPr>
              <w:t>本项目迁建后工艺和产能均未发生变化，根据项目迁建前环境影响评价</w:t>
            </w:r>
            <w:r>
              <w:rPr>
                <w:rFonts w:hint="eastAsia" w:hAnsi="宋体"/>
                <w:bCs/>
                <w:sz w:val="24"/>
                <w:lang w:val="en-US" w:eastAsia="zh-CN"/>
              </w:rPr>
              <w:t>的</w:t>
            </w:r>
            <w:r>
              <w:rPr>
                <w:rFonts w:hint="eastAsia"/>
                <w:sz w:val="24"/>
                <w:lang w:eastAsia="zh-CN"/>
              </w:rPr>
              <w:t>要求，</w:t>
            </w:r>
            <w:r>
              <w:rPr>
                <w:rFonts w:hint="eastAsia"/>
                <w:sz w:val="24"/>
              </w:rPr>
              <w:t>项目总量控制建议指标为</w:t>
            </w:r>
            <w:r>
              <w:rPr>
                <w:rFonts w:hint="eastAsia"/>
                <w:color w:val="000000"/>
                <w:sz w:val="24"/>
                <w:lang w:eastAsia="zh-CN"/>
              </w:rPr>
              <w:t>颗粒物：</w:t>
            </w:r>
            <w:r>
              <w:rPr>
                <w:rFonts w:hint="eastAsia"/>
                <w:color w:val="000000"/>
                <w:sz w:val="24"/>
                <w:lang w:val="en-US" w:eastAsia="zh-CN"/>
              </w:rPr>
              <w:t>0.0167</w:t>
            </w:r>
            <w:r>
              <w:rPr>
                <w:color w:val="000000"/>
                <w:sz w:val="24"/>
              </w:rPr>
              <w:t>t/a</w:t>
            </w:r>
            <w:r>
              <w:rPr>
                <w:rFonts w:hint="eastAsia"/>
                <w:color w:val="000000"/>
                <w:sz w:val="24"/>
                <w:lang w:eastAsia="zh-CN"/>
              </w:rPr>
              <w:t>、</w:t>
            </w:r>
            <w:r>
              <w:rPr>
                <w:rFonts w:hint="eastAsia"/>
                <w:color w:val="000000"/>
                <w:sz w:val="24"/>
              </w:rPr>
              <w:t>SO</w:t>
            </w:r>
            <w:r>
              <w:rPr>
                <w:rFonts w:hint="eastAsia"/>
                <w:color w:val="000000"/>
                <w:sz w:val="24"/>
                <w:vertAlign w:val="subscript"/>
              </w:rPr>
              <w:t>2</w:t>
            </w:r>
            <w:r>
              <w:rPr>
                <w:rFonts w:hint="eastAsia"/>
                <w:color w:val="000000"/>
                <w:sz w:val="24"/>
              </w:rPr>
              <w:t>：</w:t>
            </w:r>
            <w:r>
              <w:rPr>
                <w:rFonts w:hint="eastAsia"/>
                <w:color w:val="000000"/>
                <w:sz w:val="24"/>
                <w:lang w:val="en-US" w:eastAsia="zh-CN"/>
              </w:rPr>
              <w:t>0.007</w:t>
            </w:r>
            <w:r>
              <w:rPr>
                <w:color w:val="000000"/>
                <w:sz w:val="24"/>
              </w:rPr>
              <w:t>t/a</w:t>
            </w:r>
            <w:r>
              <w:rPr>
                <w:rFonts w:hint="eastAsia"/>
                <w:color w:val="000000"/>
                <w:sz w:val="24"/>
              </w:rPr>
              <w:t>、NO</w:t>
            </w:r>
            <w:r>
              <w:rPr>
                <w:rFonts w:hint="eastAsia"/>
                <w:color w:val="000000"/>
                <w:sz w:val="24"/>
                <w:vertAlign w:val="subscript"/>
              </w:rPr>
              <w:t>x</w:t>
            </w:r>
            <w:r>
              <w:rPr>
                <w:rFonts w:hint="eastAsia"/>
                <w:color w:val="000000"/>
                <w:sz w:val="24"/>
              </w:rPr>
              <w:t>：</w:t>
            </w:r>
            <w:r>
              <w:rPr>
                <w:color w:val="000000"/>
                <w:sz w:val="24"/>
              </w:rPr>
              <w:t>0.</w:t>
            </w:r>
            <w:r>
              <w:rPr>
                <w:rFonts w:hint="eastAsia"/>
                <w:color w:val="000000"/>
                <w:sz w:val="24"/>
                <w:lang w:val="en-US" w:eastAsia="zh-CN"/>
              </w:rPr>
              <w:t>0438</w:t>
            </w:r>
            <w:r>
              <w:rPr>
                <w:color w:val="000000"/>
                <w:sz w:val="24"/>
              </w:rPr>
              <w:t>t/a、</w:t>
            </w:r>
            <w:r>
              <w:rPr>
                <w:rFonts w:hint="eastAsia"/>
                <w:color w:val="000000"/>
                <w:sz w:val="24"/>
              </w:rPr>
              <w:t>VOC</w:t>
            </w:r>
            <w:r>
              <w:rPr>
                <w:rFonts w:hint="eastAsia"/>
                <w:color w:val="000000"/>
                <w:sz w:val="24"/>
                <w:vertAlign w:val="subscript"/>
              </w:rPr>
              <w:t>s</w:t>
            </w:r>
            <w:r>
              <w:rPr>
                <w:rFonts w:hint="eastAsia"/>
                <w:color w:val="000000"/>
                <w:sz w:val="24"/>
              </w:rPr>
              <w:t>：</w:t>
            </w:r>
            <w:r>
              <w:rPr>
                <w:rFonts w:hint="eastAsia"/>
                <w:color w:val="FF0000"/>
                <w:sz w:val="24"/>
              </w:rPr>
              <w:t>0.0</w:t>
            </w:r>
            <w:r>
              <w:rPr>
                <w:rFonts w:hint="eastAsia"/>
                <w:color w:val="FF0000"/>
                <w:sz w:val="24"/>
                <w:lang w:val="en-US" w:eastAsia="zh-CN"/>
              </w:rPr>
              <w:t>00653</w:t>
            </w:r>
            <w:r>
              <w:rPr>
                <w:rFonts w:hint="eastAsia"/>
                <w:color w:val="FF0000"/>
                <w:sz w:val="24"/>
              </w:rPr>
              <w:t>t/a。</w:t>
            </w:r>
          </w:p>
          <w:p>
            <w:pPr>
              <w:spacing w:line="360" w:lineRule="auto"/>
              <w:ind w:firstLine="480"/>
              <w:rPr>
                <w:rFonts w:hint="eastAsia"/>
                <w:sz w:val="24"/>
              </w:rPr>
            </w:pPr>
          </w:p>
          <w:p>
            <w:pPr>
              <w:spacing w:line="360" w:lineRule="auto"/>
              <w:ind w:firstLine="480"/>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tc>
      </w:tr>
    </w:tbl>
    <w:p>
      <w:pPr>
        <w:spacing w:line="360" w:lineRule="auto"/>
        <w:outlineLvl w:val="0"/>
        <w:rPr>
          <w:rFonts w:hint="eastAsia" w:ascii="宋体" w:hAnsi="宋体" w:cs="黑体"/>
          <w:b/>
          <w:bCs/>
          <w:sz w:val="32"/>
          <w:szCs w:val="32"/>
        </w:rPr>
      </w:pPr>
      <w:r>
        <w:rPr>
          <w:rFonts w:ascii="宋体" w:hAnsi="宋体" w:cs="黑体"/>
          <w:b/>
          <w:bCs/>
          <w:sz w:val="28"/>
          <w:szCs w:val="28"/>
        </w:rPr>
        <w:br w:type="page"/>
      </w:r>
      <w:r>
        <w:rPr>
          <w:rFonts w:ascii="宋体" w:hAnsi="宋体" w:cs="黑体"/>
          <w:b/>
          <w:bCs/>
          <w:sz w:val="32"/>
          <w:szCs w:val="32"/>
        </w:rPr>
        <w:t xml:space="preserve">建设项目工程分析               </w:t>
      </w:r>
      <w:r>
        <w:rPr>
          <w:rFonts w:hint="eastAsia" w:ascii="宋体" w:hAnsi="宋体" w:cs="黑体"/>
          <w:b/>
          <w:bCs/>
          <w:sz w:val="32"/>
          <w:szCs w:val="32"/>
        </w:rPr>
        <w:t xml:space="preserve">    </w:t>
      </w:r>
      <w:r>
        <w:rPr>
          <w:rFonts w:ascii="宋体" w:hAnsi="宋体" w:cs="黑体"/>
          <w:b/>
          <w:bCs/>
          <w:sz w:val="32"/>
          <w:szCs w:val="32"/>
        </w:rPr>
        <w:t xml:space="preserve">         (表五)</w:t>
      </w:r>
    </w:p>
    <w:tbl>
      <w:tblPr>
        <w:tblStyle w:val="69"/>
        <w:tblW w:w="88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4" w:hRule="atLeast"/>
          <w:jc w:val="center"/>
        </w:trPr>
        <w:tc>
          <w:tcPr>
            <w:tcW w:w="8823" w:type="dxa"/>
            <w:noWrap w:val="0"/>
            <w:vAlign w:val="center"/>
          </w:tcPr>
          <w:p>
            <w:pPr>
              <w:spacing w:line="360" w:lineRule="auto"/>
              <w:rPr>
                <w:rFonts w:hint="eastAsia" w:ascii="宋体" w:hAnsi="宋体"/>
                <w:b/>
                <w:sz w:val="30"/>
                <w:szCs w:val="30"/>
              </w:rPr>
            </w:pPr>
            <w:r>
              <w:rPr>
                <w:rFonts w:hint="eastAsia" w:ascii="宋体" w:hAnsi="宋体"/>
                <w:b/>
                <w:sz w:val="30"/>
                <w:szCs w:val="30"/>
              </w:rPr>
              <w:t>工艺流程简述：</w:t>
            </w:r>
          </w:p>
          <w:p>
            <w:pPr>
              <w:adjustRightInd w:val="0"/>
              <w:snapToGrid w:val="0"/>
              <w:spacing w:line="360" w:lineRule="auto"/>
              <w:rPr>
                <w:rFonts w:hint="eastAsia"/>
                <w:b/>
                <w:bCs/>
                <w:sz w:val="24"/>
              </w:rPr>
            </w:pPr>
            <w:r>
              <w:rPr>
                <w:b/>
                <w:sz w:val="24"/>
              </w:rPr>
              <w:t>一</w:t>
            </w:r>
            <w:r>
              <w:rPr>
                <w:rFonts w:hint="eastAsia"/>
                <w:b/>
                <w:sz w:val="24"/>
              </w:rPr>
              <w:t>、</w:t>
            </w:r>
            <w:r>
              <w:rPr>
                <w:b/>
                <w:sz w:val="24"/>
              </w:rPr>
              <w:t>施工期工程分析</w:t>
            </w:r>
          </w:p>
          <w:p>
            <w:pPr>
              <w:adjustRightInd w:val="0"/>
              <w:snapToGrid w:val="0"/>
              <w:spacing w:line="360" w:lineRule="auto"/>
              <w:ind w:firstLine="489" w:firstLineChars="204"/>
              <w:rPr>
                <w:rFonts w:hint="eastAsia"/>
                <w:sz w:val="24"/>
              </w:rPr>
            </w:pPr>
            <w:r>
              <w:rPr>
                <w:sz w:val="24"/>
              </w:rPr>
              <w:t>本项目</w:t>
            </w:r>
            <w:r>
              <w:rPr>
                <w:rFonts w:hint="eastAsia"/>
                <w:sz w:val="24"/>
              </w:rPr>
              <w:t>通过租用</w:t>
            </w:r>
            <w:r>
              <w:rPr>
                <w:rFonts w:hint="eastAsia" w:hAnsi="宋体"/>
                <w:bCs/>
                <w:sz w:val="24"/>
              </w:rPr>
              <w:t>乐山市</w:t>
            </w:r>
            <w:r>
              <w:rPr>
                <w:rFonts w:hint="eastAsia" w:hAnsi="宋体"/>
                <w:bCs/>
                <w:sz w:val="24"/>
                <w:lang w:eastAsia="zh-CN"/>
              </w:rPr>
              <w:t>鑫瑞纺织有限公司的</w:t>
            </w:r>
            <w:r>
              <w:rPr>
                <w:rFonts w:hint="eastAsia"/>
                <w:sz w:val="24"/>
              </w:rPr>
              <w:t>厂房进行项目建设，无需再进行施工土建，故本评价不再进行施工期工程分析。根据现场踏勘，施工期产生的污染已消除，无施工期遗留环境问题存在。</w:t>
            </w:r>
          </w:p>
          <w:p>
            <w:pPr>
              <w:adjustRightInd w:val="0"/>
              <w:snapToGrid w:val="0"/>
              <w:spacing w:line="360" w:lineRule="auto"/>
              <w:rPr>
                <w:rFonts w:hint="eastAsia"/>
                <w:b/>
                <w:sz w:val="24"/>
              </w:rPr>
            </w:pPr>
            <w:r>
              <w:rPr>
                <w:rFonts w:hint="eastAsia"/>
                <w:b/>
                <w:sz w:val="24"/>
              </w:rPr>
              <w:t>二、运营</w:t>
            </w:r>
            <w:r>
              <w:rPr>
                <w:b/>
                <w:sz w:val="24"/>
              </w:rPr>
              <w:t>期工程分析</w:t>
            </w:r>
          </w:p>
          <w:p>
            <w:pPr>
              <w:adjustRightInd w:val="0"/>
              <w:snapToGrid w:val="0"/>
              <w:spacing w:line="360" w:lineRule="auto"/>
              <w:ind w:firstLine="480" w:firstLineChars="200"/>
              <w:rPr>
                <w:rFonts w:hint="eastAsia"/>
                <w:b/>
                <w:sz w:val="24"/>
              </w:rPr>
            </w:pPr>
            <w:r>
              <w:rPr>
                <w:rFonts w:hint="eastAsia"/>
                <w:sz w:val="24"/>
              </w:rPr>
              <w:t>本项目运营期的工艺流程中只包括将人造板上铺设采购回来的成品三聚氰胺浸渍纸，经过热压机热压，冷却后即为该公司成品。项目生产期间不涉及断料、旋切、抛光等工序，也不涉及喷漆、刷漆工序以及木材的烘干等工序，并其原料均采购高质量无粉尘的人造板。</w:t>
            </w:r>
            <w:r>
              <w:rPr>
                <w:rFonts w:hint="eastAsia"/>
                <w:b/>
                <w:sz w:val="24"/>
              </w:rPr>
              <w:t>故项目在生产过程中不产生粉尘、木屑等污染物。但原三聚氰胺浸渍纸含有脲醛树脂、酚醛树脂等物质，这类物质</w:t>
            </w:r>
            <w:r>
              <w:rPr>
                <w:b/>
                <w:sz w:val="24"/>
              </w:rPr>
              <w:t>易挥发出有机废气</w:t>
            </w:r>
            <w:r>
              <w:rPr>
                <w:rFonts w:hint="eastAsia"/>
                <w:b/>
                <w:sz w:val="24"/>
              </w:rPr>
              <w:t>。</w:t>
            </w:r>
          </w:p>
          <w:p>
            <w:pPr>
              <w:spacing w:line="360" w:lineRule="auto"/>
              <w:ind w:firstLine="480" w:firstLineChars="200"/>
              <w:outlineLvl w:val="1"/>
              <w:rPr>
                <w:rFonts w:hint="eastAsia" w:ascii="宋体" w:hAnsi="宋体"/>
                <w:sz w:val="24"/>
                <w:lang w:val="en-GB"/>
              </w:rPr>
            </w:pPr>
            <w:r>
              <w:rPr>
                <w:rFonts w:hint="eastAsia" w:ascii="宋体" w:hAnsi="宋体"/>
                <w:sz w:val="24"/>
                <w:lang w:val="en-GB"/>
              </w:rPr>
              <w:t>本项目运营期</w:t>
            </w:r>
            <w:r>
              <w:rPr>
                <w:rFonts w:hint="eastAsia"/>
                <w:sz w:val="24"/>
              </w:rPr>
              <w:t>工艺流程及产污环节见图</w:t>
            </w:r>
            <w:r>
              <w:rPr>
                <w:sz w:val="24"/>
              </w:rPr>
              <w:t>5-</w:t>
            </w:r>
            <w:r>
              <w:rPr>
                <w:rFonts w:hint="eastAsia"/>
                <w:sz w:val="24"/>
                <w:lang w:val="en-US" w:eastAsia="zh-CN"/>
              </w:rPr>
              <w:t>1</w:t>
            </w:r>
            <w:r>
              <w:rPr>
                <w:rFonts w:hint="eastAsia"/>
                <w:sz w:val="24"/>
              </w:rPr>
              <w:t>所示</w:t>
            </w:r>
            <w:r>
              <w:rPr>
                <w:rFonts w:hint="eastAsia" w:ascii="宋体" w:hAnsi="宋体"/>
                <w:sz w:val="24"/>
                <w:lang w:val="en-GB"/>
              </w:rPr>
              <w:t>。</w:t>
            </w:r>
          </w:p>
          <w:p>
            <w:pPr>
              <w:spacing w:line="360" w:lineRule="auto"/>
              <w:ind w:firstLine="480" w:firstLineChars="200"/>
              <w:outlineLvl w:val="1"/>
              <w:rPr>
                <w:rFonts w:hint="eastAsia" w:ascii="宋体" w:hAnsi="宋体"/>
                <w:sz w:val="24"/>
                <w:lang w:val="en-GB"/>
              </w:rPr>
            </w:pPr>
            <w:r>
              <w:rPr>
                <w:rFonts w:hint="eastAsia" w:ascii="宋体" w:hAnsi="宋体"/>
                <w:sz w:val="24"/>
              </w:rPr>
              <mc:AlternateContent>
                <mc:Choice Requires="wpc">
                  <w:drawing>
                    <wp:anchor distT="0" distB="0" distL="114300" distR="114300" simplePos="0" relativeHeight="251665408" behindDoc="0" locked="0" layoutInCell="1" allowOverlap="1">
                      <wp:simplePos x="0" y="0"/>
                      <wp:positionH relativeFrom="character">
                        <wp:posOffset>-160655</wp:posOffset>
                      </wp:positionH>
                      <wp:positionV relativeFrom="line">
                        <wp:posOffset>221615</wp:posOffset>
                      </wp:positionV>
                      <wp:extent cx="5283835" cy="3246755"/>
                      <wp:effectExtent l="0" t="0" r="0" b="0"/>
                      <wp:wrapNone/>
                      <wp:docPr id="56" name="画布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g:wgp>
                              <wpg:cNvPr id="55" name="组合 55"/>
                              <wpg:cNvGrpSpPr/>
                              <wpg:grpSpPr>
                                <a:xfrm>
                                  <a:off x="349885" y="200025"/>
                                  <a:ext cx="4802505" cy="2753360"/>
                                  <a:chOff x="2861" y="4520"/>
                                  <a:chExt cx="7563" cy="4336"/>
                                </a:xfrm>
                              </wpg:grpSpPr>
                              <wps:wsp>
                                <wps:cNvPr id="26" name="文本框 26"/>
                                <wps:cNvSpPr txBox="1"/>
                                <wps:spPr>
                                  <a:xfrm>
                                    <a:off x="9794" y="5363"/>
                                    <a:ext cx="630" cy="1246"/>
                                  </a:xfrm>
                                  <a:prstGeom prst="rect">
                                    <a:avLst/>
                                  </a:prstGeom>
                                  <a:solidFill>
                                    <a:srgbClr val="FFFFFF"/>
                                  </a:solidFill>
                                  <a:ln w="9525">
                                    <a:noFill/>
                                  </a:ln>
                                </wps:spPr>
                                <wps:txbx>
                                  <w:txbxContent>
                                    <w:p>
                                      <w:pPr>
                                        <w:jc w:val="center"/>
                                      </w:pPr>
                                      <w:r>
                                        <w:rPr>
                                          <w:rFonts w:hint="eastAsia"/>
                                        </w:rPr>
                                        <w:t>导热油循环</w:t>
                                      </w:r>
                                    </w:p>
                                    <w:p/>
                                  </w:txbxContent>
                                </wps:txbx>
                                <wps:bodyPr vert="eaVert" upright="1"/>
                              </wps:wsp>
                              <wps:wsp>
                                <wps:cNvPr id="27" name="文本框 27"/>
                                <wps:cNvSpPr txBox="1"/>
                                <wps:spPr>
                                  <a:xfrm>
                                    <a:off x="8234" y="4520"/>
                                    <a:ext cx="1278" cy="504"/>
                                  </a:xfrm>
                                  <a:prstGeom prst="rect">
                                    <a:avLst/>
                                  </a:prstGeom>
                                  <a:solidFill>
                                    <a:srgbClr val="FFFFFF"/>
                                  </a:solidFill>
                                  <a:ln w="9525">
                                    <a:noFill/>
                                  </a:ln>
                                </wps:spPr>
                                <wps:txbx>
                                  <w:txbxContent>
                                    <w:p>
                                      <w:pPr>
                                        <w:jc w:val="center"/>
                                      </w:pPr>
                                      <w:r>
                                        <w:rPr>
                                          <w:rFonts w:hint="eastAsia"/>
                                        </w:rPr>
                                        <w:t>废气</w:t>
                                      </w:r>
                                    </w:p>
                                  </w:txbxContent>
                                </wps:txbx>
                                <wps:bodyPr upright="1"/>
                              </wps:wsp>
                              <wps:wsp>
                                <wps:cNvPr id="28" name="矩形 28"/>
                                <wps:cNvSpPr/>
                                <wps:spPr>
                                  <a:xfrm>
                                    <a:off x="7259" y="5071"/>
                                    <a:ext cx="1365" cy="468"/>
                                  </a:xfrm>
                                  <a:prstGeom prst="rect">
                                    <a:avLst/>
                                  </a:prstGeom>
                                  <a:solidFill>
                                    <a:srgbClr val="FFFFFF"/>
                                  </a:solidFill>
                                  <a:ln w="9525">
                                    <a:noFill/>
                                  </a:ln>
                                </wps:spPr>
                                <wps:txbx>
                                  <w:txbxContent>
                                    <w:p>
                                      <w:pPr>
                                        <w:rPr>
                                          <w:rFonts w:hint="eastAsia"/>
                                        </w:rPr>
                                      </w:pPr>
                                      <w:r>
                                        <w:rPr>
                                          <w:rFonts w:hint="eastAsia"/>
                                        </w:rPr>
                                        <w:t>天然气加热</w:t>
                                      </w:r>
                                    </w:p>
                                  </w:txbxContent>
                                </wps:txbx>
                                <wps:bodyPr upright="1"/>
                              </wps:wsp>
                              <wps:wsp>
                                <wps:cNvPr id="29" name="文本框 29"/>
                                <wps:cNvSpPr txBox="1"/>
                                <wps:spPr>
                                  <a:xfrm>
                                    <a:off x="2861" y="4671"/>
                                    <a:ext cx="1489" cy="400"/>
                                  </a:xfrm>
                                  <a:prstGeom prst="rect">
                                    <a:avLst/>
                                  </a:prstGeom>
                                  <a:solidFill>
                                    <a:srgbClr val="FFFFFF"/>
                                  </a:solidFill>
                                  <a:ln w="9525">
                                    <a:noFill/>
                                  </a:ln>
                                </wps:spPr>
                                <wps:txbx>
                                  <w:txbxContent>
                                    <w:p>
                                      <w:r>
                                        <w:rPr>
                                          <w:rFonts w:hint="eastAsia"/>
                                        </w:rPr>
                                        <w:t>外购人造板</w:t>
                                      </w:r>
                                    </w:p>
                                  </w:txbxContent>
                                </wps:txbx>
                                <wps:bodyPr upright="1"/>
                              </wps:wsp>
                              <wps:wsp>
                                <wps:cNvPr id="30" name="圆角矩形 30"/>
                                <wps:cNvSpPr/>
                                <wps:spPr>
                                  <a:xfrm>
                                    <a:off x="5352" y="4671"/>
                                    <a:ext cx="1390" cy="501"/>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原料入库</w:t>
                                      </w:r>
                                    </w:p>
                                  </w:txbxContent>
                                </wps:txbx>
                                <wps:bodyPr upright="1"/>
                              </wps:wsp>
                              <wps:wsp>
                                <wps:cNvPr id="31" name="圆角矩形 31"/>
                                <wps:cNvSpPr/>
                                <wps:spPr>
                                  <a:xfrm>
                                    <a:off x="5352" y="5625"/>
                                    <a:ext cx="1390" cy="502"/>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铺设浸渍纸</w:t>
                                      </w:r>
                                    </w:p>
                                  </w:txbxContent>
                                </wps:txbx>
                                <wps:bodyPr upright="1"/>
                              </wps:wsp>
                              <wps:wsp>
                                <wps:cNvPr id="32" name="圆角矩形 32"/>
                                <wps:cNvSpPr/>
                                <wps:spPr>
                                  <a:xfrm>
                                    <a:off x="5352" y="6527"/>
                                    <a:ext cx="1390" cy="502"/>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热压</w:t>
                                      </w:r>
                                    </w:p>
                                  </w:txbxContent>
                                </wps:txbx>
                                <wps:bodyPr upright="1"/>
                              </wps:wsp>
                              <wps:wsp>
                                <wps:cNvPr id="33" name="圆角矩形 33"/>
                                <wps:cNvSpPr/>
                                <wps:spPr>
                                  <a:xfrm>
                                    <a:off x="5352" y="7465"/>
                                    <a:ext cx="1390" cy="503"/>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冷却</w:t>
                                      </w:r>
                                    </w:p>
                                  </w:txbxContent>
                                </wps:txbx>
                                <wps:bodyPr upright="1"/>
                              </wps:wsp>
                              <wps:wsp>
                                <wps:cNvPr id="34" name="圆角矩形 34"/>
                                <wps:cNvSpPr/>
                                <wps:spPr>
                                  <a:xfrm>
                                    <a:off x="5352" y="8354"/>
                                    <a:ext cx="1390" cy="502"/>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成品</w:t>
                                      </w:r>
                                    </w:p>
                                  </w:txbxContent>
                                </wps:txbx>
                                <wps:bodyPr upright="1"/>
                              </wps:wsp>
                              <wps:wsp>
                                <wps:cNvPr id="35" name="圆角矩形 35"/>
                                <wps:cNvSpPr/>
                                <wps:spPr>
                                  <a:xfrm>
                                    <a:off x="8487" y="5625"/>
                                    <a:ext cx="1389" cy="502"/>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加热导热油</w:t>
                                      </w:r>
                                    </w:p>
                                  </w:txbxContent>
                                </wps:txbx>
                                <wps:bodyPr upright="1"/>
                              </wps:wsp>
                              <wps:wsp>
                                <wps:cNvPr id="36" name="直接箭头连接符 36"/>
                                <wps:cNvCnPr/>
                                <wps:spPr>
                                  <a:xfrm>
                                    <a:off x="6047" y="5172"/>
                                    <a:ext cx="1" cy="453"/>
                                  </a:xfrm>
                                  <a:prstGeom prst="straightConnector1">
                                    <a:avLst/>
                                  </a:prstGeom>
                                  <a:ln w="9525" cap="flat" cmpd="sng">
                                    <a:solidFill>
                                      <a:srgbClr val="000000"/>
                                    </a:solidFill>
                                    <a:prstDash val="solid"/>
                                    <a:headEnd type="none" w="med" len="med"/>
                                    <a:tailEnd type="triangle" w="med" len="med"/>
                                  </a:ln>
                                </wps:spPr>
                                <wps:bodyPr/>
                              </wps:wsp>
                              <wps:wsp>
                                <wps:cNvPr id="37" name="直接箭头连接符 37"/>
                                <wps:cNvCnPr/>
                                <wps:spPr>
                                  <a:xfrm>
                                    <a:off x="6047" y="6127"/>
                                    <a:ext cx="1" cy="400"/>
                                  </a:xfrm>
                                  <a:prstGeom prst="straightConnector1">
                                    <a:avLst/>
                                  </a:prstGeom>
                                  <a:ln w="9525" cap="flat" cmpd="sng">
                                    <a:solidFill>
                                      <a:srgbClr val="000000"/>
                                    </a:solidFill>
                                    <a:prstDash val="solid"/>
                                    <a:headEnd type="none" w="med" len="med"/>
                                    <a:tailEnd type="triangle" w="med" len="med"/>
                                  </a:ln>
                                </wps:spPr>
                                <wps:bodyPr/>
                              </wps:wsp>
                              <wps:wsp>
                                <wps:cNvPr id="38" name="直接箭头连接符 38"/>
                                <wps:cNvCnPr/>
                                <wps:spPr>
                                  <a:xfrm>
                                    <a:off x="6047" y="7029"/>
                                    <a:ext cx="1" cy="436"/>
                                  </a:xfrm>
                                  <a:prstGeom prst="straightConnector1">
                                    <a:avLst/>
                                  </a:prstGeom>
                                  <a:ln w="9525" cap="flat" cmpd="sng">
                                    <a:solidFill>
                                      <a:srgbClr val="000000"/>
                                    </a:solidFill>
                                    <a:prstDash val="solid"/>
                                    <a:headEnd type="none" w="med" len="med"/>
                                    <a:tailEnd type="triangle" w="med" len="med"/>
                                  </a:ln>
                                </wps:spPr>
                                <wps:bodyPr/>
                              </wps:wsp>
                              <wps:wsp>
                                <wps:cNvPr id="39" name="直接箭头连接符 39"/>
                                <wps:cNvCnPr/>
                                <wps:spPr>
                                  <a:xfrm>
                                    <a:off x="6047" y="7968"/>
                                    <a:ext cx="1" cy="386"/>
                                  </a:xfrm>
                                  <a:prstGeom prst="straightConnector1">
                                    <a:avLst/>
                                  </a:prstGeom>
                                  <a:ln w="9525" cap="flat" cmpd="sng">
                                    <a:solidFill>
                                      <a:srgbClr val="000000"/>
                                    </a:solidFill>
                                    <a:prstDash val="solid"/>
                                    <a:headEnd type="none" w="med" len="med"/>
                                    <a:tailEnd type="triangle" w="med" len="med"/>
                                  </a:ln>
                                </wps:spPr>
                                <wps:bodyPr/>
                              </wps:wsp>
                              <wps:wsp>
                                <wps:cNvPr id="40" name="直接箭头连接符 40"/>
                                <wps:cNvCnPr/>
                                <wps:spPr>
                                  <a:xfrm flipH="1">
                                    <a:off x="9181" y="6127"/>
                                    <a:ext cx="1" cy="212"/>
                                  </a:xfrm>
                                  <a:prstGeom prst="straightConnector1">
                                    <a:avLst/>
                                  </a:prstGeom>
                                  <a:ln w="9525" cap="flat" cmpd="sng">
                                    <a:solidFill>
                                      <a:srgbClr val="000000"/>
                                    </a:solidFill>
                                    <a:prstDash val="solid"/>
                                    <a:headEnd type="none" w="med" len="med"/>
                                    <a:tailEnd type="none" w="med" len="med"/>
                                  </a:ln>
                                </wps:spPr>
                                <wps:bodyPr/>
                              </wps:wsp>
                              <wps:wsp>
                                <wps:cNvPr id="41" name="直接箭头连接符 41"/>
                                <wps:cNvCnPr/>
                                <wps:spPr>
                                  <a:xfrm flipH="1">
                                    <a:off x="6049" y="6340"/>
                                    <a:ext cx="3139" cy="1"/>
                                  </a:xfrm>
                                  <a:prstGeom prst="straightConnector1">
                                    <a:avLst/>
                                  </a:prstGeom>
                                  <a:ln w="9525" cap="flat" cmpd="sng">
                                    <a:solidFill>
                                      <a:srgbClr val="000000"/>
                                    </a:solidFill>
                                    <a:prstDash val="solid"/>
                                    <a:headEnd type="none" w="med" len="med"/>
                                    <a:tailEnd type="triangle" w="med" len="med"/>
                                  </a:ln>
                                </wps:spPr>
                                <wps:bodyPr/>
                              </wps:wsp>
                              <wps:wsp>
                                <wps:cNvPr id="42" name="直接箭头连接符 42"/>
                                <wps:cNvCnPr/>
                                <wps:spPr>
                                  <a:xfrm flipV="1">
                                    <a:off x="9994" y="5023"/>
                                    <a:ext cx="0" cy="2167"/>
                                  </a:xfrm>
                                  <a:prstGeom prst="straightConnector1">
                                    <a:avLst/>
                                  </a:prstGeom>
                                  <a:ln w="9525" cap="flat" cmpd="sng">
                                    <a:solidFill>
                                      <a:srgbClr val="000000"/>
                                    </a:solidFill>
                                    <a:prstDash val="solid"/>
                                    <a:headEnd type="none" w="med" len="med"/>
                                    <a:tailEnd type="none" w="med" len="med"/>
                                  </a:ln>
                                </wps:spPr>
                                <wps:bodyPr/>
                              </wps:wsp>
                              <wps:wsp>
                                <wps:cNvPr id="43" name="直接箭头连接符 43"/>
                                <wps:cNvCnPr/>
                                <wps:spPr>
                                  <a:xfrm flipH="1">
                                    <a:off x="9188" y="5023"/>
                                    <a:ext cx="806" cy="1"/>
                                  </a:xfrm>
                                  <a:prstGeom prst="straightConnector1">
                                    <a:avLst/>
                                  </a:prstGeom>
                                  <a:ln w="9525" cap="flat" cmpd="sng">
                                    <a:solidFill>
                                      <a:srgbClr val="000000"/>
                                    </a:solidFill>
                                    <a:prstDash val="solid"/>
                                    <a:headEnd type="none" w="med" len="med"/>
                                    <a:tailEnd type="none" w="med" len="med"/>
                                  </a:ln>
                                </wps:spPr>
                                <wps:bodyPr/>
                              </wps:wsp>
                              <wps:wsp>
                                <wps:cNvPr id="44" name="直接箭头连接符 44"/>
                                <wps:cNvCnPr/>
                                <wps:spPr>
                                  <a:xfrm flipH="1">
                                    <a:off x="9182" y="5023"/>
                                    <a:ext cx="6" cy="602"/>
                                  </a:xfrm>
                                  <a:prstGeom prst="straightConnector1">
                                    <a:avLst/>
                                  </a:prstGeom>
                                  <a:ln w="9525" cap="flat" cmpd="sng">
                                    <a:solidFill>
                                      <a:srgbClr val="000000"/>
                                    </a:solidFill>
                                    <a:prstDash val="solid"/>
                                    <a:headEnd type="none" w="med" len="med"/>
                                    <a:tailEnd type="triangle" w="med" len="med"/>
                                  </a:ln>
                                </wps:spPr>
                                <wps:bodyPr/>
                              </wps:wsp>
                              <wps:wsp>
                                <wps:cNvPr id="45" name="直接箭头连接符 45"/>
                                <wps:cNvCnPr/>
                                <wps:spPr>
                                  <a:xfrm>
                                    <a:off x="4350" y="4871"/>
                                    <a:ext cx="1009" cy="1"/>
                                  </a:xfrm>
                                  <a:prstGeom prst="straightConnector1">
                                    <a:avLst/>
                                  </a:prstGeom>
                                  <a:ln w="9525" cap="flat" cmpd="sng">
                                    <a:solidFill>
                                      <a:srgbClr val="000000"/>
                                    </a:solidFill>
                                    <a:prstDash val="solid"/>
                                    <a:headEnd type="none" w="med" len="med"/>
                                    <a:tailEnd type="triangle" w="med" len="med"/>
                                  </a:ln>
                                </wps:spPr>
                                <wps:bodyPr/>
                              </wps:wsp>
                              <wps:wsp>
                                <wps:cNvPr id="46" name="文本框 46"/>
                                <wps:cNvSpPr txBox="1"/>
                                <wps:spPr>
                                  <a:xfrm>
                                    <a:off x="2861" y="5625"/>
                                    <a:ext cx="1489" cy="401"/>
                                  </a:xfrm>
                                  <a:prstGeom prst="rect">
                                    <a:avLst/>
                                  </a:prstGeom>
                                  <a:solidFill>
                                    <a:srgbClr val="FFFFFF"/>
                                  </a:solidFill>
                                  <a:ln w="9525">
                                    <a:noFill/>
                                  </a:ln>
                                </wps:spPr>
                                <wps:txbx>
                                  <w:txbxContent>
                                    <w:p>
                                      <w:r>
                                        <w:rPr>
                                          <w:rFonts w:hint="eastAsia"/>
                                        </w:rPr>
                                        <w:t>外购浸渍纸</w:t>
                                      </w:r>
                                    </w:p>
                                  </w:txbxContent>
                                </wps:txbx>
                                <wps:bodyPr upright="1"/>
                              </wps:wsp>
                              <wps:wsp>
                                <wps:cNvPr id="47" name="直接箭头连接符 47"/>
                                <wps:cNvCnPr/>
                                <wps:spPr>
                                  <a:xfrm>
                                    <a:off x="4343" y="5834"/>
                                    <a:ext cx="1009" cy="2"/>
                                  </a:xfrm>
                                  <a:prstGeom prst="straightConnector1">
                                    <a:avLst/>
                                  </a:prstGeom>
                                  <a:ln w="9525" cap="flat" cmpd="sng">
                                    <a:solidFill>
                                      <a:srgbClr val="000000"/>
                                    </a:solidFill>
                                    <a:prstDash val="solid"/>
                                    <a:headEnd type="none" w="med" len="med"/>
                                    <a:tailEnd type="triangle" w="med" len="med"/>
                                  </a:ln>
                                </wps:spPr>
                                <wps:bodyPr/>
                              </wps:wsp>
                              <wps:wsp>
                                <wps:cNvPr id="48" name="直接箭头连接符 48"/>
                                <wps:cNvCnPr/>
                                <wps:spPr>
                                  <a:xfrm>
                                    <a:off x="6048" y="7190"/>
                                    <a:ext cx="3946" cy="0"/>
                                  </a:xfrm>
                                  <a:prstGeom prst="straightConnector1">
                                    <a:avLst/>
                                  </a:prstGeom>
                                  <a:ln w="9525" cap="flat" cmpd="sng">
                                    <a:solidFill>
                                      <a:srgbClr val="000000"/>
                                    </a:solidFill>
                                    <a:prstDash val="solid"/>
                                    <a:headEnd type="none" w="med" len="med"/>
                                    <a:tailEnd type="triangle" w="med" len="med"/>
                                  </a:ln>
                                </wps:spPr>
                                <wps:bodyPr/>
                              </wps:wsp>
                              <wps:wsp>
                                <wps:cNvPr id="49" name="直接箭头连接符 49"/>
                                <wps:cNvCnPr/>
                                <wps:spPr>
                                  <a:xfrm>
                                    <a:off x="6742" y="5836"/>
                                    <a:ext cx="415" cy="1"/>
                                  </a:xfrm>
                                  <a:prstGeom prst="straightConnector1">
                                    <a:avLst/>
                                  </a:prstGeom>
                                  <a:ln w="9525" cap="flat" cmpd="sng">
                                    <a:solidFill>
                                      <a:srgbClr val="000000"/>
                                    </a:solidFill>
                                    <a:prstDash val="lgDash"/>
                                    <a:headEnd type="none" w="med" len="med"/>
                                    <a:tailEnd type="triangle" w="med" len="med"/>
                                  </a:ln>
                                </wps:spPr>
                                <wps:bodyPr/>
                              </wps:wsp>
                              <wps:wsp>
                                <wps:cNvPr id="50" name="文本框 50"/>
                                <wps:cNvSpPr txBox="1"/>
                                <wps:spPr>
                                  <a:xfrm>
                                    <a:off x="7157" y="5625"/>
                                    <a:ext cx="1077" cy="401"/>
                                  </a:xfrm>
                                  <a:prstGeom prst="rect">
                                    <a:avLst/>
                                  </a:prstGeom>
                                  <a:solidFill>
                                    <a:srgbClr val="FFFFFF"/>
                                  </a:solidFill>
                                  <a:ln w="9525">
                                    <a:noFill/>
                                  </a:ln>
                                </wps:spPr>
                                <wps:txbx>
                                  <w:txbxContent>
                                    <w:p>
                                      <w:pPr>
                                        <w:jc w:val="center"/>
                                      </w:pPr>
                                      <w:r>
                                        <w:rPr>
                                          <w:rFonts w:hint="eastAsia"/>
                                        </w:rPr>
                                        <w:t>噪声</w:t>
                                      </w:r>
                                    </w:p>
                                  </w:txbxContent>
                                </wps:txbx>
                                <wps:bodyPr upright="1"/>
                              </wps:wsp>
                              <wps:wsp>
                                <wps:cNvPr id="51" name="直接箭头连接符 51"/>
                                <wps:cNvCnPr/>
                                <wps:spPr>
                                  <a:xfrm>
                                    <a:off x="6742" y="6824"/>
                                    <a:ext cx="415" cy="1"/>
                                  </a:xfrm>
                                  <a:prstGeom prst="straightConnector1">
                                    <a:avLst/>
                                  </a:prstGeom>
                                  <a:ln w="9525" cap="flat" cmpd="sng">
                                    <a:solidFill>
                                      <a:srgbClr val="000000"/>
                                    </a:solidFill>
                                    <a:prstDash val="lgDash"/>
                                    <a:headEnd type="none" w="med" len="med"/>
                                    <a:tailEnd type="triangle" w="med" len="med"/>
                                  </a:ln>
                                </wps:spPr>
                                <wps:bodyPr/>
                              </wps:wsp>
                              <wps:wsp>
                                <wps:cNvPr id="52" name="文本框 52"/>
                                <wps:cNvSpPr txBox="1"/>
                                <wps:spPr>
                                  <a:xfrm>
                                    <a:off x="7157" y="6629"/>
                                    <a:ext cx="2031" cy="400"/>
                                  </a:xfrm>
                                  <a:prstGeom prst="rect">
                                    <a:avLst/>
                                  </a:prstGeom>
                                  <a:solidFill>
                                    <a:srgbClr val="FFFFFF"/>
                                  </a:solidFill>
                                  <a:ln w="9525">
                                    <a:noFill/>
                                  </a:ln>
                                </wps:spPr>
                                <wps:txbx>
                                  <w:txbxContent>
                                    <w:p>
                                      <w:pPr>
                                        <w:jc w:val="center"/>
                                      </w:pPr>
                                      <w:r>
                                        <w:rPr>
                                          <w:rFonts w:hint="eastAsia"/>
                                        </w:rPr>
                                        <w:t>噪声、固废、废气</w:t>
                                      </w:r>
                                    </w:p>
                                  </w:txbxContent>
                                </wps:txbx>
                                <wps:bodyPr upright="1"/>
                              </wps:wsp>
                              <wps:wsp>
                                <wps:cNvPr id="53" name="直接连接符 53"/>
                                <wps:cNvSpPr/>
                                <wps:spPr>
                                  <a:xfrm>
                                    <a:off x="8487" y="4999"/>
                                    <a:ext cx="1" cy="624"/>
                                  </a:xfrm>
                                  <a:prstGeom prst="line">
                                    <a:avLst/>
                                  </a:prstGeom>
                                  <a:ln w="9525" cap="flat" cmpd="sng">
                                    <a:solidFill>
                                      <a:srgbClr val="000000"/>
                                    </a:solidFill>
                                    <a:prstDash val="solid"/>
                                    <a:headEnd type="none" w="med" len="med"/>
                                    <a:tailEnd type="triangle" w="med" len="med"/>
                                  </a:ln>
                                </wps:spPr>
                                <wps:bodyPr upright="1"/>
                              </wps:wsp>
                              <wps:wsp>
                                <wps:cNvPr id="54" name="直接箭头连接符 54"/>
                                <wps:cNvCnPr/>
                                <wps:spPr>
                                  <a:xfrm flipV="1">
                                    <a:off x="8859" y="4871"/>
                                    <a:ext cx="1" cy="752"/>
                                  </a:xfrm>
                                  <a:prstGeom prst="straightConnector1">
                                    <a:avLst/>
                                  </a:prstGeom>
                                  <a:ln w="9525" cap="flat" cmpd="sng">
                                    <a:solidFill>
                                      <a:srgbClr val="000000"/>
                                    </a:solidFill>
                                    <a:prstDash val="lgDash"/>
                                    <a:headEnd type="none" w="med" len="med"/>
                                    <a:tailEnd type="triangle" w="med" len="med"/>
                                  </a:ln>
                                </wps:spPr>
                                <wps:bodyPr/>
                              </wps:wsp>
                            </wpg:wgp>
                          </wpc:wpc>
                        </a:graphicData>
                      </a:graphic>
                    </wp:anchor>
                  </w:drawing>
                </mc:Choice>
                <mc:Fallback>
                  <w:pict>
                    <v:group id="_x0000_s1026" o:spid="_x0000_s1026" o:spt="203" style="position:absolute;left:0pt;margin-left:-12.65pt;margin-top:17.45pt;height:255.65pt;width:416.05pt;mso-position-horizontal-relative:char;mso-position-vertical-relative:line;z-index:251665408;mso-width-relative:page;mso-height-relative:page;" coordsize="5283835,3246755" editas="canvas" o:gfxdata="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">
                      <o:lock v:ext="edit" aspectratio="f"/>
                      <v:rect id="_x0000_s1026" o:spid="_x0000_s1026" o:spt="1" style="position:absolute;left:0;top:0;height:3246755;width:5283835;" filled="f" stroked="f" coordsize="21600,21600" o:gfxdata="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">
                        <v:fill on="f" focussize="0,0"/>
                        <v:stroke on="f"/>
                        <v:imagedata o:title=""/>
                        <o:lock v:ext="edit" text="t" aspectratio="t"/>
                      </v:rect>
                      <v:group id="_x0000_s1026" o:spid="_x0000_s1026" o:spt="203" style="position:absolute;left:349885;top:200025;height:2753360;width:4802505;" coordorigin="2861,4520" coordsize="7563,4336" o:gfxdata="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">
                        <o:lock v:ext="edit" aspectratio="f"/>
                        <v:shape id="_x0000_s1026" o:spid="_x0000_s1026" o:spt="202" type="#_x0000_t202" style="position:absolute;left:9794;top:5363;height:1246;width:630;" fillcolor="#FFFFFF" filled="t" stroked="f" coordsize="21600,21600" o:gfxdata="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u8akvQAA&#10;ANs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jc w:val="center"/>
                                </w:pPr>
                                <w:r>
                                  <w:rPr>
                                    <w:rFonts w:hint="eastAsia"/>
                                  </w:rPr>
                                  <w:t>导热油循环</w:t>
                                </w:r>
                              </w:p>
                              <w:p/>
                            </w:txbxContent>
                          </v:textbox>
                        </v:shape>
                        <v:shape id="_x0000_s1026" o:spid="_x0000_s1026" o:spt="202" type="#_x0000_t202" style="position:absolute;left:8234;top:4520;height:504;width:1278;" fillcolor="#FFFFFF" filled="t" stroked="f" coordsize="21600,21600" o:gfxdata="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PX+ru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jc w:val="center"/>
                                </w:pPr>
                                <w:r>
                                  <w:rPr>
                                    <w:rFonts w:hint="eastAsia"/>
                                  </w:rPr>
                                  <w:t>废气</w:t>
                                </w:r>
                              </w:p>
                            </w:txbxContent>
                          </v:textbox>
                        </v:shape>
                        <v:rect id="_x0000_s1026" o:spid="_x0000_s1026" o:spt="1" style="position:absolute;left:7259;top:5071;height:468;width:1365;" fillcolor="#FFFFFF" filled="t" stroked="f" coordsize="21600,21600" o:gfxdata="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sEOk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rPr>
                                    <w:rFonts w:hint="eastAsia"/>
                                  </w:rPr>
                                  <w:t>天然气加热</w:t>
                                </w:r>
                              </w:p>
                            </w:txbxContent>
                          </v:textbox>
                        </v:rect>
                        <v:shape id="_x0000_s1026" o:spid="_x0000_s1026" o:spt="202" type="#_x0000_t202" style="position:absolute;left:2861;top:4671;height:400;width:1489;" fillcolor="#FFFFFF" filled="t" stroked="f" coordsize="21600,21600" o:gfxdata="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QTLU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rPr>
                                    <w:rFonts w:hint="eastAsia"/>
                                  </w:rPr>
                                  <w:t>外购人造板</w:t>
                                </w:r>
                              </w:p>
                            </w:txbxContent>
                          </v:textbox>
                        </v:shape>
                        <v:roundrect id="_x0000_s1026" o:spid="_x0000_s1026" o:spt="2" style="position:absolute;left:5352;top:4671;height:501;width:1390;" fillcolor="#FFFFFF" filled="t" stroked="t" coordsize="21600,21600" arcsize="0.166666666666667" o:gfxdata="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1nkF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jc w:val="center"/>
                                </w:pPr>
                                <w:r>
                                  <w:rPr>
                                    <w:rFonts w:hint="eastAsia"/>
                                  </w:rPr>
                                  <w:t>原料入库</w:t>
                                </w:r>
                              </w:p>
                            </w:txbxContent>
                          </v:textbox>
                        </v:roundrect>
                        <v:roundrect id="_x0000_s1026" o:spid="_x0000_s1026" o:spt="2" style="position:absolute;left:5352;top:5625;height:502;width:1390;" fillcolor="#FFFFFF" filled="t" stroked="t" coordsize="21600,21600" arcsize="0.166666666666667" o:gfxdata="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tye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铺设浸渍纸</w:t>
                                </w:r>
                              </w:p>
                            </w:txbxContent>
                          </v:textbox>
                        </v:roundrect>
                        <v:roundrect id="_x0000_s1026" o:spid="_x0000_s1026" o:spt="2" style="position:absolute;left:5352;top:6527;height:502;width:1390;" fillcolor="#FFFFFF" filled="t" stroked="t" coordsize="21600,21600" arcsize="0.166666666666667" o:gfxdata="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IQum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pPr>
                                <w:r>
                                  <w:rPr>
                                    <w:rFonts w:hint="eastAsia"/>
                                  </w:rPr>
                                  <w:t>热压</w:t>
                                </w:r>
                              </w:p>
                            </w:txbxContent>
                          </v:textbox>
                        </v:roundrect>
                        <v:roundrect id="_x0000_s1026" o:spid="_x0000_s1026" o:spt="2" style="position:absolute;left:5352;top:7465;height:503;width:1390;" fillcolor="#FFFFFF" filled="t" stroked="t" coordsize="21600,21600" arcsize="0.166666666666667" o:gfxdata="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E53K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pPr>
                                <w:r>
                                  <w:rPr>
                                    <w:rFonts w:hint="eastAsia"/>
                                  </w:rPr>
                                  <w:t>冷却</w:t>
                                </w:r>
                              </w:p>
                            </w:txbxContent>
                          </v:textbox>
                        </v:roundrect>
                        <v:roundrect id="_x0000_s1026" o:spid="_x0000_s1026" o:spt="2" style="position:absolute;left:5352;top:8354;height:502;width:1390;" fillcolor="#FFFFFF" filled="t" stroked="t" coordsize="21600,21600" arcsize="0.166666666666667" o:gfxdata="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7X8G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成品</w:t>
                                </w:r>
                              </w:p>
                            </w:txbxContent>
                          </v:textbox>
                        </v:roundrect>
                        <v:roundrect id="_x0000_s1026" o:spid="_x0000_s1026" o:spt="2" style="position:absolute;left:8487;top:5625;height:502;width:1389;" fillcolor="#FFFFFF" filled="t" stroked="t" coordsize="21600,21600" arcsize="0.166666666666667" o:gfxdata="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h2p2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pPr>
                                <w:r>
                                  <w:rPr>
                                    <w:rFonts w:hint="eastAsia"/>
                                  </w:rPr>
                                  <w:t>加热导热油</w:t>
                                </w:r>
                              </w:p>
                            </w:txbxContent>
                          </v:textbox>
                        </v:roundrect>
                        <v:shape id="_x0000_s1026" o:spid="_x0000_s1026" o:spt="32" type="#_x0000_t32" style="position:absolute;left:6047;top:5172;height:453;width:1;" filled="f" stroked="t" coordsize="21600,21600" o:gfxdata="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ciH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6047;top:6127;height:400;width:1;" filled="f" stroked="t" coordsize="21600,21600" o:gfxdata="UEsDBAoAAAAAAIdO4kAAAAAAAAAAAAAAAAAEAAAAZHJzL1BLAwQUAAAACACHTuJA29At7r4AAADb&#10;AAAADwAAAGRycy9kb3ducmV2LnhtbEWPW2sCMRSE3wv9D+EU+qZZLax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9At7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6047;top:7029;height:436;width:1;" filled="f" stroked="t" coordsize="21600,21600" o:gfxdata="UEsDBAoAAAAAAIdO4kAAAAAAAAAAAAAAAAAEAAAAZHJzL1BLAwQUAAAACACHTuJAqk+5nLsAAADb&#10;AAAADwAAAGRycy9kb3ducmV2LnhtbEVPW2vCMBR+H+w/hDPY20zroG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k+5n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6047;top:7968;height:386;width:1;" filled="f" stroked="t" coordsize="21600,21600" o:gfxdata="UEsDBAoAAAAAAIdO4kAAAAAAAAAAAAAAAAAEAAAAZHJzL1BLAwQUAAAACACHTuJAxQMcB74AAADb&#10;AAAADwAAAGRycy9kb3ducmV2LnhtbEWPT2sCMRTE74V+h/CE3mpWC4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McB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9181;top:6127;flip:x;height:212;width:1;" filled="f" stroked="t" coordsize="21600,21600" o:gfxdata="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9lf9L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shape id="_x0000_s1026" o:spid="_x0000_s1026" o:spt="32" type="#_x0000_t32" style="position:absolute;left:6049;top:6340;flip:x;height:1;width:3139;" filled="f" stroked="t" coordsize="21600,21600" o:gfxdata="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AjbS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9994;top:5023;flip:y;height:2167;width:0;" filled="f" stroked="t" coordsize="21600,21600" o:gfxdata="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xHZBi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9188;top:5023;flip:x;height:1;width:806;" filled="f" stroked="t" coordsize="21600,21600" o:gfxdata="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LwY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9182;top:5023;flip:x;height:602;width:6;" filled="f" stroked="t" coordsize="21600,21600" o:gfxdata="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dZVK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4350;top:4871;height:1;width:1009;" filled="f" stroked="t" coordsize="21600,21600" o:gfxdata="UEsDBAoAAAAAAIdO4kAAAAAAAAAAAAAAAAAEAAAAZHJzL1BLAwQUAAAACACHTuJAHEhlf74AAADb&#10;AAAADwAAAGRycy9kb3ducmV2LnhtbEWPW2sCMRSE3wv9D+EUfNOsY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hlf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202" type="#_x0000_t202" style="position:absolute;left:2861;top:5625;height:401;width:1489;" fillcolor="#FFFFFF" filled="t" stroked="f" coordsize="21600,21600" o:gfxdata="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EuoC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r>
                                  <w:rPr>
                                    <w:rFonts w:hint="eastAsia"/>
                                  </w:rPr>
                                  <w:t>外购浸渍纸</w:t>
                                </w:r>
                              </w:p>
                            </w:txbxContent>
                          </v:textbox>
                        </v:shape>
                        <v:shape id="_x0000_s1026" o:spid="_x0000_s1026" o:spt="32" type="#_x0000_t32" style="position:absolute;left:4343;top:5834;height:2;width:1009;" filled="f" stroked="t" coordsize="21600,21600" o:gfxdata="UEsDBAoAAAAAAIdO4kAAAAAAAAAAAAAAAAAEAAAAZHJzL1BLAwQUAAAACACHTuJAg9Zek74AAADb&#10;AAAADwAAAGRycy9kb3ducmV2LnhtbEWPW2sCMRSE3wv9D+EU+qZZpax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9Zek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6048;top:7190;height:0;width:3946;" filled="f" stroked="t" coordsize="21600,21600" o:gfxdata="UEsDBAoAAAAAAIdO4kAAAAAAAAAAAAAAAAAEAAAAZHJzL1BLAwQUAAAACACHTuJA8knK4bsAAADb&#10;AAAADwAAAGRycy9kb3ducmV2LnhtbEVPW2vCMBR+H+w/hDPY20wro2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knK4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6742;top:5836;height:1;width:415;" filled="f" stroked="t" coordsize="21600,21600" o:gfxdata="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Ux0pvQAA&#10;ANsAAAAPAAAAAAAAAAEAIAAAACIAAABkcnMvZG93bnJldi54bWxQSwECFAAUAAAACACHTuJAMy8F&#10;njsAAAA5AAAAEAAAAAAAAAABACAAAAAMAQAAZHJzL3NoYXBleG1sLnhtbFBLBQYAAAAABgAGAFsB&#10;AAC2AwAAAAA=&#10;">
                          <v:fill on="f" focussize="0,0"/>
                          <v:stroke color="#000000" joinstyle="round" dashstyle="longDash" endarrow="block"/>
                          <v:imagedata o:title=""/>
                          <o:lock v:ext="edit" aspectratio="f"/>
                        </v:shape>
                        <v:shape id="_x0000_s1026" o:spid="_x0000_s1026" o:spt="202" type="#_x0000_t202" style="position:absolute;left:7157;top:5625;height:401;width:1077;" fillcolor="#FFFFFF" filled="t" stroked="f" coordsize="21600,21600" o:gfxdata="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Q4EbK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jc w:val="center"/>
                                </w:pPr>
                                <w:r>
                                  <w:rPr>
                                    <w:rFonts w:hint="eastAsia"/>
                                  </w:rPr>
                                  <w:t>噪声</w:t>
                                </w:r>
                              </w:p>
                            </w:txbxContent>
                          </v:textbox>
                        </v:shape>
                        <v:shape id="_x0000_s1026" o:spid="_x0000_s1026" o:spt="32" type="#_x0000_t32" style="position:absolute;left:6742;top:6824;height:1;width:415;" filled="f" stroked="t" coordsize="21600,21600" o:gfxdata="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IfyvQAA&#10;ANsAAAAPAAAAAAAAAAEAIAAAACIAAABkcnMvZG93bnJldi54bWxQSwECFAAUAAAACACHTuJAMy8F&#10;njsAAAA5AAAAEAAAAAAAAAABACAAAAAMAQAAZHJzL3NoYXBleG1sLnhtbFBLBQYAAAAABgAGAFsB&#10;AAC2AwAAAAA=&#10;">
                          <v:fill on="f" focussize="0,0"/>
                          <v:stroke color="#000000" joinstyle="round" dashstyle="longDash" endarrow="block"/>
                          <v:imagedata o:title=""/>
                          <o:lock v:ext="edit" aspectratio="f"/>
                        </v:shape>
                        <v:shape id="_x0000_s1026" o:spid="_x0000_s1026" o:spt="202" type="#_x0000_t202" style="position:absolute;left:7157;top:6629;height:400;width:2031;" fillcolor="#FFFFFF" filled="t" stroked="f" coordsize="21600,21600" o:gfxdata="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6YqX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jc w:val="center"/>
                                </w:pPr>
                                <w:r>
                                  <w:rPr>
                                    <w:rFonts w:hint="eastAsia"/>
                                  </w:rPr>
                                  <w:t>噪声、固废、废气</w:t>
                                </w:r>
                              </w:p>
                            </w:txbxContent>
                          </v:textbox>
                        </v:shape>
                        <v:line id="_x0000_s1026" o:spid="_x0000_s1026" o:spt="20" style="position:absolute;left:8487;top:4999;height:624;width:1;" filled="f" stroked="t"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2" type="#_x0000_t32" style="position:absolute;left:8859;top:4871;flip:y;height:752;width:1;" filled="f" stroked="t" coordsize="21600,21600" o:gfxdata="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1CJL2/&#10;AAAA2wAAAA8AAAAAAAAAAQAgAAAAIgAAAGRycy9kb3ducmV2LnhtbFBLAQIUABQAAAAIAIdO4kAz&#10;LwWeOwAAADkAAAAQAAAAAAAAAAEAIAAAAA4BAABkcnMvc2hhcGV4bWwueG1sUEsFBgAAAAAGAAYA&#10;WwEAALgDAAAAAA==&#10;">
                          <v:fill on="f" focussize="0,0"/>
                          <v:stroke color="#000000" joinstyle="round" dashstyle="longDash" endarrow="block"/>
                          <v:imagedata o:title=""/>
                          <o:lock v:ext="edit" aspectratio="f"/>
                        </v:shape>
                      </v:group>
                    </v:group>
                  </w:pict>
                </mc:Fallback>
              </mc:AlternateContent>
            </w:r>
          </w:p>
          <w:p>
            <w:pPr>
              <w:spacing w:line="360" w:lineRule="auto"/>
              <w:ind w:firstLine="480" w:firstLineChars="200"/>
              <w:outlineLvl w:val="1"/>
              <w:rPr>
                <w:rFonts w:hint="eastAsia" w:ascii="宋体" w:hAnsi="宋体"/>
                <w:sz w:val="24"/>
                <w:lang w:val="en-GB"/>
              </w:rPr>
            </w:pPr>
          </w:p>
          <w:p>
            <w:pPr>
              <w:spacing w:line="360" w:lineRule="auto"/>
              <w:ind w:firstLine="480" w:firstLineChars="200"/>
              <w:outlineLvl w:val="1"/>
              <w:rPr>
                <w:rFonts w:hint="eastAsia" w:ascii="宋体"/>
                <w:sz w:val="24"/>
                <w:lang w:val="en-GB"/>
              </w:rPr>
            </w:pPr>
            <w:r>
              <w:rPr>
                <w:rFonts w:ascii="宋体"/>
                <w:sz w:val="24"/>
                <w:lang w:val="en-GB"/>
              </w:rPr>
              <mc:AlternateContent>
                <mc:Choice Requires="wps">
                  <w:drawing>
                    <wp:inline distT="0" distB="0" distL="114300" distR="114300">
                      <wp:extent cx="5600700" cy="315341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00700" cy="3153410"/>
                              </a:xfrm>
                              <a:prstGeom prst="rect">
                                <a:avLst/>
                              </a:prstGeom>
                              <a:noFill/>
                              <a:ln w="9525">
                                <a:noFill/>
                              </a:ln>
                            </wps:spPr>
                            <wps:bodyPr upright="1"/>
                          </wps:wsp>
                        </a:graphicData>
                      </a:graphic>
                    </wp:inline>
                  </w:drawing>
                </mc:Choice>
                <mc:Fallback>
                  <w:pict>
                    <v:rect id="_x0000_s1026" o:spid="_x0000_s1026" o:spt="1" style="height:248.3pt;width:441pt;" filled="f" stroked="f" coordsize="21600,21600" o:gfxdata="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Z/b6bUAAAABQEAAA8AAAAAAAAAAQAg&#10;AAAAIgAAAGRycy9kb3ducmV2LnhtbFBLAQIUABQAAAAIAIdO4kBlR9MnoAEAACADAAAOAAAAAAAA&#10;AAEAIAAAACMBAABkcnMvZTJvRG9jLnhtbFBLBQYAAAAABgAGAFkBAAA1BQAAAAA=&#10;">
                      <v:fill on="f" focussize="0,0"/>
                      <v:stroke on="f"/>
                      <v:imagedata o:title=""/>
                      <o:lock v:ext="edit" aspectratio="t"/>
                      <w10:wrap type="none"/>
                      <w10:anchorlock/>
                    </v:rect>
                  </w:pict>
                </mc:Fallback>
              </mc:AlternateContent>
            </w:r>
          </w:p>
          <w:p>
            <w:pPr>
              <w:adjustRightInd w:val="0"/>
              <w:snapToGrid w:val="0"/>
              <w:spacing w:line="360" w:lineRule="auto"/>
              <w:rPr>
                <w:rFonts w:hint="eastAsia"/>
                <w:b/>
                <w:sz w:val="24"/>
              </w:rPr>
            </w:pPr>
            <w:r>
              <w:rPr>
                <w:rFonts w:hint="eastAsia"/>
                <w:sz w:val="24"/>
              </w:rPr>
              <w:t xml:space="preserve">                   </w:t>
            </w:r>
            <w:r>
              <w:rPr>
                <w:rFonts w:hint="eastAsia"/>
                <w:sz w:val="21"/>
                <w:szCs w:val="21"/>
              </w:rPr>
              <w:t xml:space="preserve">  </w:t>
            </w:r>
            <w:r>
              <w:rPr>
                <w:rFonts w:hint="eastAsia"/>
                <w:b/>
                <w:sz w:val="21"/>
                <w:szCs w:val="21"/>
              </w:rPr>
              <w:t>图5-</w:t>
            </w:r>
            <w:r>
              <w:rPr>
                <w:rFonts w:hint="eastAsia"/>
                <w:b/>
                <w:sz w:val="21"/>
                <w:szCs w:val="21"/>
                <w:lang w:val="en-US" w:eastAsia="zh-CN"/>
              </w:rPr>
              <w:t>1</w:t>
            </w:r>
            <w:r>
              <w:rPr>
                <w:rFonts w:hint="eastAsia"/>
                <w:b/>
                <w:sz w:val="21"/>
                <w:szCs w:val="21"/>
              </w:rPr>
              <w:t xml:space="preserve">  运营期</w:t>
            </w:r>
            <w:r>
              <w:rPr>
                <w:rFonts w:hint="eastAsia" w:ascii="宋体" w:hAnsi="宋体" w:cs="宋体"/>
                <w:b/>
                <w:sz w:val="21"/>
                <w:szCs w:val="21"/>
              </w:rPr>
              <w:t>工艺流程及产污节点图</w:t>
            </w:r>
          </w:p>
          <w:p>
            <w:pPr>
              <w:adjustRightInd w:val="0"/>
              <w:snapToGrid w:val="0"/>
              <w:spacing w:line="360" w:lineRule="auto"/>
              <w:ind w:firstLine="482" w:firstLineChars="200"/>
              <w:rPr>
                <w:b/>
                <w:sz w:val="24"/>
              </w:rPr>
            </w:pPr>
          </w:p>
          <w:p>
            <w:pPr>
              <w:adjustRightInd w:val="0"/>
              <w:snapToGrid w:val="0"/>
              <w:spacing w:line="360" w:lineRule="auto"/>
              <w:ind w:firstLine="482" w:firstLineChars="200"/>
              <w:rPr>
                <w:b/>
                <w:sz w:val="24"/>
              </w:rPr>
            </w:pPr>
          </w:p>
          <w:p>
            <w:pPr>
              <w:adjustRightInd w:val="0"/>
              <w:snapToGrid w:val="0"/>
              <w:spacing w:line="360" w:lineRule="auto"/>
              <w:ind w:firstLine="482" w:firstLineChars="200"/>
              <w:rPr>
                <w:b/>
                <w:sz w:val="24"/>
              </w:rPr>
            </w:pPr>
          </w:p>
          <w:p>
            <w:pPr>
              <w:adjustRightInd w:val="0"/>
              <w:snapToGrid w:val="0"/>
              <w:spacing w:line="360" w:lineRule="auto"/>
              <w:ind w:firstLine="482" w:firstLineChars="200"/>
              <w:rPr>
                <w:rFonts w:hint="eastAsia"/>
                <w:b/>
                <w:sz w:val="24"/>
              </w:rPr>
            </w:pPr>
            <w:r>
              <w:rPr>
                <w:b/>
                <w:sz w:val="24"/>
              </w:rPr>
              <w:t>工艺流程简述：</w:t>
            </w:r>
          </w:p>
          <w:p>
            <w:pPr>
              <w:adjustRightInd w:val="0"/>
              <w:snapToGrid w:val="0"/>
              <w:spacing w:line="360" w:lineRule="auto"/>
              <w:ind w:firstLine="480" w:firstLineChars="200"/>
              <w:rPr>
                <w:rFonts w:hint="eastAsia" w:ascii="宋体" w:hAnsi="宋体"/>
                <w:sz w:val="24"/>
              </w:rPr>
            </w:pPr>
            <w:r>
              <w:rPr>
                <w:rFonts w:hint="eastAsia" w:ascii="宋体" w:hAnsi="宋体"/>
                <w:sz w:val="24"/>
              </w:rPr>
              <w:t>（1）原料入库</w:t>
            </w:r>
          </w:p>
          <w:p>
            <w:pPr>
              <w:adjustRightInd w:val="0"/>
              <w:snapToGrid w:val="0"/>
              <w:spacing w:line="360" w:lineRule="auto"/>
              <w:ind w:firstLine="480" w:firstLineChars="200"/>
              <w:rPr>
                <w:rFonts w:hint="eastAsia" w:ascii="宋体" w:hAnsi="宋体"/>
                <w:sz w:val="24"/>
              </w:rPr>
            </w:pPr>
            <w:r>
              <w:rPr>
                <w:rFonts w:hint="eastAsia" w:ascii="宋体" w:hAnsi="宋体"/>
                <w:sz w:val="24"/>
              </w:rPr>
              <w:t>外购优质无粉尘木制刨花板、多层实木板、中密度纤维板等人造板，采用汽车运输，叉车卸料并且堆码于厂内堆场。</w:t>
            </w:r>
          </w:p>
          <w:p>
            <w:pPr>
              <w:adjustRightInd w:val="0"/>
              <w:snapToGrid w:val="0"/>
              <w:spacing w:line="360" w:lineRule="auto"/>
              <w:ind w:firstLine="480" w:firstLineChars="200"/>
              <w:rPr>
                <w:rFonts w:hint="eastAsia" w:ascii="宋体" w:hAnsi="宋体"/>
                <w:sz w:val="24"/>
              </w:rPr>
            </w:pPr>
            <w:r>
              <w:rPr>
                <w:rFonts w:hint="eastAsia" w:ascii="宋体" w:hAnsi="宋体"/>
                <w:sz w:val="24"/>
              </w:rPr>
              <w:t>（2）铺设浸渍纸</w:t>
            </w:r>
          </w:p>
          <w:p>
            <w:pPr>
              <w:adjustRightInd w:val="0"/>
              <w:snapToGrid w:val="0"/>
              <w:spacing w:line="360" w:lineRule="auto"/>
              <w:ind w:firstLine="480" w:firstLineChars="200"/>
              <w:rPr>
                <w:rFonts w:hint="eastAsia" w:ascii="宋体" w:hAnsi="宋体"/>
                <w:sz w:val="24"/>
              </w:rPr>
            </w:pPr>
            <w:r>
              <w:rPr>
                <w:rFonts w:hint="eastAsia" w:ascii="宋体" w:hAnsi="宋体"/>
                <w:sz w:val="24"/>
              </w:rPr>
              <w:t>外购成品三聚氰胺浸渍纸，将其铺设在原料人造板上，然后送入热压机。</w:t>
            </w:r>
          </w:p>
          <w:p>
            <w:pPr>
              <w:adjustRightInd w:val="0"/>
              <w:snapToGrid w:val="0"/>
              <w:spacing w:line="360" w:lineRule="auto"/>
              <w:ind w:firstLine="480" w:firstLineChars="200"/>
              <w:rPr>
                <w:rFonts w:hint="eastAsia" w:ascii="宋体" w:hAnsi="宋体"/>
                <w:sz w:val="24"/>
              </w:rPr>
            </w:pPr>
            <w:r>
              <w:rPr>
                <w:rFonts w:hint="eastAsia" w:ascii="宋体" w:hAnsi="宋体"/>
                <w:sz w:val="24"/>
              </w:rPr>
              <w:t>（3）加热导热油</w:t>
            </w:r>
          </w:p>
          <w:p>
            <w:pPr>
              <w:adjustRightInd w:val="0"/>
              <w:snapToGrid w:val="0"/>
              <w:spacing w:line="360" w:lineRule="auto"/>
              <w:ind w:firstLine="480" w:firstLineChars="200"/>
              <w:rPr>
                <w:rFonts w:hint="eastAsia" w:ascii="宋体" w:hAnsi="宋体"/>
                <w:sz w:val="24"/>
              </w:rPr>
            </w:pPr>
            <w:r>
              <w:rPr>
                <w:rFonts w:hint="eastAsia" w:ascii="宋体" w:hAnsi="宋体"/>
                <w:sz w:val="24"/>
              </w:rPr>
              <w:t>使用天然气导热油炉（模温机），对外购优质导热油进行加热，加热温度一般为120℃—180℃。而后将导热油经过全封闭油管流入热压机。导热油炉设置循环油泵，使导热油循环使用，不损耗，不外排。</w:t>
            </w:r>
          </w:p>
          <w:p>
            <w:pPr>
              <w:adjustRightInd w:val="0"/>
              <w:snapToGrid w:val="0"/>
              <w:spacing w:line="360" w:lineRule="auto"/>
              <w:ind w:firstLine="480" w:firstLineChars="200"/>
              <w:rPr>
                <w:rFonts w:hint="eastAsia" w:ascii="宋体" w:hAnsi="宋体"/>
                <w:sz w:val="24"/>
              </w:rPr>
            </w:pPr>
            <w:r>
              <w:rPr>
                <w:rFonts w:hint="eastAsia" w:ascii="宋体" w:hAnsi="宋体"/>
                <w:sz w:val="24"/>
              </w:rPr>
              <w:t>（4）热压</w:t>
            </w:r>
          </w:p>
          <w:p>
            <w:pPr>
              <w:adjustRightInd w:val="0"/>
              <w:snapToGrid w:val="0"/>
              <w:spacing w:line="360" w:lineRule="auto"/>
              <w:ind w:firstLine="480" w:firstLineChars="200"/>
              <w:rPr>
                <w:rFonts w:hint="eastAsia" w:ascii="宋体" w:hAnsi="宋体"/>
                <w:sz w:val="24"/>
              </w:rPr>
            </w:pPr>
            <w:r>
              <w:rPr>
                <w:rFonts w:hint="eastAsia" w:ascii="宋体" w:hAnsi="宋体"/>
                <w:sz w:val="24"/>
              </w:rPr>
              <w:t>使用热压机，对已铺设好浸渍纸进行热压，其工艺要求：</w:t>
            </w:r>
          </w:p>
          <w:p>
            <w:pPr>
              <w:adjustRightInd w:val="0"/>
              <w:snapToGrid w:val="0"/>
              <w:spacing w:line="360" w:lineRule="auto"/>
              <w:ind w:firstLine="480" w:firstLineChars="200"/>
              <w:rPr>
                <w:rFonts w:hint="eastAsia"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hint="eastAsia" w:ascii="宋体" w:hAnsi="宋体"/>
                <w:position w:val="-4"/>
                <w:sz w:val="36"/>
              </w:rPr>
              <w:instrText xml:space="preserve">○</w:instrText>
            </w:r>
            <w:r>
              <w:rPr>
                <w:rFonts w:hint="eastAsia" w:ascii="宋体" w:hAnsi="宋体"/>
                <w:sz w:val="24"/>
              </w:rPr>
              <w:instrText xml:space="preserve">,1)</w:instrText>
            </w:r>
            <w:r>
              <w:rPr>
                <w:rFonts w:ascii="宋体" w:hAnsi="宋体"/>
                <w:sz w:val="24"/>
              </w:rPr>
              <w:fldChar w:fldCharType="end"/>
            </w:r>
            <w:r>
              <w:rPr>
                <w:rFonts w:hint="eastAsia" w:ascii="宋体" w:hAnsi="宋体"/>
                <w:sz w:val="24"/>
              </w:rPr>
              <w:t>适当的含水率。板材表层含水率为18</w:t>
            </w:r>
            <w:r>
              <w:rPr>
                <w:rFonts w:ascii="宋体" w:hAnsi="宋体"/>
                <w:sz w:val="24"/>
              </w:rPr>
              <w:t>～20%</w:t>
            </w:r>
            <w:r>
              <w:rPr>
                <w:rFonts w:hint="eastAsia" w:ascii="宋体" w:hAnsi="宋体"/>
                <w:sz w:val="24"/>
              </w:rPr>
              <w:t>时有利于抗弯强度、抗拉强度和表面光洁度的提高。</w:t>
            </w:r>
          </w:p>
          <w:p>
            <w:pPr>
              <w:adjustRightInd w:val="0"/>
              <w:snapToGrid w:val="0"/>
              <w:spacing w:line="360" w:lineRule="auto"/>
              <w:ind w:firstLine="480" w:firstLineChars="200"/>
              <w:rPr>
                <w:rFonts w:hint="eastAsia" w:ascii="宋体" w:hAnsi="宋体" w:cs="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hint="eastAsia" w:ascii="宋体" w:hAnsi="宋体"/>
                <w:position w:val="-4"/>
                <w:sz w:val="36"/>
              </w:rPr>
              <w:instrText xml:space="preserve">○</w:instrText>
            </w:r>
            <w:r>
              <w:rPr>
                <w:rFonts w:hint="eastAsia" w:ascii="宋体" w:hAnsi="宋体"/>
                <w:sz w:val="24"/>
              </w:rPr>
              <w:instrText xml:space="preserve">,2)</w:instrText>
            </w:r>
            <w:r>
              <w:rPr>
                <w:rFonts w:ascii="宋体" w:hAnsi="宋体"/>
                <w:sz w:val="24"/>
              </w:rPr>
              <w:fldChar w:fldCharType="end"/>
            </w:r>
            <w:r>
              <w:rPr>
                <w:rFonts w:hint="eastAsia" w:ascii="宋体" w:hAnsi="宋体"/>
                <w:sz w:val="24"/>
              </w:rPr>
              <w:t>适当的热压压力。压力能影响刨花之间接触面积、板材厚度偏差和刨花之间胶料转移程度。按照产品不同密度要求，热压压力一般为1.2</w:t>
            </w:r>
            <w:r>
              <w:rPr>
                <w:rFonts w:ascii="宋体" w:hAnsi="宋体" w:cs="宋体"/>
                <w:sz w:val="24"/>
              </w:rPr>
              <w:t>～</w:t>
            </w:r>
            <w:r>
              <w:rPr>
                <w:rFonts w:hint="eastAsia" w:ascii="宋体" w:hAnsi="宋体" w:cs="宋体"/>
                <w:sz w:val="24"/>
              </w:rPr>
              <w:t>1.4兆帕。</w:t>
            </w:r>
          </w:p>
          <w:p>
            <w:pPr>
              <w:adjustRightInd w:val="0"/>
              <w:snapToGrid w:val="0"/>
              <w:spacing w:line="360" w:lineRule="auto"/>
              <w:ind w:firstLine="480" w:firstLineChars="200"/>
              <w:rPr>
                <w:rFonts w:hint="eastAsia"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eq \o\ac(</w:instrText>
            </w:r>
            <w:r>
              <w:rPr>
                <w:rFonts w:hint="eastAsia" w:ascii="宋体" w:hAnsi="宋体" w:cs="宋体"/>
                <w:position w:val="-4"/>
                <w:sz w:val="36"/>
              </w:rPr>
              <w:instrText xml:space="preserve">○</w:instrText>
            </w:r>
            <w:r>
              <w:rPr>
                <w:rFonts w:hint="eastAsia" w:ascii="宋体" w:hAnsi="宋体" w:cs="宋体"/>
                <w:sz w:val="24"/>
              </w:rPr>
              <w:instrText xml:space="preserve">,3)</w:instrText>
            </w:r>
            <w:r>
              <w:rPr>
                <w:rFonts w:ascii="宋体" w:hAnsi="宋体" w:cs="宋体"/>
                <w:sz w:val="24"/>
              </w:rPr>
              <w:fldChar w:fldCharType="end"/>
            </w:r>
            <w:r>
              <w:rPr>
                <w:rFonts w:hint="eastAsia" w:ascii="宋体" w:hAnsi="宋体" w:cs="宋体"/>
                <w:sz w:val="24"/>
              </w:rPr>
              <w:t>适当的温度。温度过高不仅会使板材中含有的胶粘剂分解，也会造成升温时板坯局部提前固化而产生废品。本项目热压过程中的温度为120～180℃。</w:t>
            </w:r>
          </w:p>
          <w:p>
            <w:pPr>
              <w:adjustRightInd w:val="0"/>
              <w:snapToGrid w:val="0"/>
              <w:spacing w:line="360" w:lineRule="auto"/>
              <w:ind w:firstLine="480" w:firstLineChars="200"/>
              <w:rPr>
                <w:rFonts w:hint="eastAsia"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eq \o\ac(</w:instrText>
            </w:r>
            <w:r>
              <w:rPr>
                <w:rFonts w:hint="eastAsia" w:ascii="宋体" w:hAnsi="宋体" w:cs="宋体"/>
                <w:position w:val="-4"/>
                <w:sz w:val="36"/>
              </w:rPr>
              <w:instrText xml:space="preserve">○</w:instrText>
            </w:r>
            <w:r>
              <w:rPr>
                <w:rFonts w:hint="eastAsia" w:ascii="宋体" w:hAnsi="宋体" w:cs="宋体"/>
                <w:sz w:val="24"/>
              </w:rPr>
              <w:instrText xml:space="preserve">,4)</w:instrText>
            </w:r>
            <w:r>
              <w:rPr>
                <w:rFonts w:ascii="宋体" w:hAnsi="宋体" w:cs="宋体"/>
                <w:sz w:val="24"/>
              </w:rPr>
              <w:fldChar w:fldCharType="end"/>
            </w:r>
            <w:r>
              <w:rPr>
                <w:rFonts w:hint="eastAsia" w:ascii="宋体" w:hAnsi="宋体" w:cs="宋体"/>
                <w:sz w:val="24"/>
              </w:rPr>
              <w:t>适当的加压时间。时间过短，则中层树脂不能充分固化，成品在厚度方向的弹性恢复加大，平面抗拉强度显著降低。</w:t>
            </w:r>
          </w:p>
          <w:p>
            <w:pPr>
              <w:adjustRightInd w:val="0"/>
              <w:snapToGrid w:val="0"/>
              <w:spacing w:line="360" w:lineRule="auto"/>
              <w:ind w:firstLine="480" w:firstLineChars="200"/>
              <w:rPr>
                <w:rFonts w:hint="eastAsia" w:ascii="宋体" w:hAnsi="宋体" w:cs="宋体"/>
                <w:sz w:val="24"/>
                <w:shd w:val="clear" w:color="auto" w:fill="8DB3E2"/>
              </w:rPr>
            </w:pPr>
            <w:r>
              <w:rPr>
                <w:rFonts w:hint="eastAsia" w:ascii="宋体" w:hAnsi="宋体" w:cs="宋体"/>
                <w:sz w:val="24"/>
              </w:rPr>
              <w:t>（5）冷却</w:t>
            </w:r>
          </w:p>
          <w:p>
            <w:pPr>
              <w:adjustRightInd w:val="0"/>
              <w:snapToGrid w:val="0"/>
              <w:spacing w:line="360" w:lineRule="auto"/>
              <w:ind w:firstLine="480" w:firstLineChars="200"/>
              <w:rPr>
                <w:rFonts w:ascii="宋体" w:hAnsi="宋体"/>
                <w:sz w:val="24"/>
              </w:rPr>
            </w:pPr>
            <w:r>
              <w:rPr>
                <w:rFonts w:hint="eastAsia" w:ascii="宋体" w:hAnsi="宋体" w:cs="宋体"/>
                <w:sz w:val="24"/>
              </w:rPr>
              <w:t>热压后放入成品堆场进行自然冷却。约6小时后将其自然冷却至标准冷却温度为60℃即为本公司成品。</w:t>
            </w:r>
          </w:p>
          <w:p>
            <w:pPr>
              <w:spacing w:line="360" w:lineRule="auto"/>
              <w:rPr>
                <w:rFonts w:hint="eastAsia" w:ascii="宋体" w:hAnsi="宋体" w:cs="宋体"/>
                <w:b/>
                <w:sz w:val="24"/>
              </w:rPr>
            </w:pPr>
            <w:r>
              <w:rPr>
                <w:rFonts w:hint="eastAsia" w:ascii="宋体" w:hAnsi="宋体" w:cs="宋体"/>
                <w:b/>
                <w:sz w:val="24"/>
              </w:rPr>
              <w:t>三、污染物排放及治理</w:t>
            </w:r>
          </w:p>
          <w:p>
            <w:pPr>
              <w:adjustRightInd w:val="0"/>
              <w:snapToGrid w:val="0"/>
              <w:spacing w:line="360" w:lineRule="auto"/>
              <w:rPr>
                <w:rFonts w:ascii="宋体" w:hAnsi="宋体" w:cs="宋体"/>
                <w:b/>
                <w:bCs/>
                <w:sz w:val="24"/>
              </w:rPr>
            </w:pPr>
            <w:r>
              <w:rPr>
                <w:rFonts w:ascii="宋体" w:hAnsi="宋体" w:cs="宋体"/>
                <w:b/>
                <w:bCs/>
                <w:sz w:val="24"/>
              </w:rPr>
              <w:t>（一）施工期污染物排放及治理措施</w:t>
            </w:r>
          </w:p>
          <w:p>
            <w:pPr>
              <w:adjustRightInd w:val="0"/>
              <w:snapToGrid w:val="0"/>
              <w:spacing w:line="360" w:lineRule="auto"/>
              <w:ind w:firstLine="480" w:firstLineChars="200"/>
              <w:rPr>
                <w:rFonts w:hint="eastAsia"/>
                <w:sz w:val="24"/>
              </w:rPr>
            </w:pPr>
            <w:r>
              <w:rPr>
                <w:rFonts w:hint="eastAsia"/>
                <w:sz w:val="24"/>
              </w:rPr>
              <w:t>本项目属于租用原有厂房新建生产厂房进行生产，原有场地无环境遗留问题。项目施工期不用动土，仅对原有生产厂房进行粉刷装修、设备安装、打扫卫生、环保设施建设等，故施工期对当地环境的影响较小。</w:t>
            </w:r>
          </w:p>
          <w:p>
            <w:pPr>
              <w:autoSpaceDE w:val="0"/>
              <w:autoSpaceDN w:val="0"/>
              <w:spacing w:line="360" w:lineRule="auto"/>
              <w:ind w:firstLine="482" w:firstLineChars="200"/>
              <w:rPr>
                <w:rFonts w:hint="eastAsia"/>
                <w:b/>
                <w:sz w:val="24"/>
              </w:rPr>
            </w:pPr>
            <w:r>
              <w:rPr>
                <w:rFonts w:hint="eastAsia"/>
                <w:b/>
                <w:sz w:val="24"/>
              </w:rPr>
              <w:t>（二）生产营运期</w:t>
            </w:r>
          </w:p>
          <w:p>
            <w:pPr>
              <w:autoSpaceDE w:val="0"/>
              <w:autoSpaceDN w:val="0"/>
              <w:spacing w:line="360" w:lineRule="auto"/>
              <w:ind w:firstLine="482" w:firstLineChars="200"/>
              <w:rPr>
                <w:rFonts w:hint="eastAsia"/>
                <w:b/>
                <w:kern w:val="0"/>
                <w:sz w:val="24"/>
              </w:rPr>
            </w:pPr>
            <w:r>
              <w:rPr>
                <w:b/>
                <w:kern w:val="0"/>
                <w:sz w:val="24"/>
              </w:rPr>
              <w:t>1、</w:t>
            </w:r>
            <w:r>
              <w:rPr>
                <w:rFonts w:hint="eastAsia"/>
                <w:b/>
                <w:kern w:val="0"/>
                <w:sz w:val="24"/>
              </w:rPr>
              <w:t>废水产生情况及治理措施</w:t>
            </w:r>
          </w:p>
          <w:p>
            <w:pPr>
              <w:spacing w:line="360" w:lineRule="auto"/>
              <w:ind w:firstLine="480" w:firstLineChars="200"/>
              <w:rPr>
                <w:rFonts w:hint="eastAsia"/>
                <w:bCs/>
                <w:sz w:val="24"/>
              </w:rPr>
            </w:pPr>
            <w:r>
              <w:rPr>
                <w:rFonts w:hint="eastAsia" w:cs="微软雅黑"/>
                <w:kern w:val="0"/>
                <w:sz w:val="24"/>
              </w:rPr>
              <w:t>本项目为人造板贴面加工</w:t>
            </w:r>
            <w:r>
              <w:rPr>
                <w:rFonts w:cs="微软雅黑"/>
                <w:kern w:val="0"/>
                <w:sz w:val="24"/>
              </w:rPr>
              <w:t>项目，</w:t>
            </w:r>
            <w:r>
              <w:rPr>
                <w:rFonts w:hint="eastAsia" w:cs="微软雅黑"/>
                <w:kern w:val="0"/>
                <w:sz w:val="24"/>
              </w:rPr>
              <w:t>将一系列人造板经贴面热压制成成品免漆装饰板，本</w:t>
            </w:r>
            <w:r>
              <w:rPr>
                <w:rFonts w:cs="微软雅黑"/>
                <w:kern w:val="0"/>
                <w:sz w:val="24"/>
              </w:rPr>
              <w:t>项目生产</w:t>
            </w:r>
            <w:r>
              <w:rPr>
                <w:rFonts w:hint="eastAsia" w:cs="微软雅黑"/>
                <w:kern w:val="0"/>
                <w:sz w:val="24"/>
              </w:rPr>
              <w:t>过程</w:t>
            </w:r>
            <w:r>
              <w:rPr>
                <w:rFonts w:cs="微软雅黑"/>
                <w:kern w:val="0"/>
                <w:sz w:val="24"/>
              </w:rPr>
              <w:t>不使用水</w:t>
            </w:r>
            <w:r>
              <w:rPr>
                <w:rFonts w:hint="eastAsia" w:cs="微软雅黑"/>
                <w:kern w:val="0"/>
                <w:sz w:val="24"/>
              </w:rPr>
              <w:t>，</w:t>
            </w:r>
            <w:r>
              <w:rPr>
                <w:rFonts w:cs="微软雅黑"/>
                <w:kern w:val="0"/>
                <w:sz w:val="24"/>
              </w:rPr>
              <w:t>因此本项目废水主要是生活废水</w:t>
            </w:r>
            <w:r>
              <w:rPr>
                <w:rFonts w:hint="eastAsia" w:cs="微软雅黑"/>
                <w:kern w:val="0"/>
                <w:sz w:val="24"/>
              </w:rPr>
              <w:t>。本项目营运期劳动定员10人。本项目不设置食宿，</w:t>
            </w:r>
            <w:r>
              <w:rPr>
                <w:sz w:val="24"/>
              </w:rPr>
              <w:t>根据</w:t>
            </w:r>
            <w:r>
              <w:rPr>
                <w:kern w:val="0"/>
                <w:sz w:val="24"/>
              </w:rPr>
              <w:t>《建筑给水排水设计规范》（GB50015－2003）所制定的用水定额核算该项目给排水量，项目厂区员工用水按</w:t>
            </w:r>
            <w:r>
              <w:rPr>
                <w:rFonts w:hint="eastAsia"/>
                <w:kern w:val="0"/>
                <w:sz w:val="24"/>
              </w:rPr>
              <w:t>50</w:t>
            </w:r>
            <w:r>
              <w:rPr>
                <w:kern w:val="0"/>
                <w:sz w:val="24"/>
              </w:rPr>
              <w:t>L</w:t>
            </w:r>
            <w:r>
              <w:rPr>
                <w:sz w:val="24"/>
              </w:rPr>
              <w:t>/人·d</w:t>
            </w:r>
            <w:r>
              <w:rPr>
                <w:rFonts w:hint="eastAsia"/>
                <w:sz w:val="24"/>
              </w:rPr>
              <w:t>，</w:t>
            </w:r>
            <w:r>
              <w:rPr>
                <w:sz w:val="24"/>
              </w:rPr>
              <w:t>则项目运营期生活用水量为</w:t>
            </w:r>
            <w:r>
              <w:rPr>
                <w:rFonts w:hint="eastAsia"/>
                <w:sz w:val="24"/>
              </w:rPr>
              <w:t>0.5</w:t>
            </w:r>
            <w:r>
              <w:rPr>
                <w:sz w:val="24"/>
              </w:rPr>
              <w:t>m</w:t>
            </w:r>
            <w:r>
              <w:rPr>
                <w:sz w:val="24"/>
                <w:vertAlign w:val="superscript"/>
              </w:rPr>
              <w:t>3</w:t>
            </w:r>
            <w:r>
              <w:rPr>
                <w:sz w:val="24"/>
              </w:rPr>
              <w:t>/d，排污系数设为0.</w:t>
            </w:r>
            <w:r>
              <w:rPr>
                <w:rFonts w:hint="eastAsia"/>
                <w:sz w:val="24"/>
              </w:rPr>
              <w:t>9，则生活污水产生量为0.45</w:t>
            </w:r>
            <w:r>
              <w:rPr>
                <w:sz w:val="24"/>
              </w:rPr>
              <w:t xml:space="preserve"> m</w:t>
            </w:r>
            <w:r>
              <w:rPr>
                <w:sz w:val="24"/>
                <w:vertAlign w:val="superscript"/>
              </w:rPr>
              <w:t>3</w:t>
            </w:r>
            <w:r>
              <w:rPr>
                <w:sz w:val="24"/>
              </w:rPr>
              <w:t>/d</w:t>
            </w:r>
            <w:r>
              <w:rPr>
                <w:rFonts w:hint="eastAsia"/>
                <w:sz w:val="24"/>
              </w:rPr>
              <w:t>，</w:t>
            </w:r>
            <w:r>
              <w:rPr>
                <w:rFonts w:hint="eastAsia"/>
                <w:bCs/>
                <w:sz w:val="24"/>
              </w:rPr>
              <w:t>生活污水</w:t>
            </w:r>
            <w:r>
              <w:rPr>
                <w:rFonts w:hint="eastAsia"/>
                <w:bCs/>
                <w:sz w:val="24"/>
                <w:lang w:eastAsia="zh-CN"/>
              </w:rPr>
              <w:t>经化粪池后作农溉</w:t>
            </w:r>
            <w:r>
              <w:rPr>
                <w:rFonts w:hint="eastAsia"/>
                <w:bCs/>
                <w:sz w:val="24"/>
              </w:rPr>
              <w:t>。</w:t>
            </w:r>
          </w:p>
          <w:p>
            <w:pPr>
              <w:widowControl/>
              <w:snapToGrid w:val="0"/>
              <w:spacing w:line="360" w:lineRule="auto"/>
              <w:ind w:firstLine="482" w:firstLineChars="200"/>
              <w:rPr>
                <w:rFonts w:hint="eastAsia" w:cs="微软雅黑"/>
                <w:b/>
                <w:kern w:val="0"/>
                <w:sz w:val="24"/>
              </w:rPr>
            </w:pPr>
            <w:r>
              <w:rPr>
                <w:rFonts w:hint="eastAsia" w:cs="微软雅黑"/>
                <w:b/>
                <w:kern w:val="0"/>
                <w:sz w:val="24"/>
              </w:rPr>
              <w:t>2、废气产生情况及治理措施</w:t>
            </w:r>
          </w:p>
          <w:p>
            <w:pPr>
              <w:widowControl/>
              <w:snapToGrid w:val="0"/>
              <w:spacing w:line="360" w:lineRule="auto"/>
              <w:ind w:firstLine="480" w:firstLineChars="200"/>
              <w:rPr>
                <w:rFonts w:hint="eastAsia" w:eastAsia="宋体" w:cs="微软雅黑"/>
                <w:kern w:val="0"/>
                <w:sz w:val="24"/>
                <w:lang w:val="en-US" w:eastAsia="zh-CN"/>
              </w:rPr>
            </w:pPr>
            <w:r>
              <w:rPr>
                <w:rFonts w:hint="eastAsia"/>
                <w:sz w:val="24"/>
              </w:rPr>
              <w:t>项目生产期间不涉及断料、旋切、抛光等工序，也不涉及喷漆、刷漆工序以及木材的烘干等工序，并其原料均采购高质量无粉尘的人造板。</w:t>
            </w:r>
            <w:r>
              <w:rPr>
                <w:rFonts w:hint="eastAsia" w:cs="微软雅黑"/>
                <w:kern w:val="0"/>
                <w:sz w:val="24"/>
              </w:rPr>
              <w:t>故本项目运营期产生的废气主要是热压工业产生的有机废气</w:t>
            </w:r>
            <w:r>
              <w:rPr>
                <w:rFonts w:hint="eastAsia" w:cs="微软雅黑"/>
                <w:kern w:val="0"/>
                <w:sz w:val="24"/>
                <w:lang w:eastAsia="zh-CN"/>
              </w:rPr>
              <w:t>（包括有组织和无组织）</w:t>
            </w:r>
            <w:r>
              <w:rPr>
                <w:rFonts w:hint="eastAsia" w:cs="微软雅黑"/>
                <w:kern w:val="0"/>
                <w:sz w:val="24"/>
              </w:rPr>
              <w:t>以及导热油炉燃料燃烧废气</w:t>
            </w:r>
            <w:r>
              <w:rPr>
                <w:rFonts w:hint="eastAsia" w:cs="微软雅黑"/>
                <w:kern w:val="0"/>
                <w:sz w:val="24"/>
                <w:lang w:eastAsia="zh-CN"/>
              </w:rPr>
              <w:t>。</w:t>
            </w:r>
          </w:p>
          <w:p>
            <w:pPr>
              <w:widowControl/>
              <w:snapToGrid w:val="0"/>
              <w:spacing w:line="360" w:lineRule="auto"/>
              <w:ind w:firstLine="482" w:firstLineChars="200"/>
              <w:rPr>
                <w:rFonts w:hint="eastAsia" w:cs="微软雅黑"/>
                <w:b/>
                <w:kern w:val="0"/>
                <w:sz w:val="24"/>
              </w:rPr>
            </w:pPr>
            <w:r>
              <w:rPr>
                <w:rFonts w:hint="eastAsia" w:cs="微软雅黑"/>
                <w:b/>
                <w:kern w:val="0"/>
                <w:sz w:val="24"/>
              </w:rPr>
              <w:t>1）废气的产生情况</w:t>
            </w:r>
          </w:p>
          <w:p>
            <w:pPr>
              <w:widowControl/>
              <w:snapToGrid w:val="0"/>
              <w:spacing w:line="360" w:lineRule="auto"/>
              <w:ind w:firstLine="480" w:firstLineChars="200"/>
              <w:rPr>
                <w:rFonts w:hint="eastAsia" w:cs="微软雅黑"/>
                <w:kern w:val="0"/>
                <w:sz w:val="24"/>
              </w:rPr>
            </w:pPr>
            <w:r>
              <w:rPr>
                <w:rFonts w:hint="eastAsia" w:cs="微软雅黑"/>
                <w:kern w:val="0"/>
                <w:sz w:val="24"/>
              </w:rPr>
              <w:t>（1）热压工艺有机废气</w:t>
            </w:r>
          </w:p>
          <w:p>
            <w:pPr>
              <w:autoSpaceDE w:val="0"/>
              <w:autoSpaceDN w:val="0"/>
              <w:adjustRightInd w:val="0"/>
              <w:spacing w:line="360" w:lineRule="auto"/>
              <w:ind w:firstLine="480" w:firstLineChars="200"/>
              <w:jc w:val="left"/>
              <w:rPr>
                <w:rFonts w:hint="eastAsia"/>
                <w:sz w:val="24"/>
              </w:rPr>
            </w:pPr>
            <w:r>
              <w:rPr>
                <w:rFonts w:hint="eastAsia"/>
                <w:sz w:val="24"/>
              </w:rPr>
              <w:t>本项目所使用的原料为刨花板、多层实木板、和中密度纤维板等人造板。本项目采购的原料人造板规格为240cm*120cm*1.5cm与240cm*120cm*1.8cm，年产量为</w:t>
            </w:r>
          </w:p>
          <w:p>
            <w:pPr>
              <w:spacing w:line="360" w:lineRule="auto"/>
              <w:ind w:firstLine="480" w:firstLineChars="200"/>
              <w:rPr>
                <w:rFonts w:hint="default" w:eastAsia="宋体"/>
                <w:sz w:val="24"/>
                <w:lang w:val="en-US" w:eastAsia="zh-CN"/>
              </w:rPr>
            </w:pPr>
            <w:r>
              <w:rPr>
                <w:rFonts w:hint="eastAsia"/>
                <w:sz w:val="24"/>
              </w:rPr>
              <w:t>30万张，因此取木材规模最大值240cm*120cm*1.8cm，则采购原料人造板15552m</w:t>
            </w:r>
            <w:r>
              <w:rPr>
                <w:rFonts w:hint="eastAsia"/>
                <w:sz w:val="24"/>
                <w:vertAlign w:val="superscript"/>
              </w:rPr>
              <w:t>3</w:t>
            </w:r>
            <w:r>
              <w:rPr>
                <w:rFonts w:hint="eastAsia"/>
                <w:sz w:val="24"/>
              </w:rPr>
              <w:t>/a</w:t>
            </w:r>
            <w:r>
              <w:rPr>
                <w:rFonts w:hint="eastAsia"/>
                <w:sz w:val="24"/>
                <w:lang w:eastAsia="zh-CN"/>
              </w:rPr>
              <w:t>。因本项目工序产能皆未改变，仅是厂址搬迁，</w:t>
            </w:r>
            <w:r>
              <w:rPr>
                <w:rFonts w:hint="eastAsia"/>
                <w:color w:val="auto"/>
                <w:sz w:val="24"/>
              </w:rPr>
              <w:t>故本评价利用</w:t>
            </w:r>
            <w:r>
              <w:rPr>
                <w:rFonts w:hint="eastAsia"/>
                <w:color w:val="auto"/>
                <w:sz w:val="24"/>
                <w:lang w:eastAsia="zh-CN"/>
              </w:rPr>
              <w:t>本项目搬迁之前</w:t>
            </w:r>
            <w:r>
              <w:rPr>
                <w:rFonts w:hint="eastAsia"/>
                <w:color w:val="auto"/>
                <w:sz w:val="24"/>
              </w:rPr>
              <w:t>《</w:t>
            </w:r>
            <w:r>
              <w:rPr>
                <w:rFonts w:hint="eastAsia"/>
                <w:color w:val="auto"/>
                <w:sz w:val="24"/>
                <w:lang w:eastAsia="zh-CN"/>
              </w:rPr>
              <w:t>乐山市林泉木业有限责任公司人造板加工项目竣工环境保护验收监测报告表</w:t>
            </w:r>
            <w:r>
              <w:rPr>
                <w:rFonts w:hint="eastAsia"/>
                <w:color w:val="auto"/>
                <w:sz w:val="24"/>
              </w:rPr>
              <w:t>》</w:t>
            </w:r>
            <w:r>
              <w:rPr>
                <w:rFonts w:hint="eastAsia"/>
                <w:color w:val="auto"/>
                <w:sz w:val="24"/>
                <w:lang w:eastAsia="zh-CN"/>
              </w:rPr>
              <w:t>中</w:t>
            </w:r>
            <w:r>
              <w:rPr>
                <w:rFonts w:hint="eastAsia"/>
                <w:color w:val="auto"/>
                <w:sz w:val="24"/>
              </w:rPr>
              <w:t>验收监测数据作为本项目热压工艺污染物产生情况论证依据。</w:t>
            </w:r>
            <w:r>
              <w:rPr>
                <w:rFonts w:hint="eastAsia"/>
                <w:color w:val="auto"/>
                <w:sz w:val="24"/>
                <w:lang w:eastAsia="zh-CN"/>
              </w:rPr>
              <w:t>类比验收监测数据，本项目有机废气</w:t>
            </w:r>
            <w:r>
              <w:rPr>
                <w:rFonts w:hint="eastAsia"/>
                <w:sz w:val="24"/>
                <w:lang w:eastAsia="zh-CN"/>
              </w:rPr>
              <w:t>排放浓度为</w:t>
            </w:r>
            <w:r>
              <w:rPr>
                <w:rFonts w:hint="eastAsia"/>
                <w:color w:val="auto"/>
                <w:sz w:val="24"/>
                <w:lang w:val="en-US" w:eastAsia="zh-CN"/>
              </w:rPr>
              <w:t>7.02</w:t>
            </w:r>
            <w:r>
              <w:rPr>
                <w:rFonts w:hint="eastAsia"/>
                <w:color w:val="auto"/>
                <w:sz w:val="24"/>
                <w:lang w:eastAsia="zh-CN"/>
              </w:rPr>
              <w:t>mg/m3，</w:t>
            </w:r>
            <w:r>
              <w:rPr>
                <w:rFonts w:hint="eastAsia"/>
                <w:sz w:val="24"/>
                <w:lang w:eastAsia="zh-CN"/>
              </w:rPr>
              <w:t>排放量为</w:t>
            </w:r>
            <w:r>
              <w:rPr>
                <w:rFonts w:hint="eastAsia"/>
                <w:color w:val="auto"/>
                <w:sz w:val="24"/>
                <w:lang w:val="en-US" w:eastAsia="zh-CN"/>
              </w:rPr>
              <w:t>0.00726</w:t>
            </w:r>
            <w:r>
              <w:rPr>
                <w:rFonts w:hint="eastAsia"/>
                <w:color w:val="auto"/>
                <w:sz w:val="24"/>
                <w:lang w:eastAsia="zh-CN"/>
              </w:rPr>
              <w:t>t/a。</w:t>
            </w:r>
          </w:p>
          <w:p>
            <w:pPr>
              <w:spacing w:line="360" w:lineRule="auto"/>
              <w:ind w:firstLine="480" w:firstLineChars="200"/>
              <w:rPr>
                <w:rFonts w:hint="eastAsia"/>
                <w:sz w:val="24"/>
              </w:rPr>
            </w:pPr>
            <w:r>
              <w:rPr>
                <w:rFonts w:hint="eastAsia"/>
                <w:sz w:val="24"/>
              </w:rPr>
              <w:t>（</w:t>
            </w:r>
            <w:r>
              <w:rPr>
                <w:rFonts w:hint="eastAsia"/>
                <w:sz w:val="24"/>
                <w:lang w:val="en-US" w:eastAsia="zh-CN"/>
              </w:rPr>
              <w:t>2</w:t>
            </w:r>
            <w:r>
              <w:rPr>
                <w:rFonts w:hint="eastAsia"/>
                <w:sz w:val="24"/>
              </w:rPr>
              <w:t>）导热油炉燃烧废气</w:t>
            </w:r>
          </w:p>
          <w:p>
            <w:pPr>
              <w:spacing w:line="360" w:lineRule="auto"/>
              <w:ind w:firstLine="480" w:firstLineChars="200"/>
              <w:rPr>
                <w:rFonts w:hint="eastAsia"/>
                <w:sz w:val="24"/>
              </w:rPr>
            </w:pPr>
            <w:r>
              <w:rPr>
                <w:rFonts w:hint="eastAsia"/>
                <w:sz w:val="24"/>
              </w:rPr>
              <w:t>本项目导热油炉使用天然气做燃料，天然气为清洁能源，根据设计，本项目天然气用量约为</w:t>
            </w:r>
            <w:r>
              <w:rPr>
                <w:sz w:val="24"/>
              </w:rPr>
              <w:t>6.96</w:t>
            </w:r>
            <w:r>
              <w:rPr>
                <w:rFonts w:hint="eastAsia"/>
                <w:sz w:val="24"/>
              </w:rPr>
              <w:t>万Nm</w:t>
            </w:r>
            <w:r>
              <w:rPr>
                <w:rFonts w:hint="eastAsia"/>
                <w:szCs w:val="21"/>
                <w:vertAlign w:val="superscript"/>
              </w:rPr>
              <w:t>3</w:t>
            </w:r>
            <w:r>
              <w:rPr>
                <w:rFonts w:hint="eastAsia"/>
                <w:szCs w:val="21"/>
              </w:rPr>
              <w:t>/a</w:t>
            </w:r>
            <w:r>
              <w:rPr>
                <w:rFonts w:hint="eastAsia"/>
                <w:sz w:val="24"/>
              </w:rPr>
              <w:t>。</w:t>
            </w:r>
          </w:p>
          <w:p>
            <w:pPr>
              <w:spacing w:line="360" w:lineRule="auto"/>
              <w:ind w:firstLine="480" w:firstLineChars="200"/>
              <w:rPr>
                <w:rFonts w:hint="eastAsia" w:eastAsia="宋体"/>
                <w:color w:val="auto"/>
                <w:sz w:val="24"/>
                <w:lang w:val="en-US" w:eastAsia="zh-CN"/>
              </w:rPr>
            </w:pPr>
            <w:r>
              <w:rPr>
                <w:rFonts w:hint="eastAsia"/>
                <w:color w:val="auto"/>
                <w:sz w:val="24"/>
              </w:rPr>
              <w:t>天然气燃烧过程中将产生</w:t>
            </w:r>
            <w:r>
              <w:rPr>
                <w:rFonts w:hint="eastAsia"/>
                <w:color w:val="auto"/>
                <w:sz w:val="24"/>
                <w:lang w:eastAsia="zh-CN"/>
              </w:rPr>
              <w:t>颗粒物、</w:t>
            </w:r>
            <w:r>
              <w:rPr>
                <w:rFonts w:hint="eastAsia"/>
                <w:color w:val="auto"/>
                <w:sz w:val="24"/>
              </w:rPr>
              <w:t>二氧化硫、氮氧化物废气，</w:t>
            </w:r>
            <w:r>
              <w:rPr>
                <w:rFonts w:hint="eastAsia"/>
                <w:color w:val="auto"/>
                <w:sz w:val="24"/>
                <w:lang w:eastAsia="zh-CN"/>
              </w:rPr>
              <w:t>根据《煤、天然气燃烧的污染物产生系数》</w:t>
            </w:r>
            <w:r>
              <w:rPr>
                <w:rFonts w:hint="eastAsia"/>
                <w:color w:val="auto"/>
                <w:sz w:val="24"/>
              </w:rPr>
              <w:t>，燃烧</w:t>
            </w:r>
            <w:r>
              <w:rPr>
                <w:color w:val="auto"/>
                <w:sz w:val="24"/>
              </w:rPr>
              <w:t>1.0×10</w:t>
            </w:r>
            <w:r>
              <w:rPr>
                <w:rFonts w:hint="eastAsia"/>
                <w:color w:val="auto"/>
                <w:sz w:val="24"/>
                <w:vertAlign w:val="superscript"/>
                <w:lang w:val="en-US" w:eastAsia="zh-CN"/>
              </w:rPr>
              <w:t>4</w:t>
            </w:r>
            <w:r>
              <w:rPr>
                <w:color w:val="auto"/>
                <w:sz w:val="24"/>
              </w:rPr>
              <w:t>m</w:t>
            </w:r>
            <w:r>
              <w:rPr>
                <w:color w:val="auto"/>
                <w:sz w:val="24"/>
                <w:vertAlign w:val="superscript"/>
              </w:rPr>
              <w:t>3</w:t>
            </w:r>
            <w:r>
              <w:rPr>
                <w:rFonts w:hint="eastAsia"/>
                <w:color w:val="auto"/>
                <w:sz w:val="24"/>
              </w:rPr>
              <w:t>天然气产生</w:t>
            </w:r>
            <w:r>
              <w:rPr>
                <w:rFonts w:hint="eastAsia"/>
                <w:color w:val="auto"/>
                <w:sz w:val="24"/>
                <w:lang w:val="en-US" w:eastAsia="zh-CN"/>
              </w:rPr>
              <w:t>1.0</w:t>
            </w:r>
            <w:r>
              <w:rPr>
                <w:color w:val="auto"/>
                <w:sz w:val="24"/>
              </w:rPr>
              <w:t>kgSO</w:t>
            </w:r>
            <w:r>
              <w:rPr>
                <w:color w:val="auto"/>
                <w:sz w:val="24"/>
                <w:vertAlign w:val="subscript"/>
              </w:rPr>
              <w:t>2</w:t>
            </w:r>
            <w:r>
              <w:rPr>
                <w:rFonts w:hint="eastAsia"/>
                <w:color w:val="auto"/>
                <w:sz w:val="24"/>
              </w:rPr>
              <w:t>，</w:t>
            </w:r>
            <w:r>
              <w:rPr>
                <w:rFonts w:hint="eastAsia"/>
                <w:color w:val="auto"/>
                <w:sz w:val="24"/>
                <w:lang w:val="en-US" w:eastAsia="zh-CN"/>
              </w:rPr>
              <w:t>6.3</w:t>
            </w:r>
            <w:r>
              <w:rPr>
                <w:color w:val="auto"/>
                <w:sz w:val="24"/>
              </w:rPr>
              <w:t>kgNO</w:t>
            </w:r>
            <w:r>
              <w:rPr>
                <w:rFonts w:hint="eastAsia"/>
                <w:color w:val="auto"/>
                <w:sz w:val="24"/>
                <w:vertAlign w:val="subscript"/>
                <w:lang w:val="en-US" w:eastAsia="zh-CN"/>
              </w:rPr>
              <w:t>2</w:t>
            </w:r>
            <w:r>
              <w:rPr>
                <w:rFonts w:hint="eastAsia"/>
                <w:color w:val="auto"/>
                <w:sz w:val="24"/>
              </w:rPr>
              <w:t>，</w:t>
            </w:r>
            <w:r>
              <w:rPr>
                <w:rFonts w:hint="eastAsia"/>
                <w:color w:val="auto"/>
                <w:sz w:val="24"/>
                <w:lang w:val="en-US" w:eastAsia="zh-CN"/>
              </w:rPr>
              <w:t>2.4</w:t>
            </w:r>
            <w:r>
              <w:rPr>
                <w:color w:val="auto"/>
                <w:sz w:val="24"/>
              </w:rPr>
              <w:t>kg</w:t>
            </w:r>
            <w:r>
              <w:rPr>
                <w:rFonts w:hint="eastAsia"/>
                <w:color w:val="auto"/>
                <w:sz w:val="24"/>
                <w:lang w:eastAsia="zh-CN"/>
              </w:rPr>
              <w:t>烟尘，</w:t>
            </w:r>
            <w:r>
              <w:rPr>
                <w:rFonts w:hint="eastAsia"/>
                <w:color w:val="auto"/>
                <w:sz w:val="24"/>
              </w:rPr>
              <w:t>则本项目的工艺流程中产生的SO</w:t>
            </w:r>
            <w:r>
              <w:rPr>
                <w:rFonts w:hint="eastAsia"/>
                <w:color w:val="auto"/>
                <w:sz w:val="24"/>
                <w:vertAlign w:val="subscript"/>
              </w:rPr>
              <w:t>2</w:t>
            </w:r>
            <w:r>
              <w:rPr>
                <w:rFonts w:hint="eastAsia"/>
                <w:color w:val="auto"/>
                <w:sz w:val="24"/>
              </w:rPr>
              <w:t>为</w:t>
            </w:r>
            <w:r>
              <w:rPr>
                <w:rFonts w:hint="eastAsia"/>
                <w:color w:val="auto"/>
                <w:sz w:val="24"/>
                <w:lang w:val="en-US" w:eastAsia="zh-CN"/>
              </w:rPr>
              <w:t>6.96</w:t>
            </w:r>
            <w:r>
              <w:rPr>
                <w:rFonts w:hint="eastAsia"/>
                <w:color w:val="auto"/>
                <w:sz w:val="24"/>
              </w:rPr>
              <w:t>kg/a，NO</w:t>
            </w:r>
            <w:r>
              <w:rPr>
                <w:rFonts w:hint="eastAsia"/>
                <w:color w:val="auto"/>
                <w:sz w:val="24"/>
                <w:vertAlign w:val="subscript"/>
              </w:rPr>
              <w:t>x</w:t>
            </w:r>
            <w:r>
              <w:rPr>
                <w:rFonts w:hint="eastAsia"/>
                <w:color w:val="auto"/>
                <w:sz w:val="24"/>
              </w:rPr>
              <w:t>为</w:t>
            </w:r>
            <w:r>
              <w:rPr>
                <w:rFonts w:hint="eastAsia"/>
                <w:color w:val="auto"/>
                <w:sz w:val="24"/>
                <w:lang w:val="en-US" w:eastAsia="zh-CN"/>
              </w:rPr>
              <w:t>43.848</w:t>
            </w:r>
            <w:r>
              <w:rPr>
                <w:rFonts w:hint="eastAsia"/>
                <w:color w:val="auto"/>
                <w:sz w:val="24"/>
              </w:rPr>
              <w:t>kg/a</w:t>
            </w:r>
            <w:r>
              <w:rPr>
                <w:rFonts w:hint="eastAsia"/>
                <w:color w:val="auto"/>
                <w:sz w:val="24"/>
                <w:lang w:eastAsia="zh-CN"/>
              </w:rPr>
              <w:t>，烟尘为</w:t>
            </w:r>
            <w:r>
              <w:rPr>
                <w:rFonts w:hint="eastAsia"/>
                <w:color w:val="auto"/>
                <w:sz w:val="24"/>
                <w:lang w:val="en-US" w:eastAsia="zh-CN"/>
              </w:rPr>
              <w:t>16.704</w:t>
            </w:r>
            <w:r>
              <w:rPr>
                <w:rFonts w:hint="eastAsia"/>
                <w:color w:val="auto"/>
                <w:sz w:val="24"/>
              </w:rPr>
              <w:t>kg/a</w:t>
            </w:r>
            <w:r>
              <w:rPr>
                <w:rFonts w:hint="eastAsia"/>
                <w:color w:val="auto"/>
                <w:sz w:val="24"/>
                <w:lang w:eastAsia="zh-CN"/>
              </w:rPr>
              <w:t>。</w:t>
            </w:r>
          </w:p>
          <w:p>
            <w:pPr>
              <w:spacing w:line="360" w:lineRule="auto"/>
              <w:rPr>
                <w:rFonts w:hint="eastAsia"/>
                <w:b/>
                <w:color w:val="000000"/>
                <w:sz w:val="24"/>
              </w:rPr>
            </w:pPr>
            <w:r>
              <w:rPr>
                <w:rFonts w:hint="eastAsia"/>
                <w:color w:val="000000"/>
                <w:sz w:val="24"/>
              </w:rPr>
              <w:t xml:space="preserve">  </w:t>
            </w:r>
            <w:r>
              <w:rPr>
                <w:rFonts w:hint="eastAsia"/>
                <w:b/>
                <w:color w:val="000000"/>
                <w:sz w:val="24"/>
              </w:rPr>
              <w:t xml:space="preserve"> 2）废气的治理措施</w:t>
            </w:r>
          </w:p>
          <w:p>
            <w:pPr>
              <w:spacing w:line="360" w:lineRule="auto"/>
              <w:ind w:firstLine="480" w:firstLineChars="200"/>
              <w:rPr>
                <w:rFonts w:hint="eastAsia"/>
                <w:sz w:val="24"/>
              </w:rPr>
            </w:pPr>
            <w:r>
              <w:rPr>
                <w:rFonts w:hint="eastAsia"/>
                <w:sz w:val="24"/>
              </w:rPr>
              <w:t>①热压工序有机废气治理措施</w:t>
            </w:r>
          </w:p>
          <w:p>
            <w:pPr>
              <w:spacing w:line="360" w:lineRule="auto"/>
              <w:ind w:firstLine="480" w:firstLineChars="200"/>
              <w:rPr>
                <w:rFonts w:hint="eastAsia" w:eastAsia="宋体"/>
                <w:sz w:val="24"/>
                <w:lang w:val="en-US" w:eastAsia="zh-CN"/>
              </w:rPr>
            </w:pPr>
            <w:r>
              <w:rPr>
                <w:rFonts w:hint="eastAsia"/>
                <w:sz w:val="24"/>
                <w:lang w:val="en-US" w:eastAsia="zh-CN"/>
              </w:rPr>
              <w:t>A、有组织废气</w:t>
            </w:r>
          </w:p>
          <w:p>
            <w:pPr>
              <w:spacing w:line="360" w:lineRule="auto"/>
              <w:ind w:firstLine="480" w:firstLineChars="200"/>
              <w:rPr>
                <w:rFonts w:hint="default" w:eastAsia="宋体"/>
                <w:color w:val="auto"/>
                <w:sz w:val="24"/>
                <w:lang w:val="en-US" w:eastAsia="zh-CN"/>
              </w:rPr>
            </w:pPr>
            <w:r>
              <w:rPr>
                <w:rFonts w:hint="eastAsia"/>
                <w:sz w:val="24"/>
              </w:rPr>
              <w:t>本项目热压工序主要产生的为非甲烷总烃类有机气体，为防止有机气体对环境产生影响，本评价要求，在每台热压机上方设置集气设备</w:t>
            </w:r>
            <w:r>
              <w:rPr>
                <w:rFonts w:hint="eastAsia"/>
                <w:sz w:val="24"/>
                <w:lang w:eastAsia="zh-CN"/>
              </w:rPr>
              <w:t>（收集率达</w:t>
            </w:r>
            <w:r>
              <w:rPr>
                <w:rFonts w:hint="eastAsia"/>
                <w:sz w:val="24"/>
                <w:lang w:val="en-US" w:eastAsia="zh-CN"/>
              </w:rPr>
              <w:t>90%</w:t>
            </w:r>
            <w:r>
              <w:rPr>
                <w:rFonts w:hint="eastAsia"/>
                <w:sz w:val="24"/>
                <w:lang w:eastAsia="zh-CN"/>
              </w:rPr>
              <w:t>）</w:t>
            </w:r>
            <w:r>
              <w:rPr>
                <w:rFonts w:hint="eastAsia"/>
                <w:sz w:val="24"/>
              </w:rPr>
              <w:t>，将热压工序有机气体通过集气罩收集后，经一套UV光催化氧化设备处理后，通</w:t>
            </w:r>
            <w:r>
              <w:rPr>
                <w:rFonts w:hint="eastAsia"/>
                <w:color w:val="000000"/>
                <w:sz w:val="24"/>
              </w:rPr>
              <w:t>过</w:t>
            </w:r>
            <w:r>
              <w:rPr>
                <w:rFonts w:hint="eastAsia"/>
                <w:color w:val="000000"/>
                <w:sz w:val="24"/>
                <w:lang w:val="en-US" w:eastAsia="zh-CN"/>
              </w:rPr>
              <w:t>15</w:t>
            </w:r>
            <w:r>
              <w:rPr>
                <w:rFonts w:hint="eastAsia"/>
                <w:color w:val="000000"/>
                <w:sz w:val="24"/>
              </w:rPr>
              <w:t>m高</w:t>
            </w:r>
            <w:r>
              <w:rPr>
                <w:rFonts w:hint="eastAsia"/>
                <w:sz w:val="24"/>
              </w:rPr>
              <w:t>排气筒排放，每台集气罩风量为2000m</w:t>
            </w:r>
            <w:r>
              <w:rPr>
                <w:rFonts w:hint="eastAsia"/>
                <w:sz w:val="24"/>
                <w:vertAlign w:val="superscript"/>
              </w:rPr>
              <w:t>3</w:t>
            </w:r>
            <w:r>
              <w:rPr>
                <w:rFonts w:hint="eastAsia"/>
                <w:sz w:val="24"/>
              </w:rPr>
              <w:t>/h，</w:t>
            </w:r>
            <w:r>
              <w:rPr>
                <w:rFonts w:hint="eastAsia"/>
                <w:color w:val="auto"/>
                <w:sz w:val="24"/>
                <w:lang w:eastAsia="zh-CN"/>
              </w:rPr>
              <w:t>经</w:t>
            </w:r>
            <w:r>
              <w:rPr>
                <w:rFonts w:hint="eastAsia"/>
                <w:color w:val="auto"/>
                <w:sz w:val="24"/>
              </w:rPr>
              <w:t>UV光催化氧化设备</w:t>
            </w:r>
            <w:r>
              <w:rPr>
                <w:rFonts w:hint="eastAsia"/>
                <w:color w:val="auto"/>
                <w:sz w:val="24"/>
                <w:lang w:val="en-US" w:eastAsia="zh-CN"/>
              </w:rPr>
              <w:t>+活性炭处理后，</w:t>
            </w:r>
            <w:r>
              <w:rPr>
                <w:rFonts w:hint="eastAsia"/>
                <w:color w:val="auto"/>
                <w:sz w:val="24"/>
              </w:rPr>
              <w:t>对非甲烷总烃的处理效率达到</w:t>
            </w:r>
            <w:r>
              <w:rPr>
                <w:rFonts w:hint="eastAsia"/>
                <w:color w:val="auto"/>
                <w:sz w:val="24"/>
                <w:lang w:val="en-US" w:eastAsia="zh-CN"/>
              </w:rPr>
              <w:t>90</w:t>
            </w:r>
            <w:r>
              <w:rPr>
                <w:rFonts w:hint="eastAsia"/>
                <w:color w:val="auto"/>
                <w:sz w:val="24"/>
              </w:rPr>
              <w:t>%以上。</w:t>
            </w:r>
            <w:r>
              <w:rPr>
                <w:rFonts w:hint="eastAsia"/>
                <w:sz w:val="24"/>
              </w:rPr>
              <w:t>经治理后，本项目热压工序非甲烷总烃</w:t>
            </w:r>
            <w:r>
              <w:rPr>
                <w:rFonts w:hint="eastAsia"/>
                <w:color w:val="auto"/>
                <w:sz w:val="24"/>
              </w:rPr>
              <w:t>的排放浓度为</w:t>
            </w:r>
            <w:r>
              <w:rPr>
                <w:rFonts w:hint="eastAsia"/>
                <w:color w:val="auto"/>
                <w:sz w:val="24"/>
                <w:lang w:val="en-US" w:eastAsia="zh-CN"/>
              </w:rPr>
              <w:t>0.631</w:t>
            </w:r>
            <w:r>
              <w:rPr>
                <w:rFonts w:hint="eastAsia"/>
                <w:color w:val="auto"/>
                <w:sz w:val="24"/>
              </w:rPr>
              <w:t>mg/m</w:t>
            </w:r>
            <w:r>
              <w:rPr>
                <w:rFonts w:hint="eastAsia"/>
                <w:color w:val="auto"/>
                <w:sz w:val="24"/>
                <w:vertAlign w:val="superscript"/>
              </w:rPr>
              <w:t>3</w:t>
            </w:r>
            <w:r>
              <w:rPr>
                <w:rFonts w:hint="eastAsia"/>
                <w:color w:val="auto"/>
                <w:sz w:val="24"/>
              </w:rPr>
              <w:t>，排放速率为0.0</w:t>
            </w:r>
            <w:r>
              <w:rPr>
                <w:rFonts w:hint="eastAsia"/>
                <w:color w:val="auto"/>
                <w:sz w:val="24"/>
                <w:lang w:val="en-US" w:eastAsia="zh-CN"/>
              </w:rPr>
              <w:t>00272</w:t>
            </w:r>
            <w:r>
              <w:rPr>
                <w:rFonts w:hint="eastAsia"/>
                <w:color w:val="auto"/>
                <w:sz w:val="24"/>
              </w:rPr>
              <w:t>kg/h，排放量为0.0</w:t>
            </w:r>
            <w:r>
              <w:rPr>
                <w:rFonts w:hint="eastAsia"/>
                <w:color w:val="auto"/>
                <w:sz w:val="24"/>
                <w:lang w:val="en-US" w:eastAsia="zh-CN"/>
              </w:rPr>
              <w:t>00653</w:t>
            </w:r>
            <w:r>
              <w:rPr>
                <w:rFonts w:hint="eastAsia"/>
                <w:color w:val="auto"/>
                <w:sz w:val="24"/>
              </w:rPr>
              <w:t>t/a</w:t>
            </w:r>
            <w:r>
              <w:rPr>
                <w:rFonts w:hint="eastAsia"/>
                <w:color w:val="auto"/>
                <w:sz w:val="24"/>
                <w:lang w:eastAsia="zh-CN"/>
              </w:rPr>
              <w:t>，</w:t>
            </w:r>
            <w:r>
              <w:rPr>
                <w:rFonts w:hint="eastAsia"/>
                <w:color w:val="auto"/>
                <w:sz w:val="24"/>
              </w:rPr>
              <w:t>能够达到《四川省固定污染源大气挥发性有机物排放标准标准》要求。</w:t>
            </w:r>
          </w:p>
          <w:p>
            <w:pPr>
              <w:spacing w:line="360" w:lineRule="auto"/>
              <w:ind w:firstLine="480" w:firstLineChars="200"/>
              <w:rPr>
                <w:rFonts w:hint="eastAsia" w:eastAsia="宋体"/>
                <w:sz w:val="24"/>
                <w:lang w:val="en-US" w:eastAsia="zh-CN"/>
              </w:rPr>
            </w:pPr>
            <w:r>
              <w:rPr>
                <w:rFonts w:hint="eastAsia"/>
                <w:sz w:val="24"/>
                <w:lang w:val="en-US" w:eastAsia="zh-CN"/>
              </w:rPr>
              <w:t>B、无组织废气</w:t>
            </w:r>
          </w:p>
          <w:p>
            <w:pPr>
              <w:spacing w:line="360" w:lineRule="auto"/>
              <w:ind w:firstLine="480" w:firstLineChars="200"/>
              <w:rPr>
                <w:rFonts w:hint="default" w:eastAsia="宋体"/>
                <w:sz w:val="24"/>
                <w:lang w:val="en-US" w:eastAsia="zh-CN"/>
              </w:rPr>
            </w:pPr>
            <w:r>
              <w:rPr>
                <w:rFonts w:hint="eastAsia"/>
                <w:sz w:val="24"/>
                <w:lang w:eastAsia="zh-CN"/>
              </w:rPr>
              <w:t>整个热压工序处于非完全封闭工作环境下，经</w:t>
            </w:r>
            <w:r>
              <w:rPr>
                <w:rFonts w:hint="eastAsia"/>
                <w:sz w:val="24"/>
              </w:rPr>
              <w:t>热压机上方集气设备</w:t>
            </w:r>
            <w:r>
              <w:rPr>
                <w:rFonts w:hint="eastAsia"/>
                <w:sz w:val="24"/>
                <w:lang w:eastAsia="zh-CN"/>
              </w:rPr>
              <w:t>收集后（收集率达</w:t>
            </w:r>
            <w:r>
              <w:rPr>
                <w:rFonts w:hint="eastAsia"/>
                <w:sz w:val="24"/>
                <w:lang w:val="en-US" w:eastAsia="zh-CN"/>
              </w:rPr>
              <w:t>90%</w:t>
            </w:r>
            <w:r>
              <w:rPr>
                <w:rFonts w:hint="eastAsia"/>
                <w:sz w:val="24"/>
                <w:lang w:eastAsia="zh-CN"/>
              </w:rPr>
              <w:t>），少量有机废气无组织排放，排放浓度为</w:t>
            </w:r>
            <w:r>
              <w:rPr>
                <w:rFonts w:hint="eastAsia"/>
                <w:color w:val="auto"/>
                <w:sz w:val="24"/>
                <w:lang w:val="en-US" w:eastAsia="zh-CN"/>
              </w:rPr>
              <w:t>7.02</w:t>
            </w:r>
            <w:r>
              <w:rPr>
                <w:rFonts w:hint="eastAsia"/>
                <w:color w:val="auto"/>
                <w:sz w:val="24"/>
                <w:lang w:eastAsia="zh-CN"/>
              </w:rPr>
              <w:t>mg/m3，</w:t>
            </w:r>
            <w:r>
              <w:rPr>
                <w:rFonts w:hint="eastAsia"/>
                <w:sz w:val="24"/>
                <w:lang w:eastAsia="zh-CN"/>
              </w:rPr>
              <w:t>排放量为</w:t>
            </w:r>
            <w:r>
              <w:rPr>
                <w:rFonts w:hint="eastAsia"/>
                <w:color w:val="auto"/>
                <w:sz w:val="24"/>
                <w:lang w:val="en-US" w:eastAsia="zh-CN"/>
              </w:rPr>
              <w:t>0.000726</w:t>
            </w:r>
            <w:r>
              <w:rPr>
                <w:rFonts w:hint="eastAsia"/>
                <w:color w:val="auto"/>
                <w:sz w:val="24"/>
                <w:lang w:eastAsia="zh-CN"/>
              </w:rPr>
              <w:t>t/a。</w:t>
            </w:r>
          </w:p>
          <w:p>
            <w:pPr>
              <w:spacing w:line="360" w:lineRule="auto"/>
              <w:ind w:firstLine="480" w:firstLineChars="200"/>
              <w:rPr>
                <w:rFonts w:hint="eastAsia"/>
                <w:sz w:val="24"/>
              </w:rPr>
            </w:pPr>
            <w:r>
              <w:rPr>
                <w:rFonts w:hint="eastAsia"/>
                <w:sz w:val="24"/>
              </w:rPr>
              <w:t>②导热油炉天然气燃烧废气治理措施</w:t>
            </w:r>
          </w:p>
          <w:p>
            <w:pPr>
              <w:spacing w:line="360" w:lineRule="auto"/>
              <w:ind w:firstLine="480" w:firstLineChars="200"/>
              <w:rPr>
                <w:rFonts w:hint="eastAsia"/>
                <w:sz w:val="24"/>
              </w:rPr>
            </w:pPr>
            <w:r>
              <w:rPr>
                <w:rFonts w:hint="eastAsia"/>
                <w:sz w:val="24"/>
              </w:rPr>
              <w:t>本项目导热油炉燃烧的能源为天然</w:t>
            </w:r>
            <w:r>
              <w:rPr>
                <w:rFonts w:hint="eastAsia"/>
                <w:color w:val="000000"/>
                <w:sz w:val="24"/>
              </w:rPr>
              <w:t>气，天然气为清洁能源，燃烧产生污染物质浓度很小，导热油炉天然气燃烧尾气</w:t>
            </w:r>
            <w:r>
              <w:rPr>
                <w:rFonts w:hint="eastAsia"/>
                <w:color w:val="000000"/>
                <w:sz w:val="24"/>
                <w:lang w:eastAsia="zh-CN"/>
              </w:rPr>
              <w:t>经</w:t>
            </w:r>
            <w:r>
              <w:rPr>
                <w:rFonts w:hint="eastAsia"/>
                <w:color w:val="000000"/>
                <w:sz w:val="24"/>
                <w:lang w:val="en-US" w:eastAsia="zh-CN"/>
              </w:rPr>
              <w:t>8m排气筒</w:t>
            </w:r>
            <w:r>
              <w:rPr>
                <w:rFonts w:hint="eastAsia"/>
                <w:color w:val="000000"/>
                <w:sz w:val="24"/>
              </w:rPr>
              <w:t>排放。其排放浓度达到</w:t>
            </w:r>
            <w:r>
              <w:rPr>
                <w:color w:val="000000"/>
                <w:sz w:val="24"/>
              </w:rPr>
              <w:t>《</w:t>
            </w:r>
            <w:r>
              <w:rPr>
                <w:rFonts w:hint="eastAsia"/>
                <w:color w:val="000000"/>
                <w:sz w:val="24"/>
              </w:rPr>
              <w:t>锅炉大气污染物</w:t>
            </w:r>
            <w:r>
              <w:rPr>
                <w:color w:val="000000"/>
                <w:sz w:val="24"/>
              </w:rPr>
              <w:t>排放标准》</w:t>
            </w:r>
            <w:r>
              <w:rPr>
                <w:rFonts w:hint="eastAsia"/>
                <w:color w:val="000000"/>
                <w:sz w:val="24"/>
              </w:rPr>
              <w:t>（</w:t>
            </w:r>
            <w:r>
              <w:rPr>
                <w:color w:val="000000"/>
                <w:sz w:val="24"/>
              </w:rPr>
              <w:t>GB</w:t>
            </w:r>
            <w:r>
              <w:rPr>
                <w:rFonts w:hint="eastAsia"/>
                <w:color w:val="000000"/>
                <w:sz w:val="24"/>
              </w:rPr>
              <w:t>13271</w:t>
            </w:r>
            <w:r>
              <w:rPr>
                <w:color w:val="000000"/>
                <w:sz w:val="24"/>
              </w:rPr>
              <w:t>-</w:t>
            </w:r>
            <w:r>
              <w:rPr>
                <w:rFonts w:hint="eastAsia"/>
                <w:color w:val="000000"/>
                <w:sz w:val="24"/>
              </w:rPr>
              <w:t>2014）的相关要求。</w:t>
            </w:r>
          </w:p>
          <w:p>
            <w:pPr>
              <w:spacing w:line="360" w:lineRule="auto"/>
              <w:rPr>
                <w:rFonts w:hint="eastAsia"/>
                <w:sz w:val="24"/>
              </w:rPr>
            </w:pPr>
            <w:r>
              <w:rPr>
                <w:rFonts w:hint="eastAsia"/>
                <w:sz w:val="24"/>
              </w:rPr>
              <w:t>具体如下表5-</w:t>
            </w:r>
            <w:r>
              <w:rPr>
                <w:rFonts w:hint="eastAsia"/>
                <w:sz w:val="24"/>
                <w:lang w:val="en-US" w:eastAsia="zh-CN"/>
              </w:rPr>
              <w:t>1</w:t>
            </w:r>
            <w:r>
              <w:rPr>
                <w:rFonts w:hint="eastAsia"/>
                <w:sz w:val="24"/>
              </w:rPr>
              <w:t>。</w:t>
            </w:r>
          </w:p>
          <w:p>
            <w:pPr>
              <w:spacing w:line="360" w:lineRule="auto"/>
              <w:ind w:firstLine="422" w:firstLineChars="200"/>
              <w:jc w:val="center"/>
              <w:rPr>
                <w:rFonts w:hint="eastAsia"/>
                <w:b/>
                <w:sz w:val="21"/>
                <w:szCs w:val="21"/>
              </w:rPr>
            </w:pPr>
            <w:r>
              <w:rPr>
                <w:rFonts w:hint="eastAsia"/>
                <w:b/>
                <w:sz w:val="21"/>
                <w:szCs w:val="21"/>
              </w:rPr>
              <w:t>表5-</w:t>
            </w:r>
            <w:r>
              <w:rPr>
                <w:rFonts w:hint="eastAsia"/>
                <w:b/>
                <w:sz w:val="21"/>
                <w:szCs w:val="21"/>
                <w:lang w:val="en-US" w:eastAsia="zh-CN"/>
              </w:rPr>
              <w:t>1</w:t>
            </w:r>
            <w:r>
              <w:rPr>
                <w:rFonts w:hint="eastAsia"/>
                <w:b/>
                <w:sz w:val="21"/>
                <w:szCs w:val="21"/>
              </w:rPr>
              <w:t xml:space="preserve"> 项目燃烧废气排放浓度与标准限值一览表</w:t>
            </w:r>
          </w:p>
          <w:tbl>
            <w:tblPr>
              <w:tblStyle w:val="69"/>
              <w:tblW w:w="81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5"/>
              <w:gridCol w:w="1499"/>
              <w:gridCol w:w="1143"/>
              <w:gridCol w:w="2150"/>
              <w:gridCol w:w="21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7" w:hRule="atLeast"/>
                <w:jc w:val="center"/>
              </w:trPr>
              <w:tc>
                <w:tcPr>
                  <w:tcW w:w="1185" w:type="dxa"/>
                  <w:tcBorders>
                    <w:top w:val="single" w:color="auto" w:sz="8" w:space="0"/>
                    <w:left w:val="single" w:color="auto" w:sz="8" w:space="0"/>
                    <w:bottom w:val="single" w:color="auto" w:sz="6" w:space="0"/>
                    <w:right w:val="single" w:color="auto" w:sz="4" w:space="0"/>
                  </w:tcBorders>
                  <w:noWrap w:val="0"/>
                  <w:vAlign w:val="center"/>
                </w:tcPr>
                <w:p>
                  <w:pPr>
                    <w:pStyle w:val="30"/>
                    <w:jc w:val="center"/>
                    <w:rPr>
                      <w:rFonts w:ascii="Times New Roman" w:hAnsi="Times New Roman"/>
                      <w:b/>
                      <w:bCs/>
                      <w:lang w:val="en-US" w:eastAsia="zh-CN"/>
                    </w:rPr>
                  </w:pPr>
                  <w:r>
                    <w:rPr>
                      <w:rFonts w:hint="eastAsia" w:ascii="Times New Roman" w:hAnsi="Times New Roman"/>
                      <w:b/>
                      <w:bCs/>
                      <w:lang w:val="en-US" w:eastAsia="zh-CN"/>
                    </w:rPr>
                    <w:t>名称</w:t>
                  </w:r>
                </w:p>
              </w:tc>
              <w:tc>
                <w:tcPr>
                  <w:tcW w:w="1499" w:type="dxa"/>
                  <w:tcBorders>
                    <w:top w:val="single" w:color="auto" w:sz="8" w:space="0"/>
                    <w:left w:val="single" w:color="auto" w:sz="4" w:space="0"/>
                    <w:bottom w:val="single" w:color="auto" w:sz="6" w:space="0"/>
                  </w:tcBorders>
                  <w:noWrap w:val="0"/>
                  <w:vAlign w:val="center"/>
                </w:tcPr>
                <w:p>
                  <w:pPr>
                    <w:pStyle w:val="30"/>
                    <w:jc w:val="center"/>
                    <w:rPr>
                      <w:rFonts w:ascii="Times New Roman" w:hAnsi="Times New Roman"/>
                      <w:b/>
                      <w:bCs/>
                      <w:lang w:val="en-US" w:eastAsia="zh-CN"/>
                    </w:rPr>
                  </w:pPr>
                  <w:r>
                    <w:rPr>
                      <w:rFonts w:hint="eastAsia" w:ascii="Times New Roman" w:hAnsi="Times New Roman"/>
                      <w:b/>
                      <w:bCs/>
                      <w:lang w:val="en-US" w:eastAsia="zh-CN"/>
                    </w:rPr>
                    <w:t>排放浓度</w:t>
                  </w:r>
                </w:p>
              </w:tc>
              <w:tc>
                <w:tcPr>
                  <w:tcW w:w="1143" w:type="dxa"/>
                  <w:tcBorders>
                    <w:top w:val="single" w:color="auto" w:sz="8" w:space="0"/>
                    <w:left w:val="single" w:color="auto" w:sz="4" w:space="0"/>
                    <w:bottom w:val="single" w:color="auto" w:sz="6" w:space="0"/>
                  </w:tcBorders>
                  <w:noWrap w:val="0"/>
                  <w:vAlign w:val="center"/>
                </w:tcPr>
                <w:p>
                  <w:pPr>
                    <w:pStyle w:val="30"/>
                    <w:jc w:val="center"/>
                    <w:rPr>
                      <w:rFonts w:ascii="Times New Roman" w:hAnsi="Times New Roman"/>
                      <w:b/>
                      <w:bCs/>
                      <w:lang w:val="en-US" w:eastAsia="zh-CN"/>
                    </w:rPr>
                  </w:pPr>
                  <w:r>
                    <w:rPr>
                      <w:rFonts w:hint="eastAsia" w:ascii="Times New Roman" w:hAnsi="Times New Roman"/>
                      <w:b/>
                      <w:bCs/>
                      <w:lang w:val="en-US" w:eastAsia="zh-CN"/>
                    </w:rPr>
                    <w:t>排放速率</w:t>
                  </w:r>
                </w:p>
              </w:tc>
              <w:tc>
                <w:tcPr>
                  <w:tcW w:w="2150" w:type="dxa"/>
                  <w:tcBorders>
                    <w:top w:val="single" w:color="auto" w:sz="8" w:space="0"/>
                    <w:bottom w:val="single" w:color="auto" w:sz="6" w:space="0"/>
                    <w:right w:val="single" w:color="auto" w:sz="4" w:space="0"/>
                  </w:tcBorders>
                  <w:noWrap w:val="0"/>
                  <w:vAlign w:val="center"/>
                </w:tcPr>
                <w:p>
                  <w:pPr>
                    <w:pStyle w:val="30"/>
                    <w:jc w:val="center"/>
                    <w:rPr>
                      <w:rFonts w:ascii="Times New Roman" w:hAnsi="Times New Roman"/>
                      <w:b/>
                      <w:bCs/>
                      <w:lang w:val="en-US" w:eastAsia="zh-CN"/>
                    </w:rPr>
                  </w:pPr>
                  <w:r>
                    <w:rPr>
                      <w:rFonts w:hint="eastAsia" w:ascii="Times New Roman" w:hAnsi="Times New Roman"/>
                      <w:b/>
                      <w:bCs/>
                      <w:lang w:val="en-US" w:eastAsia="zh-CN"/>
                    </w:rPr>
                    <w:t>标准限值</w:t>
                  </w:r>
                </w:p>
              </w:tc>
              <w:tc>
                <w:tcPr>
                  <w:tcW w:w="2149" w:type="dxa"/>
                  <w:tcBorders>
                    <w:top w:val="single" w:color="auto" w:sz="8" w:space="0"/>
                    <w:bottom w:val="single" w:color="auto" w:sz="6" w:space="0"/>
                    <w:right w:val="single" w:color="auto" w:sz="4" w:space="0"/>
                  </w:tcBorders>
                  <w:noWrap w:val="0"/>
                  <w:vAlign w:val="top"/>
                </w:tcPr>
                <w:p>
                  <w:pPr>
                    <w:pStyle w:val="30"/>
                    <w:jc w:val="center"/>
                    <w:rPr>
                      <w:rFonts w:hint="eastAsia" w:ascii="Times New Roman" w:hAnsi="Times New Roman"/>
                      <w:b/>
                      <w:bCs/>
                      <w:lang w:val="en-US" w:eastAsia="zh-CN"/>
                    </w:rPr>
                  </w:pPr>
                  <w:r>
                    <w:rPr>
                      <w:rFonts w:hint="eastAsia" w:ascii="Times New Roman" w:hAnsi="Times New Roman"/>
                      <w:b/>
                      <w:bCs/>
                      <w:lang w:val="en-US" w:eastAsia="zh-CN"/>
                    </w:rPr>
                    <w:t>达标情况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7" w:hRule="atLeast"/>
                <w:jc w:val="center"/>
              </w:trPr>
              <w:tc>
                <w:tcPr>
                  <w:tcW w:w="1185" w:type="dxa"/>
                  <w:tcBorders>
                    <w:top w:val="single" w:color="auto" w:sz="6" w:space="0"/>
                    <w:left w:val="single" w:color="auto" w:sz="8" w:space="0"/>
                    <w:bottom w:val="single" w:color="auto" w:sz="6" w:space="0"/>
                    <w:right w:val="single" w:color="auto" w:sz="4" w:space="0"/>
                  </w:tcBorders>
                  <w:noWrap w:val="0"/>
                  <w:vAlign w:val="center"/>
                </w:tcPr>
                <w:p>
                  <w:pPr>
                    <w:pStyle w:val="30"/>
                    <w:jc w:val="center"/>
                    <w:rPr>
                      <w:rFonts w:ascii="Times New Roman" w:hAnsi="Times New Roman"/>
                      <w:vertAlign w:val="subscript"/>
                      <w:lang w:val="en-US" w:eastAsia="zh-CN"/>
                    </w:rPr>
                  </w:pPr>
                  <w:r>
                    <w:rPr>
                      <w:rFonts w:hint="eastAsia" w:ascii="Times New Roman" w:hAnsi="Times New Roman"/>
                      <w:lang w:val="en-US" w:eastAsia="zh-CN"/>
                    </w:rPr>
                    <w:t>SO</w:t>
                  </w:r>
                  <w:r>
                    <w:rPr>
                      <w:rFonts w:hint="eastAsia" w:ascii="Times New Roman" w:hAnsi="Times New Roman"/>
                      <w:vertAlign w:val="subscript"/>
                      <w:lang w:val="en-US" w:eastAsia="zh-CN"/>
                    </w:rPr>
                    <w:t>2</w:t>
                  </w:r>
                </w:p>
              </w:tc>
              <w:tc>
                <w:tcPr>
                  <w:tcW w:w="1499" w:type="dxa"/>
                  <w:tcBorders>
                    <w:top w:val="single" w:color="auto" w:sz="6" w:space="0"/>
                    <w:left w:val="single" w:color="auto" w:sz="4" w:space="0"/>
                    <w:bottom w:val="single" w:color="auto" w:sz="6" w:space="0"/>
                  </w:tcBorders>
                  <w:noWrap w:val="0"/>
                  <w:vAlign w:val="center"/>
                </w:tcPr>
                <w:p>
                  <w:pPr>
                    <w:jc w:val="center"/>
                    <w:rPr>
                      <w:rFonts w:hint="eastAsia"/>
                      <w:color w:val="auto"/>
                      <w:kern w:val="0"/>
                      <w:szCs w:val="21"/>
                    </w:rPr>
                  </w:pPr>
                  <w:r>
                    <w:rPr>
                      <w:rFonts w:hint="eastAsia"/>
                      <w:color w:val="auto"/>
                      <w:sz w:val="24"/>
                      <w:lang w:val="en-US" w:eastAsia="zh-CN"/>
                    </w:rPr>
                    <w:t>9.52</w:t>
                  </w:r>
                  <w:r>
                    <w:rPr>
                      <w:rFonts w:hint="eastAsia"/>
                      <w:color w:val="auto"/>
                      <w:sz w:val="24"/>
                    </w:rPr>
                    <w:t>mg/m</w:t>
                  </w:r>
                  <w:r>
                    <w:rPr>
                      <w:rFonts w:hint="eastAsia"/>
                      <w:color w:val="auto"/>
                      <w:sz w:val="24"/>
                      <w:vertAlign w:val="superscript"/>
                    </w:rPr>
                    <w:t>3</w:t>
                  </w:r>
                </w:p>
              </w:tc>
              <w:tc>
                <w:tcPr>
                  <w:tcW w:w="1143" w:type="dxa"/>
                  <w:tcBorders>
                    <w:top w:val="single" w:color="auto" w:sz="6" w:space="0"/>
                    <w:left w:val="single" w:color="auto" w:sz="4" w:space="0"/>
                    <w:bottom w:val="single" w:color="auto" w:sz="6" w:space="0"/>
                  </w:tcBorders>
                  <w:noWrap w:val="0"/>
                  <w:vAlign w:val="center"/>
                </w:tcPr>
                <w:p>
                  <w:pPr>
                    <w:jc w:val="center"/>
                    <w:rPr>
                      <w:rFonts w:hint="eastAsia"/>
                      <w:color w:val="000000"/>
                      <w:sz w:val="24"/>
                    </w:rPr>
                  </w:pPr>
                  <w:r>
                    <w:rPr>
                      <w:rFonts w:hint="eastAsia"/>
                      <w:color w:val="000000"/>
                      <w:sz w:val="24"/>
                    </w:rPr>
                    <w:t>/</w:t>
                  </w:r>
                </w:p>
              </w:tc>
              <w:tc>
                <w:tcPr>
                  <w:tcW w:w="2150" w:type="dxa"/>
                  <w:tcBorders>
                    <w:top w:val="single" w:color="auto" w:sz="6" w:space="0"/>
                    <w:bottom w:val="single" w:color="auto" w:sz="6" w:space="0"/>
                    <w:right w:val="single" w:color="auto" w:sz="4" w:space="0"/>
                  </w:tcBorders>
                  <w:noWrap w:val="0"/>
                  <w:vAlign w:val="center"/>
                </w:tcPr>
                <w:p>
                  <w:pPr>
                    <w:widowControl/>
                    <w:jc w:val="center"/>
                    <w:rPr>
                      <w:bCs/>
                      <w:kern w:val="0"/>
                      <w:szCs w:val="21"/>
                    </w:rPr>
                  </w:pPr>
                  <w:r>
                    <w:rPr>
                      <w:bCs/>
                      <w:kern w:val="0"/>
                      <w:szCs w:val="21"/>
                    </w:rPr>
                    <w:t>50</w:t>
                  </w:r>
                  <w:r>
                    <w:rPr>
                      <w:rFonts w:hint="eastAsia"/>
                      <w:color w:val="000000"/>
                      <w:sz w:val="24"/>
                    </w:rPr>
                    <w:t xml:space="preserve"> mg/m</w:t>
                  </w:r>
                  <w:r>
                    <w:rPr>
                      <w:rFonts w:hint="eastAsia"/>
                      <w:color w:val="000000"/>
                      <w:sz w:val="24"/>
                      <w:vertAlign w:val="superscript"/>
                    </w:rPr>
                    <w:t>3</w:t>
                  </w:r>
                </w:p>
              </w:tc>
              <w:tc>
                <w:tcPr>
                  <w:tcW w:w="2149" w:type="dxa"/>
                  <w:tcBorders>
                    <w:top w:val="single" w:color="auto" w:sz="6" w:space="0"/>
                    <w:bottom w:val="single" w:color="auto" w:sz="6" w:space="0"/>
                    <w:right w:val="single" w:color="auto" w:sz="4" w:space="0"/>
                  </w:tcBorders>
                  <w:noWrap w:val="0"/>
                  <w:vAlign w:val="top"/>
                </w:tcPr>
                <w:p>
                  <w:pPr>
                    <w:widowControl/>
                    <w:jc w:val="center"/>
                    <w:rPr>
                      <w:bCs/>
                      <w:kern w:val="0"/>
                      <w:szCs w:val="21"/>
                    </w:rPr>
                  </w:pPr>
                  <w:r>
                    <w:rPr>
                      <w:rFonts w:hint="eastAsia"/>
                      <w:bCs/>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5" w:hRule="atLeast"/>
                <w:jc w:val="center"/>
              </w:trPr>
              <w:tc>
                <w:tcPr>
                  <w:tcW w:w="1185" w:type="dxa"/>
                  <w:tcBorders>
                    <w:top w:val="single" w:color="auto" w:sz="6" w:space="0"/>
                    <w:left w:val="single" w:color="auto" w:sz="8" w:space="0"/>
                    <w:bottom w:val="single" w:color="auto" w:sz="6" w:space="0"/>
                    <w:right w:val="single" w:color="auto" w:sz="4" w:space="0"/>
                  </w:tcBorders>
                  <w:noWrap w:val="0"/>
                  <w:vAlign w:val="center"/>
                </w:tcPr>
                <w:p>
                  <w:pPr>
                    <w:pStyle w:val="30"/>
                    <w:jc w:val="center"/>
                    <w:rPr>
                      <w:rFonts w:ascii="Times New Roman" w:hAnsi="Times New Roman"/>
                      <w:vertAlign w:val="subscript"/>
                      <w:lang w:val="en-US" w:eastAsia="zh-CN"/>
                    </w:rPr>
                  </w:pPr>
                  <w:r>
                    <w:rPr>
                      <w:rFonts w:hint="eastAsia" w:ascii="Times New Roman" w:hAnsi="Times New Roman"/>
                      <w:lang w:val="en-US" w:eastAsia="zh-CN"/>
                    </w:rPr>
                    <w:t>NO</w:t>
                  </w:r>
                  <w:r>
                    <w:rPr>
                      <w:rFonts w:hint="eastAsia" w:ascii="Times New Roman" w:hAnsi="Times New Roman"/>
                      <w:vertAlign w:val="subscript"/>
                      <w:lang w:val="en-US" w:eastAsia="zh-CN"/>
                    </w:rPr>
                    <w:t>x</w:t>
                  </w:r>
                </w:p>
              </w:tc>
              <w:tc>
                <w:tcPr>
                  <w:tcW w:w="1499" w:type="dxa"/>
                  <w:tcBorders>
                    <w:top w:val="single" w:color="auto" w:sz="6" w:space="0"/>
                    <w:left w:val="single" w:color="auto" w:sz="4" w:space="0"/>
                    <w:bottom w:val="single" w:color="auto" w:sz="6" w:space="0"/>
                  </w:tcBorders>
                  <w:noWrap w:val="0"/>
                  <w:vAlign w:val="center"/>
                </w:tcPr>
                <w:p>
                  <w:pPr>
                    <w:jc w:val="center"/>
                    <w:rPr>
                      <w:color w:val="auto"/>
                      <w:kern w:val="0"/>
                      <w:szCs w:val="21"/>
                    </w:rPr>
                  </w:pPr>
                  <w:r>
                    <w:rPr>
                      <w:rFonts w:hint="eastAsia"/>
                      <w:color w:val="auto"/>
                      <w:sz w:val="24"/>
                      <w:lang w:val="en-US" w:eastAsia="zh-CN"/>
                    </w:rPr>
                    <w:t>60</w:t>
                  </w:r>
                  <w:r>
                    <w:rPr>
                      <w:rFonts w:hint="eastAsia"/>
                      <w:color w:val="auto"/>
                      <w:sz w:val="24"/>
                    </w:rPr>
                    <w:t>mg/m</w:t>
                  </w:r>
                  <w:r>
                    <w:rPr>
                      <w:rFonts w:hint="eastAsia"/>
                      <w:color w:val="auto"/>
                      <w:sz w:val="24"/>
                      <w:vertAlign w:val="superscript"/>
                    </w:rPr>
                    <w:t>3</w:t>
                  </w:r>
                </w:p>
              </w:tc>
              <w:tc>
                <w:tcPr>
                  <w:tcW w:w="1143" w:type="dxa"/>
                  <w:tcBorders>
                    <w:top w:val="single" w:color="auto" w:sz="6" w:space="0"/>
                    <w:left w:val="single" w:color="auto" w:sz="4" w:space="0"/>
                    <w:bottom w:val="single" w:color="auto" w:sz="6" w:space="0"/>
                  </w:tcBorders>
                  <w:noWrap w:val="0"/>
                  <w:vAlign w:val="center"/>
                </w:tcPr>
                <w:p>
                  <w:pPr>
                    <w:jc w:val="center"/>
                    <w:rPr>
                      <w:color w:val="000000"/>
                      <w:sz w:val="24"/>
                    </w:rPr>
                  </w:pPr>
                  <w:r>
                    <w:rPr>
                      <w:color w:val="000000"/>
                      <w:sz w:val="24"/>
                    </w:rPr>
                    <w:t>/</w:t>
                  </w:r>
                </w:p>
              </w:tc>
              <w:tc>
                <w:tcPr>
                  <w:tcW w:w="2150" w:type="dxa"/>
                  <w:tcBorders>
                    <w:top w:val="single" w:color="auto" w:sz="6" w:space="0"/>
                    <w:bottom w:val="single" w:color="auto" w:sz="6" w:space="0"/>
                    <w:right w:val="single" w:color="auto" w:sz="4" w:space="0"/>
                  </w:tcBorders>
                  <w:noWrap w:val="0"/>
                  <w:vAlign w:val="center"/>
                </w:tcPr>
                <w:p>
                  <w:pPr>
                    <w:widowControl/>
                    <w:jc w:val="center"/>
                    <w:rPr>
                      <w:kern w:val="0"/>
                      <w:szCs w:val="21"/>
                    </w:rPr>
                  </w:pPr>
                  <w:r>
                    <w:rPr>
                      <w:rFonts w:hint="eastAsia"/>
                      <w:kern w:val="0"/>
                      <w:szCs w:val="21"/>
                    </w:rPr>
                    <w:t>200</w:t>
                  </w:r>
                  <w:r>
                    <w:rPr>
                      <w:rFonts w:hint="eastAsia"/>
                      <w:color w:val="000000"/>
                      <w:sz w:val="24"/>
                    </w:rPr>
                    <w:t xml:space="preserve"> mg/m</w:t>
                  </w:r>
                  <w:r>
                    <w:rPr>
                      <w:rFonts w:hint="eastAsia"/>
                      <w:color w:val="000000"/>
                      <w:sz w:val="24"/>
                      <w:vertAlign w:val="superscript"/>
                    </w:rPr>
                    <w:t>3</w:t>
                  </w:r>
                </w:p>
              </w:tc>
              <w:tc>
                <w:tcPr>
                  <w:tcW w:w="2149" w:type="dxa"/>
                  <w:tcBorders>
                    <w:top w:val="single" w:color="auto" w:sz="6" w:space="0"/>
                    <w:bottom w:val="single" w:color="auto" w:sz="6" w:space="0"/>
                    <w:right w:val="single" w:color="auto" w:sz="4" w:space="0"/>
                  </w:tcBorders>
                  <w:noWrap w:val="0"/>
                  <w:vAlign w:val="top"/>
                </w:tcPr>
                <w:p>
                  <w:pPr>
                    <w:widowControl/>
                    <w:jc w:val="center"/>
                    <w:rPr>
                      <w:rFonts w:hint="eastAsia"/>
                      <w:kern w:val="0"/>
                      <w:szCs w:val="21"/>
                    </w:rPr>
                  </w:pPr>
                  <w:r>
                    <w:rPr>
                      <w:rFonts w:hint="eastAsia"/>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5" w:hRule="atLeast"/>
                <w:jc w:val="center"/>
              </w:trPr>
              <w:tc>
                <w:tcPr>
                  <w:tcW w:w="1185" w:type="dxa"/>
                  <w:tcBorders>
                    <w:top w:val="single" w:color="auto" w:sz="6" w:space="0"/>
                    <w:left w:val="single" w:color="auto" w:sz="8" w:space="0"/>
                    <w:bottom w:val="single" w:color="auto" w:sz="6" w:space="0"/>
                    <w:right w:val="single" w:color="auto" w:sz="4" w:space="0"/>
                  </w:tcBorders>
                  <w:noWrap w:val="0"/>
                  <w:vAlign w:val="center"/>
                </w:tcPr>
                <w:p>
                  <w:pPr>
                    <w:pStyle w:val="30"/>
                    <w:jc w:val="center"/>
                    <w:rPr>
                      <w:rFonts w:hint="eastAsia" w:ascii="Times New Roman" w:hAnsi="Times New Roman"/>
                      <w:lang w:val="en-US" w:eastAsia="zh-CN"/>
                    </w:rPr>
                  </w:pPr>
                  <w:r>
                    <w:rPr>
                      <w:rFonts w:hint="eastAsia" w:ascii="Times New Roman" w:hAnsi="Times New Roman"/>
                      <w:lang w:val="en-US" w:eastAsia="zh-CN"/>
                    </w:rPr>
                    <w:t>颗粒物</w:t>
                  </w:r>
                </w:p>
              </w:tc>
              <w:tc>
                <w:tcPr>
                  <w:tcW w:w="1499" w:type="dxa"/>
                  <w:tcBorders>
                    <w:top w:val="single" w:color="auto" w:sz="6" w:space="0"/>
                    <w:left w:val="single" w:color="auto" w:sz="4" w:space="0"/>
                    <w:bottom w:val="single" w:color="auto" w:sz="6" w:space="0"/>
                  </w:tcBorders>
                  <w:noWrap w:val="0"/>
                  <w:vAlign w:val="center"/>
                </w:tcPr>
                <w:p>
                  <w:pPr>
                    <w:jc w:val="center"/>
                    <w:rPr>
                      <w:rFonts w:hint="default" w:eastAsia="宋体"/>
                      <w:color w:val="auto"/>
                      <w:sz w:val="24"/>
                      <w:lang w:val="en-US" w:eastAsia="zh-CN"/>
                    </w:rPr>
                  </w:pPr>
                  <w:r>
                    <w:rPr>
                      <w:rFonts w:hint="eastAsia"/>
                      <w:color w:val="auto"/>
                      <w:sz w:val="24"/>
                      <w:lang w:val="en-US" w:eastAsia="zh-CN"/>
                    </w:rPr>
                    <w:t>22.86</w:t>
                  </w:r>
                  <w:r>
                    <w:rPr>
                      <w:rFonts w:hint="eastAsia"/>
                      <w:color w:val="auto"/>
                      <w:sz w:val="24"/>
                    </w:rPr>
                    <w:t>mg/m</w:t>
                  </w:r>
                  <w:r>
                    <w:rPr>
                      <w:rFonts w:hint="eastAsia"/>
                      <w:color w:val="auto"/>
                      <w:sz w:val="24"/>
                      <w:vertAlign w:val="superscript"/>
                    </w:rPr>
                    <w:t>3</w:t>
                  </w:r>
                </w:p>
              </w:tc>
              <w:tc>
                <w:tcPr>
                  <w:tcW w:w="1143" w:type="dxa"/>
                  <w:tcBorders>
                    <w:top w:val="single" w:color="auto" w:sz="6" w:space="0"/>
                    <w:left w:val="single" w:color="auto" w:sz="4" w:space="0"/>
                    <w:bottom w:val="single" w:color="auto" w:sz="6" w:space="0"/>
                  </w:tcBorders>
                  <w:noWrap w:val="0"/>
                  <w:vAlign w:val="center"/>
                </w:tcPr>
                <w:p>
                  <w:pPr>
                    <w:jc w:val="center"/>
                    <w:rPr>
                      <w:rFonts w:hint="eastAsia" w:eastAsia="宋体"/>
                      <w:color w:val="000000"/>
                      <w:sz w:val="24"/>
                      <w:lang w:val="en-US" w:eastAsia="zh-CN"/>
                    </w:rPr>
                  </w:pPr>
                  <w:r>
                    <w:rPr>
                      <w:rFonts w:hint="eastAsia"/>
                      <w:color w:val="000000"/>
                      <w:sz w:val="24"/>
                      <w:lang w:val="en-US" w:eastAsia="zh-CN"/>
                    </w:rPr>
                    <w:t>/</w:t>
                  </w:r>
                </w:p>
              </w:tc>
              <w:tc>
                <w:tcPr>
                  <w:tcW w:w="2150" w:type="dxa"/>
                  <w:tcBorders>
                    <w:top w:val="single" w:color="auto" w:sz="6" w:space="0"/>
                    <w:bottom w:val="single" w:color="auto" w:sz="6" w:space="0"/>
                    <w:right w:val="single" w:color="auto" w:sz="4" w:space="0"/>
                  </w:tcBorders>
                  <w:noWrap w:val="0"/>
                  <w:vAlign w:val="center"/>
                </w:tcPr>
                <w:p>
                  <w:pPr>
                    <w:widowControl/>
                    <w:jc w:val="center"/>
                    <w:rPr>
                      <w:rFonts w:hint="default" w:eastAsia="宋体"/>
                      <w:kern w:val="0"/>
                      <w:szCs w:val="21"/>
                      <w:lang w:val="en-US" w:eastAsia="zh-CN"/>
                    </w:rPr>
                  </w:pPr>
                  <w:r>
                    <w:rPr>
                      <w:rFonts w:hint="eastAsia"/>
                      <w:kern w:val="0"/>
                      <w:szCs w:val="21"/>
                      <w:lang w:val="en-US" w:eastAsia="zh-CN"/>
                    </w:rPr>
                    <w:t>20</w:t>
                  </w:r>
                  <w:r>
                    <w:rPr>
                      <w:rFonts w:hint="eastAsia"/>
                      <w:color w:val="000000"/>
                      <w:sz w:val="24"/>
                    </w:rPr>
                    <w:t>mg/m</w:t>
                  </w:r>
                  <w:r>
                    <w:rPr>
                      <w:rFonts w:hint="eastAsia"/>
                      <w:color w:val="000000"/>
                      <w:sz w:val="24"/>
                      <w:vertAlign w:val="superscript"/>
                    </w:rPr>
                    <w:t>3</w:t>
                  </w:r>
                </w:p>
              </w:tc>
              <w:tc>
                <w:tcPr>
                  <w:tcW w:w="2149" w:type="dxa"/>
                  <w:tcBorders>
                    <w:top w:val="single" w:color="auto" w:sz="6" w:space="0"/>
                    <w:bottom w:val="single" w:color="auto" w:sz="6" w:space="0"/>
                    <w:right w:val="single" w:color="auto" w:sz="4" w:space="0"/>
                  </w:tcBorders>
                  <w:noWrap w:val="0"/>
                  <w:vAlign w:val="top"/>
                </w:tcPr>
                <w:p>
                  <w:pPr>
                    <w:widowControl/>
                    <w:jc w:val="center"/>
                    <w:rPr>
                      <w:rFonts w:hint="eastAsia"/>
                      <w:kern w:val="0"/>
                      <w:szCs w:val="21"/>
                    </w:rPr>
                  </w:pPr>
                  <w:r>
                    <w:rPr>
                      <w:rFonts w:hint="eastAsia"/>
                      <w:kern w:val="0"/>
                      <w:szCs w:val="21"/>
                    </w:rPr>
                    <w:t>达标</w:t>
                  </w:r>
                </w:p>
              </w:tc>
            </w:tr>
          </w:tbl>
          <w:p>
            <w:pPr>
              <w:spacing w:line="360" w:lineRule="auto"/>
              <w:ind w:firstLine="482" w:firstLineChars="200"/>
              <w:rPr>
                <w:b/>
                <w:kern w:val="0"/>
                <w:sz w:val="24"/>
              </w:rPr>
            </w:pPr>
            <w:r>
              <w:rPr>
                <w:b/>
                <w:kern w:val="0"/>
                <w:sz w:val="24"/>
              </w:rPr>
              <w:t>3、噪声</w:t>
            </w:r>
            <w:r>
              <w:rPr>
                <w:rFonts w:hint="eastAsia"/>
                <w:b/>
                <w:kern w:val="0"/>
                <w:sz w:val="24"/>
              </w:rPr>
              <w:t>产生</w:t>
            </w:r>
            <w:r>
              <w:rPr>
                <w:b/>
                <w:kern w:val="0"/>
                <w:sz w:val="24"/>
              </w:rPr>
              <w:t>及治理</w:t>
            </w:r>
          </w:p>
          <w:p>
            <w:pPr>
              <w:snapToGrid w:val="0"/>
              <w:spacing w:line="360" w:lineRule="auto"/>
              <w:ind w:firstLine="480" w:firstLineChars="200"/>
              <w:rPr>
                <w:sz w:val="24"/>
              </w:rPr>
            </w:pPr>
            <w:r>
              <w:rPr>
                <w:rFonts w:hint="eastAsia"/>
                <w:sz w:val="24"/>
              </w:rPr>
              <w:t>项目</w:t>
            </w:r>
            <w:r>
              <w:rPr>
                <w:sz w:val="24"/>
              </w:rPr>
              <w:t>营运期噪声主要来源于设备噪声、进出车辆交通噪声两个方面。</w:t>
            </w:r>
          </w:p>
          <w:p>
            <w:pPr>
              <w:snapToGrid w:val="0"/>
              <w:spacing w:line="360" w:lineRule="auto"/>
              <w:ind w:firstLine="480" w:firstLineChars="200"/>
              <w:rPr>
                <w:rFonts w:hint="eastAsia"/>
                <w:sz w:val="24"/>
              </w:rPr>
            </w:pPr>
            <w:r>
              <w:rPr>
                <w:sz w:val="24"/>
              </w:rPr>
              <w:t>本项目机械设备主要包含木材加工机械</w:t>
            </w:r>
            <w:r>
              <w:rPr>
                <w:rFonts w:hint="eastAsia"/>
                <w:sz w:val="24"/>
              </w:rPr>
              <w:t>及家具生产机械、厂内运输车辆</w:t>
            </w:r>
            <w:r>
              <w:rPr>
                <w:sz w:val="24"/>
              </w:rPr>
              <w:t>，噪声源强65~80dB（A）。</w:t>
            </w:r>
          </w:p>
          <w:p>
            <w:pPr>
              <w:snapToGrid w:val="0"/>
              <w:spacing w:line="360" w:lineRule="auto"/>
              <w:ind w:firstLine="480" w:firstLineChars="200"/>
              <w:rPr>
                <w:rFonts w:hint="eastAsia"/>
                <w:bCs/>
                <w:sz w:val="24"/>
              </w:rPr>
            </w:pPr>
            <w:r>
              <w:rPr>
                <w:rFonts w:hint="eastAsia"/>
                <w:sz w:val="24"/>
              </w:rPr>
              <w:t>本项目对厂内设备进行基础减振，并</w:t>
            </w:r>
            <w:r>
              <w:rPr>
                <w:rFonts w:hint="eastAsia"/>
                <w:sz w:val="24"/>
                <w:lang w:eastAsia="zh-CN"/>
              </w:rPr>
              <w:t>且</w:t>
            </w:r>
            <w:r>
              <w:rPr>
                <w:rFonts w:hint="eastAsia"/>
                <w:sz w:val="24"/>
              </w:rPr>
              <w:t>项目所在厂房为标准化封闭厂房，可以达到降噪效果。对于叉车和进出运输车辆，只要对其加强管理，合理安排工作时间，其产生的噪声不会对周围环境造成明显影响。</w:t>
            </w:r>
            <w:r>
              <w:rPr>
                <w:rFonts w:hint="eastAsia"/>
                <w:bCs/>
                <w:color w:val="auto"/>
                <w:sz w:val="24"/>
              </w:rPr>
              <w:t>项目建设区域周围最近住户位于本项目</w:t>
            </w:r>
            <w:r>
              <w:rPr>
                <w:rFonts w:hint="eastAsia"/>
                <w:bCs/>
                <w:color w:val="auto"/>
                <w:sz w:val="24"/>
                <w:lang w:eastAsia="zh-CN"/>
              </w:rPr>
              <w:t>东南</w:t>
            </w:r>
            <w:r>
              <w:rPr>
                <w:rFonts w:hint="eastAsia"/>
                <w:bCs/>
                <w:color w:val="auto"/>
                <w:sz w:val="24"/>
              </w:rPr>
              <w:t>面，距离厂界</w:t>
            </w:r>
            <w:r>
              <w:rPr>
                <w:rFonts w:hint="eastAsia"/>
                <w:bCs/>
                <w:color w:val="auto"/>
                <w:sz w:val="24"/>
                <w:lang w:val="en-US" w:eastAsia="zh-CN"/>
              </w:rPr>
              <w:t>90</w:t>
            </w:r>
            <w:r>
              <w:rPr>
                <w:rFonts w:hint="eastAsia"/>
                <w:bCs/>
                <w:color w:val="auto"/>
                <w:sz w:val="24"/>
              </w:rPr>
              <w:t>m</w:t>
            </w:r>
            <w:r>
              <w:rPr>
                <w:rFonts w:hint="eastAsia"/>
                <w:bCs/>
                <w:color w:val="auto"/>
                <w:sz w:val="24"/>
                <w:lang w:eastAsia="zh-CN"/>
              </w:rPr>
              <w:t>，经过距离衰减，项目噪声满足要求，</w:t>
            </w:r>
            <w:r>
              <w:rPr>
                <w:rFonts w:hint="eastAsia"/>
                <w:bCs/>
                <w:sz w:val="24"/>
              </w:rPr>
              <w:t>因此本项目产生的噪声不会对周边住户造成影响。</w:t>
            </w:r>
          </w:p>
          <w:p>
            <w:pPr>
              <w:snapToGrid w:val="0"/>
              <w:spacing w:line="360" w:lineRule="auto"/>
              <w:ind w:firstLine="480" w:firstLineChars="200"/>
              <w:rPr>
                <w:sz w:val="24"/>
              </w:rPr>
            </w:pPr>
            <w:r>
              <w:rPr>
                <w:sz w:val="24"/>
              </w:rPr>
              <w:t>项目运营期主要设备噪声源强</w:t>
            </w:r>
            <w:r>
              <w:rPr>
                <w:rFonts w:hint="eastAsia"/>
                <w:sz w:val="24"/>
              </w:rPr>
              <w:t>及治理措施</w:t>
            </w:r>
            <w:r>
              <w:rPr>
                <w:sz w:val="24"/>
              </w:rPr>
              <w:t>见表</w:t>
            </w:r>
            <w:r>
              <w:rPr>
                <w:rFonts w:hint="eastAsia"/>
                <w:sz w:val="24"/>
              </w:rPr>
              <w:t>5-</w:t>
            </w:r>
            <w:r>
              <w:rPr>
                <w:rFonts w:hint="eastAsia"/>
                <w:sz w:val="24"/>
                <w:lang w:val="en-US" w:eastAsia="zh-CN"/>
              </w:rPr>
              <w:t>2</w:t>
            </w:r>
            <w:r>
              <w:rPr>
                <w:sz w:val="24"/>
              </w:rPr>
              <w:t>。</w:t>
            </w:r>
          </w:p>
          <w:p>
            <w:pPr>
              <w:pStyle w:val="15"/>
              <w:spacing w:after="0" w:line="360" w:lineRule="auto"/>
              <w:jc w:val="center"/>
              <w:rPr>
                <w:rFonts w:hint="eastAsia"/>
                <w:b/>
                <w:sz w:val="21"/>
                <w:szCs w:val="21"/>
                <w:lang w:val="en-US" w:eastAsia="zh-CN"/>
              </w:rPr>
            </w:pPr>
            <w:r>
              <w:rPr>
                <w:rFonts w:hint="eastAsia"/>
                <w:b/>
                <w:sz w:val="21"/>
                <w:szCs w:val="21"/>
                <w:lang w:val="en-US" w:eastAsia="zh-CN"/>
              </w:rPr>
              <w:t>表5-2  各噪声源声级值及治理措施表</w:t>
            </w:r>
          </w:p>
          <w:tbl>
            <w:tblPr>
              <w:tblStyle w:val="69"/>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7"/>
              <w:gridCol w:w="1834"/>
              <w:gridCol w:w="1558"/>
              <w:gridCol w:w="1943"/>
              <w:gridCol w:w="24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9" w:hRule="atLeast"/>
                <w:jc w:val="center"/>
              </w:trPr>
              <w:tc>
                <w:tcPr>
                  <w:tcW w:w="687" w:type="dxa"/>
                  <w:tcBorders>
                    <w:top w:val="single" w:color="auto" w:sz="8" w:space="0"/>
                    <w:left w:val="single" w:color="auto" w:sz="8" w:space="0"/>
                    <w:bottom w:val="single" w:color="auto" w:sz="6" w:space="0"/>
                    <w:right w:val="single" w:color="auto" w:sz="4" w:space="0"/>
                  </w:tcBorders>
                  <w:noWrap w:val="0"/>
                  <w:vAlign w:val="center"/>
                </w:tcPr>
                <w:p>
                  <w:pPr>
                    <w:pStyle w:val="30"/>
                    <w:jc w:val="center"/>
                    <w:rPr>
                      <w:rFonts w:ascii="Times New Roman" w:hAnsi="Times New Roman"/>
                      <w:b/>
                      <w:bCs/>
                      <w:lang w:val="en-US" w:eastAsia="zh-CN"/>
                    </w:rPr>
                  </w:pPr>
                  <w:r>
                    <w:rPr>
                      <w:rFonts w:ascii="Times New Roman" w:hAnsi="Times New Roman"/>
                      <w:b/>
                      <w:bCs/>
                      <w:lang w:val="en-US" w:eastAsia="zh-CN"/>
                    </w:rPr>
                    <w:t>序号</w:t>
                  </w:r>
                </w:p>
              </w:tc>
              <w:tc>
                <w:tcPr>
                  <w:tcW w:w="1834" w:type="dxa"/>
                  <w:tcBorders>
                    <w:top w:val="single" w:color="auto" w:sz="8" w:space="0"/>
                    <w:left w:val="single" w:color="auto" w:sz="4" w:space="0"/>
                    <w:bottom w:val="single" w:color="auto" w:sz="6" w:space="0"/>
                  </w:tcBorders>
                  <w:noWrap w:val="0"/>
                  <w:vAlign w:val="center"/>
                </w:tcPr>
                <w:p>
                  <w:pPr>
                    <w:pStyle w:val="30"/>
                    <w:jc w:val="center"/>
                    <w:rPr>
                      <w:rFonts w:ascii="Times New Roman" w:hAnsi="Times New Roman"/>
                      <w:b/>
                      <w:bCs/>
                      <w:lang w:val="en-US" w:eastAsia="zh-CN"/>
                    </w:rPr>
                  </w:pPr>
                  <w:r>
                    <w:rPr>
                      <w:rFonts w:ascii="Times New Roman" w:hAnsi="Times New Roman"/>
                      <w:b/>
                      <w:bCs/>
                      <w:lang w:val="en-US" w:eastAsia="zh-CN"/>
                    </w:rPr>
                    <w:t>名称</w:t>
                  </w:r>
                </w:p>
              </w:tc>
              <w:tc>
                <w:tcPr>
                  <w:tcW w:w="1558" w:type="dxa"/>
                  <w:tcBorders>
                    <w:top w:val="single" w:color="auto" w:sz="8" w:space="0"/>
                    <w:bottom w:val="single" w:color="auto" w:sz="6" w:space="0"/>
                    <w:right w:val="single" w:color="auto" w:sz="4" w:space="0"/>
                  </w:tcBorders>
                  <w:noWrap w:val="0"/>
                  <w:vAlign w:val="center"/>
                </w:tcPr>
                <w:p>
                  <w:pPr>
                    <w:pStyle w:val="30"/>
                    <w:jc w:val="center"/>
                    <w:rPr>
                      <w:rFonts w:ascii="Times New Roman" w:hAnsi="Times New Roman"/>
                      <w:b/>
                      <w:bCs/>
                      <w:lang w:val="en-US" w:eastAsia="zh-CN"/>
                    </w:rPr>
                  </w:pPr>
                  <w:r>
                    <w:rPr>
                      <w:rFonts w:ascii="Times New Roman" w:hAnsi="Times New Roman"/>
                      <w:b/>
                      <w:bCs/>
                      <w:lang w:val="en-US" w:eastAsia="zh-CN"/>
                    </w:rPr>
                    <w:t>数量（台/套）</w:t>
                  </w:r>
                </w:p>
              </w:tc>
              <w:tc>
                <w:tcPr>
                  <w:tcW w:w="1943" w:type="dxa"/>
                  <w:tcBorders>
                    <w:top w:val="single" w:color="auto" w:sz="8" w:space="0"/>
                    <w:left w:val="single" w:color="auto" w:sz="4" w:space="0"/>
                    <w:bottom w:val="single" w:color="auto" w:sz="6" w:space="0"/>
                  </w:tcBorders>
                  <w:noWrap w:val="0"/>
                  <w:vAlign w:val="center"/>
                </w:tcPr>
                <w:p>
                  <w:pPr>
                    <w:pStyle w:val="30"/>
                    <w:jc w:val="center"/>
                    <w:rPr>
                      <w:rFonts w:ascii="Times New Roman" w:hAnsi="Times New Roman"/>
                      <w:b/>
                      <w:bCs/>
                      <w:lang w:val="en-US" w:eastAsia="zh-CN"/>
                    </w:rPr>
                  </w:pPr>
                  <w:r>
                    <w:rPr>
                      <w:rFonts w:ascii="Times New Roman" w:hAnsi="Times New Roman"/>
                      <w:b/>
                      <w:bCs/>
                      <w:lang w:val="en-US" w:eastAsia="zh-CN"/>
                    </w:rPr>
                    <w:t>噪声源强[dB（A）]</w:t>
                  </w:r>
                </w:p>
              </w:tc>
              <w:tc>
                <w:tcPr>
                  <w:tcW w:w="2483" w:type="dxa"/>
                  <w:tcBorders>
                    <w:top w:val="single" w:color="auto" w:sz="8" w:space="0"/>
                    <w:bottom w:val="single" w:color="auto" w:sz="6" w:space="0"/>
                    <w:right w:val="single" w:color="auto" w:sz="8" w:space="0"/>
                  </w:tcBorders>
                  <w:noWrap w:val="0"/>
                  <w:vAlign w:val="top"/>
                </w:tcPr>
                <w:p>
                  <w:pPr>
                    <w:pStyle w:val="30"/>
                    <w:jc w:val="center"/>
                    <w:rPr>
                      <w:rFonts w:ascii="Times New Roman" w:hAnsi="Times New Roman"/>
                      <w:b/>
                      <w:bCs/>
                      <w:lang w:val="en-US" w:eastAsia="zh-CN"/>
                    </w:rPr>
                  </w:pPr>
                  <w:r>
                    <w:rPr>
                      <w:rFonts w:hint="eastAsia" w:ascii="Times New Roman" w:hAnsi="Times New Roman"/>
                      <w:b/>
                      <w:bCs/>
                      <w:lang w:val="en-US" w:eastAsia="zh-CN"/>
                    </w:rPr>
                    <w:t>治理措施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9" w:hRule="atLeast"/>
                <w:jc w:val="center"/>
              </w:trPr>
              <w:tc>
                <w:tcPr>
                  <w:tcW w:w="687" w:type="dxa"/>
                  <w:tcBorders>
                    <w:top w:val="single" w:color="auto" w:sz="6" w:space="0"/>
                    <w:left w:val="single" w:color="auto" w:sz="8" w:space="0"/>
                    <w:bottom w:val="single" w:color="auto" w:sz="6" w:space="0"/>
                    <w:right w:val="single" w:color="auto" w:sz="4" w:space="0"/>
                  </w:tcBorders>
                  <w:noWrap w:val="0"/>
                  <w:vAlign w:val="center"/>
                </w:tcPr>
                <w:p>
                  <w:pPr>
                    <w:pStyle w:val="30"/>
                    <w:jc w:val="center"/>
                    <w:rPr>
                      <w:rFonts w:ascii="Times New Roman" w:hAnsi="Times New Roman"/>
                      <w:lang w:val="en-US" w:eastAsia="zh-CN"/>
                    </w:rPr>
                  </w:pPr>
                  <w:r>
                    <w:rPr>
                      <w:rFonts w:ascii="Times New Roman" w:hAnsi="Times New Roman"/>
                      <w:lang w:val="en-US" w:eastAsia="zh-CN"/>
                    </w:rPr>
                    <w:t>1</w:t>
                  </w:r>
                </w:p>
              </w:tc>
              <w:tc>
                <w:tcPr>
                  <w:tcW w:w="1834" w:type="dxa"/>
                  <w:tcBorders>
                    <w:top w:val="single" w:color="auto" w:sz="6" w:space="0"/>
                    <w:left w:val="single" w:color="auto" w:sz="4" w:space="0"/>
                    <w:bottom w:val="single" w:color="auto" w:sz="6" w:space="0"/>
                  </w:tcBorders>
                  <w:noWrap w:val="0"/>
                  <w:vAlign w:val="center"/>
                </w:tcPr>
                <w:p>
                  <w:pPr>
                    <w:jc w:val="center"/>
                    <w:rPr>
                      <w:rFonts w:hint="eastAsia"/>
                      <w:kern w:val="0"/>
                      <w:szCs w:val="21"/>
                    </w:rPr>
                  </w:pPr>
                  <w:r>
                    <w:rPr>
                      <w:rFonts w:hint="eastAsia"/>
                      <w:kern w:val="0"/>
                      <w:szCs w:val="21"/>
                    </w:rPr>
                    <w:t>热压机</w:t>
                  </w:r>
                </w:p>
              </w:tc>
              <w:tc>
                <w:tcPr>
                  <w:tcW w:w="1558" w:type="dxa"/>
                  <w:tcBorders>
                    <w:top w:val="single" w:color="auto" w:sz="6" w:space="0"/>
                    <w:bottom w:val="single" w:color="auto" w:sz="6" w:space="0"/>
                    <w:right w:val="single" w:color="auto" w:sz="4" w:space="0"/>
                  </w:tcBorders>
                  <w:noWrap w:val="0"/>
                  <w:vAlign w:val="center"/>
                </w:tcPr>
                <w:p>
                  <w:pPr>
                    <w:widowControl/>
                    <w:jc w:val="center"/>
                    <w:rPr>
                      <w:bCs/>
                      <w:kern w:val="0"/>
                      <w:szCs w:val="21"/>
                    </w:rPr>
                  </w:pPr>
                  <w:r>
                    <w:rPr>
                      <w:bCs/>
                      <w:kern w:val="0"/>
                      <w:szCs w:val="21"/>
                    </w:rPr>
                    <w:t>2</w:t>
                  </w:r>
                </w:p>
              </w:tc>
              <w:tc>
                <w:tcPr>
                  <w:tcW w:w="1943" w:type="dxa"/>
                  <w:tcBorders>
                    <w:top w:val="single" w:color="auto" w:sz="6" w:space="0"/>
                    <w:left w:val="single" w:color="auto" w:sz="4" w:space="0"/>
                    <w:bottom w:val="single" w:color="auto" w:sz="6" w:space="0"/>
                  </w:tcBorders>
                  <w:noWrap w:val="0"/>
                  <w:vAlign w:val="center"/>
                </w:tcPr>
                <w:p>
                  <w:pPr>
                    <w:jc w:val="center"/>
                    <w:rPr>
                      <w:kern w:val="0"/>
                      <w:szCs w:val="21"/>
                    </w:rPr>
                  </w:pPr>
                  <w:r>
                    <w:rPr>
                      <w:kern w:val="0"/>
                      <w:szCs w:val="21"/>
                    </w:rPr>
                    <w:t>70</w:t>
                  </w:r>
                  <w:r>
                    <w:rPr>
                      <w:rFonts w:hint="eastAsia"/>
                      <w:kern w:val="0"/>
                      <w:szCs w:val="21"/>
                    </w:rPr>
                    <w:t>～80</w:t>
                  </w:r>
                </w:p>
              </w:tc>
              <w:tc>
                <w:tcPr>
                  <w:tcW w:w="2483" w:type="dxa"/>
                  <w:tcBorders>
                    <w:top w:val="single" w:color="auto" w:sz="6" w:space="0"/>
                    <w:bottom w:val="single" w:color="auto" w:sz="6" w:space="0"/>
                    <w:right w:val="single" w:color="auto" w:sz="8" w:space="0"/>
                  </w:tcBorders>
                  <w:noWrap w:val="0"/>
                  <w:vAlign w:val="top"/>
                </w:tcPr>
                <w:p>
                  <w:pPr>
                    <w:widowControl/>
                    <w:jc w:val="center"/>
                    <w:rPr>
                      <w:kern w:val="0"/>
                      <w:szCs w:val="21"/>
                    </w:rPr>
                  </w:pPr>
                  <w:r>
                    <w:rPr>
                      <w:rFonts w:hint="eastAsia"/>
                      <w:kern w:val="0"/>
                      <w:szCs w:val="21"/>
                    </w:rPr>
                    <w:t>厂房隔声、设备减振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5" w:hRule="atLeast"/>
                <w:jc w:val="center"/>
              </w:trPr>
              <w:tc>
                <w:tcPr>
                  <w:tcW w:w="687" w:type="dxa"/>
                  <w:tcBorders>
                    <w:top w:val="single" w:color="auto" w:sz="6" w:space="0"/>
                    <w:left w:val="single" w:color="auto" w:sz="8" w:space="0"/>
                    <w:bottom w:val="single" w:color="auto" w:sz="6" w:space="0"/>
                    <w:right w:val="single" w:color="auto" w:sz="4" w:space="0"/>
                  </w:tcBorders>
                  <w:noWrap w:val="0"/>
                  <w:vAlign w:val="center"/>
                </w:tcPr>
                <w:p>
                  <w:pPr>
                    <w:pStyle w:val="30"/>
                    <w:jc w:val="center"/>
                    <w:rPr>
                      <w:rFonts w:ascii="Times New Roman" w:hAnsi="Times New Roman"/>
                      <w:lang w:val="en-US" w:eastAsia="zh-CN"/>
                    </w:rPr>
                  </w:pPr>
                  <w:r>
                    <w:rPr>
                      <w:rFonts w:ascii="Times New Roman" w:hAnsi="Times New Roman"/>
                      <w:lang w:val="en-US" w:eastAsia="zh-CN"/>
                    </w:rPr>
                    <w:t>2</w:t>
                  </w:r>
                </w:p>
              </w:tc>
              <w:tc>
                <w:tcPr>
                  <w:tcW w:w="1834" w:type="dxa"/>
                  <w:tcBorders>
                    <w:top w:val="single" w:color="auto" w:sz="6" w:space="0"/>
                    <w:left w:val="single" w:color="auto" w:sz="4" w:space="0"/>
                    <w:bottom w:val="single" w:color="auto" w:sz="6" w:space="0"/>
                  </w:tcBorders>
                  <w:noWrap w:val="0"/>
                  <w:vAlign w:val="center"/>
                </w:tcPr>
                <w:p>
                  <w:pPr>
                    <w:jc w:val="center"/>
                    <w:rPr>
                      <w:kern w:val="0"/>
                      <w:szCs w:val="21"/>
                    </w:rPr>
                  </w:pPr>
                  <w:r>
                    <w:rPr>
                      <w:rFonts w:hint="eastAsia"/>
                      <w:kern w:val="0"/>
                      <w:szCs w:val="21"/>
                    </w:rPr>
                    <w:t>天然气导热油炉</w:t>
                  </w:r>
                </w:p>
              </w:tc>
              <w:tc>
                <w:tcPr>
                  <w:tcW w:w="1558" w:type="dxa"/>
                  <w:tcBorders>
                    <w:top w:val="single" w:color="auto" w:sz="6" w:space="0"/>
                    <w:bottom w:val="single" w:color="auto" w:sz="6" w:space="0"/>
                    <w:right w:val="single" w:color="auto" w:sz="4" w:space="0"/>
                  </w:tcBorders>
                  <w:noWrap w:val="0"/>
                  <w:vAlign w:val="center"/>
                </w:tcPr>
                <w:p>
                  <w:pPr>
                    <w:widowControl/>
                    <w:jc w:val="center"/>
                    <w:rPr>
                      <w:kern w:val="0"/>
                      <w:szCs w:val="21"/>
                    </w:rPr>
                  </w:pPr>
                  <w:r>
                    <w:rPr>
                      <w:rFonts w:hint="eastAsia"/>
                      <w:kern w:val="0"/>
                      <w:szCs w:val="21"/>
                    </w:rPr>
                    <w:t>2</w:t>
                  </w:r>
                </w:p>
              </w:tc>
              <w:tc>
                <w:tcPr>
                  <w:tcW w:w="1943" w:type="dxa"/>
                  <w:tcBorders>
                    <w:top w:val="single" w:color="auto" w:sz="6" w:space="0"/>
                    <w:left w:val="single" w:color="auto" w:sz="4" w:space="0"/>
                    <w:bottom w:val="single" w:color="auto" w:sz="6" w:space="0"/>
                  </w:tcBorders>
                  <w:noWrap w:val="0"/>
                  <w:vAlign w:val="center"/>
                </w:tcPr>
                <w:p>
                  <w:pPr>
                    <w:jc w:val="center"/>
                    <w:rPr>
                      <w:kern w:val="0"/>
                      <w:szCs w:val="21"/>
                    </w:rPr>
                  </w:pPr>
                  <w:r>
                    <w:rPr>
                      <w:kern w:val="0"/>
                      <w:szCs w:val="21"/>
                    </w:rPr>
                    <w:t>65</w:t>
                  </w:r>
                </w:p>
              </w:tc>
              <w:tc>
                <w:tcPr>
                  <w:tcW w:w="2483" w:type="dxa"/>
                  <w:tcBorders>
                    <w:top w:val="single" w:color="auto" w:sz="6" w:space="0"/>
                    <w:bottom w:val="single" w:color="auto" w:sz="6" w:space="0"/>
                    <w:right w:val="single" w:color="auto" w:sz="8" w:space="0"/>
                  </w:tcBorders>
                  <w:noWrap w:val="0"/>
                  <w:vAlign w:val="top"/>
                </w:tcPr>
                <w:p>
                  <w:pPr>
                    <w:jc w:val="center"/>
                  </w:pPr>
                  <w:r>
                    <w:rPr>
                      <w:rFonts w:hint="eastAsia"/>
                      <w:kern w:val="0"/>
                      <w:szCs w:val="21"/>
                    </w:rPr>
                    <w:t>厂房隔声、设备减振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5" w:hRule="atLeast"/>
                <w:jc w:val="center"/>
              </w:trPr>
              <w:tc>
                <w:tcPr>
                  <w:tcW w:w="687" w:type="dxa"/>
                  <w:tcBorders>
                    <w:top w:val="single" w:color="auto" w:sz="6" w:space="0"/>
                    <w:left w:val="single" w:color="auto" w:sz="8" w:space="0"/>
                    <w:bottom w:val="single" w:color="auto" w:sz="6" w:space="0"/>
                    <w:right w:val="single" w:color="auto" w:sz="4" w:space="0"/>
                  </w:tcBorders>
                  <w:noWrap w:val="0"/>
                  <w:vAlign w:val="center"/>
                </w:tcPr>
                <w:p>
                  <w:pPr>
                    <w:pStyle w:val="30"/>
                    <w:jc w:val="center"/>
                    <w:rPr>
                      <w:rFonts w:ascii="Times New Roman" w:hAnsi="Times New Roman"/>
                      <w:lang w:val="en-US" w:eastAsia="zh-CN"/>
                    </w:rPr>
                  </w:pPr>
                  <w:r>
                    <w:rPr>
                      <w:rFonts w:ascii="Times New Roman" w:hAnsi="Times New Roman"/>
                      <w:lang w:val="en-US" w:eastAsia="zh-CN"/>
                    </w:rPr>
                    <w:t>3</w:t>
                  </w:r>
                </w:p>
              </w:tc>
              <w:tc>
                <w:tcPr>
                  <w:tcW w:w="1834" w:type="dxa"/>
                  <w:tcBorders>
                    <w:top w:val="single" w:color="auto" w:sz="6" w:space="0"/>
                    <w:left w:val="single" w:color="auto" w:sz="4" w:space="0"/>
                    <w:bottom w:val="single" w:color="auto" w:sz="6" w:space="0"/>
                  </w:tcBorders>
                  <w:noWrap w:val="0"/>
                  <w:vAlign w:val="center"/>
                </w:tcPr>
                <w:p>
                  <w:pPr>
                    <w:jc w:val="center"/>
                    <w:rPr>
                      <w:kern w:val="0"/>
                      <w:szCs w:val="21"/>
                    </w:rPr>
                  </w:pPr>
                  <w:r>
                    <w:rPr>
                      <w:rFonts w:hint="eastAsia"/>
                      <w:kern w:val="0"/>
                      <w:szCs w:val="21"/>
                    </w:rPr>
                    <w:t>叉车</w:t>
                  </w:r>
                </w:p>
              </w:tc>
              <w:tc>
                <w:tcPr>
                  <w:tcW w:w="1558" w:type="dxa"/>
                  <w:tcBorders>
                    <w:top w:val="single" w:color="auto" w:sz="6" w:space="0"/>
                    <w:bottom w:val="single" w:color="auto" w:sz="6" w:space="0"/>
                    <w:right w:val="single" w:color="auto" w:sz="4" w:space="0"/>
                  </w:tcBorders>
                  <w:noWrap w:val="0"/>
                  <w:vAlign w:val="center"/>
                </w:tcPr>
                <w:p>
                  <w:pPr>
                    <w:widowControl/>
                    <w:jc w:val="center"/>
                    <w:rPr>
                      <w:kern w:val="0"/>
                      <w:szCs w:val="21"/>
                    </w:rPr>
                  </w:pPr>
                  <w:r>
                    <w:rPr>
                      <w:kern w:val="0"/>
                      <w:szCs w:val="21"/>
                    </w:rPr>
                    <w:t>1</w:t>
                  </w:r>
                </w:p>
              </w:tc>
              <w:tc>
                <w:tcPr>
                  <w:tcW w:w="1943" w:type="dxa"/>
                  <w:tcBorders>
                    <w:top w:val="single" w:color="auto" w:sz="6" w:space="0"/>
                    <w:left w:val="single" w:color="auto" w:sz="4" w:space="0"/>
                    <w:bottom w:val="single" w:color="auto" w:sz="6" w:space="0"/>
                  </w:tcBorders>
                  <w:noWrap w:val="0"/>
                  <w:vAlign w:val="center"/>
                </w:tcPr>
                <w:p>
                  <w:pPr>
                    <w:jc w:val="center"/>
                    <w:rPr>
                      <w:kern w:val="0"/>
                      <w:szCs w:val="21"/>
                    </w:rPr>
                  </w:pPr>
                  <w:r>
                    <w:rPr>
                      <w:rFonts w:hint="eastAsia"/>
                      <w:kern w:val="0"/>
                      <w:szCs w:val="21"/>
                    </w:rPr>
                    <w:t>75</w:t>
                  </w:r>
                </w:p>
              </w:tc>
              <w:tc>
                <w:tcPr>
                  <w:tcW w:w="2483" w:type="dxa"/>
                  <w:tcBorders>
                    <w:top w:val="single" w:color="auto" w:sz="6" w:space="0"/>
                    <w:bottom w:val="single" w:color="auto" w:sz="6" w:space="0"/>
                    <w:right w:val="single" w:color="auto" w:sz="8" w:space="0"/>
                  </w:tcBorders>
                  <w:noWrap w:val="0"/>
                  <w:vAlign w:val="center"/>
                </w:tcPr>
                <w:p>
                  <w:pPr>
                    <w:widowControl/>
                    <w:jc w:val="center"/>
                    <w:rPr>
                      <w:kern w:val="0"/>
                      <w:szCs w:val="21"/>
                    </w:rPr>
                  </w:pPr>
                  <w:r>
                    <w:rPr>
                      <w:kern w:val="0"/>
                      <w:szCs w:val="21"/>
                    </w:rPr>
                    <w:t>选用低噪设备</w:t>
                  </w:r>
                  <w:r>
                    <w:rPr>
                      <w:rFonts w:hint="eastAsia"/>
                      <w:kern w:val="0"/>
                      <w:szCs w:val="21"/>
                    </w:rPr>
                    <w:t>、</w:t>
                  </w:r>
                  <w:r>
                    <w:rPr>
                      <w:kern w:val="0"/>
                      <w:szCs w:val="21"/>
                    </w:rPr>
                    <w:t>合理安排工作时间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9" w:hRule="atLeast"/>
                <w:jc w:val="center"/>
              </w:trPr>
              <w:tc>
                <w:tcPr>
                  <w:tcW w:w="687" w:type="dxa"/>
                  <w:tcBorders>
                    <w:top w:val="single" w:color="auto" w:sz="6" w:space="0"/>
                    <w:left w:val="single" w:color="auto" w:sz="8" w:space="0"/>
                    <w:bottom w:val="single" w:color="auto" w:sz="6" w:space="0"/>
                    <w:right w:val="single" w:color="auto" w:sz="4" w:space="0"/>
                  </w:tcBorders>
                  <w:noWrap w:val="0"/>
                  <w:vAlign w:val="center"/>
                </w:tcPr>
                <w:p>
                  <w:pPr>
                    <w:pStyle w:val="30"/>
                    <w:jc w:val="center"/>
                    <w:rPr>
                      <w:rFonts w:ascii="Times New Roman" w:hAnsi="Times New Roman"/>
                      <w:lang w:val="en-US" w:eastAsia="zh-CN"/>
                    </w:rPr>
                  </w:pPr>
                  <w:r>
                    <w:rPr>
                      <w:rFonts w:ascii="Times New Roman" w:hAnsi="Times New Roman"/>
                      <w:lang w:val="en-US" w:eastAsia="zh-CN"/>
                    </w:rPr>
                    <w:t>4</w:t>
                  </w:r>
                </w:p>
              </w:tc>
              <w:tc>
                <w:tcPr>
                  <w:tcW w:w="1834" w:type="dxa"/>
                  <w:tcBorders>
                    <w:top w:val="single" w:color="auto" w:sz="6" w:space="0"/>
                    <w:left w:val="single" w:color="auto" w:sz="4" w:space="0"/>
                    <w:bottom w:val="single" w:color="auto" w:sz="6" w:space="0"/>
                  </w:tcBorders>
                  <w:noWrap w:val="0"/>
                  <w:vAlign w:val="center"/>
                </w:tcPr>
                <w:p>
                  <w:pPr>
                    <w:jc w:val="center"/>
                    <w:rPr>
                      <w:rFonts w:hint="eastAsia"/>
                      <w:kern w:val="0"/>
                      <w:szCs w:val="21"/>
                    </w:rPr>
                  </w:pPr>
                  <w:r>
                    <w:rPr>
                      <w:rFonts w:hint="eastAsia"/>
                      <w:kern w:val="0"/>
                      <w:szCs w:val="21"/>
                    </w:rPr>
                    <w:t>运输车辆</w:t>
                  </w:r>
                </w:p>
              </w:tc>
              <w:tc>
                <w:tcPr>
                  <w:tcW w:w="1558" w:type="dxa"/>
                  <w:tcBorders>
                    <w:top w:val="single" w:color="auto" w:sz="6" w:space="0"/>
                    <w:bottom w:val="single" w:color="auto" w:sz="6" w:space="0"/>
                    <w:right w:val="single" w:color="auto" w:sz="4" w:space="0"/>
                  </w:tcBorders>
                  <w:noWrap w:val="0"/>
                  <w:vAlign w:val="center"/>
                </w:tcPr>
                <w:p>
                  <w:pPr>
                    <w:widowControl/>
                    <w:jc w:val="center"/>
                    <w:rPr>
                      <w:kern w:val="0"/>
                      <w:szCs w:val="21"/>
                    </w:rPr>
                  </w:pPr>
                  <w:r>
                    <w:rPr>
                      <w:kern w:val="0"/>
                      <w:szCs w:val="21"/>
                    </w:rPr>
                    <w:t>/</w:t>
                  </w:r>
                </w:p>
              </w:tc>
              <w:tc>
                <w:tcPr>
                  <w:tcW w:w="1943" w:type="dxa"/>
                  <w:tcBorders>
                    <w:top w:val="single" w:color="auto" w:sz="6" w:space="0"/>
                    <w:left w:val="single" w:color="auto" w:sz="4" w:space="0"/>
                    <w:bottom w:val="single" w:color="auto" w:sz="6" w:space="0"/>
                  </w:tcBorders>
                  <w:noWrap w:val="0"/>
                  <w:vAlign w:val="center"/>
                </w:tcPr>
                <w:p>
                  <w:pPr>
                    <w:jc w:val="center"/>
                    <w:rPr>
                      <w:rFonts w:hint="eastAsia"/>
                      <w:kern w:val="0"/>
                      <w:szCs w:val="21"/>
                    </w:rPr>
                  </w:pPr>
                  <w:r>
                    <w:rPr>
                      <w:kern w:val="0"/>
                      <w:szCs w:val="21"/>
                    </w:rPr>
                    <w:t>70</w:t>
                  </w:r>
                  <w:r>
                    <w:rPr>
                      <w:rFonts w:hint="eastAsia"/>
                      <w:kern w:val="0"/>
                      <w:szCs w:val="21"/>
                    </w:rPr>
                    <w:t>～80</w:t>
                  </w:r>
                </w:p>
              </w:tc>
              <w:tc>
                <w:tcPr>
                  <w:tcW w:w="2483" w:type="dxa"/>
                  <w:tcBorders>
                    <w:top w:val="single" w:color="auto" w:sz="6" w:space="0"/>
                    <w:bottom w:val="single" w:color="auto" w:sz="6" w:space="0"/>
                    <w:right w:val="single" w:color="auto" w:sz="8" w:space="0"/>
                  </w:tcBorders>
                  <w:noWrap w:val="0"/>
                  <w:vAlign w:val="center"/>
                </w:tcPr>
                <w:p>
                  <w:pPr>
                    <w:widowControl/>
                    <w:jc w:val="center"/>
                    <w:rPr>
                      <w:kern w:val="0"/>
                      <w:szCs w:val="21"/>
                    </w:rPr>
                  </w:pPr>
                  <w:r>
                    <w:rPr>
                      <w:rFonts w:hint="eastAsia"/>
                      <w:kern w:val="0"/>
                      <w:szCs w:val="21"/>
                    </w:rPr>
                    <w:t>加强管理、厂内禁止鸣笛、合理安排工作时间</w:t>
                  </w:r>
                </w:p>
              </w:tc>
            </w:tr>
          </w:tbl>
          <w:p>
            <w:pPr>
              <w:spacing w:line="360" w:lineRule="auto"/>
              <w:ind w:firstLine="482" w:firstLineChars="200"/>
              <w:rPr>
                <w:rFonts w:hint="eastAsia"/>
                <w:b/>
                <w:kern w:val="0"/>
                <w:sz w:val="24"/>
              </w:rPr>
            </w:pPr>
            <w:r>
              <w:rPr>
                <w:b/>
                <w:kern w:val="0"/>
                <w:sz w:val="24"/>
              </w:rPr>
              <w:t>4、</w:t>
            </w:r>
            <w:r>
              <w:rPr>
                <w:rFonts w:hint="eastAsia"/>
                <w:b/>
                <w:kern w:val="0"/>
                <w:sz w:val="24"/>
              </w:rPr>
              <w:t>固废的产生及治理</w:t>
            </w:r>
          </w:p>
          <w:p>
            <w:pPr>
              <w:spacing w:line="360" w:lineRule="auto"/>
              <w:ind w:firstLine="480" w:firstLineChars="200"/>
              <w:rPr>
                <w:rFonts w:hint="eastAsia"/>
                <w:sz w:val="24"/>
              </w:rPr>
            </w:pPr>
            <w:r>
              <w:rPr>
                <w:rFonts w:hint="eastAsia"/>
                <w:sz w:val="24"/>
              </w:rPr>
              <w:t>本项目固废包括运营过程中产生的废品木材、废品浸渍纸以及员工生活垃圾和过期导热油。</w:t>
            </w:r>
          </w:p>
          <w:p>
            <w:pPr>
              <w:spacing w:line="360" w:lineRule="auto"/>
              <w:ind w:firstLine="480" w:firstLineChars="200"/>
              <w:rPr>
                <w:rFonts w:hint="eastAsia"/>
                <w:sz w:val="24"/>
              </w:rPr>
            </w:pPr>
            <w:r>
              <w:rPr>
                <w:rFonts w:hint="eastAsia"/>
                <w:sz w:val="24"/>
              </w:rPr>
              <w:t>废品木材：本项目产生的废品为在采购过程中，因无法避免地会采购一些有瑕疵或者不合格的刨花板、中密度纤维板、多层实木板而产生的废品和在本项目加工过程中产生的极少废品。本项目废品率为0.3%。故项目废品木材的产生量为23t/a，此类废品交由原料供应厂商处理。本评价要求其对此类物品不随意堆放、不长期堆存，废品产生后尽快交由原料供应厂商处理。</w:t>
            </w:r>
          </w:p>
          <w:p>
            <w:pPr>
              <w:spacing w:line="360" w:lineRule="auto"/>
              <w:ind w:firstLine="480" w:firstLineChars="200"/>
              <w:rPr>
                <w:rFonts w:hint="eastAsia"/>
                <w:sz w:val="24"/>
                <w:szCs w:val="28"/>
              </w:rPr>
            </w:pPr>
            <w:r>
              <w:rPr>
                <w:rFonts w:hint="eastAsia"/>
                <w:sz w:val="24"/>
              </w:rPr>
              <w:t>生活垃圾：</w:t>
            </w:r>
            <w:r>
              <w:rPr>
                <w:rFonts w:hint="eastAsia"/>
                <w:sz w:val="24"/>
                <w:lang w:val="en-GB"/>
              </w:rPr>
              <w:t>项目员工共</w:t>
            </w:r>
            <w:r>
              <w:rPr>
                <w:sz w:val="24"/>
              </w:rPr>
              <w:t>10</w:t>
            </w:r>
            <w:r>
              <w:rPr>
                <w:rFonts w:hint="eastAsia"/>
                <w:sz w:val="24"/>
                <w:lang w:val="en-GB"/>
              </w:rPr>
              <w:t>人，人均垃圾产生量以</w:t>
            </w:r>
            <w:r>
              <w:rPr>
                <w:sz w:val="24"/>
                <w:lang w:val="en-GB"/>
              </w:rPr>
              <w:t>0.5kg/d</w:t>
            </w:r>
            <w:r>
              <w:rPr>
                <w:rFonts w:hint="eastAsia"/>
                <w:sz w:val="24"/>
                <w:lang w:val="en-GB"/>
              </w:rPr>
              <w:t>计算，则垃圾产生量为</w:t>
            </w:r>
            <w:r>
              <w:rPr>
                <w:sz w:val="24"/>
              </w:rPr>
              <w:t>5</w:t>
            </w:r>
            <w:r>
              <w:rPr>
                <w:sz w:val="24"/>
                <w:lang w:val="en-GB"/>
              </w:rPr>
              <w:t>kg/d</w:t>
            </w:r>
            <w:r>
              <w:rPr>
                <w:rFonts w:hint="eastAsia"/>
                <w:sz w:val="24"/>
                <w:lang w:val="en-GB"/>
              </w:rPr>
              <w:t>，经计算可以得出该项目营运期产生的生活垃圾</w:t>
            </w:r>
            <w:r>
              <w:rPr>
                <w:sz w:val="24"/>
              </w:rPr>
              <w:t>1.5</w:t>
            </w:r>
            <w:r>
              <w:rPr>
                <w:sz w:val="24"/>
                <w:lang w:val="en-GB"/>
              </w:rPr>
              <w:t>t/a</w:t>
            </w:r>
            <w:r>
              <w:rPr>
                <w:sz w:val="24"/>
                <w:szCs w:val="28"/>
              </w:rPr>
              <w:t>。</w:t>
            </w:r>
            <w:r>
              <w:rPr>
                <w:rFonts w:hint="eastAsia"/>
                <w:sz w:val="24"/>
                <w:szCs w:val="28"/>
              </w:rPr>
              <w:t>生活垃圾经垃圾桶</w:t>
            </w:r>
            <w:r>
              <w:rPr>
                <w:sz w:val="24"/>
                <w:szCs w:val="28"/>
              </w:rPr>
              <w:t>收集后交由当地环卫部门处理</w:t>
            </w:r>
            <w:r>
              <w:rPr>
                <w:rFonts w:hint="eastAsia"/>
                <w:sz w:val="24"/>
                <w:szCs w:val="28"/>
              </w:rPr>
              <w:t>。</w:t>
            </w:r>
          </w:p>
          <w:p>
            <w:pPr>
              <w:pStyle w:val="422"/>
              <w:spacing w:before="21" w:line="360" w:lineRule="auto"/>
              <w:ind w:left="103" w:leftChars="49" w:firstLine="480" w:firstLineChars="200"/>
              <w:rPr>
                <w:rFonts w:hint="eastAsia"/>
                <w:sz w:val="24"/>
                <w:szCs w:val="28"/>
              </w:rPr>
            </w:pPr>
            <w:r>
              <w:rPr>
                <w:rFonts w:hint="eastAsia" w:ascii="Times New Roman" w:hAnsi="Times New Roman" w:cs="Times New Roman"/>
                <w:kern w:val="2"/>
                <w:sz w:val="24"/>
                <w:szCs w:val="24"/>
                <w:lang w:val="en-GB"/>
              </w:rPr>
              <w:t>过期导热油：根据设计，该项目使用导热油的寿命约为五年，导热油过期后必须更换，每次更换出导热油量为500L。根据《国家危险废物名录》（2016），导热油属于危险废物，其所属危废类别为HW08，危废代码为“900-249-08其他生产、销售、使用过程中产生的 废矿物油及含矿物油废物</w:t>
            </w:r>
            <w:r>
              <w:rPr>
                <w:rFonts w:hint="eastAsia"/>
                <w:sz w:val="24"/>
                <w:szCs w:val="28"/>
              </w:rPr>
              <w:t>”，本评价要求建设单位设立危废暂存点，导热油经收集后交予有危险废物处理资质的单位处理。</w:t>
            </w:r>
          </w:p>
          <w:p>
            <w:pPr>
              <w:spacing w:line="360" w:lineRule="auto"/>
              <w:ind w:firstLine="480" w:firstLineChars="200"/>
              <w:rPr>
                <w:rFonts w:hint="eastAsia" w:eastAsia="宋体"/>
                <w:sz w:val="24"/>
                <w:szCs w:val="28"/>
                <w:lang w:eastAsia="zh-CN"/>
              </w:rPr>
            </w:pPr>
            <w:r>
              <w:rPr>
                <w:rFonts w:hint="eastAsia"/>
                <w:sz w:val="24"/>
                <w:szCs w:val="28"/>
                <w:lang w:eastAsia="zh-CN"/>
              </w:rPr>
              <w:t>废活性炭：吸收非甲烷总烃的废活性炭属危险类别</w:t>
            </w:r>
            <w:r>
              <w:rPr>
                <w:rFonts w:hint="eastAsia"/>
                <w:sz w:val="24"/>
                <w:szCs w:val="28"/>
              </w:rPr>
              <w:t>HW</w:t>
            </w:r>
            <w:r>
              <w:rPr>
                <w:rFonts w:hint="eastAsia"/>
                <w:sz w:val="24"/>
                <w:szCs w:val="28"/>
                <w:lang w:val="en-US" w:eastAsia="zh-CN"/>
              </w:rPr>
              <w:t>4</w:t>
            </w:r>
            <w:r>
              <w:rPr>
                <w:rFonts w:hint="eastAsia"/>
                <w:sz w:val="24"/>
                <w:szCs w:val="28"/>
              </w:rPr>
              <w:t>9</w:t>
            </w:r>
            <w:r>
              <w:rPr>
                <w:rFonts w:hint="eastAsia"/>
                <w:sz w:val="24"/>
                <w:szCs w:val="28"/>
                <w:lang w:eastAsia="zh-CN"/>
              </w:rPr>
              <w:t>，危废代码为“</w:t>
            </w:r>
            <w:r>
              <w:rPr>
                <w:rFonts w:hint="eastAsia"/>
                <w:color w:val="auto"/>
                <w:sz w:val="24"/>
                <w:szCs w:val="28"/>
                <w:lang w:eastAsia="zh-CN"/>
              </w:rPr>
              <w:t>900-041-49含有或沾染毒性、感染性危险废物的废弃包装物、容器、过滤吸附介质”，</w:t>
            </w:r>
            <w:r>
              <w:rPr>
                <w:rFonts w:hint="eastAsia"/>
                <w:sz w:val="24"/>
                <w:szCs w:val="28"/>
                <w:lang w:eastAsia="zh-CN"/>
              </w:rPr>
              <w:t>本评价要求</w:t>
            </w:r>
            <w:r>
              <w:rPr>
                <w:rFonts w:hint="eastAsia"/>
                <w:sz w:val="24"/>
                <w:szCs w:val="28"/>
              </w:rPr>
              <w:t>建设单位设立危废暂存点，</w:t>
            </w:r>
            <w:r>
              <w:rPr>
                <w:rFonts w:hint="eastAsia"/>
                <w:sz w:val="24"/>
                <w:szCs w:val="28"/>
                <w:lang w:eastAsia="zh-CN"/>
              </w:rPr>
              <w:t>废活性炭</w:t>
            </w:r>
            <w:r>
              <w:rPr>
                <w:rFonts w:hint="eastAsia"/>
                <w:sz w:val="24"/>
                <w:szCs w:val="28"/>
              </w:rPr>
              <w:t>经收集后交予有危险废物处理资质的单位处理。</w:t>
            </w:r>
          </w:p>
          <w:p>
            <w:pPr>
              <w:spacing w:line="360" w:lineRule="auto"/>
              <w:ind w:firstLine="480" w:firstLineChars="200"/>
              <w:rPr>
                <w:rFonts w:hint="eastAsia"/>
                <w:sz w:val="24"/>
                <w:szCs w:val="28"/>
              </w:rPr>
            </w:pPr>
            <w:r>
              <w:rPr>
                <w:rFonts w:hint="eastAsia"/>
                <w:sz w:val="24"/>
                <w:szCs w:val="28"/>
              </w:rPr>
              <w:t>废品浸渍纸：该浸渍纸为密胺纸，又称三聚氰胺浸渍纸，该废品不属于危险固废，属于一般固废，故统一收集后交由当地环卫部门处理。</w:t>
            </w: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p>
          <w:p>
            <w:pPr>
              <w:spacing w:line="360" w:lineRule="auto"/>
              <w:rPr>
                <w:rFonts w:hint="eastAsia"/>
                <w:sz w:val="24"/>
                <w:szCs w:val="28"/>
              </w:rPr>
            </w:pPr>
          </w:p>
        </w:tc>
      </w:tr>
    </w:tbl>
    <w:p>
      <w:pPr>
        <w:spacing w:line="360" w:lineRule="auto"/>
        <w:outlineLvl w:val="0"/>
        <w:rPr>
          <w:rFonts w:hint="eastAsia" w:ascii="宋体" w:hAnsi="宋体" w:cs="黑体"/>
          <w:b/>
          <w:bCs/>
          <w:sz w:val="32"/>
          <w:szCs w:val="32"/>
        </w:rPr>
      </w:pPr>
      <w:r>
        <w:rPr>
          <w:rFonts w:ascii="宋体" w:hAnsi="宋体" w:cs="黑体"/>
          <w:b/>
          <w:bCs/>
          <w:sz w:val="28"/>
          <w:szCs w:val="28"/>
        </w:rPr>
        <w:br w:type="page"/>
      </w:r>
      <w:r>
        <w:rPr>
          <w:rFonts w:hint="eastAsia" w:ascii="宋体" w:hAnsi="宋体" w:cs="黑体"/>
          <w:b/>
          <w:bCs/>
          <w:sz w:val="32"/>
          <w:szCs w:val="32"/>
        </w:rPr>
        <w:t>项目主要污染物产生及预计排放情况            (表六)</w:t>
      </w:r>
    </w:p>
    <w:tbl>
      <w:tblPr>
        <w:tblStyle w:val="69"/>
        <w:tblW w:w="8871" w:type="dxa"/>
        <w:jc w:val="center"/>
        <w:tblInd w:w="-8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7"/>
        <w:gridCol w:w="1264"/>
        <w:gridCol w:w="1168"/>
        <w:gridCol w:w="2959"/>
        <w:gridCol w:w="29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 w:hRule="atLeast"/>
          <w:jc w:val="center"/>
        </w:trPr>
        <w:tc>
          <w:tcPr>
            <w:tcW w:w="507" w:type="dxa"/>
            <w:tcBorders>
              <w:tl2br w:val="single" w:color="auto" w:sz="4" w:space="0"/>
            </w:tcBorders>
            <w:noWrap w:val="0"/>
            <w:vAlign w:val="center"/>
          </w:tcPr>
          <w:p>
            <w:pPr>
              <w:jc w:val="center"/>
              <w:rPr>
                <w:b/>
                <w:szCs w:val="21"/>
              </w:rPr>
            </w:pPr>
            <w:r>
              <w:rPr>
                <w:rFonts w:hAnsi="宋体"/>
                <w:b/>
                <w:szCs w:val="21"/>
              </w:rPr>
              <w:t>内容</w:t>
            </w:r>
          </w:p>
          <w:p>
            <w:pPr>
              <w:jc w:val="center"/>
              <w:rPr>
                <w:b/>
                <w:szCs w:val="21"/>
              </w:rPr>
            </w:pPr>
            <w:r>
              <w:rPr>
                <w:rFonts w:hAnsi="宋体"/>
                <w:b/>
                <w:szCs w:val="21"/>
              </w:rPr>
              <w:t>类型</w:t>
            </w:r>
          </w:p>
        </w:tc>
        <w:tc>
          <w:tcPr>
            <w:tcW w:w="1264" w:type="dxa"/>
            <w:noWrap w:val="0"/>
            <w:vAlign w:val="center"/>
          </w:tcPr>
          <w:p>
            <w:pPr>
              <w:pStyle w:val="32"/>
              <w:jc w:val="center"/>
              <w:rPr>
                <w:b/>
                <w:szCs w:val="21"/>
              </w:rPr>
            </w:pPr>
            <w:r>
              <w:rPr>
                <w:rFonts w:hAnsi="宋体"/>
                <w:b/>
                <w:szCs w:val="21"/>
              </w:rPr>
              <w:t>排放源</w:t>
            </w:r>
          </w:p>
        </w:tc>
        <w:tc>
          <w:tcPr>
            <w:tcW w:w="1168" w:type="dxa"/>
            <w:noWrap w:val="0"/>
            <w:vAlign w:val="center"/>
          </w:tcPr>
          <w:p>
            <w:pPr>
              <w:jc w:val="center"/>
              <w:rPr>
                <w:b/>
                <w:szCs w:val="21"/>
              </w:rPr>
            </w:pPr>
            <w:r>
              <w:rPr>
                <w:rFonts w:hAnsi="宋体"/>
                <w:b/>
                <w:szCs w:val="21"/>
              </w:rPr>
              <w:t>污染物</w:t>
            </w:r>
          </w:p>
          <w:p>
            <w:pPr>
              <w:jc w:val="center"/>
              <w:rPr>
                <w:b/>
                <w:szCs w:val="21"/>
              </w:rPr>
            </w:pPr>
            <w:r>
              <w:rPr>
                <w:rFonts w:hAnsi="宋体"/>
                <w:b/>
                <w:szCs w:val="21"/>
              </w:rPr>
              <w:t>名称</w:t>
            </w:r>
          </w:p>
        </w:tc>
        <w:tc>
          <w:tcPr>
            <w:tcW w:w="2959" w:type="dxa"/>
            <w:noWrap w:val="0"/>
            <w:vAlign w:val="center"/>
          </w:tcPr>
          <w:p>
            <w:pPr>
              <w:jc w:val="center"/>
              <w:rPr>
                <w:b/>
                <w:szCs w:val="21"/>
              </w:rPr>
            </w:pPr>
            <w:r>
              <w:rPr>
                <w:rFonts w:hAnsi="宋体"/>
                <w:b/>
                <w:szCs w:val="21"/>
              </w:rPr>
              <w:t>处理前产生浓度及</w:t>
            </w:r>
          </w:p>
          <w:p>
            <w:pPr>
              <w:jc w:val="center"/>
              <w:rPr>
                <w:b/>
                <w:szCs w:val="21"/>
              </w:rPr>
            </w:pPr>
            <w:r>
              <w:rPr>
                <w:rFonts w:hAnsi="宋体"/>
                <w:b/>
                <w:szCs w:val="21"/>
              </w:rPr>
              <w:t>产生量（单位）</w:t>
            </w:r>
          </w:p>
        </w:tc>
        <w:tc>
          <w:tcPr>
            <w:tcW w:w="2973" w:type="dxa"/>
            <w:noWrap w:val="0"/>
            <w:vAlign w:val="center"/>
          </w:tcPr>
          <w:p>
            <w:pPr>
              <w:jc w:val="center"/>
              <w:rPr>
                <w:b/>
                <w:szCs w:val="21"/>
              </w:rPr>
            </w:pPr>
            <w:r>
              <w:rPr>
                <w:rFonts w:hAnsi="宋体"/>
                <w:b/>
                <w:szCs w:val="21"/>
              </w:rPr>
              <w:t>排放浓度及排放量（单位）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9" w:hRule="atLeast"/>
          <w:jc w:val="center"/>
        </w:trPr>
        <w:tc>
          <w:tcPr>
            <w:tcW w:w="507" w:type="dxa"/>
            <w:vMerge w:val="restart"/>
            <w:tcBorders>
              <w:bottom w:val="single" w:color="auto" w:sz="6" w:space="0"/>
            </w:tcBorders>
            <w:noWrap w:val="0"/>
            <w:vAlign w:val="center"/>
          </w:tcPr>
          <w:p>
            <w:pPr>
              <w:jc w:val="center"/>
              <w:rPr>
                <w:rFonts w:hAnsi="宋体"/>
                <w:szCs w:val="21"/>
              </w:rPr>
            </w:pPr>
            <w:r>
              <w:rPr>
                <w:rFonts w:hAnsi="宋体"/>
                <w:szCs w:val="21"/>
              </w:rPr>
              <w:t>水污染物</w:t>
            </w:r>
          </w:p>
        </w:tc>
        <w:tc>
          <w:tcPr>
            <w:tcW w:w="1264" w:type="dxa"/>
            <w:vMerge w:val="restart"/>
            <w:tcBorders>
              <w:bottom w:val="single" w:color="auto" w:sz="6" w:space="0"/>
            </w:tcBorders>
            <w:noWrap w:val="0"/>
            <w:vAlign w:val="center"/>
          </w:tcPr>
          <w:p>
            <w:pPr>
              <w:jc w:val="center"/>
              <w:rPr>
                <w:rFonts w:hAnsi="宋体"/>
                <w:szCs w:val="21"/>
              </w:rPr>
            </w:pPr>
            <w:r>
              <w:rPr>
                <w:rFonts w:hint="eastAsia" w:hAnsi="宋体"/>
                <w:szCs w:val="21"/>
              </w:rPr>
              <w:t>生活污水（135m</w:t>
            </w:r>
            <w:r>
              <w:rPr>
                <w:rFonts w:hint="eastAsia" w:hAnsi="宋体"/>
                <w:szCs w:val="21"/>
                <w:vertAlign w:val="superscript"/>
              </w:rPr>
              <w:t>3</w:t>
            </w:r>
            <w:r>
              <w:rPr>
                <w:rFonts w:hint="eastAsia" w:hAnsi="宋体"/>
                <w:szCs w:val="21"/>
              </w:rPr>
              <w:t>/a）</w:t>
            </w:r>
          </w:p>
        </w:tc>
        <w:tc>
          <w:tcPr>
            <w:tcW w:w="1168" w:type="dxa"/>
            <w:tcBorders>
              <w:bottom w:val="single" w:color="auto" w:sz="6" w:space="0"/>
            </w:tcBorders>
            <w:noWrap w:val="0"/>
            <w:vAlign w:val="center"/>
          </w:tcPr>
          <w:p>
            <w:pPr>
              <w:jc w:val="center"/>
              <w:rPr>
                <w:szCs w:val="21"/>
              </w:rPr>
            </w:pPr>
            <w:r>
              <w:rPr>
                <w:szCs w:val="21"/>
              </w:rPr>
              <w:t>COD</w:t>
            </w:r>
          </w:p>
        </w:tc>
        <w:tc>
          <w:tcPr>
            <w:tcW w:w="2959" w:type="dxa"/>
            <w:tcBorders>
              <w:bottom w:val="single" w:color="auto" w:sz="6" w:space="0"/>
            </w:tcBorders>
            <w:noWrap w:val="0"/>
            <w:vAlign w:val="center"/>
          </w:tcPr>
          <w:p>
            <w:pPr>
              <w:adjustRightInd w:val="0"/>
              <w:snapToGrid w:val="0"/>
              <w:jc w:val="center"/>
              <w:rPr>
                <w:szCs w:val="21"/>
              </w:rPr>
            </w:pPr>
            <w:r>
              <w:rPr>
                <w:rFonts w:hint="eastAsia"/>
                <w:szCs w:val="21"/>
              </w:rPr>
              <w:t>4</w:t>
            </w:r>
            <w:r>
              <w:rPr>
                <w:szCs w:val="21"/>
              </w:rPr>
              <w:t>00mg/</w:t>
            </w:r>
            <w:r>
              <w:rPr>
                <w:rFonts w:hint="eastAsia"/>
                <w:szCs w:val="21"/>
              </w:rPr>
              <w:t>L</w:t>
            </w:r>
            <w:r>
              <w:rPr>
                <w:rFonts w:hAnsi="宋体"/>
                <w:szCs w:val="21"/>
              </w:rPr>
              <w:t>，</w:t>
            </w:r>
            <w:r>
              <w:rPr>
                <w:rFonts w:hint="eastAsia"/>
                <w:szCs w:val="21"/>
              </w:rPr>
              <w:t>0.054t</w:t>
            </w:r>
            <w:r>
              <w:rPr>
                <w:szCs w:val="21"/>
              </w:rPr>
              <w:t>/a</w:t>
            </w:r>
          </w:p>
        </w:tc>
        <w:tc>
          <w:tcPr>
            <w:tcW w:w="2973" w:type="dxa"/>
            <w:vMerge w:val="restart"/>
            <w:noWrap w:val="0"/>
            <w:vAlign w:val="center"/>
          </w:tcPr>
          <w:p>
            <w:pPr>
              <w:jc w:val="center"/>
              <w:rPr>
                <w:rFonts w:hint="eastAsia" w:eastAsia="宋体"/>
                <w:szCs w:val="21"/>
                <w:lang w:eastAsia="zh-CN"/>
              </w:rPr>
            </w:pPr>
            <w:r>
              <w:rPr>
                <w:rFonts w:hint="eastAsia"/>
                <w:szCs w:val="21"/>
                <w:lang w:eastAsia="zh-CN"/>
              </w:rPr>
              <w:t>经化粪池后作农溉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507" w:type="dxa"/>
            <w:vMerge w:val="continue"/>
            <w:noWrap w:val="0"/>
            <w:vAlign w:val="center"/>
          </w:tcPr>
          <w:p>
            <w:pPr>
              <w:jc w:val="center"/>
              <w:rPr>
                <w:szCs w:val="21"/>
              </w:rPr>
            </w:pPr>
          </w:p>
        </w:tc>
        <w:tc>
          <w:tcPr>
            <w:tcW w:w="1264" w:type="dxa"/>
            <w:vMerge w:val="continue"/>
            <w:noWrap w:val="0"/>
            <w:vAlign w:val="center"/>
          </w:tcPr>
          <w:p>
            <w:pPr>
              <w:jc w:val="center"/>
              <w:rPr>
                <w:szCs w:val="21"/>
              </w:rPr>
            </w:pPr>
          </w:p>
        </w:tc>
        <w:tc>
          <w:tcPr>
            <w:tcW w:w="1168" w:type="dxa"/>
            <w:noWrap w:val="0"/>
            <w:vAlign w:val="center"/>
          </w:tcPr>
          <w:p>
            <w:pPr>
              <w:jc w:val="center"/>
              <w:rPr>
                <w:szCs w:val="21"/>
              </w:rPr>
            </w:pPr>
            <w:r>
              <w:rPr>
                <w:szCs w:val="21"/>
              </w:rPr>
              <w:t>BOD</w:t>
            </w:r>
          </w:p>
        </w:tc>
        <w:tc>
          <w:tcPr>
            <w:tcW w:w="2959" w:type="dxa"/>
            <w:noWrap w:val="0"/>
            <w:vAlign w:val="center"/>
          </w:tcPr>
          <w:p>
            <w:pPr>
              <w:adjustRightInd w:val="0"/>
              <w:snapToGrid w:val="0"/>
              <w:jc w:val="center"/>
              <w:rPr>
                <w:szCs w:val="21"/>
              </w:rPr>
            </w:pPr>
            <w:r>
              <w:rPr>
                <w:rFonts w:hint="eastAsia"/>
                <w:szCs w:val="21"/>
              </w:rPr>
              <w:t>3</w:t>
            </w:r>
            <w:r>
              <w:rPr>
                <w:szCs w:val="21"/>
              </w:rPr>
              <w:t>00mg/</w:t>
            </w:r>
            <w:r>
              <w:rPr>
                <w:rFonts w:hint="eastAsia"/>
                <w:szCs w:val="21"/>
              </w:rPr>
              <w:t>L</w:t>
            </w:r>
            <w:r>
              <w:rPr>
                <w:rFonts w:hAnsi="宋体"/>
                <w:szCs w:val="21"/>
              </w:rPr>
              <w:t>，</w:t>
            </w:r>
            <w:r>
              <w:rPr>
                <w:szCs w:val="21"/>
              </w:rPr>
              <w:t>0.</w:t>
            </w:r>
            <w:r>
              <w:rPr>
                <w:rFonts w:hint="eastAsia"/>
                <w:szCs w:val="21"/>
              </w:rPr>
              <w:t>04t</w:t>
            </w:r>
            <w:r>
              <w:rPr>
                <w:szCs w:val="21"/>
              </w:rPr>
              <w:t>/a</w:t>
            </w:r>
          </w:p>
        </w:tc>
        <w:tc>
          <w:tcPr>
            <w:tcW w:w="2973" w:type="dxa"/>
            <w:vMerge w:val="continue"/>
            <w:noWrap w:val="0"/>
            <w:vAlign w:val="center"/>
          </w:tcPr>
          <w:p>
            <w:pPr>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507" w:type="dxa"/>
            <w:vMerge w:val="continue"/>
            <w:noWrap w:val="0"/>
            <w:vAlign w:val="center"/>
          </w:tcPr>
          <w:p>
            <w:pPr>
              <w:jc w:val="center"/>
              <w:rPr>
                <w:szCs w:val="21"/>
              </w:rPr>
            </w:pPr>
          </w:p>
        </w:tc>
        <w:tc>
          <w:tcPr>
            <w:tcW w:w="1264" w:type="dxa"/>
            <w:vMerge w:val="continue"/>
            <w:noWrap w:val="0"/>
            <w:vAlign w:val="center"/>
          </w:tcPr>
          <w:p>
            <w:pPr>
              <w:jc w:val="center"/>
              <w:rPr>
                <w:szCs w:val="21"/>
              </w:rPr>
            </w:pPr>
          </w:p>
        </w:tc>
        <w:tc>
          <w:tcPr>
            <w:tcW w:w="1168" w:type="dxa"/>
            <w:noWrap w:val="0"/>
            <w:vAlign w:val="center"/>
          </w:tcPr>
          <w:p>
            <w:pPr>
              <w:pStyle w:val="143"/>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NH</w:t>
            </w:r>
            <w:r>
              <w:rPr>
                <w:rFonts w:ascii="Times New Roman" w:hAnsi="Times New Roman" w:cs="Times New Roman"/>
                <w:sz w:val="21"/>
                <w:szCs w:val="21"/>
                <w:vertAlign w:val="subscript"/>
              </w:rPr>
              <w:t>3</w:t>
            </w:r>
            <w:r>
              <w:rPr>
                <w:rFonts w:ascii="Times New Roman" w:hAnsi="Times New Roman" w:cs="Times New Roman"/>
                <w:sz w:val="21"/>
                <w:szCs w:val="21"/>
              </w:rPr>
              <w:t>-N</w:t>
            </w:r>
          </w:p>
        </w:tc>
        <w:tc>
          <w:tcPr>
            <w:tcW w:w="2959" w:type="dxa"/>
            <w:noWrap w:val="0"/>
            <w:vAlign w:val="center"/>
          </w:tcPr>
          <w:p>
            <w:pPr>
              <w:adjustRightInd w:val="0"/>
              <w:snapToGrid w:val="0"/>
              <w:jc w:val="center"/>
              <w:rPr>
                <w:szCs w:val="21"/>
              </w:rPr>
            </w:pPr>
            <w:r>
              <w:rPr>
                <w:rFonts w:hint="eastAsia"/>
                <w:szCs w:val="21"/>
              </w:rPr>
              <w:t>35</w:t>
            </w:r>
            <w:r>
              <w:rPr>
                <w:szCs w:val="21"/>
              </w:rPr>
              <w:t>mg/</w:t>
            </w:r>
            <w:r>
              <w:rPr>
                <w:rFonts w:hint="eastAsia"/>
                <w:szCs w:val="21"/>
              </w:rPr>
              <w:t>L</w:t>
            </w:r>
            <w:r>
              <w:rPr>
                <w:rFonts w:hAnsi="宋体"/>
                <w:szCs w:val="21"/>
              </w:rPr>
              <w:t>，</w:t>
            </w:r>
            <w:r>
              <w:rPr>
                <w:szCs w:val="21"/>
              </w:rPr>
              <w:t>0.</w:t>
            </w:r>
            <w:r>
              <w:rPr>
                <w:rFonts w:hint="eastAsia"/>
                <w:szCs w:val="21"/>
              </w:rPr>
              <w:t>005t</w:t>
            </w:r>
            <w:r>
              <w:rPr>
                <w:szCs w:val="21"/>
              </w:rPr>
              <w:t>/a</w:t>
            </w:r>
          </w:p>
        </w:tc>
        <w:tc>
          <w:tcPr>
            <w:tcW w:w="2973" w:type="dxa"/>
            <w:vMerge w:val="continue"/>
            <w:noWrap w:val="0"/>
            <w:vAlign w:val="center"/>
          </w:tcPr>
          <w:p>
            <w:pPr>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2" w:hRule="atLeast"/>
          <w:jc w:val="center"/>
        </w:trPr>
        <w:tc>
          <w:tcPr>
            <w:tcW w:w="507" w:type="dxa"/>
            <w:vMerge w:val="continue"/>
            <w:noWrap w:val="0"/>
            <w:vAlign w:val="center"/>
          </w:tcPr>
          <w:p>
            <w:pPr>
              <w:jc w:val="center"/>
              <w:rPr>
                <w:szCs w:val="21"/>
              </w:rPr>
            </w:pPr>
          </w:p>
        </w:tc>
        <w:tc>
          <w:tcPr>
            <w:tcW w:w="1264" w:type="dxa"/>
            <w:vMerge w:val="continue"/>
            <w:noWrap w:val="0"/>
            <w:vAlign w:val="center"/>
          </w:tcPr>
          <w:p>
            <w:pPr>
              <w:jc w:val="center"/>
              <w:rPr>
                <w:szCs w:val="21"/>
              </w:rPr>
            </w:pPr>
          </w:p>
        </w:tc>
        <w:tc>
          <w:tcPr>
            <w:tcW w:w="1168" w:type="dxa"/>
            <w:noWrap w:val="0"/>
            <w:vAlign w:val="center"/>
          </w:tcPr>
          <w:p>
            <w:pPr>
              <w:jc w:val="center"/>
              <w:rPr>
                <w:szCs w:val="21"/>
              </w:rPr>
            </w:pPr>
            <w:r>
              <w:rPr>
                <w:szCs w:val="21"/>
              </w:rPr>
              <w:t>SS</w:t>
            </w:r>
          </w:p>
        </w:tc>
        <w:tc>
          <w:tcPr>
            <w:tcW w:w="2959" w:type="dxa"/>
            <w:noWrap w:val="0"/>
            <w:vAlign w:val="center"/>
          </w:tcPr>
          <w:p>
            <w:pPr>
              <w:adjustRightInd w:val="0"/>
              <w:snapToGrid w:val="0"/>
              <w:jc w:val="center"/>
              <w:rPr>
                <w:szCs w:val="21"/>
              </w:rPr>
            </w:pPr>
            <w:r>
              <w:rPr>
                <w:rFonts w:hint="eastAsia"/>
                <w:szCs w:val="21"/>
              </w:rPr>
              <w:t>200</w:t>
            </w:r>
            <w:r>
              <w:rPr>
                <w:szCs w:val="21"/>
              </w:rPr>
              <w:t>mg/</w:t>
            </w:r>
            <w:r>
              <w:rPr>
                <w:rFonts w:hint="eastAsia"/>
                <w:szCs w:val="21"/>
              </w:rPr>
              <w:t>L</w:t>
            </w:r>
            <w:r>
              <w:rPr>
                <w:rFonts w:hAnsi="宋体"/>
                <w:szCs w:val="21"/>
              </w:rPr>
              <w:t>，</w:t>
            </w:r>
            <w:r>
              <w:rPr>
                <w:rFonts w:hint="eastAsia"/>
                <w:szCs w:val="21"/>
              </w:rPr>
              <w:t>0.027</w:t>
            </w:r>
            <w:r>
              <w:rPr>
                <w:szCs w:val="21"/>
              </w:rPr>
              <w:t>kg/a</w:t>
            </w:r>
          </w:p>
        </w:tc>
        <w:tc>
          <w:tcPr>
            <w:tcW w:w="2973" w:type="dxa"/>
            <w:vMerge w:val="continue"/>
            <w:noWrap w:val="0"/>
            <w:vAlign w:val="center"/>
          </w:tcPr>
          <w:p>
            <w:pPr>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jc w:val="center"/>
        </w:trPr>
        <w:tc>
          <w:tcPr>
            <w:tcW w:w="507" w:type="dxa"/>
            <w:vMerge w:val="restart"/>
            <w:noWrap w:val="0"/>
            <w:vAlign w:val="center"/>
          </w:tcPr>
          <w:p>
            <w:pPr>
              <w:jc w:val="center"/>
              <w:rPr>
                <w:szCs w:val="21"/>
              </w:rPr>
            </w:pPr>
            <w:r>
              <w:rPr>
                <w:rFonts w:hAnsi="宋体"/>
                <w:szCs w:val="21"/>
              </w:rPr>
              <w:t>固体</w:t>
            </w:r>
          </w:p>
          <w:p>
            <w:pPr>
              <w:jc w:val="center"/>
              <w:rPr>
                <w:szCs w:val="21"/>
              </w:rPr>
            </w:pPr>
            <w:r>
              <w:rPr>
                <w:rFonts w:hAnsi="宋体"/>
                <w:szCs w:val="21"/>
              </w:rPr>
              <w:t>废弃</w:t>
            </w:r>
          </w:p>
          <w:p>
            <w:pPr>
              <w:jc w:val="center"/>
              <w:rPr>
                <w:rFonts w:hAnsi="宋体"/>
                <w:szCs w:val="21"/>
              </w:rPr>
            </w:pPr>
            <w:r>
              <w:rPr>
                <w:rFonts w:hAnsi="宋体"/>
                <w:szCs w:val="21"/>
              </w:rPr>
              <w:t>物</w:t>
            </w:r>
          </w:p>
        </w:tc>
        <w:tc>
          <w:tcPr>
            <w:tcW w:w="1264" w:type="dxa"/>
            <w:vMerge w:val="restart"/>
            <w:noWrap w:val="0"/>
            <w:vAlign w:val="center"/>
          </w:tcPr>
          <w:p>
            <w:pPr>
              <w:jc w:val="center"/>
              <w:rPr>
                <w:rFonts w:hAnsi="宋体"/>
                <w:szCs w:val="21"/>
              </w:rPr>
            </w:pPr>
            <w:r>
              <w:rPr>
                <w:rFonts w:hint="eastAsia" w:hAnsi="宋体"/>
                <w:szCs w:val="21"/>
              </w:rPr>
              <w:t>生产车间</w:t>
            </w:r>
          </w:p>
        </w:tc>
        <w:tc>
          <w:tcPr>
            <w:tcW w:w="1168" w:type="dxa"/>
            <w:tcBorders>
              <w:bottom w:val="single" w:color="auto" w:sz="6" w:space="0"/>
            </w:tcBorders>
            <w:noWrap w:val="0"/>
            <w:vAlign w:val="center"/>
          </w:tcPr>
          <w:p>
            <w:pPr>
              <w:pStyle w:val="44"/>
              <w:snapToGrid w:val="0"/>
              <w:spacing w:after="0"/>
              <w:ind w:left="0" w:leftChars="0"/>
              <w:jc w:val="center"/>
              <w:rPr>
                <w:rFonts w:hint="eastAsia" w:hAnsi="宋体"/>
                <w:sz w:val="21"/>
                <w:szCs w:val="21"/>
              </w:rPr>
            </w:pPr>
            <w:r>
              <w:rPr>
                <w:rFonts w:hint="eastAsia" w:hAnsi="宋体"/>
                <w:sz w:val="21"/>
                <w:szCs w:val="21"/>
              </w:rPr>
              <w:t>生活</w:t>
            </w:r>
          </w:p>
          <w:p>
            <w:pPr>
              <w:pStyle w:val="44"/>
              <w:snapToGrid w:val="0"/>
              <w:spacing w:after="0"/>
              <w:ind w:left="0" w:leftChars="0"/>
              <w:jc w:val="center"/>
              <w:rPr>
                <w:szCs w:val="21"/>
              </w:rPr>
            </w:pPr>
            <w:r>
              <w:rPr>
                <w:rFonts w:hint="eastAsia" w:hAnsi="宋体"/>
                <w:sz w:val="21"/>
                <w:szCs w:val="21"/>
              </w:rPr>
              <w:t>垃圾</w:t>
            </w:r>
          </w:p>
        </w:tc>
        <w:tc>
          <w:tcPr>
            <w:tcW w:w="2959" w:type="dxa"/>
            <w:noWrap w:val="0"/>
            <w:vAlign w:val="center"/>
          </w:tcPr>
          <w:p>
            <w:pPr>
              <w:pStyle w:val="44"/>
              <w:snapToGrid w:val="0"/>
              <w:ind w:left="0" w:leftChars="0"/>
              <w:jc w:val="center"/>
              <w:rPr>
                <w:szCs w:val="21"/>
              </w:rPr>
            </w:pPr>
            <w:r>
              <w:rPr>
                <w:sz w:val="21"/>
                <w:szCs w:val="21"/>
              </w:rPr>
              <w:t>1.5</w:t>
            </w:r>
            <w:r>
              <w:rPr>
                <w:rFonts w:hint="eastAsia"/>
                <w:sz w:val="21"/>
                <w:szCs w:val="21"/>
              </w:rPr>
              <w:t>t/a</w:t>
            </w:r>
          </w:p>
        </w:tc>
        <w:tc>
          <w:tcPr>
            <w:tcW w:w="2973" w:type="dxa"/>
            <w:noWrap w:val="0"/>
            <w:vAlign w:val="center"/>
          </w:tcPr>
          <w:p>
            <w:pPr>
              <w:jc w:val="center"/>
              <w:rPr>
                <w:szCs w:val="21"/>
              </w:rPr>
            </w:pPr>
            <w:r>
              <w:rPr>
                <w:rFonts w:hint="eastAsia"/>
                <w:szCs w:val="21"/>
              </w:rPr>
              <w:t>收集后由当地环卫部门处理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10" w:hRule="atLeast"/>
          <w:jc w:val="center"/>
        </w:trPr>
        <w:tc>
          <w:tcPr>
            <w:tcW w:w="507" w:type="dxa"/>
            <w:vMerge w:val="continue"/>
            <w:noWrap w:val="0"/>
            <w:vAlign w:val="center"/>
          </w:tcPr>
          <w:p>
            <w:pPr>
              <w:jc w:val="center"/>
              <w:rPr>
                <w:rFonts w:hAnsi="宋体"/>
                <w:szCs w:val="21"/>
              </w:rPr>
            </w:pPr>
          </w:p>
        </w:tc>
        <w:tc>
          <w:tcPr>
            <w:tcW w:w="1264" w:type="dxa"/>
            <w:vMerge w:val="continue"/>
            <w:noWrap w:val="0"/>
            <w:vAlign w:val="center"/>
          </w:tcPr>
          <w:p>
            <w:pPr>
              <w:jc w:val="center"/>
              <w:rPr>
                <w:rFonts w:hint="eastAsia" w:hAnsi="宋体"/>
                <w:szCs w:val="21"/>
              </w:rPr>
            </w:pPr>
          </w:p>
        </w:tc>
        <w:tc>
          <w:tcPr>
            <w:tcW w:w="1168" w:type="dxa"/>
            <w:tcBorders>
              <w:bottom w:val="single" w:color="auto" w:sz="6" w:space="0"/>
            </w:tcBorders>
            <w:noWrap w:val="0"/>
            <w:vAlign w:val="center"/>
          </w:tcPr>
          <w:p>
            <w:pPr>
              <w:pStyle w:val="44"/>
              <w:snapToGrid w:val="0"/>
              <w:spacing w:after="0"/>
              <w:ind w:left="0" w:leftChars="0"/>
              <w:jc w:val="center"/>
              <w:rPr>
                <w:rFonts w:hint="eastAsia" w:hAnsi="宋体"/>
                <w:sz w:val="21"/>
                <w:szCs w:val="21"/>
              </w:rPr>
            </w:pPr>
            <w:r>
              <w:rPr>
                <w:rFonts w:hint="eastAsia" w:hAnsi="宋体"/>
                <w:sz w:val="21"/>
                <w:szCs w:val="21"/>
              </w:rPr>
              <w:t>废品</w:t>
            </w:r>
          </w:p>
          <w:p>
            <w:pPr>
              <w:pStyle w:val="44"/>
              <w:snapToGrid w:val="0"/>
              <w:spacing w:after="0"/>
              <w:ind w:left="0" w:leftChars="0"/>
              <w:jc w:val="center"/>
              <w:rPr>
                <w:szCs w:val="21"/>
              </w:rPr>
            </w:pPr>
            <w:r>
              <w:rPr>
                <w:rFonts w:hint="eastAsia" w:hAnsi="宋体"/>
                <w:sz w:val="21"/>
                <w:szCs w:val="21"/>
              </w:rPr>
              <w:t>木材</w:t>
            </w:r>
          </w:p>
        </w:tc>
        <w:tc>
          <w:tcPr>
            <w:tcW w:w="2959" w:type="dxa"/>
            <w:tcBorders>
              <w:bottom w:val="single" w:color="auto" w:sz="6" w:space="0"/>
            </w:tcBorders>
            <w:noWrap w:val="0"/>
            <w:vAlign w:val="center"/>
          </w:tcPr>
          <w:p>
            <w:pPr>
              <w:pStyle w:val="44"/>
              <w:snapToGrid w:val="0"/>
              <w:ind w:left="0" w:leftChars="0"/>
              <w:jc w:val="center"/>
              <w:rPr>
                <w:szCs w:val="21"/>
              </w:rPr>
            </w:pPr>
            <w:r>
              <w:rPr>
                <w:rFonts w:hint="eastAsia"/>
                <w:sz w:val="21"/>
                <w:szCs w:val="21"/>
                <w:lang w:val="en-US" w:eastAsia="zh-CN"/>
              </w:rPr>
              <w:t>23</w:t>
            </w:r>
            <w:r>
              <w:rPr>
                <w:rFonts w:hint="eastAsia"/>
                <w:sz w:val="21"/>
                <w:szCs w:val="21"/>
              </w:rPr>
              <w:t>t/a</w:t>
            </w:r>
          </w:p>
        </w:tc>
        <w:tc>
          <w:tcPr>
            <w:tcW w:w="2973" w:type="dxa"/>
            <w:noWrap w:val="0"/>
            <w:vAlign w:val="center"/>
          </w:tcPr>
          <w:p>
            <w:pPr>
              <w:jc w:val="center"/>
              <w:rPr>
                <w:szCs w:val="21"/>
              </w:rPr>
            </w:pPr>
            <w:r>
              <w:rPr>
                <w:rFonts w:hint="eastAsia"/>
                <w:szCs w:val="21"/>
              </w:rPr>
              <w:t>交由原料厂商处理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4" w:hRule="atLeast"/>
          <w:jc w:val="center"/>
        </w:trPr>
        <w:tc>
          <w:tcPr>
            <w:tcW w:w="507" w:type="dxa"/>
            <w:vMerge w:val="continue"/>
            <w:noWrap w:val="0"/>
            <w:vAlign w:val="center"/>
          </w:tcPr>
          <w:p>
            <w:pPr>
              <w:jc w:val="center"/>
              <w:rPr>
                <w:rFonts w:hAnsi="宋体"/>
                <w:szCs w:val="21"/>
              </w:rPr>
            </w:pPr>
          </w:p>
        </w:tc>
        <w:tc>
          <w:tcPr>
            <w:tcW w:w="1264" w:type="dxa"/>
            <w:vMerge w:val="continue"/>
            <w:noWrap w:val="0"/>
            <w:vAlign w:val="center"/>
          </w:tcPr>
          <w:p>
            <w:pPr>
              <w:jc w:val="center"/>
              <w:rPr>
                <w:rFonts w:hint="eastAsia" w:hAnsi="宋体"/>
                <w:szCs w:val="21"/>
              </w:rPr>
            </w:pPr>
          </w:p>
        </w:tc>
        <w:tc>
          <w:tcPr>
            <w:tcW w:w="1168" w:type="dxa"/>
            <w:tcBorders>
              <w:bottom w:val="single" w:color="auto" w:sz="6" w:space="0"/>
            </w:tcBorders>
            <w:noWrap w:val="0"/>
            <w:vAlign w:val="center"/>
          </w:tcPr>
          <w:p>
            <w:pPr>
              <w:pStyle w:val="44"/>
              <w:snapToGrid w:val="0"/>
              <w:spacing w:after="0"/>
              <w:ind w:left="0" w:leftChars="0"/>
              <w:jc w:val="center"/>
              <w:rPr>
                <w:rFonts w:hint="eastAsia" w:hAnsi="宋体"/>
                <w:sz w:val="21"/>
                <w:szCs w:val="21"/>
              </w:rPr>
            </w:pPr>
            <w:r>
              <w:rPr>
                <w:rFonts w:hint="eastAsia" w:hAnsi="宋体"/>
                <w:sz w:val="21"/>
                <w:szCs w:val="21"/>
              </w:rPr>
              <w:t>导热油</w:t>
            </w:r>
          </w:p>
        </w:tc>
        <w:tc>
          <w:tcPr>
            <w:tcW w:w="2959" w:type="dxa"/>
            <w:tcBorders>
              <w:bottom w:val="single" w:color="auto" w:sz="6" w:space="0"/>
            </w:tcBorders>
            <w:noWrap w:val="0"/>
            <w:vAlign w:val="center"/>
          </w:tcPr>
          <w:p>
            <w:pPr>
              <w:pStyle w:val="44"/>
              <w:snapToGrid w:val="0"/>
              <w:ind w:left="0" w:leftChars="0"/>
              <w:jc w:val="center"/>
              <w:rPr>
                <w:sz w:val="21"/>
                <w:szCs w:val="21"/>
              </w:rPr>
            </w:pPr>
            <w:r>
              <w:rPr>
                <w:sz w:val="21"/>
                <w:szCs w:val="21"/>
              </w:rPr>
              <w:t>500</w:t>
            </w:r>
            <w:r>
              <w:rPr>
                <w:rFonts w:hint="eastAsia"/>
                <w:sz w:val="21"/>
                <w:szCs w:val="21"/>
              </w:rPr>
              <w:t>L/每次更换</w:t>
            </w:r>
          </w:p>
        </w:tc>
        <w:tc>
          <w:tcPr>
            <w:tcW w:w="2973" w:type="dxa"/>
            <w:vMerge w:val="restart"/>
            <w:noWrap w:val="0"/>
            <w:vAlign w:val="center"/>
          </w:tcPr>
          <w:p>
            <w:pPr>
              <w:jc w:val="center"/>
              <w:rPr>
                <w:rFonts w:hint="eastAsia"/>
                <w:szCs w:val="21"/>
              </w:rPr>
            </w:pPr>
            <w:r>
              <w:rPr>
                <w:rFonts w:hint="eastAsia"/>
                <w:szCs w:val="21"/>
              </w:rPr>
              <w:t>交由有危险废物处理资质的单位处理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4" w:hRule="atLeast"/>
          <w:jc w:val="center"/>
        </w:trPr>
        <w:tc>
          <w:tcPr>
            <w:tcW w:w="507" w:type="dxa"/>
            <w:vMerge w:val="continue"/>
            <w:noWrap w:val="0"/>
            <w:vAlign w:val="center"/>
          </w:tcPr>
          <w:p>
            <w:pPr>
              <w:jc w:val="center"/>
              <w:rPr>
                <w:rFonts w:hAnsi="宋体"/>
                <w:szCs w:val="21"/>
              </w:rPr>
            </w:pPr>
          </w:p>
        </w:tc>
        <w:tc>
          <w:tcPr>
            <w:tcW w:w="1264" w:type="dxa"/>
            <w:vMerge w:val="continue"/>
            <w:noWrap w:val="0"/>
            <w:vAlign w:val="center"/>
          </w:tcPr>
          <w:p>
            <w:pPr>
              <w:jc w:val="center"/>
              <w:rPr>
                <w:rFonts w:hint="eastAsia" w:hAnsi="宋体"/>
                <w:szCs w:val="21"/>
              </w:rPr>
            </w:pPr>
          </w:p>
        </w:tc>
        <w:tc>
          <w:tcPr>
            <w:tcW w:w="1168" w:type="dxa"/>
            <w:tcBorders>
              <w:bottom w:val="single" w:color="auto" w:sz="6" w:space="0"/>
            </w:tcBorders>
            <w:noWrap w:val="0"/>
            <w:vAlign w:val="center"/>
          </w:tcPr>
          <w:p>
            <w:pPr>
              <w:pStyle w:val="44"/>
              <w:snapToGrid w:val="0"/>
              <w:spacing w:after="0"/>
              <w:ind w:left="0" w:leftChars="0"/>
              <w:jc w:val="center"/>
              <w:rPr>
                <w:rFonts w:hint="eastAsia" w:hAnsi="宋体"/>
                <w:sz w:val="21"/>
                <w:szCs w:val="21"/>
                <w:lang w:eastAsia="zh-CN"/>
              </w:rPr>
            </w:pPr>
            <w:r>
              <w:rPr>
                <w:rFonts w:hint="eastAsia" w:hAnsi="宋体"/>
                <w:sz w:val="21"/>
                <w:szCs w:val="21"/>
                <w:lang w:eastAsia="zh-CN"/>
              </w:rPr>
              <w:t>废活</w:t>
            </w:r>
          </w:p>
          <w:p>
            <w:pPr>
              <w:pStyle w:val="44"/>
              <w:snapToGrid w:val="0"/>
              <w:spacing w:after="0"/>
              <w:ind w:left="0" w:leftChars="0"/>
              <w:jc w:val="center"/>
              <w:rPr>
                <w:rFonts w:hint="eastAsia" w:hAnsi="宋体" w:eastAsia="宋体"/>
                <w:sz w:val="21"/>
                <w:szCs w:val="21"/>
                <w:lang w:eastAsia="zh-CN"/>
              </w:rPr>
            </w:pPr>
            <w:r>
              <w:rPr>
                <w:rFonts w:hint="eastAsia" w:hAnsi="宋体"/>
                <w:sz w:val="21"/>
                <w:szCs w:val="21"/>
                <w:lang w:eastAsia="zh-CN"/>
              </w:rPr>
              <w:t>性炭</w:t>
            </w:r>
          </w:p>
        </w:tc>
        <w:tc>
          <w:tcPr>
            <w:tcW w:w="2959" w:type="dxa"/>
            <w:tcBorders>
              <w:bottom w:val="single" w:color="auto" w:sz="6" w:space="0"/>
            </w:tcBorders>
            <w:noWrap w:val="0"/>
            <w:vAlign w:val="center"/>
          </w:tcPr>
          <w:p>
            <w:pPr>
              <w:pStyle w:val="44"/>
              <w:snapToGrid w:val="0"/>
              <w:ind w:left="0" w:leftChars="0"/>
              <w:jc w:val="center"/>
              <w:rPr>
                <w:rFonts w:hint="default" w:eastAsia="宋体"/>
                <w:sz w:val="21"/>
                <w:szCs w:val="21"/>
                <w:lang w:val="en-US" w:eastAsia="zh-CN"/>
              </w:rPr>
            </w:pPr>
            <w:r>
              <w:rPr>
                <w:rFonts w:hint="eastAsia"/>
                <w:sz w:val="21"/>
                <w:szCs w:val="21"/>
                <w:lang w:val="en-US" w:eastAsia="zh-CN"/>
              </w:rPr>
              <w:t>11kg/a</w:t>
            </w:r>
          </w:p>
        </w:tc>
        <w:tc>
          <w:tcPr>
            <w:tcW w:w="2973" w:type="dxa"/>
            <w:vMerge w:val="continue"/>
            <w:noWrap w:val="0"/>
            <w:vAlign w:val="center"/>
          </w:tcPr>
          <w:p>
            <w:pPr>
              <w:jc w:val="center"/>
              <w:rPr>
                <w:rFonts w:hint="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0" w:hRule="atLeast"/>
          <w:jc w:val="center"/>
        </w:trPr>
        <w:tc>
          <w:tcPr>
            <w:tcW w:w="507" w:type="dxa"/>
            <w:vMerge w:val="continue"/>
            <w:noWrap w:val="0"/>
            <w:vAlign w:val="center"/>
          </w:tcPr>
          <w:p>
            <w:pPr>
              <w:jc w:val="center"/>
              <w:rPr>
                <w:rFonts w:hAnsi="宋体"/>
                <w:szCs w:val="21"/>
              </w:rPr>
            </w:pPr>
          </w:p>
        </w:tc>
        <w:tc>
          <w:tcPr>
            <w:tcW w:w="1264" w:type="dxa"/>
            <w:vMerge w:val="continue"/>
            <w:noWrap w:val="0"/>
            <w:vAlign w:val="center"/>
          </w:tcPr>
          <w:p>
            <w:pPr>
              <w:jc w:val="center"/>
              <w:rPr>
                <w:rFonts w:hint="eastAsia" w:hAnsi="宋体"/>
                <w:szCs w:val="21"/>
              </w:rPr>
            </w:pPr>
          </w:p>
        </w:tc>
        <w:tc>
          <w:tcPr>
            <w:tcW w:w="1168" w:type="dxa"/>
            <w:tcBorders>
              <w:bottom w:val="single" w:color="auto" w:sz="6" w:space="0"/>
            </w:tcBorders>
            <w:noWrap w:val="0"/>
            <w:vAlign w:val="center"/>
          </w:tcPr>
          <w:p>
            <w:pPr>
              <w:pStyle w:val="44"/>
              <w:snapToGrid w:val="0"/>
              <w:spacing w:after="0"/>
              <w:ind w:left="0" w:leftChars="0"/>
              <w:jc w:val="center"/>
              <w:rPr>
                <w:rFonts w:hint="eastAsia" w:hAnsi="宋体"/>
                <w:sz w:val="21"/>
                <w:szCs w:val="21"/>
              </w:rPr>
            </w:pPr>
            <w:r>
              <w:rPr>
                <w:rFonts w:hint="eastAsia" w:hAnsi="宋体"/>
                <w:sz w:val="21"/>
                <w:szCs w:val="21"/>
              </w:rPr>
              <w:t>浸渍纸</w:t>
            </w:r>
          </w:p>
        </w:tc>
        <w:tc>
          <w:tcPr>
            <w:tcW w:w="2959" w:type="dxa"/>
            <w:tcBorders>
              <w:bottom w:val="single" w:color="auto" w:sz="6" w:space="0"/>
            </w:tcBorders>
            <w:noWrap w:val="0"/>
            <w:vAlign w:val="center"/>
          </w:tcPr>
          <w:p>
            <w:pPr>
              <w:pStyle w:val="44"/>
              <w:snapToGrid w:val="0"/>
              <w:ind w:left="0" w:leftChars="0"/>
              <w:jc w:val="center"/>
              <w:rPr>
                <w:sz w:val="21"/>
                <w:szCs w:val="21"/>
              </w:rPr>
            </w:pPr>
            <w:r>
              <w:rPr>
                <w:sz w:val="21"/>
                <w:szCs w:val="21"/>
              </w:rPr>
              <w:t>1800</w:t>
            </w:r>
            <w:r>
              <w:rPr>
                <w:rFonts w:hint="eastAsia"/>
                <w:sz w:val="21"/>
                <w:szCs w:val="21"/>
              </w:rPr>
              <w:t>张</w:t>
            </w:r>
          </w:p>
        </w:tc>
        <w:tc>
          <w:tcPr>
            <w:tcW w:w="2973" w:type="dxa"/>
            <w:noWrap w:val="0"/>
            <w:vAlign w:val="center"/>
          </w:tcPr>
          <w:p>
            <w:pPr>
              <w:jc w:val="center"/>
              <w:rPr>
                <w:rFonts w:hint="eastAsia"/>
                <w:szCs w:val="21"/>
              </w:rPr>
            </w:pPr>
            <w:r>
              <w:rPr>
                <w:rFonts w:hint="eastAsia"/>
                <w:szCs w:val="21"/>
              </w:rPr>
              <w:t>交由环卫部门处理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77" w:hRule="atLeast"/>
          <w:jc w:val="center"/>
        </w:trPr>
        <w:tc>
          <w:tcPr>
            <w:tcW w:w="507" w:type="dxa"/>
            <w:vMerge w:val="restart"/>
            <w:noWrap w:val="0"/>
            <w:vAlign w:val="center"/>
          </w:tcPr>
          <w:p>
            <w:pPr>
              <w:jc w:val="center"/>
              <w:rPr>
                <w:szCs w:val="21"/>
              </w:rPr>
            </w:pPr>
            <w:r>
              <w:rPr>
                <w:rFonts w:hAnsi="宋体"/>
                <w:szCs w:val="21"/>
              </w:rPr>
              <w:t>大气</w:t>
            </w:r>
          </w:p>
          <w:p>
            <w:pPr>
              <w:jc w:val="center"/>
              <w:rPr>
                <w:szCs w:val="21"/>
              </w:rPr>
            </w:pPr>
            <w:r>
              <w:rPr>
                <w:rFonts w:hAnsi="宋体"/>
                <w:szCs w:val="21"/>
              </w:rPr>
              <w:t>污染</w:t>
            </w:r>
          </w:p>
          <w:p>
            <w:pPr>
              <w:jc w:val="center"/>
              <w:rPr>
                <w:rFonts w:hAnsi="宋体"/>
                <w:szCs w:val="21"/>
              </w:rPr>
            </w:pPr>
            <w:r>
              <w:rPr>
                <w:rFonts w:hAnsi="宋体"/>
                <w:szCs w:val="21"/>
              </w:rPr>
              <w:t>物</w:t>
            </w:r>
          </w:p>
        </w:tc>
        <w:tc>
          <w:tcPr>
            <w:tcW w:w="1264" w:type="dxa"/>
            <w:vMerge w:val="restart"/>
            <w:noWrap w:val="0"/>
            <w:vAlign w:val="center"/>
          </w:tcPr>
          <w:p>
            <w:pPr>
              <w:snapToGrid w:val="0"/>
              <w:jc w:val="center"/>
              <w:rPr>
                <w:rFonts w:hint="eastAsia"/>
                <w:szCs w:val="21"/>
              </w:rPr>
            </w:pPr>
            <w:r>
              <w:rPr>
                <w:rFonts w:hint="eastAsia"/>
                <w:szCs w:val="21"/>
              </w:rPr>
              <w:t>热压工序</w:t>
            </w:r>
          </w:p>
        </w:tc>
        <w:tc>
          <w:tcPr>
            <w:tcW w:w="1168" w:type="dxa"/>
            <w:noWrap w:val="0"/>
            <w:vAlign w:val="center"/>
          </w:tcPr>
          <w:p>
            <w:pPr>
              <w:snapToGrid w:val="0"/>
              <w:jc w:val="center"/>
              <w:rPr>
                <w:rFonts w:hint="eastAsia"/>
                <w:szCs w:val="21"/>
              </w:rPr>
            </w:pPr>
            <w:r>
              <w:rPr>
                <w:rFonts w:hint="eastAsia"/>
                <w:szCs w:val="21"/>
              </w:rPr>
              <w:t>NMHC</w:t>
            </w:r>
          </w:p>
          <w:p>
            <w:pPr>
              <w:snapToGrid w:val="0"/>
              <w:jc w:val="center"/>
              <w:rPr>
                <w:rFonts w:hint="eastAsia" w:eastAsia="宋体"/>
                <w:szCs w:val="21"/>
                <w:lang w:eastAsia="zh-CN"/>
              </w:rPr>
            </w:pPr>
            <w:r>
              <w:rPr>
                <w:rFonts w:hint="eastAsia"/>
                <w:szCs w:val="21"/>
                <w:lang w:eastAsia="zh-CN"/>
              </w:rPr>
              <w:t>（有组织）</w:t>
            </w:r>
          </w:p>
        </w:tc>
        <w:tc>
          <w:tcPr>
            <w:tcW w:w="2959" w:type="dxa"/>
            <w:noWrap w:val="0"/>
            <w:vAlign w:val="center"/>
          </w:tcPr>
          <w:p>
            <w:pPr>
              <w:snapToGrid w:val="0"/>
              <w:jc w:val="center"/>
              <w:rPr>
                <w:rFonts w:hint="eastAsia"/>
                <w:color w:val="auto"/>
                <w:szCs w:val="21"/>
              </w:rPr>
            </w:pPr>
            <w:r>
              <w:rPr>
                <w:rFonts w:hint="eastAsia"/>
                <w:color w:val="auto"/>
                <w:szCs w:val="21"/>
                <w:lang w:val="en-US" w:eastAsia="zh-CN"/>
              </w:rPr>
              <w:t>7.02</w:t>
            </w:r>
            <w:r>
              <w:rPr>
                <w:rFonts w:hint="eastAsia"/>
                <w:color w:val="auto"/>
                <w:szCs w:val="21"/>
              </w:rPr>
              <w:t>mg/m</w:t>
            </w:r>
            <w:r>
              <w:rPr>
                <w:rFonts w:hint="eastAsia"/>
                <w:color w:val="auto"/>
                <w:szCs w:val="21"/>
                <w:vertAlign w:val="superscript"/>
              </w:rPr>
              <w:t>3</w:t>
            </w:r>
            <w:r>
              <w:rPr>
                <w:rFonts w:hint="eastAsia"/>
                <w:color w:val="auto"/>
                <w:szCs w:val="21"/>
              </w:rPr>
              <w:t>，0.0</w:t>
            </w:r>
            <w:r>
              <w:rPr>
                <w:rFonts w:hint="eastAsia"/>
                <w:color w:val="auto"/>
                <w:szCs w:val="21"/>
                <w:lang w:val="en-US" w:eastAsia="zh-CN"/>
              </w:rPr>
              <w:t>0726</w:t>
            </w:r>
            <w:r>
              <w:rPr>
                <w:rFonts w:hint="eastAsia"/>
                <w:color w:val="auto"/>
                <w:szCs w:val="21"/>
              </w:rPr>
              <w:t>t/a</w:t>
            </w:r>
          </w:p>
        </w:tc>
        <w:tc>
          <w:tcPr>
            <w:tcW w:w="2973" w:type="dxa"/>
            <w:noWrap w:val="0"/>
            <w:vAlign w:val="center"/>
          </w:tcPr>
          <w:p>
            <w:pPr>
              <w:snapToGrid w:val="0"/>
              <w:jc w:val="center"/>
              <w:rPr>
                <w:rFonts w:hint="eastAsia"/>
                <w:color w:val="auto"/>
                <w:szCs w:val="21"/>
              </w:rPr>
            </w:pPr>
            <w:r>
              <w:rPr>
                <w:rFonts w:hint="eastAsia"/>
                <w:color w:val="auto"/>
                <w:szCs w:val="21"/>
                <w:lang w:val="en-US" w:eastAsia="zh-CN"/>
              </w:rPr>
              <w:t>0.631</w:t>
            </w:r>
            <w:r>
              <w:rPr>
                <w:rFonts w:hint="eastAsia"/>
                <w:color w:val="auto"/>
                <w:szCs w:val="21"/>
              </w:rPr>
              <w:t>mg/m</w:t>
            </w:r>
            <w:r>
              <w:rPr>
                <w:rFonts w:hint="eastAsia"/>
                <w:color w:val="auto"/>
                <w:szCs w:val="21"/>
                <w:vertAlign w:val="superscript"/>
              </w:rPr>
              <w:t>3</w:t>
            </w:r>
            <w:r>
              <w:rPr>
                <w:rFonts w:hint="eastAsia"/>
                <w:color w:val="auto"/>
                <w:szCs w:val="21"/>
              </w:rPr>
              <w:t>，</w:t>
            </w:r>
            <w:r>
              <w:rPr>
                <w:rFonts w:hint="eastAsia"/>
                <w:color w:val="auto"/>
                <w:szCs w:val="21"/>
                <w:lang w:val="en-US" w:eastAsia="zh-CN"/>
              </w:rPr>
              <w:t>0.000653t/a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77" w:hRule="atLeast"/>
          <w:jc w:val="center"/>
        </w:trPr>
        <w:tc>
          <w:tcPr>
            <w:tcW w:w="507" w:type="dxa"/>
            <w:vMerge w:val="continue"/>
            <w:noWrap w:val="0"/>
            <w:vAlign w:val="center"/>
          </w:tcPr>
          <w:p>
            <w:pPr>
              <w:jc w:val="center"/>
              <w:rPr>
                <w:rFonts w:hAnsi="宋体"/>
                <w:szCs w:val="21"/>
              </w:rPr>
            </w:pPr>
          </w:p>
        </w:tc>
        <w:tc>
          <w:tcPr>
            <w:tcW w:w="1264" w:type="dxa"/>
            <w:vMerge w:val="continue"/>
            <w:noWrap w:val="0"/>
            <w:vAlign w:val="center"/>
          </w:tcPr>
          <w:p>
            <w:pPr>
              <w:snapToGrid w:val="0"/>
              <w:jc w:val="center"/>
              <w:rPr>
                <w:rFonts w:hint="eastAsia"/>
                <w:szCs w:val="21"/>
              </w:rPr>
            </w:pPr>
          </w:p>
        </w:tc>
        <w:tc>
          <w:tcPr>
            <w:tcW w:w="1168" w:type="dxa"/>
            <w:noWrap w:val="0"/>
            <w:vAlign w:val="center"/>
          </w:tcPr>
          <w:p>
            <w:pPr>
              <w:snapToGrid w:val="0"/>
              <w:jc w:val="center"/>
              <w:rPr>
                <w:rFonts w:hint="eastAsia"/>
                <w:szCs w:val="21"/>
              </w:rPr>
            </w:pPr>
            <w:r>
              <w:rPr>
                <w:rFonts w:hint="eastAsia"/>
                <w:szCs w:val="21"/>
              </w:rPr>
              <w:t>NMHC</w:t>
            </w:r>
          </w:p>
          <w:p>
            <w:pPr>
              <w:snapToGrid w:val="0"/>
              <w:jc w:val="center"/>
              <w:rPr>
                <w:rFonts w:hint="eastAsia" w:eastAsia="宋体"/>
                <w:szCs w:val="21"/>
                <w:lang w:eastAsia="zh-CN"/>
              </w:rPr>
            </w:pPr>
            <w:r>
              <w:rPr>
                <w:rFonts w:hint="eastAsia"/>
                <w:szCs w:val="21"/>
                <w:lang w:eastAsia="zh-CN"/>
              </w:rPr>
              <w:t>（无组织）</w:t>
            </w:r>
          </w:p>
        </w:tc>
        <w:tc>
          <w:tcPr>
            <w:tcW w:w="2959" w:type="dxa"/>
            <w:noWrap w:val="0"/>
            <w:vAlign w:val="center"/>
          </w:tcPr>
          <w:p>
            <w:pPr>
              <w:snapToGrid w:val="0"/>
              <w:jc w:val="center"/>
              <w:rPr>
                <w:rFonts w:hint="eastAsia"/>
                <w:color w:val="auto"/>
                <w:szCs w:val="21"/>
                <w:lang w:val="en-US" w:eastAsia="zh-CN"/>
              </w:rPr>
            </w:pPr>
            <w:r>
              <w:rPr>
                <w:rFonts w:hint="eastAsia"/>
                <w:color w:val="auto"/>
                <w:szCs w:val="21"/>
                <w:lang w:val="en-US" w:eastAsia="zh-CN"/>
              </w:rPr>
              <w:t>7.02</w:t>
            </w:r>
            <w:r>
              <w:rPr>
                <w:rFonts w:hint="eastAsia"/>
                <w:color w:val="auto"/>
                <w:szCs w:val="21"/>
              </w:rPr>
              <w:t>mg/m</w:t>
            </w:r>
            <w:r>
              <w:rPr>
                <w:rFonts w:hint="eastAsia"/>
                <w:color w:val="auto"/>
                <w:szCs w:val="21"/>
                <w:vertAlign w:val="superscript"/>
              </w:rPr>
              <w:t>3</w:t>
            </w:r>
            <w:r>
              <w:rPr>
                <w:rFonts w:hint="eastAsia"/>
                <w:color w:val="auto"/>
                <w:szCs w:val="21"/>
              </w:rPr>
              <w:t>，</w:t>
            </w:r>
            <w:r>
              <w:rPr>
                <w:rFonts w:hint="eastAsia"/>
                <w:color w:val="auto"/>
                <w:szCs w:val="21"/>
                <w:lang w:val="en-US" w:eastAsia="zh-CN"/>
              </w:rPr>
              <w:t>0.000726</w:t>
            </w:r>
            <w:r>
              <w:rPr>
                <w:rFonts w:hint="eastAsia"/>
                <w:color w:val="auto"/>
                <w:szCs w:val="21"/>
              </w:rPr>
              <w:t>t/a</w:t>
            </w:r>
          </w:p>
        </w:tc>
        <w:tc>
          <w:tcPr>
            <w:tcW w:w="2973" w:type="dxa"/>
            <w:noWrap w:val="0"/>
            <w:vAlign w:val="center"/>
          </w:tcPr>
          <w:p>
            <w:pPr>
              <w:snapToGrid w:val="0"/>
              <w:jc w:val="center"/>
              <w:rPr>
                <w:rFonts w:hint="eastAsia"/>
                <w:color w:val="auto"/>
                <w:szCs w:val="21"/>
                <w:lang w:val="en-US" w:eastAsia="zh-CN"/>
              </w:rPr>
            </w:pPr>
            <w:r>
              <w:rPr>
                <w:rFonts w:hint="eastAsia"/>
                <w:color w:val="auto"/>
                <w:szCs w:val="21"/>
                <w:lang w:val="en-US" w:eastAsia="zh-CN"/>
              </w:rPr>
              <w:t>7.02</w:t>
            </w:r>
            <w:r>
              <w:rPr>
                <w:rFonts w:hint="eastAsia"/>
                <w:color w:val="auto"/>
                <w:szCs w:val="21"/>
              </w:rPr>
              <w:t>mg/m</w:t>
            </w:r>
            <w:r>
              <w:rPr>
                <w:rFonts w:hint="eastAsia"/>
                <w:color w:val="auto"/>
                <w:szCs w:val="21"/>
                <w:vertAlign w:val="superscript"/>
              </w:rPr>
              <w:t>3</w:t>
            </w:r>
            <w:r>
              <w:rPr>
                <w:rFonts w:hint="eastAsia"/>
                <w:color w:val="auto"/>
                <w:szCs w:val="21"/>
              </w:rPr>
              <w:t>，</w:t>
            </w:r>
            <w:r>
              <w:rPr>
                <w:rFonts w:hint="eastAsia"/>
                <w:color w:val="auto"/>
                <w:szCs w:val="21"/>
                <w:lang w:val="en-US" w:eastAsia="zh-CN"/>
              </w:rPr>
              <w:t>0.000726</w:t>
            </w:r>
            <w:r>
              <w:rPr>
                <w:rFonts w:hint="eastAsia"/>
                <w:color w:val="auto"/>
                <w:szCs w:val="21"/>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15" w:hRule="atLeast"/>
          <w:jc w:val="center"/>
        </w:trPr>
        <w:tc>
          <w:tcPr>
            <w:tcW w:w="507" w:type="dxa"/>
            <w:vMerge w:val="continue"/>
            <w:noWrap w:val="0"/>
            <w:vAlign w:val="center"/>
          </w:tcPr>
          <w:p>
            <w:pPr>
              <w:jc w:val="center"/>
              <w:rPr>
                <w:rFonts w:hAnsi="宋体"/>
                <w:szCs w:val="21"/>
              </w:rPr>
            </w:pPr>
          </w:p>
        </w:tc>
        <w:tc>
          <w:tcPr>
            <w:tcW w:w="1264" w:type="dxa"/>
            <w:noWrap w:val="0"/>
            <w:vAlign w:val="center"/>
          </w:tcPr>
          <w:p>
            <w:pPr>
              <w:snapToGrid w:val="0"/>
              <w:jc w:val="center"/>
              <w:rPr>
                <w:rFonts w:hint="eastAsia"/>
                <w:szCs w:val="21"/>
              </w:rPr>
            </w:pPr>
            <w:r>
              <w:rPr>
                <w:rFonts w:hint="eastAsia"/>
                <w:szCs w:val="21"/>
              </w:rPr>
              <w:t>导热油炉</w:t>
            </w:r>
          </w:p>
        </w:tc>
        <w:tc>
          <w:tcPr>
            <w:tcW w:w="1168" w:type="dxa"/>
            <w:noWrap w:val="0"/>
            <w:vAlign w:val="center"/>
          </w:tcPr>
          <w:p>
            <w:pPr>
              <w:snapToGrid w:val="0"/>
              <w:jc w:val="center"/>
              <w:rPr>
                <w:rFonts w:hint="eastAsia"/>
                <w:szCs w:val="21"/>
              </w:rPr>
            </w:pPr>
            <w:r>
              <w:rPr>
                <w:rFonts w:hint="eastAsia"/>
                <w:szCs w:val="21"/>
              </w:rPr>
              <w:t>燃烧</w:t>
            </w:r>
          </w:p>
          <w:p>
            <w:pPr>
              <w:snapToGrid w:val="0"/>
              <w:jc w:val="center"/>
              <w:rPr>
                <w:rFonts w:hint="eastAsia"/>
                <w:szCs w:val="21"/>
              </w:rPr>
            </w:pPr>
            <w:r>
              <w:rPr>
                <w:rFonts w:hint="eastAsia"/>
                <w:szCs w:val="21"/>
              </w:rPr>
              <w:t>废气</w:t>
            </w:r>
          </w:p>
        </w:tc>
        <w:tc>
          <w:tcPr>
            <w:tcW w:w="2959" w:type="dxa"/>
            <w:noWrap w:val="0"/>
            <w:vAlign w:val="center"/>
          </w:tcPr>
          <w:p>
            <w:pPr>
              <w:snapToGrid w:val="0"/>
              <w:jc w:val="center"/>
              <w:rPr>
                <w:rFonts w:hint="eastAsia"/>
                <w:color w:val="000000"/>
                <w:szCs w:val="21"/>
              </w:rPr>
            </w:pPr>
            <w:r>
              <w:rPr>
                <w:rFonts w:hint="eastAsia"/>
                <w:color w:val="000000"/>
                <w:szCs w:val="21"/>
              </w:rPr>
              <w:t>SO</w:t>
            </w:r>
            <w:r>
              <w:rPr>
                <w:rFonts w:hint="eastAsia"/>
                <w:color w:val="000000"/>
                <w:szCs w:val="21"/>
                <w:vertAlign w:val="subscript"/>
              </w:rPr>
              <w:t>2</w:t>
            </w:r>
            <w:r>
              <w:rPr>
                <w:rFonts w:hint="eastAsia"/>
                <w:color w:val="000000"/>
                <w:szCs w:val="21"/>
              </w:rPr>
              <w:t>：</w:t>
            </w:r>
            <w:r>
              <w:rPr>
                <w:rFonts w:hint="eastAsia"/>
                <w:color w:val="000000"/>
                <w:szCs w:val="21"/>
                <w:lang w:val="en-US" w:eastAsia="zh-CN"/>
              </w:rPr>
              <w:t>9.52</w:t>
            </w:r>
            <w:r>
              <w:rPr>
                <w:rFonts w:hint="eastAsia"/>
                <w:color w:val="000000"/>
                <w:szCs w:val="21"/>
              </w:rPr>
              <w:t>mg/m</w:t>
            </w:r>
            <w:r>
              <w:rPr>
                <w:rFonts w:hint="eastAsia"/>
                <w:color w:val="000000"/>
                <w:szCs w:val="21"/>
                <w:vertAlign w:val="superscript"/>
              </w:rPr>
              <w:t>3</w:t>
            </w:r>
            <w:r>
              <w:rPr>
                <w:rFonts w:hint="eastAsia"/>
                <w:color w:val="000000"/>
                <w:szCs w:val="21"/>
              </w:rPr>
              <w:t>，</w:t>
            </w:r>
            <w:r>
              <w:rPr>
                <w:rFonts w:hint="eastAsia"/>
                <w:color w:val="000000"/>
                <w:szCs w:val="21"/>
                <w:lang w:val="en-US" w:eastAsia="zh-CN"/>
              </w:rPr>
              <w:t>6.96</w:t>
            </w:r>
            <w:r>
              <w:rPr>
                <w:rFonts w:hint="eastAsia"/>
                <w:color w:val="000000"/>
                <w:szCs w:val="21"/>
              </w:rPr>
              <w:t>kg/a</w:t>
            </w:r>
          </w:p>
          <w:p>
            <w:pPr>
              <w:snapToGrid w:val="0"/>
              <w:jc w:val="center"/>
              <w:rPr>
                <w:rFonts w:hint="eastAsia"/>
                <w:color w:val="000000"/>
                <w:szCs w:val="21"/>
              </w:rPr>
            </w:pPr>
            <w:r>
              <w:rPr>
                <w:rFonts w:hint="eastAsia"/>
                <w:color w:val="000000"/>
                <w:szCs w:val="21"/>
              </w:rPr>
              <w:t>NOx：</w:t>
            </w:r>
            <w:r>
              <w:rPr>
                <w:rFonts w:hint="eastAsia"/>
                <w:color w:val="000000"/>
                <w:szCs w:val="21"/>
                <w:lang w:val="en-US" w:eastAsia="zh-CN"/>
              </w:rPr>
              <w:t>60</w:t>
            </w:r>
            <w:r>
              <w:rPr>
                <w:rFonts w:hint="eastAsia"/>
                <w:color w:val="000000"/>
                <w:szCs w:val="21"/>
              </w:rPr>
              <w:t>mg/m</w:t>
            </w:r>
            <w:r>
              <w:rPr>
                <w:rFonts w:hint="eastAsia"/>
                <w:color w:val="000000"/>
                <w:szCs w:val="21"/>
                <w:vertAlign w:val="superscript"/>
              </w:rPr>
              <w:t>3</w:t>
            </w:r>
            <w:r>
              <w:rPr>
                <w:rFonts w:hint="eastAsia"/>
                <w:color w:val="000000"/>
                <w:szCs w:val="21"/>
              </w:rPr>
              <w:t>，</w:t>
            </w:r>
            <w:r>
              <w:rPr>
                <w:rFonts w:hint="eastAsia"/>
                <w:color w:val="000000"/>
                <w:szCs w:val="21"/>
                <w:lang w:val="en-US" w:eastAsia="zh-CN"/>
              </w:rPr>
              <w:t>43.848</w:t>
            </w:r>
            <w:r>
              <w:rPr>
                <w:rFonts w:hint="eastAsia"/>
                <w:color w:val="000000"/>
                <w:szCs w:val="21"/>
              </w:rPr>
              <w:t>kg/a</w:t>
            </w:r>
          </w:p>
          <w:p>
            <w:pPr>
              <w:snapToGrid w:val="0"/>
              <w:jc w:val="center"/>
              <w:rPr>
                <w:rFonts w:hint="default" w:eastAsia="宋体"/>
                <w:color w:val="000000"/>
                <w:szCs w:val="21"/>
                <w:lang w:val="en-US" w:eastAsia="zh-CN"/>
              </w:rPr>
            </w:pPr>
            <w:r>
              <w:rPr>
                <w:rFonts w:hint="eastAsia"/>
                <w:color w:val="000000"/>
                <w:szCs w:val="21"/>
                <w:lang w:eastAsia="zh-CN"/>
              </w:rPr>
              <w:t>颗粒物：</w:t>
            </w:r>
            <w:r>
              <w:rPr>
                <w:rFonts w:hint="eastAsia"/>
                <w:color w:val="000000"/>
                <w:szCs w:val="21"/>
                <w:lang w:val="en-US" w:eastAsia="zh-CN"/>
              </w:rPr>
              <w:t>2.86</w:t>
            </w:r>
            <w:r>
              <w:rPr>
                <w:rFonts w:hint="eastAsia"/>
                <w:color w:val="000000"/>
                <w:szCs w:val="21"/>
              </w:rPr>
              <w:t>mg/m</w:t>
            </w:r>
            <w:r>
              <w:rPr>
                <w:rFonts w:hint="eastAsia"/>
                <w:color w:val="000000"/>
                <w:szCs w:val="21"/>
                <w:vertAlign w:val="superscript"/>
              </w:rPr>
              <w:t>3</w:t>
            </w:r>
            <w:r>
              <w:rPr>
                <w:rFonts w:hint="eastAsia"/>
                <w:color w:val="000000"/>
                <w:szCs w:val="21"/>
                <w:vertAlign w:val="baseline"/>
                <w:lang w:eastAsia="zh-CN"/>
              </w:rPr>
              <w:t>，</w:t>
            </w:r>
            <w:r>
              <w:rPr>
                <w:rFonts w:hint="eastAsia"/>
                <w:color w:val="000000"/>
                <w:szCs w:val="21"/>
                <w:vertAlign w:val="baseline"/>
                <w:lang w:val="en-US" w:eastAsia="zh-CN"/>
              </w:rPr>
              <w:t>16.704</w:t>
            </w:r>
            <w:r>
              <w:rPr>
                <w:rFonts w:hint="eastAsia"/>
                <w:color w:val="000000"/>
                <w:szCs w:val="21"/>
              </w:rPr>
              <w:t>kg/a</w:t>
            </w:r>
          </w:p>
        </w:tc>
        <w:tc>
          <w:tcPr>
            <w:tcW w:w="2973" w:type="dxa"/>
            <w:noWrap w:val="0"/>
            <w:vAlign w:val="center"/>
          </w:tcPr>
          <w:p>
            <w:pPr>
              <w:snapToGrid w:val="0"/>
              <w:jc w:val="center"/>
              <w:rPr>
                <w:rFonts w:hint="eastAsia"/>
                <w:color w:val="000000"/>
                <w:szCs w:val="21"/>
              </w:rPr>
            </w:pPr>
            <w:r>
              <w:rPr>
                <w:rFonts w:hint="eastAsia"/>
                <w:color w:val="000000"/>
                <w:szCs w:val="21"/>
              </w:rPr>
              <w:t>SO</w:t>
            </w:r>
            <w:r>
              <w:rPr>
                <w:rFonts w:hint="eastAsia"/>
                <w:color w:val="000000"/>
                <w:szCs w:val="21"/>
                <w:vertAlign w:val="subscript"/>
              </w:rPr>
              <w:t>2</w:t>
            </w:r>
            <w:r>
              <w:rPr>
                <w:rFonts w:hint="eastAsia"/>
                <w:color w:val="000000"/>
                <w:szCs w:val="21"/>
              </w:rPr>
              <w:t>：</w:t>
            </w:r>
            <w:r>
              <w:rPr>
                <w:rFonts w:hint="eastAsia"/>
                <w:color w:val="000000"/>
                <w:szCs w:val="21"/>
                <w:lang w:val="en-US" w:eastAsia="zh-CN"/>
              </w:rPr>
              <w:t>9.52</w:t>
            </w:r>
            <w:r>
              <w:rPr>
                <w:rFonts w:hint="eastAsia"/>
                <w:color w:val="000000"/>
                <w:szCs w:val="21"/>
              </w:rPr>
              <w:t>mg/m</w:t>
            </w:r>
            <w:r>
              <w:rPr>
                <w:rFonts w:hint="eastAsia"/>
                <w:color w:val="000000"/>
                <w:szCs w:val="21"/>
                <w:vertAlign w:val="superscript"/>
              </w:rPr>
              <w:t>3</w:t>
            </w:r>
            <w:r>
              <w:rPr>
                <w:rFonts w:hint="eastAsia"/>
                <w:color w:val="000000"/>
                <w:szCs w:val="21"/>
              </w:rPr>
              <w:t>，</w:t>
            </w:r>
            <w:r>
              <w:rPr>
                <w:rFonts w:hint="eastAsia"/>
                <w:color w:val="000000"/>
                <w:szCs w:val="21"/>
                <w:lang w:val="en-US" w:eastAsia="zh-CN"/>
              </w:rPr>
              <w:t>6.96</w:t>
            </w:r>
            <w:r>
              <w:rPr>
                <w:rFonts w:hint="eastAsia"/>
                <w:color w:val="000000"/>
                <w:szCs w:val="21"/>
              </w:rPr>
              <w:t>kg/a</w:t>
            </w:r>
          </w:p>
          <w:p>
            <w:pPr>
              <w:snapToGrid w:val="0"/>
              <w:jc w:val="center"/>
              <w:rPr>
                <w:rFonts w:hint="eastAsia"/>
                <w:color w:val="000000"/>
                <w:szCs w:val="21"/>
              </w:rPr>
            </w:pPr>
            <w:r>
              <w:rPr>
                <w:rFonts w:hint="eastAsia"/>
                <w:color w:val="000000"/>
                <w:szCs w:val="21"/>
              </w:rPr>
              <w:t>NOx：</w:t>
            </w:r>
            <w:r>
              <w:rPr>
                <w:rFonts w:hint="eastAsia"/>
                <w:color w:val="000000"/>
                <w:szCs w:val="21"/>
                <w:lang w:val="en-US" w:eastAsia="zh-CN"/>
              </w:rPr>
              <w:t>60</w:t>
            </w:r>
            <w:r>
              <w:rPr>
                <w:rFonts w:hint="eastAsia"/>
                <w:color w:val="000000"/>
                <w:szCs w:val="21"/>
              </w:rPr>
              <w:t>mg/m</w:t>
            </w:r>
            <w:r>
              <w:rPr>
                <w:rFonts w:hint="eastAsia"/>
                <w:color w:val="000000"/>
                <w:szCs w:val="21"/>
                <w:vertAlign w:val="superscript"/>
              </w:rPr>
              <w:t>3</w:t>
            </w:r>
            <w:r>
              <w:rPr>
                <w:rFonts w:hint="eastAsia"/>
                <w:color w:val="000000"/>
                <w:szCs w:val="21"/>
              </w:rPr>
              <w:t>，</w:t>
            </w:r>
            <w:r>
              <w:rPr>
                <w:rFonts w:hint="eastAsia"/>
                <w:color w:val="000000"/>
                <w:szCs w:val="21"/>
                <w:lang w:val="en-US" w:eastAsia="zh-CN"/>
              </w:rPr>
              <w:t>43.848</w:t>
            </w:r>
            <w:r>
              <w:rPr>
                <w:rFonts w:hint="eastAsia"/>
                <w:color w:val="000000"/>
                <w:szCs w:val="21"/>
              </w:rPr>
              <w:t>kg/a</w:t>
            </w:r>
          </w:p>
          <w:p>
            <w:pPr>
              <w:snapToGrid w:val="0"/>
              <w:jc w:val="center"/>
              <w:rPr>
                <w:rFonts w:hint="eastAsia"/>
                <w:color w:val="000000"/>
                <w:szCs w:val="21"/>
              </w:rPr>
            </w:pPr>
            <w:r>
              <w:rPr>
                <w:rFonts w:hint="eastAsia"/>
                <w:color w:val="000000"/>
                <w:szCs w:val="21"/>
                <w:lang w:eastAsia="zh-CN"/>
              </w:rPr>
              <w:t>颗粒物：</w:t>
            </w:r>
            <w:r>
              <w:rPr>
                <w:rFonts w:hint="eastAsia"/>
                <w:color w:val="000000"/>
                <w:szCs w:val="21"/>
                <w:lang w:val="en-US" w:eastAsia="zh-CN"/>
              </w:rPr>
              <w:t>2.86</w:t>
            </w:r>
            <w:r>
              <w:rPr>
                <w:rFonts w:hint="eastAsia"/>
                <w:color w:val="000000"/>
                <w:szCs w:val="21"/>
              </w:rPr>
              <w:t>mg/m</w:t>
            </w:r>
            <w:r>
              <w:rPr>
                <w:rFonts w:hint="eastAsia"/>
                <w:color w:val="000000"/>
                <w:szCs w:val="21"/>
                <w:vertAlign w:val="superscript"/>
              </w:rPr>
              <w:t>3</w:t>
            </w:r>
            <w:r>
              <w:rPr>
                <w:rFonts w:hint="eastAsia"/>
                <w:color w:val="000000"/>
                <w:szCs w:val="21"/>
                <w:vertAlign w:val="baseline"/>
                <w:lang w:eastAsia="zh-CN"/>
              </w:rPr>
              <w:t>，</w:t>
            </w:r>
            <w:r>
              <w:rPr>
                <w:rFonts w:hint="eastAsia"/>
                <w:color w:val="000000"/>
                <w:szCs w:val="21"/>
                <w:vertAlign w:val="baseline"/>
                <w:lang w:val="en-US" w:eastAsia="zh-CN"/>
              </w:rPr>
              <w:t>16.704</w:t>
            </w:r>
            <w:r>
              <w:rPr>
                <w:rFonts w:hint="eastAsia"/>
                <w:color w:val="000000"/>
                <w:szCs w:val="21"/>
              </w:rPr>
              <w:t>kg/a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47" w:hRule="atLeast"/>
          <w:jc w:val="center"/>
        </w:trPr>
        <w:tc>
          <w:tcPr>
            <w:tcW w:w="507" w:type="dxa"/>
            <w:vMerge w:val="restart"/>
            <w:noWrap w:val="0"/>
            <w:vAlign w:val="center"/>
          </w:tcPr>
          <w:p>
            <w:pPr>
              <w:jc w:val="center"/>
              <w:rPr>
                <w:szCs w:val="21"/>
              </w:rPr>
            </w:pPr>
            <w:r>
              <w:rPr>
                <w:rFonts w:hAnsi="宋体"/>
                <w:szCs w:val="21"/>
              </w:rPr>
              <w:t>噪声</w:t>
            </w:r>
          </w:p>
        </w:tc>
        <w:tc>
          <w:tcPr>
            <w:tcW w:w="1264" w:type="dxa"/>
            <w:vMerge w:val="restart"/>
            <w:tcBorders>
              <w:right w:val="single" w:color="auto" w:sz="4" w:space="0"/>
            </w:tcBorders>
            <w:noWrap w:val="0"/>
            <w:vAlign w:val="center"/>
          </w:tcPr>
          <w:p>
            <w:pPr>
              <w:jc w:val="center"/>
              <w:rPr>
                <w:rFonts w:hAnsi="宋体"/>
                <w:szCs w:val="21"/>
              </w:rPr>
            </w:pPr>
            <w:r>
              <w:rPr>
                <w:rFonts w:hint="eastAsia" w:hAnsi="宋体"/>
                <w:szCs w:val="21"/>
              </w:rPr>
              <w:t>厂内各种设备车辆</w:t>
            </w:r>
          </w:p>
        </w:tc>
        <w:tc>
          <w:tcPr>
            <w:tcW w:w="1168" w:type="dxa"/>
            <w:tcBorders>
              <w:left w:val="single" w:color="auto" w:sz="4" w:space="0"/>
            </w:tcBorders>
            <w:noWrap w:val="0"/>
            <w:vAlign w:val="center"/>
          </w:tcPr>
          <w:p>
            <w:pPr>
              <w:jc w:val="center"/>
              <w:rPr>
                <w:rFonts w:hint="eastAsia" w:hAnsi="宋体"/>
                <w:szCs w:val="21"/>
              </w:rPr>
            </w:pPr>
            <w:r>
              <w:rPr>
                <w:rFonts w:hint="eastAsia" w:hAnsi="宋体"/>
                <w:szCs w:val="21"/>
              </w:rPr>
              <w:t>设备</w:t>
            </w:r>
          </w:p>
          <w:p>
            <w:pPr>
              <w:jc w:val="center"/>
              <w:rPr>
                <w:rFonts w:hAnsi="宋体"/>
                <w:szCs w:val="21"/>
              </w:rPr>
            </w:pPr>
            <w:r>
              <w:rPr>
                <w:rFonts w:hAnsi="宋体"/>
                <w:szCs w:val="21"/>
              </w:rPr>
              <w:t>噪声</w:t>
            </w:r>
          </w:p>
        </w:tc>
        <w:tc>
          <w:tcPr>
            <w:tcW w:w="5932" w:type="dxa"/>
            <w:gridSpan w:val="2"/>
            <w:noWrap w:val="0"/>
            <w:vAlign w:val="center"/>
          </w:tcPr>
          <w:p>
            <w:pPr>
              <w:pStyle w:val="168"/>
              <w:rPr>
                <w:rFonts w:hAnsi="宋体"/>
                <w:szCs w:val="21"/>
              </w:rPr>
            </w:pPr>
            <w:r>
              <w:rPr>
                <w:rFonts w:hint="eastAsia"/>
                <w:szCs w:val="21"/>
              </w:rPr>
              <w:t>6</w:t>
            </w:r>
            <w:r>
              <w:rPr>
                <w:szCs w:val="21"/>
              </w:rPr>
              <w:t>5</w:t>
            </w:r>
            <w:r>
              <w:rPr>
                <w:rFonts w:hAnsi="宋体"/>
                <w:szCs w:val="21"/>
              </w:rPr>
              <w:t>～</w:t>
            </w:r>
            <w:r>
              <w:rPr>
                <w:szCs w:val="21"/>
              </w:rPr>
              <w:t>80dB</w:t>
            </w:r>
            <w:r>
              <w:rPr>
                <w:rFonts w:hAnsi="宋体"/>
                <w:szCs w:val="21"/>
              </w:rPr>
              <w:t>（</w:t>
            </w:r>
            <w:r>
              <w:rPr>
                <w:szCs w:val="21"/>
              </w:rPr>
              <w:t>A</w:t>
            </w:r>
            <w:r>
              <w:rPr>
                <w:rFonts w:hAnsi="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14" w:hRule="atLeast"/>
          <w:jc w:val="center"/>
        </w:trPr>
        <w:tc>
          <w:tcPr>
            <w:tcW w:w="507" w:type="dxa"/>
            <w:vMerge w:val="continue"/>
            <w:noWrap w:val="0"/>
            <w:vAlign w:val="center"/>
          </w:tcPr>
          <w:p>
            <w:pPr>
              <w:jc w:val="center"/>
              <w:rPr>
                <w:szCs w:val="21"/>
              </w:rPr>
            </w:pPr>
          </w:p>
        </w:tc>
        <w:tc>
          <w:tcPr>
            <w:tcW w:w="1264" w:type="dxa"/>
            <w:vMerge w:val="continue"/>
            <w:tcBorders>
              <w:right w:val="single" w:color="auto" w:sz="4" w:space="0"/>
            </w:tcBorders>
            <w:noWrap w:val="0"/>
            <w:vAlign w:val="center"/>
          </w:tcPr>
          <w:p>
            <w:pPr>
              <w:jc w:val="center"/>
              <w:rPr>
                <w:rFonts w:hAnsi="宋体"/>
                <w:szCs w:val="21"/>
              </w:rPr>
            </w:pPr>
          </w:p>
        </w:tc>
        <w:tc>
          <w:tcPr>
            <w:tcW w:w="1168" w:type="dxa"/>
            <w:tcBorders>
              <w:left w:val="single" w:color="auto" w:sz="4" w:space="0"/>
            </w:tcBorders>
            <w:noWrap w:val="0"/>
            <w:vAlign w:val="center"/>
          </w:tcPr>
          <w:p>
            <w:pPr>
              <w:jc w:val="center"/>
              <w:rPr>
                <w:rFonts w:hAnsi="宋体"/>
                <w:szCs w:val="21"/>
              </w:rPr>
            </w:pPr>
            <w:r>
              <w:rPr>
                <w:rFonts w:hAnsi="宋体"/>
                <w:szCs w:val="21"/>
              </w:rPr>
              <w:t>车辆</w:t>
            </w:r>
          </w:p>
          <w:p>
            <w:pPr>
              <w:jc w:val="center"/>
              <w:rPr>
                <w:rFonts w:hAnsi="宋体"/>
                <w:szCs w:val="21"/>
              </w:rPr>
            </w:pPr>
            <w:r>
              <w:rPr>
                <w:rFonts w:hAnsi="宋体"/>
                <w:szCs w:val="21"/>
              </w:rPr>
              <w:t>噪声</w:t>
            </w:r>
          </w:p>
        </w:tc>
        <w:tc>
          <w:tcPr>
            <w:tcW w:w="5932" w:type="dxa"/>
            <w:gridSpan w:val="2"/>
            <w:noWrap w:val="0"/>
            <w:vAlign w:val="center"/>
          </w:tcPr>
          <w:p>
            <w:pPr>
              <w:pStyle w:val="32"/>
              <w:jc w:val="center"/>
              <w:rPr>
                <w:rFonts w:hAnsi="宋体"/>
                <w:szCs w:val="21"/>
              </w:rPr>
            </w:pPr>
            <w:r>
              <w:rPr>
                <w:rFonts w:hint="eastAsia"/>
              </w:rPr>
              <w:t>60</w:t>
            </w:r>
            <w:r>
              <w:rPr>
                <w:rFonts w:hAnsi="宋体"/>
                <w:szCs w:val="21"/>
              </w:rPr>
              <w:t>～75</w:t>
            </w:r>
            <w:r>
              <w:rPr>
                <w:szCs w:val="21"/>
              </w:rPr>
              <w:t>dB</w:t>
            </w:r>
            <w:r>
              <w:rPr>
                <w:rFonts w:hAnsi="宋体"/>
                <w:szCs w:val="21"/>
              </w:rPr>
              <w:t>（</w:t>
            </w:r>
            <w:r>
              <w:rPr>
                <w:szCs w:val="21"/>
              </w:rPr>
              <w:t>A</w:t>
            </w:r>
            <w:r>
              <w:rPr>
                <w:rFonts w:hAnsi="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14" w:hRule="atLeast"/>
          <w:jc w:val="center"/>
        </w:trPr>
        <w:tc>
          <w:tcPr>
            <w:tcW w:w="8871" w:type="dxa"/>
            <w:gridSpan w:val="5"/>
            <w:noWrap w:val="0"/>
            <w:vAlign w:val="center"/>
          </w:tcPr>
          <w:p>
            <w:pPr>
              <w:jc w:val="both"/>
              <w:rPr>
                <w:szCs w:val="21"/>
              </w:rPr>
            </w:pPr>
          </w:p>
          <w:p>
            <w:pPr>
              <w:tabs>
                <w:tab w:val="left" w:pos="2865"/>
              </w:tabs>
              <w:rPr>
                <w:rFonts w:hint="eastAsia" w:hAnsi="宋体"/>
                <w:b/>
                <w:bCs/>
                <w:sz w:val="24"/>
              </w:rPr>
            </w:pPr>
            <w:r>
              <w:rPr>
                <w:rFonts w:hAnsi="宋体"/>
                <w:b/>
                <w:bCs/>
                <w:sz w:val="24"/>
              </w:rPr>
              <w:t>主要生态环境影响</w:t>
            </w:r>
            <w:r>
              <w:rPr>
                <w:rFonts w:hint="eastAsia" w:hAnsi="宋体"/>
                <w:b/>
                <w:bCs/>
                <w:sz w:val="24"/>
              </w:rPr>
              <w:t>：</w:t>
            </w:r>
          </w:p>
          <w:p>
            <w:pPr>
              <w:jc w:val="both"/>
              <w:rPr>
                <w:color w:val="000000"/>
                <w:sz w:val="24"/>
              </w:rPr>
            </w:pPr>
            <w:r>
              <w:rPr>
                <w:rFonts w:hint="eastAsia" w:hAnsi="宋体"/>
                <w:b/>
                <w:bCs/>
                <w:sz w:val="24"/>
              </w:rPr>
              <w:t xml:space="preserve">     </w:t>
            </w:r>
            <w:r>
              <w:rPr>
                <w:rFonts w:hint="eastAsia"/>
                <w:sz w:val="24"/>
              </w:rPr>
              <w:t>本项目占地面积</w:t>
            </w:r>
            <w:r>
              <w:rPr>
                <w:rFonts w:hint="eastAsia"/>
                <w:sz w:val="24"/>
                <w:lang w:val="en-US" w:eastAsia="zh-CN"/>
              </w:rPr>
              <w:t>1423.24</w:t>
            </w:r>
            <w:r>
              <w:rPr>
                <w:rFonts w:hint="eastAsia"/>
                <w:sz w:val="24"/>
              </w:rPr>
              <w:t>m</w:t>
            </w:r>
            <w:r>
              <w:rPr>
                <w:rFonts w:hint="eastAsia"/>
                <w:sz w:val="24"/>
                <w:vertAlign w:val="superscript"/>
              </w:rPr>
              <w:t>2</w:t>
            </w:r>
            <w:r>
              <w:rPr>
                <w:rFonts w:hint="eastAsia"/>
                <w:szCs w:val="21"/>
              </w:rPr>
              <w:t>，</w:t>
            </w:r>
            <w:r>
              <w:rPr>
                <w:rFonts w:hint="eastAsia"/>
                <w:sz w:val="24"/>
              </w:rPr>
              <w:t>本项目属于租用</w:t>
            </w:r>
            <w:r>
              <w:rPr>
                <w:rFonts w:hint="eastAsia"/>
                <w:sz w:val="24"/>
                <w:lang w:eastAsia="zh-CN"/>
              </w:rPr>
              <w:t>闲置</w:t>
            </w:r>
            <w:r>
              <w:rPr>
                <w:rFonts w:hint="eastAsia"/>
                <w:sz w:val="24"/>
              </w:rPr>
              <w:t>厂房新建生产厂房，项目施工期不用动土，</w:t>
            </w:r>
            <w:r>
              <w:rPr>
                <w:rFonts w:hint="eastAsia"/>
                <w:color w:val="000000"/>
                <w:sz w:val="24"/>
              </w:rPr>
              <w:t>根据现场踏勘，原有空地基本无植被分布，</w:t>
            </w:r>
            <w:r>
              <w:rPr>
                <w:color w:val="000000"/>
                <w:sz w:val="24"/>
              </w:rPr>
              <w:t>人类活动频繁，故项目的兴建对周围</w:t>
            </w:r>
            <w:r>
              <w:rPr>
                <w:rFonts w:hint="eastAsia"/>
                <w:color w:val="000000"/>
                <w:sz w:val="24"/>
              </w:rPr>
              <w:t>生态</w:t>
            </w:r>
            <w:r>
              <w:rPr>
                <w:color w:val="000000"/>
                <w:sz w:val="24"/>
              </w:rPr>
              <w:t>环境影响甚微。</w:t>
            </w: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pStyle w:val="32"/>
              <w:jc w:val="both"/>
              <w:rPr>
                <w:rFonts w:hint="eastAsia"/>
              </w:rPr>
            </w:pPr>
          </w:p>
        </w:tc>
      </w:tr>
    </w:tbl>
    <w:p>
      <w:pPr>
        <w:outlineLvl w:val="0"/>
        <w:rPr>
          <w:rFonts w:hint="eastAsia" w:ascii="宋体" w:hAnsi="宋体" w:cs="黑体"/>
          <w:b/>
          <w:bCs/>
          <w:sz w:val="32"/>
          <w:szCs w:val="32"/>
        </w:rPr>
      </w:pPr>
      <w:r>
        <w:rPr>
          <w:rFonts w:ascii="宋体" w:hAnsi="宋体" w:cs="黑体"/>
          <w:b/>
          <w:bCs/>
          <w:sz w:val="28"/>
          <w:szCs w:val="28"/>
        </w:rPr>
        <w:br w:type="page"/>
      </w:r>
      <w:r>
        <w:rPr>
          <w:rFonts w:hint="eastAsia" w:ascii="宋体" w:hAnsi="宋体" w:cs="黑体"/>
          <w:b/>
          <w:bCs/>
          <w:sz w:val="32"/>
          <w:szCs w:val="32"/>
        </w:rPr>
        <w:t>环境影响分析                             （表七）</w:t>
      </w:r>
    </w:p>
    <w:tbl>
      <w:tblPr>
        <w:tblStyle w:val="69"/>
        <w:tblW w:w="9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37" w:hRule="atLeast"/>
          <w:jc w:val="center"/>
        </w:trPr>
        <w:tc>
          <w:tcPr>
            <w:tcW w:w="9163" w:type="dxa"/>
            <w:noWrap w:val="0"/>
            <w:vAlign w:val="center"/>
          </w:tcPr>
          <w:p>
            <w:pPr>
              <w:spacing w:line="360" w:lineRule="auto"/>
              <w:rPr>
                <w:b/>
                <w:sz w:val="28"/>
                <w:szCs w:val="28"/>
              </w:rPr>
            </w:pPr>
            <w:r>
              <w:rPr>
                <w:b/>
                <w:sz w:val="28"/>
                <w:szCs w:val="28"/>
              </w:rPr>
              <w:t>一、施工期环境影响简要分析：</w:t>
            </w:r>
          </w:p>
          <w:p>
            <w:pPr>
              <w:adjustRightInd w:val="0"/>
              <w:snapToGrid w:val="0"/>
              <w:spacing w:line="360" w:lineRule="auto"/>
              <w:ind w:firstLine="480" w:firstLineChars="200"/>
              <w:rPr>
                <w:rFonts w:hint="eastAsia" w:ascii="宋体" w:hAnsi="宋体" w:cs="宋体"/>
                <w:sz w:val="24"/>
              </w:rPr>
            </w:pPr>
            <w:r>
              <w:rPr>
                <w:rFonts w:hint="eastAsia"/>
                <w:sz w:val="24"/>
              </w:rPr>
              <w:t>本项目位于乐山市</w:t>
            </w:r>
            <w:r>
              <w:rPr>
                <w:rFonts w:hint="eastAsia"/>
                <w:sz w:val="24"/>
                <w:lang w:eastAsia="zh-CN"/>
              </w:rPr>
              <w:t>土主镇红岩坝村六组</w:t>
            </w:r>
            <w:r>
              <w:rPr>
                <w:rFonts w:hint="eastAsia"/>
                <w:sz w:val="24"/>
              </w:rPr>
              <w:t>，属于租用原有厂房新建生产厂房进行人造板的贴面加工</w:t>
            </w:r>
            <w:r>
              <w:rPr>
                <w:rFonts w:hint="eastAsia" w:ascii="宋体" w:hAnsi="宋体" w:cs="宋体"/>
                <w:sz w:val="24"/>
              </w:rPr>
              <w:t>，施工期间不动土，其主要包括对</w:t>
            </w:r>
            <w:r>
              <w:rPr>
                <w:rFonts w:hint="eastAsia"/>
                <w:sz w:val="24"/>
              </w:rPr>
              <w:t>厂房进行粉刷装修、设备安装、打扫卫生、环保设施建设等</w:t>
            </w:r>
            <w:r>
              <w:rPr>
                <w:rFonts w:hint="eastAsia" w:ascii="宋体" w:hAnsi="宋体" w:cs="宋体"/>
                <w:sz w:val="24"/>
              </w:rPr>
              <w:t>。本环评要求期间加强车间通风、洒水降尘等措施，降低施工期对环境的影响。</w:t>
            </w:r>
          </w:p>
          <w:p>
            <w:pPr>
              <w:spacing w:line="360" w:lineRule="auto"/>
              <w:rPr>
                <w:rFonts w:hint="eastAsia"/>
                <w:b/>
                <w:bCs/>
                <w:sz w:val="28"/>
                <w:szCs w:val="28"/>
              </w:rPr>
            </w:pPr>
            <w:r>
              <w:rPr>
                <w:b/>
                <w:bCs/>
                <w:sz w:val="28"/>
                <w:szCs w:val="28"/>
              </w:rPr>
              <w:t>二、营运期环境影响分析</w:t>
            </w:r>
          </w:p>
          <w:p>
            <w:pPr>
              <w:spacing w:line="360" w:lineRule="auto"/>
              <w:ind w:firstLine="482" w:firstLineChars="200"/>
              <w:rPr>
                <w:rFonts w:hint="eastAsia"/>
                <w:b/>
                <w:bCs/>
                <w:kern w:val="0"/>
                <w:sz w:val="24"/>
                <w:lang w:val="zh-CN"/>
              </w:rPr>
            </w:pPr>
            <w:r>
              <w:rPr>
                <w:b/>
                <w:bCs/>
                <w:kern w:val="0"/>
                <w:sz w:val="24"/>
                <w:lang w:val="zh-CN"/>
              </w:rPr>
              <w:t>（一）大气环境影响分析</w:t>
            </w:r>
          </w:p>
          <w:p>
            <w:pPr>
              <w:widowControl/>
              <w:snapToGrid w:val="0"/>
              <w:spacing w:line="360" w:lineRule="auto"/>
              <w:ind w:firstLine="480" w:firstLineChars="200"/>
              <w:rPr>
                <w:rFonts w:hint="eastAsia" w:cs="微软雅黑"/>
                <w:color w:val="3366FF"/>
                <w:kern w:val="0"/>
                <w:sz w:val="24"/>
              </w:rPr>
            </w:pPr>
            <w:r>
              <w:rPr>
                <w:rFonts w:hint="eastAsia"/>
                <w:sz w:val="24"/>
              </w:rPr>
              <w:t>项目生产期间不涉及断料、旋切、抛光等工序，也不涉及喷漆、刷漆工序以及木材的烘干等工序，并其原料均采购高质量无粉尘的人造板。</w:t>
            </w:r>
            <w:r>
              <w:rPr>
                <w:rFonts w:hint="eastAsia" w:cs="微软雅黑"/>
                <w:kern w:val="0"/>
                <w:sz w:val="24"/>
              </w:rPr>
              <w:t>故本项目运营期产生的废气主要是热压工艺产生的非甲烷总烃类有机废气以及导热油炉燃料燃烧废气。</w:t>
            </w:r>
          </w:p>
          <w:p>
            <w:pPr>
              <w:spacing w:line="360" w:lineRule="auto"/>
              <w:ind w:firstLine="480" w:firstLineChars="200"/>
              <w:rPr>
                <w:rFonts w:hint="eastAsia"/>
                <w:color w:val="000000"/>
                <w:kern w:val="0"/>
                <w:sz w:val="24"/>
                <w:lang w:val="zh-CN"/>
              </w:rPr>
            </w:pPr>
            <w:r>
              <w:rPr>
                <w:rFonts w:hint="eastAsia"/>
                <w:color w:val="000000"/>
                <w:kern w:val="0"/>
                <w:sz w:val="24"/>
                <w:lang w:val="zh-CN"/>
              </w:rPr>
              <w:t>1）热压过程中产生的有组织有机废气</w:t>
            </w:r>
          </w:p>
          <w:p>
            <w:pPr>
              <w:spacing w:line="360" w:lineRule="auto"/>
              <w:ind w:firstLine="480" w:firstLineChars="200"/>
              <w:rPr>
                <w:rFonts w:hint="eastAsia"/>
                <w:color w:val="000000"/>
                <w:sz w:val="24"/>
              </w:rPr>
            </w:pPr>
            <w:r>
              <w:rPr>
                <w:rFonts w:hint="eastAsia"/>
                <w:color w:val="000000"/>
                <w:sz w:val="24"/>
              </w:rPr>
              <w:t>本项目热压工序非甲烷总烃通过集气罩收集</w:t>
            </w:r>
            <w:r>
              <w:rPr>
                <w:rFonts w:hint="eastAsia"/>
                <w:color w:val="000000"/>
                <w:sz w:val="24"/>
                <w:lang w:eastAsia="zh-CN"/>
              </w:rPr>
              <w:t>（收集率达</w:t>
            </w:r>
            <w:r>
              <w:rPr>
                <w:rFonts w:hint="eastAsia"/>
                <w:color w:val="000000"/>
                <w:sz w:val="24"/>
                <w:lang w:val="en-US" w:eastAsia="zh-CN"/>
              </w:rPr>
              <w:t>90%</w:t>
            </w:r>
            <w:r>
              <w:rPr>
                <w:rFonts w:hint="eastAsia"/>
                <w:color w:val="000000"/>
                <w:sz w:val="24"/>
                <w:lang w:eastAsia="zh-CN"/>
              </w:rPr>
              <w:t>）</w:t>
            </w:r>
            <w:r>
              <w:rPr>
                <w:rFonts w:hint="eastAsia"/>
                <w:color w:val="000000"/>
                <w:sz w:val="24"/>
              </w:rPr>
              <w:t>，经一套光催化氧化设备</w:t>
            </w:r>
            <w:r>
              <w:rPr>
                <w:rFonts w:hint="eastAsia"/>
                <w:color w:val="000000"/>
                <w:sz w:val="24"/>
                <w:lang w:val="en-US" w:eastAsia="zh-CN"/>
              </w:rPr>
              <w:t>+活性炭</w:t>
            </w:r>
            <w:r>
              <w:rPr>
                <w:rFonts w:hint="eastAsia"/>
                <w:color w:val="000000"/>
                <w:sz w:val="24"/>
              </w:rPr>
              <w:t>处理后</w:t>
            </w:r>
            <w:r>
              <w:rPr>
                <w:rFonts w:hint="eastAsia"/>
                <w:color w:val="000000"/>
                <w:sz w:val="24"/>
                <w:lang w:eastAsia="zh-CN"/>
              </w:rPr>
              <w:t>（处理率达</w:t>
            </w:r>
            <w:r>
              <w:rPr>
                <w:rFonts w:hint="eastAsia"/>
                <w:color w:val="000000"/>
                <w:sz w:val="24"/>
                <w:lang w:val="en-US" w:eastAsia="zh-CN"/>
              </w:rPr>
              <w:t>90%</w:t>
            </w:r>
            <w:r>
              <w:rPr>
                <w:rFonts w:hint="eastAsia"/>
                <w:color w:val="000000"/>
                <w:sz w:val="24"/>
                <w:lang w:eastAsia="zh-CN"/>
              </w:rPr>
              <w:t>）</w:t>
            </w:r>
            <w:r>
              <w:rPr>
                <w:rFonts w:hint="eastAsia"/>
                <w:color w:val="000000"/>
                <w:sz w:val="24"/>
              </w:rPr>
              <w:t>，通过</w:t>
            </w:r>
            <w:r>
              <w:rPr>
                <w:rFonts w:hint="eastAsia"/>
                <w:color w:val="000000"/>
                <w:sz w:val="24"/>
                <w:lang w:val="en-US" w:eastAsia="zh-CN"/>
              </w:rPr>
              <w:t>15</w:t>
            </w:r>
            <w:r>
              <w:rPr>
                <w:rFonts w:hint="eastAsia"/>
                <w:color w:val="000000"/>
                <w:sz w:val="24"/>
              </w:rPr>
              <w:t>m高排气筒排放</w:t>
            </w:r>
            <w:r>
              <w:rPr>
                <w:rFonts w:hint="eastAsia"/>
                <w:color w:val="000000"/>
                <w:sz w:val="24"/>
                <w:lang w:eastAsia="zh-CN"/>
              </w:rPr>
              <w:t>。</w:t>
            </w:r>
            <w:r>
              <w:rPr>
                <w:rFonts w:hint="eastAsia"/>
                <w:color w:val="auto"/>
                <w:sz w:val="24"/>
              </w:rPr>
              <w:t>排放浓度为</w:t>
            </w:r>
            <w:r>
              <w:rPr>
                <w:rFonts w:hint="eastAsia"/>
                <w:color w:val="auto"/>
                <w:sz w:val="24"/>
                <w:lang w:val="en-US" w:eastAsia="zh-CN"/>
              </w:rPr>
              <w:t>0.631</w:t>
            </w:r>
            <w:r>
              <w:rPr>
                <w:rFonts w:hint="eastAsia"/>
                <w:color w:val="auto"/>
                <w:sz w:val="24"/>
              </w:rPr>
              <w:t>mg/m</w:t>
            </w:r>
            <w:r>
              <w:rPr>
                <w:rFonts w:hint="eastAsia"/>
                <w:color w:val="auto"/>
                <w:sz w:val="24"/>
                <w:vertAlign w:val="superscript"/>
              </w:rPr>
              <w:t>3</w:t>
            </w:r>
            <w:r>
              <w:rPr>
                <w:rFonts w:hint="eastAsia"/>
                <w:color w:val="auto"/>
                <w:sz w:val="24"/>
              </w:rPr>
              <w:t>，排放速率为0.0</w:t>
            </w:r>
            <w:r>
              <w:rPr>
                <w:rFonts w:hint="eastAsia"/>
                <w:color w:val="auto"/>
                <w:sz w:val="24"/>
                <w:lang w:val="en-US" w:eastAsia="zh-CN"/>
              </w:rPr>
              <w:t>00272</w:t>
            </w:r>
            <w:r>
              <w:rPr>
                <w:rFonts w:hint="eastAsia"/>
                <w:color w:val="auto"/>
                <w:sz w:val="24"/>
              </w:rPr>
              <w:t>kg/h，排放量为0.0</w:t>
            </w:r>
            <w:r>
              <w:rPr>
                <w:rFonts w:hint="eastAsia"/>
                <w:color w:val="auto"/>
                <w:sz w:val="24"/>
                <w:lang w:val="en-US" w:eastAsia="zh-CN"/>
              </w:rPr>
              <w:t>00653</w:t>
            </w:r>
            <w:r>
              <w:rPr>
                <w:rFonts w:hint="eastAsia"/>
                <w:color w:val="auto"/>
                <w:sz w:val="24"/>
              </w:rPr>
              <w:t>t/a</w:t>
            </w:r>
            <w:r>
              <w:rPr>
                <w:rFonts w:hint="eastAsia"/>
                <w:color w:val="000000"/>
                <w:sz w:val="24"/>
                <w:lang w:eastAsia="zh-CN"/>
              </w:rPr>
              <w:t>。</w:t>
            </w:r>
          </w:p>
          <w:p>
            <w:pPr>
              <w:spacing w:line="360" w:lineRule="auto"/>
              <w:ind w:firstLine="480" w:firstLineChars="200"/>
              <w:rPr>
                <w:rFonts w:hint="eastAsia"/>
                <w:color w:val="000000"/>
                <w:kern w:val="0"/>
                <w:sz w:val="24"/>
                <w:lang w:val="zh-CN"/>
              </w:rPr>
            </w:pPr>
            <w:r>
              <w:rPr>
                <w:rFonts w:hint="eastAsia"/>
                <w:color w:val="000000"/>
                <w:kern w:val="0"/>
                <w:sz w:val="24"/>
                <w:lang w:val="en-US" w:eastAsia="zh-CN"/>
              </w:rPr>
              <w:t>2）</w:t>
            </w:r>
            <w:r>
              <w:rPr>
                <w:rFonts w:hint="eastAsia"/>
                <w:color w:val="000000"/>
                <w:kern w:val="0"/>
                <w:sz w:val="24"/>
                <w:lang w:val="zh-CN"/>
              </w:rPr>
              <w:t>热压过程中产生的无组织有机废气</w:t>
            </w:r>
          </w:p>
          <w:p>
            <w:pPr>
              <w:spacing w:line="360" w:lineRule="auto"/>
              <w:ind w:firstLine="480" w:firstLineChars="200"/>
              <w:rPr>
                <w:rFonts w:hint="default"/>
                <w:color w:val="000000"/>
                <w:kern w:val="0"/>
                <w:sz w:val="24"/>
                <w:lang w:val="en-US" w:eastAsia="zh-CN"/>
              </w:rPr>
            </w:pPr>
            <w:r>
              <w:rPr>
                <w:rFonts w:hint="eastAsia"/>
                <w:sz w:val="24"/>
                <w:lang w:eastAsia="zh-CN"/>
              </w:rPr>
              <w:t>整个热压工序处于非完全封闭工作环境下，经</w:t>
            </w:r>
            <w:r>
              <w:rPr>
                <w:rFonts w:hint="eastAsia"/>
                <w:sz w:val="24"/>
              </w:rPr>
              <w:t>热压机上方集气设备</w:t>
            </w:r>
            <w:r>
              <w:rPr>
                <w:rFonts w:hint="eastAsia"/>
                <w:sz w:val="24"/>
                <w:lang w:eastAsia="zh-CN"/>
              </w:rPr>
              <w:t>收集后（，少量有机废气无组织排放，排放浓度为</w:t>
            </w:r>
            <w:r>
              <w:rPr>
                <w:rFonts w:hint="eastAsia"/>
                <w:color w:val="auto"/>
                <w:sz w:val="24"/>
                <w:lang w:val="en-US" w:eastAsia="zh-CN"/>
              </w:rPr>
              <w:t>7.02</w:t>
            </w:r>
            <w:r>
              <w:rPr>
                <w:rFonts w:hint="eastAsia"/>
                <w:color w:val="auto"/>
                <w:sz w:val="24"/>
                <w:lang w:eastAsia="zh-CN"/>
              </w:rPr>
              <w:t>mg/m3，</w:t>
            </w:r>
            <w:r>
              <w:rPr>
                <w:rFonts w:hint="eastAsia"/>
                <w:sz w:val="24"/>
                <w:lang w:eastAsia="zh-CN"/>
              </w:rPr>
              <w:t>排放量为</w:t>
            </w:r>
            <w:r>
              <w:rPr>
                <w:rFonts w:hint="eastAsia"/>
                <w:color w:val="auto"/>
                <w:sz w:val="24"/>
                <w:lang w:val="en-US" w:eastAsia="zh-CN"/>
              </w:rPr>
              <w:t>0.000726</w:t>
            </w:r>
            <w:r>
              <w:rPr>
                <w:rFonts w:hint="eastAsia"/>
                <w:color w:val="auto"/>
                <w:sz w:val="24"/>
                <w:lang w:eastAsia="zh-CN"/>
              </w:rPr>
              <w:t>t/a。</w:t>
            </w:r>
          </w:p>
          <w:p>
            <w:pPr>
              <w:spacing w:line="360" w:lineRule="auto"/>
              <w:ind w:firstLine="480" w:firstLineChars="200"/>
              <w:rPr>
                <w:rFonts w:hint="eastAsia"/>
                <w:color w:val="000000"/>
                <w:kern w:val="0"/>
                <w:sz w:val="24"/>
                <w:lang w:val="zh-CN"/>
              </w:rPr>
            </w:pPr>
            <w:r>
              <w:rPr>
                <w:rFonts w:hint="eastAsia"/>
                <w:color w:val="000000"/>
                <w:kern w:val="0"/>
                <w:sz w:val="24"/>
                <w:lang w:val="en-US" w:eastAsia="zh-CN"/>
              </w:rPr>
              <w:t>3</w:t>
            </w:r>
            <w:r>
              <w:rPr>
                <w:rFonts w:hint="eastAsia"/>
                <w:color w:val="000000"/>
                <w:kern w:val="0"/>
                <w:sz w:val="24"/>
                <w:lang w:val="zh-CN"/>
              </w:rPr>
              <w:t>）导热油炉燃烧废气</w:t>
            </w:r>
          </w:p>
          <w:p>
            <w:pPr>
              <w:spacing w:line="360" w:lineRule="auto"/>
              <w:ind w:firstLine="480" w:firstLineChars="200"/>
              <w:rPr>
                <w:rFonts w:hint="eastAsia"/>
                <w:color w:val="000000"/>
                <w:sz w:val="24"/>
              </w:rPr>
            </w:pPr>
            <w:r>
              <w:rPr>
                <w:rFonts w:hint="eastAsia"/>
                <w:color w:val="000000"/>
                <w:sz w:val="24"/>
              </w:rPr>
              <w:t>本项目导热油炉使用天然气做燃料，用量约为</w:t>
            </w:r>
            <w:r>
              <w:rPr>
                <w:color w:val="000000"/>
                <w:sz w:val="24"/>
              </w:rPr>
              <w:t>6.96</w:t>
            </w:r>
            <w:r>
              <w:rPr>
                <w:rFonts w:hint="eastAsia"/>
                <w:color w:val="000000"/>
                <w:sz w:val="24"/>
              </w:rPr>
              <w:t>万Nm</w:t>
            </w:r>
            <w:r>
              <w:rPr>
                <w:rFonts w:hint="eastAsia"/>
                <w:color w:val="000000"/>
                <w:szCs w:val="21"/>
                <w:vertAlign w:val="superscript"/>
              </w:rPr>
              <w:t>3</w:t>
            </w:r>
            <w:r>
              <w:rPr>
                <w:rFonts w:hint="eastAsia"/>
                <w:color w:val="000000"/>
                <w:szCs w:val="21"/>
              </w:rPr>
              <w:t>/a</w:t>
            </w:r>
            <w:r>
              <w:rPr>
                <w:rFonts w:hint="eastAsia"/>
                <w:color w:val="000000"/>
                <w:sz w:val="24"/>
                <w:lang w:eastAsia="zh-CN"/>
              </w:rPr>
              <w:t>，</w:t>
            </w:r>
            <w:r>
              <w:rPr>
                <w:rFonts w:hint="eastAsia"/>
                <w:color w:val="000000"/>
                <w:sz w:val="24"/>
              </w:rPr>
              <w:t>燃烧尾气</w:t>
            </w:r>
            <w:r>
              <w:rPr>
                <w:rFonts w:hint="eastAsia"/>
                <w:color w:val="000000"/>
                <w:sz w:val="24"/>
                <w:lang w:eastAsia="zh-CN"/>
              </w:rPr>
              <w:t>经</w:t>
            </w:r>
            <w:r>
              <w:rPr>
                <w:rFonts w:hint="eastAsia"/>
                <w:color w:val="000000"/>
                <w:sz w:val="24"/>
                <w:lang w:val="en-US" w:eastAsia="zh-CN"/>
              </w:rPr>
              <w:t>8m排气筒</w:t>
            </w:r>
            <w:r>
              <w:rPr>
                <w:rFonts w:hint="eastAsia"/>
                <w:color w:val="000000"/>
                <w:sz w:val="24"/>
              </w:rPr>
              <w:t>排放。燃烧</w:t>
            </w:r>
            <w:r>
              <w:rPr>
                <w:color w:val="000000"/>
                <w:sz w:val="24"/>
              </w:rPr>
              <w:t>1.0×10</w:t>
            </w:r>
            <w:r>
              <w:rPr>
                <w:rFonts w:hint="eastAsia"/>
                <w:color w:val="000000"/>
                <w:sz w:val="24"/>
                <w:vertAlign w:val="superscript"/>
                <w:lang w:val="en-US" w:eastAsia="zh-CN"/>
              </w:rPr>
              <w:t>4</w:t>
            </w:r>
            <w:r>
              <w:rPr>
                <w:color w:val="000000"/>
                <w:sz w:val="24"/>
              </w:rPr>
              <w:t>m</w:t>
            </w:r>
            <w:r>
              <w:rPr>
                <w:color w:val="000000"/>
                <w:sz w:val="24"/>
                <w:vertAlign w:val="superscript"/>
              </w:rPr>
              <w:t>3</w:t>
            </w:r>
            <w:r>
              <w:rPr>
                <w:rFonts w:hint="eastAsia"/>
                <w:color w:val="000000"/>
                <w:sz w:val="24"/>
              </w:rPr>
              <w:t>天然气产生</w:t>
            </w:r>
            <w:r>
              <w:rPr>
                <w:rFonts w:hint="eastAsia"/>
                <w:color w:val="000000"/>
                <w:sz w:val="24"/>
                <w:lang w:val="en-US" w:eastAsia="zh-CN"/>
              </w:rPr>
              <w:t>1.0</w:t>
            </w:r>
            <w:r>
              <w:rPr>
                <w:color w:val="000000"/>
                <w:sz w:val="24"/>
              </w:rPr>
              <w:t>kgSO</w:t>
            </w:r>
            <w:r>
              <w:rPr>
                <w:color w:val="000000"/>
                <w:sz w:val="24"/>
                <w:vertAlign w:val="subscript"/>
              </w:rPr>
              <w:t>2</w:t>
            </w:r>
            <w:r>
              <w:rPr>
                <w:rFonts w:hint="eastAsia"/>
                <w:color w:val="000000"/>
                <w:sz w:val="24"/>
              </w:rPr>
              <w:t>，</w:t>
            </w:r>
            <w:r>
              <w:rPr>
                <w:rFonts w:hint="eastAsia"/>
                <w:color w:val="000000"/>
                <w:sz w:val="24"/>
                <w:lang w:val="en-US" w:eastAsia="zh-CN"/>
              </w:rPr>
              <w:t>6.3</w:t>
            </w:r>
            <w:r>
              <w:rPr>
                <w:color w:val="000000"/>
                <w:sz w:val="24"/>
              </w:rPr>
              <w:t>kgNO</w:t>
            </w:r>
            <w:r>
              <w:rPr>
                <w:rFonts w:hint="eastAsia"/>
                <w:color w:val="000000"/>
                <w:sz w:val="24"/>
                <w:vertAlign w:val="subscript"/>
                <w:lang w:val="en-US" w:eastAsia="zh-CN"/>
              </w:rPr>
              <w:t>2</w:t>
            </w:r>
            <w:r>
              <w:rPr>
                <w:rFonts w:hint="eastAsia"/>
                <w:color w:val="000000"/>
                <w:sz w:val="24"/>
              </w:rPr>
              <w:t>，</w:t>
            </w:r>
            <w:r>
              <w:rPr>
                <w:rFonts w:hint="eastAsia"/>
                <w:color w:val="000000"/>
                <w:sz w:val="24"/>
                <w:lang w:val="en-US" w:eastAsia="zh-CN"/>
              </w:rPr>
              <w:t>2.4</w:t>
            </w:r>
            <w:r>
              <w:rPr>
                <w:color w:val="000000"/>
                <w:sz w:val="24"/>
              </w:rPr>
              <w:t>kg</w:t>
            </w:r>
            <w:r>
              <w:rPr>
                <w:rFonts w:hint="eastAsia"/>
                <w:color w:val="000000"/>
                <w:sz w:val="24"/>
                <w:lang w:eastAsia="zh-CN"/>
              </w:rPr>
              <w:t>烟尘，</w:t>
            </w:r>
            <w:r>
              <w:rPr>
                <w:rFonts w:hint="eastAsia"/>
                <w:color w:val="000000"/>
                <w:sz w:val="24"/>
              </w:rPr>
              <w:t>则本项目的工艺流程中产生的SO</w:t>
            </w:r>
            <w:r>
              <w:rPr>
                <w:rFonts w:hint="eastAsia"/>
                <w:color w:val="000000"/>
                <w:sz w:val="24"/>
                <w:vertAlign w:val="subscript"/>
              </w:rPr>
              <w:t>2</w:t>
            </w:r>
            <w:r>
              <w:rPr>
                <w:rFonts w:hint="eastAsia"/>
                <w:color w:val="000000"/>
                <w:sz w:val="24"/>
              </w:rPr>
              <w:t>为</w:t>
            </w:r>
            <w:r>
              <w:rPr>
                <w:rFonts w:hint="eastAsia"/>
                <w:color w:val="000000"/>
                <w:sz w:val="24"/>
                <w:lang w:val="en-US" w:eastAsia="zh-CN"/>
              </w:rPr>
              <w:t>6.96</w:t>
            </w:r>
            <w:r>
              <w:rPr>
                <w:rFonts w:hint="eastAsia"/>
                <w:color w:val="000000"/>
                <w:sz w:val="24"/>
              </w:rPr>
              <w:t>kg/a，NO</w:t>
            </w:r>
            <w:r>
              <w:rPr>
                <w:rFonts w:hint="eastAsia"/>
                <w:color w:val="000000"/>
                <w:sz w:val="24"/>
                <w:vertAlign w:val="subscript"/>
              </w:rPr>
              <w:t>x</w:t>
            </w:r>
            <w:r>
              <w:rPr>
                <w:rFonts w:hint="eastAsia"/>
                <w:color w:val="000000"/>
                <w:sz w:val="24"/>
              </w:rPr>
              <w:t>为</w:t>
            </w:r>
            <w:r>
              <w:rPr>
                <w:rFonts w:hint="eastAsia"/>
                <w:color w:val="000000"/>
                <w:sz w:val="24"/>
                <w:lang w:val="en-US" w:eastAsia="zh-CN"/>
              </w:rPr>
              <w:t>43.848</w:t>
            </w:r>
            <w:r>
              <w:rPr>
                <w:rFonts w:hint="eastAsia"/>
                <w:color w:val="000000"/>
                <w:sz w:val="24"/>
              </w:rPr>
              <w:t>kg/a</w:t>
            </w:r>
            <w:r>
              <w:rPr>
                <w:rFonts w:hint="eastAsia"/>
                <w:color w:val="000000"/>
                <w:sz w:val="24"/>
                <w:lang w:eastAsia="zh-CN"/>
              </w:rPr>
              <w:t>，烟尘为</w:t>
            </w:r>
            <w:r>
              <w:rPr>
                <w:rFonts w:hint="eastAsia"/>
                <w:color w:val="000000"/>
                <w:sz w:val="24"/>
                <w:lang w:val="en-US" w:eastAsia="zh-CN"/>
              </w:rPr>
              <w:t>16.704</w:t>
            </w:r>
            <w:r>
              <w:rPr>
                <w:rFonts w:hint="eastAsia"/>
                <w:color w:val="000000"/>
                <w:sz w:val="24"/>
              </w:rPr>
              <w:t>kg/a</w:t>
            </w:r>
            <w:r>
              <w:rPr>
                <w:rFonts w:hint="eastAsia"/>
                <w:color w:val="000000"/>
                <w:sz w:val="24"/>
                <w:lang w:eastAsia="zh-CN"/>
              </w:rPr>
              <w:t>。</w:t>
            </w:r>
          </w:p>
          <w:p>
            <w:pPr>
              <w:spacing w:line="480" w:lineRule="exact"/>
              <w:ind w:firstLine="422" w:firstLineChars="176"/>
              <w:jc w:val="left"/>
              <w:rPr>
                <w:rFonts w:ascii="Times New Roman" w:hAnsi="Times New Roman" w:cs="Times New Roman"/>
                <w:sz w:val="24"/>
                <w:szCs w:val="24"/>
              </w:rPr>
            </w:pPr>
            <w:r>
              <w:rPr>
                <w:rFonts w:ascii="Times New Roman" w:hAnsi="Times New Roman" w:cs="Times New Roman"/>
                <w:sz w:val="24"/>
                <w:szCs w:val="24"/>
              </w:rPr>
              <w:t>依据《环境影响评价技术导则-大气环境》(HJ2.2-2018)中5.3节工作等级的确定方法，结合项目工程分析结果，选择正常排放的主要污染物及排放参数，采用附录A推荐模型中的AERSCREEN模式计算项目污染源的最大环境影响，然后按评价工作分级判据进行分级。</w:t>
            </w:r>
          </w:p>
          <w:p>
            <w:pPr>
              <w:spacing w:line="480" w:lineRule="exact"/>
              <w:ind w:firstLine="422" w:firstLineChars="176"/>
              <w:jc w:val="left"/>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P</w:t>
            </w:r>
            <w:r>
              <w:rPr>
                <w:rFonts w:ascii="Times New Roman" w:hAnsi="Times New Roman" w:cs="Times New Roman"/>
                <w:sz w:val="24"/>
                <w:szCs w:val="24"/>
                <w:vertAlign w:val="subscript"/>
              </w:rPr>
              <w:t>max</w:t>
            </w:r>
            <w:r>
              <w:rPr>
                <w:rFonts w:ascii="Times New Roman" w:hAnsi="Times New Roman" w:cs="Times New Roman"/>
                <w:sz w:val="24"/>
                <w:szCs w:val="24"/>
              </w:rPr>
              <w:t>及D</w:t>
            </w:r>
            <w:r>
              <w:rPr>
                <w:rFonts w:ascii="Times New Roman" w:hAnsi="Times New Roman" w:cs="Times New Roman"/>
                <w:sz w:val="24"/>
                <w:szCs w:val="24"/>
                <w:vertAlign w:val="subscript"/>
              </w:rPr>
              <w:t>10%</w:t>
            </w:r>
            <w:r>
              <w:rPr>
                <w:rFonts w:ascii="Times New Roman" w:hAnsi="Times New Roman" w:cs="Times New Roman"/>
                <w:sz w:val="24"/>
                <w:szCs w:val="24"/>
              </w:rPr>
              <w:t>的确定</w:t>
            </w:r>
          </w:p>
          <w:p>
            <w:pPr>
              <w:spacing w:line="480" w:lineRule="exact"/>
              <w:ind w:firstLine="422" w:firstLineChars="176"/>
              <w:jc w:val="left"/>
              <w:rPr>
                <w:rFonts w:ascii="Times New Roman" w:hAnsi="Times New Roman" w:cs="Times New Roman"/>
                <w:sz w:val="24"/>
                <w:szCs w:val="24"/>
              </w:rPr>
            </w:pPr>
            <w:r>
              <w:rPr>
                <w:rFonts w:ascii="Times New Roman" w:hAnsi="Times New Roman" w:cs="Times New Roman"/>
                <w:sz w:val="24"/>
                <w:szCs w:val="24"/>
              </w:rPr>
              <w:t>依据《环境影响评价技术导则 大气环境》(HJ2.2-20</w:t>
            </w:r>
            <w:r>
              <w:rPr>
                <w:rFonts w:hint="eastAsia" w:ascii="Times New Roman" w:hAnsi="Times New Roman" w:cs="Times New Roman"/>
                <w:sz w:val="24"/>
                <w:szCs w:val="24"/>
              </w:rPr>
              <w:t>1</w:t>
            </w:r>
            <w:r>
              <w:rPr>
                <w:rFonts w:ascii="Times New Roman" w:hAnsi="Times New Roman" w:cs="Times New Roman"/>
                <w:sz w:val="24"/>
                <w:szCs w:val="24"/>
              </w:rPr>
              <w:t>8)中最大地面浓度占标率P</w:t>
            </w:r>
            <w:r>
              <w:rPr>
                <w:rFonts w:ascii="Times New Roman" w:hAnsi="Times New Roman" w:cs="Times New Roman"/>
                <w:i/>
                <w:sz w:val="24"/>
                <w:szCs w:val="24"/>
              </w:rPr>
              <w:t>i</w:t>
            </w:r>
            <w:r>
              <w:rPr>
                <w:rFonts w:ascii="Times New Roman" w:hAnsi="Times New Roman" w:cs="Times New Roman"/>
                <w:sz w:val="24"/>
                <w:szCs w:val="24"/>
              </w:rPr>
              <w:t>定义如下：</w:t>
            </w:r>
          </w:p>
          <w:p>
            <w:pPr>
              <w:spacing w:line="276" w:lineRule="auto"/>
              <w:ind w:firstLine="422" w:firstLineChars="176"/>
              <w:jc w:val="center"/>
              <w:rPr>
                <w:rFonts w:ascii="Times New Roman" w:hAnsi="Times New Roman" w:cs="Times New Roman"/>
                <w:sz w:val="24"/>
                <w:szCs w:val="24"/>
              </w:rPr>
            </w:pPr>
            <m:oMath>
              <m:sSub>
                <m:sSubPr>
                  <m:ctrlPr>
                    <w:rPr>
                      <w:rFonts w:hint="default" w:ascii="Cambria Math" w:hAnsi="Cambria Math" w:cs="Times New Roman"/>
                      <w:sz w:val="24"/>
                      <w:szCs w:val="24"/>
                    </w:rPr>
                  </m:ctrlPr>
                </m:sSubPr>
                <m:e>
                  <m:r>
                    <w:rPr>
                      <w:rFonts w:hint="default" w:ascii="Cambria Math" w:hAnsi="Cambria Math" w:cs="Times New Roman"/>
                      <w:sz w:val="24"/>
                      <w:szCs w:val="24"/>
                    </w:rPr>
                    <m:t>P</m:t>
                  </m:r>
                  <m:ctrlPr>
                    <w:rPr>
                      <w:rFonts w:hint="default" w:ascii="Cambria Math" w:hAnsi="Cambria Math" w:cs="Times New Roman"/>
                      <w:sz w:val="24"/>
                      <w:szCs w:val="24"/>
                    </w:rPr>
                  </m:ctrlPr>
                </m:e>
                <m:sub>
                  <m:r>
                    <w:rPr>
                      <w:rFonts w:hint="default" w:ascii="Cambria Math" w:hAnsi="Cambria Math" w:cs="Times New Roman"/>
                      <w:sz w:val="24"/>
                      <w:szCs w:val="24"/>
                    </w:rPr>
                    <m:t>i</m:t>
                  </m:r>
                  <m:ctrlPr>
                    <w:rPr>
                      <w:rFonts w:hint="default" w:ascii="Cambria Math" w:hAnsi="Cambria Math" w:cs="Times New Roman"/>
                      <w:sz w:val="24"/>
                      <w:szCs w:val="24"/>
                    </w:rPr>
                  </m:ctrlPr>
                </m:sub>
              </m:sSub>
              <m:r>
                <m:rPr>
                  <m:sty m:val="p"/>
                </m:rPr>
                <w:rPr>
                  <w:rFonts w:hint="default" w:ascii="Cambria Math" w:hAnsi="Cambria Math" w:cs="Times New Roman"/>
                  <w:sz w:val="24"/>
                  <w:szCs w:val="24"/>
                </w:rPr>
                <m:t>=</m:t>
              </m:r>
              <m:f>
                <m:fPr>
                  <m:ctrlPr>
                    <w:rPr>
                      <w:rFonts w:hint="default" w:ascii="Cambria Math" w:hAnsi="Cambria Math" w:cs="Times New Roman"/>
                      <w:sz w:val="24"/>
                      <w:szCs w:val="24"/>
                    </w:rPr>
                  </m:ctrlPr>
                </m:fPr>
                <m:num>
                  <m:sSub>
                    <m:sSubPr>
                      <m:ctrlPr>
                        <w:rPr>
                          <w:rFonts w:hint="default" w:ascii="Cambria Math" w:hAnsi="Cambria Math" w:cs="Times New Roman"/>
                          <w:i/>
                          <w:sz w:val="24"/>
                          <w:szCs w:val="24"/>
                        </w:rPr>
                      </m:ctrlPr>
                    </m:sSubPr>
                    <m:e>
                      <m:r>
                        <w:rPr>
                          <w:rFonts w:hint="default" w:ascii="Cambria Math" w:hAnsi="Cambria Math" w:cs="Times New Roman"/>
                          <w:sz w:val="24"/>
                          <w:szCs w:val="24"/>
                        </w:rPr>
                        <m:t>C</m:t>
                      </m:r>
                      <m:ctrlPr>
                        <w:rPr>
                          <w:rFonts w:hint="default" w:ascii="Cambria Math" w:hAnsi="Cambria Math" w:cs="Times New Roman"/>
                          <w:i/>
                          <w:sz w:val="24"/>
                          <w:szCs w:val="24"/>
                        </w:rPr>
                      </m:ctrlPr>
                    </m:e>
                    <m:sub>
                      <m:r>
                        <w:rPr>
                          <w:rFonts w:hint="default" w:ascii="Cambria Math" w:hAnsi="Cambria Math" w:cs="Times New Roman"/>
                          <w:sz w:val="24"/>
                          <w:szCs w:val="24"/>
                        </w:rPr>
                        <m:t>i</m:t>
                      </m:r>
                      <m:ctrlPr>
                        <w:rPr>
                          <w:rFonts w:hint="default" w:ascii="Cambria Math" w:hAnsi="Cambria Math" w:cs="Times New Roman"/>
                          <w:i/>
                          <w:sz w:val="24"/>
                          <w:szCs w:val="24"/>
                        </w:rPr>
                      </m:ctrlPr>
                    </m:sub>
                  </m:sSub>
                  <m:ctrlPr>
                    <w:rPr>
                      <w:rFonts w:hint="default" w:ascii="Cambria Math" w:hAnsi="Cambria Math" w:cs="Times New Roman"/>
                      <w:sz w:val="24"/>
                      <w:szCs w:val="24"/>
                    </w:rPr>
                  </m:ctrlPr>
                </m:num>
                <m:den>
                  <m:sSub>
                    <m:sSubPr>
                      <m:ctrlPr>
                        <w:rPr>
                          <w:rFonts w:hint="default" w:ascii="Cambria Math" w:hAnsi="Cambria Math" w:cs="Times New Roman"/>
                          <w:i/>
                          <w:sz w:val="24"/>
                          <w:szCs w:val="24"/>
                        </w:rPr>
                      </m:ctrlPr>
                    </m:sSubPr>
                    <m:e>
                      <m:r>
                        <w:rPr>
                          <w:rFonts w:hint="default" w:ascii="Cambria Math" w:hAnsi="Cambria Math" w:cs="Times New Roman"/>
                          <w:sz w:val="24"/>
                          <w:szCs w:val="24"/>
                        </w:rPr>
                        <m:t>C</m:t>
                      </m:r>
                      <m:ctrlPr>
                        <w:rPr>
                          <w:rFonts w:hint="default" w:ascii="Cambria Math" w:hAnsi="Cambria Math" w:cs="Times New Roman"/>
                          <w:i/>
                          <w:sz w:val="24"/>
                          <w:szCs w:val="24"/>
                        </w:rPr>
                      </m:ctrlPr>
                    </m:e>
                    <m:sub>
                      <m:r>
                        <w:rPr>
                          <w:rFonts w:hint="default" w:ascii="Cambria Math" w:hAnsi="Cambria Math" w:cs="Times New Roman"/>
                          <w:sz w:val="24"/>
                          <w:szCs w:val="24"/>
                        </w:rPr>
                        <m:t>0i</m:t>
                      </m:r>
                      <m:ctrlPr>
                        <w:rPr>
                          <w:rFonts w:hint="default" w:ascii="Cambria Math" w:hAnsi="Cambria Math" w:cs="Times New Roman"/>
                          <w:i/>
                          <w:sz w:val="24"/>
                          <w:szCs w:val="24"/>
                        </w:rPr>
                      </m:ctrlPr>
                    </m:sub>
                  </m:sSub>
                  <m:ctrlPr>
                    <w:rPr>
                      <w:rFonts w:hint="default" w:ascii="Cambria Math" w:hAnsi="Cambria Math" w:cs="Times New Roman"/>
                      <w:sz w:val="24"/>
                      <w:szCs w:val="24"/>
                    </w:rPr>
                  </m:ctrlPr>
                </m:den>
              </m:f>
              <m:r>
                <w:rPr>
                  <w:rFonts w:hint="default" w:ascii="Cambria Math" w:hAnsi="Cambria Math" w:cs="Times New Roman"/>
                  <w:sz w:val="24"/>
                  <w:szCs w:val="24"/>
                </w:rPr>
                <m:t>×100%</m:t>
              </m:r>
            </m:oMath>
          </w:p>
          <w:p>
            <w:pPr>
              <w:spacing w:line="480" w:lineRule="exact"/>
              <w:ind w:firstLine="422" w:firstLineChars="176"/>
              <w:jc w:val="left"/>
              <w:rPr>
                <w:rFonts w:ascii="Times New Roman" w:hAnsi="Times New Roman" w:cs="Times New Roman"/>
                <w:sz w:val="24"/>
                <w:szCs w:val="24"/>
              </w:rPr>
            </w:pPr>
            <m:oMath>
              <m:sSub>
                <m:sSubPr>
                  <m:ctrlPr>
                    <w:rPr>
                      <w:rFonts w:hint="default" w:ascii="Cambria Math" w:hAnsi="Cambria Math" w:cs="Times New Roman"/>
                      <w:sz w:val="24"/>
                      <w:szCs w:val="24"/>
                    </w:rPr>
                  </m:ctrlPr>
                </m:sSubPr>
                <m:e>
                  <m:r>
                    <w:rPr>
                      <w:rFonts w:hint="default" w:ascii="Cambria Math" w:hAnsi="Cambria Math" w:cs="Times New Roman"/>
                      <w:sz w:val="24"/>
                      <w:szCs w:val="24"/>
                    </w:rPr>
                    <m:t>P</m:t>
                  </m:r>
                  <m:ctrlPr>
                    <w:rPr>
                      <w:rFonts w:hint="default" w:ascii="Cambria Math" w:hAnsi="Cambria Math" w:cs="Times New Roman"/>
                      <w:sz w:val="24"/>
                      <w:szCs w:val="24"/>
                    </w:rPr>
                  </m:ctrlPr>
                </m:e>
                <m:sub>
                  <m:r>
                    <w:rPr>
                      <w:rFonts w:hint="default" w:ascii="Cambria Math" w:hAnsi="Cambria Math" w:cs="Times New Roman"/>
                      <w:sz w:val="24"/>
                      <w:szCs w:val="24"/>
                    </w:rPr>
                    <m:t>i</m:t>
                  </m:r>
                  <m:ctrlPr>
                    <w:rPr>
                      <w:rFonts w:hint="default" w:ascii="Cambria Math" w:hAnsi="Cambria Math" w:cs="Times New Roman"/>
                      <w:sz w:val="24"/>
                      <w:szCs w:val="24"/>
                    </w:rPr>
                  </m:ctrlPr>
                </m:sub>
              </m:sSub>
            </m:oMath>
            <w:r>
              <w:rPr>
                <w:rFonts w:ascii="Times New Roman" w:hAnsi="Times New Roman" w:cs="Times New Roman"/>
                <w:sz w:val="24"/>
                <w:szCs w:val="24"/>
              </w:rPr>
              <w:t xml:space="preserve"> ——第i个污染物的最大地面空气质量浓度 占标率，%；</w:t>
            </w:r>
          </w:p>
          <w:p>
            <w:pPr>
              <w:spacing w:line="480" w:lineRule="exact"/>
              <w:ind w:firstLine="422" w:firstLineChars="176"/>
              <w:jc w:val="left"/>
              <w:rPr>
                <w:rFonts w:ascii="Times New Roman" w:hAnsi="Times New Roman" w:cs="Times New Roman"/>
                <w:sz w:val="24"/>
                <w:szCs w:val="24"/>
              </w:rPr>
            </w:pPr>
            <m:oMath>
              <m:sSub>
                <m:sSubPr>
                  <m:ctrlPr>
                    <w:rPr>
                      <w:rFonts w:hint="default" w:ascii="Cambria Math" w:hAnsi="Cambria Math" w:cs="Times New Roman"/>
                      <w:i/>
                      <w:sz w:val="24"/>
                      <w:szCs w:val="24"/>
                    </w:rPr>
                  </m:ctrlPr>
                </m:sSubPr>
                <m:e>
                  <m:r>
                    <w:rPr>
                      <w:rFonts w:hint="default" w:ascii="Cambria Math" w:hAnsi="Cambria Math" w:cs="Times New Roman"/>
                      <w:sz w:val="24"/>
                      <w:szCs w:val="24"/>
                    </w:rPr>
                    <m:t>C</m:t>
                  </m:r>
                  <m:ctrlPr>
                    <w:rPr>
                      <w:rFonts w:hint="default" w:ascii="Cambria Math" w:hAnsi="Cambria Math" w:cs="Times New Roman"/>
                      <w:i/>
                      <w:sz w:val="24"/>
                      <w:szCs w:val="24"/>
                    </w:rPr>
                  </m:ctrlPr>
                </m:e>
                <m:sub>
                  <m:r>
                    <w:rPr>
                      <w:rFonts w:hint="default" w:ascii="Cambria Math" w:hAnsi="Cambria Math" w:cs="Times New Roman"/>
                      <w:sz w:val="24"/>
                      <w:szCs w:val="24"/>
                    </w:rPr>
                    <m:t>i</m:t>
                  </m:r>
                  <m:ctrlPr>
                    <w:rPr>
                      <w:rFonts w:hint="default" w:ascii="Cambria Math" w:hAnsi="Cambria Math" w:cs="Times New Roman"/>
                      <w:i/>
                      <w:sz w:val="24"/>
                      <w:szCs w:val="24"/>
                    </w:rPr>
                  </m:ctrlPr>
                </m:sub>
              </m:sSub>
            </m:oMath>
            <w:r>
              <w:rPr>
                <w:rFonts w:ascii="Times New Roman" w:hAnsi="Times New Roman" w:cs="Times New Roman"/>
                <w:sz w:val="24"/>
                <w:szCs w:val="24"/>
              </w:rPr>
              <w:t>——采用估算模型计算出的第i个污染物的最大1h地面空气质量浓度，μg/m</w:t>
            </w:r>
            <w:r>
              <w:rPr>
                <w:rFonts w:ascii="Times New Roman" w:hAnsi="Times New Roman" w:cs="Times New Roman"/>
                <w:sz w:val="24"/>
                <w:szCs w:val="24"/>
                <w:vertAlign w:val="superscript"/>
              </w:rPr>
              <w:t>3</w:t>
            </w:r>
            <w:r>
              <w:rPr>
                <w:rFonts w:ascii="Times New Roman" w:hAnsi="Times New Roman" w:cs="Times New Roman"/>
                <w:sz w:val="24"/>
                <w:szCs w:val="24"/>
              </w:rPr>
              <w:t>；</w:t>
            </w:r>
          </w:p>
          <w:p>
            <w:pPr>
              <w:spacing w:line="480" w:lineRule="exact"/>
              <w:ind w:firstLine="422" w:firstLineChars="176"/>
              <w:jc w:val="left"/>
              <w:rPr>
                <w:rFonts w:ascii="Times New Roman" w:hAnsi="Times New Roman" w:cs="Times New Roman"/>
                <w:sz w:val="24"/>
                <w:szCs w:val="24"/>
              </w:rPr>
            </w:pPr>
            <m:oMath>
              <m:sSub>
                <m:sSubPr>
                  <m:ctrlPr>
                    <w:rPr>
                      <w:rFonts w:hint="default" w:ascii="Cambria Math" w:hAnsi="Cambria Math" w:cs="Times New Roman"/>
                      <w:i/>
                      <w:sz w:val="24"/>
                      <w:szCs w:val="24"/>
                    </w:rPr>
                  </m:ctrlPr>
                </m:sSubPr>
                <m:e>
                  <m:r>
                    <w:rPr>
                      <w:rFonts w:hint="default" w:ascii="Cambria Math" w:hAnsi="Cambria Math" w:cs="Times New Roman"/>
                      <w:sz w:val="24"/>
                      <w:szCs w:val="24"/>
                    </w:rPr>
                    <m:t>C</m:t>
                  </m:r>
                  <m:ctrlPr>
                    <w:rPr>
                      <w:rFonts w:hint="default" w:ascii="Cambria Math" w:hAnsi="Cambria Math" w:cs="Times New Roman"/>
                      <w:i/>
                      <w:sz w:val="24"/>
                      <w:szCs w:val="24"/>
                    </w:rPr>
                  </m:ctrlPr>
                </m:e>
                <m:sub>
                  <m:r>
                    <w:rPr>
                      <w:rFonts w:hint="default" w:ascii="Cambria Math" w:hAnsi="Cambria Math" w:cs="Times New Roman"/>
                      <w:sz w:val="24"/>
                      <w:szCs w:val="24"/>
                    </w:rPr>
                    <m:t>0i</m:t>
                  </m:r>
                  <m:ctrlPr>
                    <w:rPr>
                      <w:rFonts w:hint="default" w:ascii="Cambria Math" w:hAnsi="Cambria Math" w:cs="Times New Roman"/>
                      <w:i/>
                      <w:sz w:val="24"/>
                      <w:szCs w:val="24"/>
                    </w:rPr>
                  </m:ctrlPr>
                </m:sub>
              </m:sSub>
            </m:oMath>
            <w:r>
              <w:rPr>
                <w:rFonts w:ascii="Times New Roman" w:hAnsi="Times New Roman" w:cs="Times New Roman"/>
                <w:sz w:val="24"/>
                <w:szCs w:val="24"/>
              </w:rPr>
              <w:t>——第i个污染物的环境空气质量浓度标准，μg/m</w:t>
            </w:r>
            <w:r>
              <w:rPr>
                <w:rFonts w:ascii="Times New Roman" w:hAnsi="Times New Roman" w:cs="Times New Roman"/>
                <w:sz w:val="24"/>
                <w:szCs w:val="24"/>
                <w:vertAlign w:val="superscript"/>
              </w:rPr>
              <w:t>3</w:t>
            </w:r>
            <w:r>
              <w:rPr>
                <w:rFonts w:ascii="Times New Roman" w:hAnsi="Times New Roman" w:cs="Times New Roman"/>
                <w:sz w:val="24"/>
                <w:szCs w:val="24"/>
              </w:rPr>
              <w:t>。</w:t>
            </w:r>
          </w:p>
          <w:p>
            <w:pPr>
              <w:spacing w:line="480" w:lineRule="exact"/>
              <w:ind w:firstLine="422" w:firstLineChars="176"/>
              <w:jc w:val="left"/>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评价等级判别表</w:t>
            </w:r>
          </w:p>
          <w:p>
            <w:pPr>
              <w:spacing w:line="480" w:lineRule="exact"/>
              <w:ind w:firstLine="422" w:firstLineChars="176"/>
              <w:jc w:val="left"/>
              <w:rPr>
                <w:rFonts w:ascii="Times New Roman" w:hAnsi="Times New Roman" w:cs="Times New Roman"/>
                <w:sz w:val="24"/>
                <w:szCs w:val="24"/>
              </w:rPr>
            </w:pPr>
            <w:r>
              <w:rPr>
                <w:rFonts w:ascii="Times New Roman" w:hAnsi="Times New Roman" w:cs="Times New Roman"/>
                <w:sz w:val="24"/>
                <w:szCs w:val="24"/>
              </w:rPr>
              <w:t>评价等级按下表的分级判据进行划分</w:t>
            </w:r>
          </w:p>
          <w:p>
            <w:pPr>
              <w:spacing w:line="480" w:lineRule="exact"/>
              <w:ind w:firstLine="371" w:firstLineChars="176"/>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表7-1 评价等级判别表</w:t>
            </w:r>
          </w:p>
          <w:tbl>
            <w:tblPr>
              <w:tblStyle w:val="70"/>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4643"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评价工作等级</w:t>
                  </w:r>
                </w:p>
              </w:tc>
              <w:tc>
                <w:tcPr>
                  <w:tcW w:w="4643"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643"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一级评价</w:t>
                  </w:r>
                </w:p>
              </w:tc>
              <w:tc>
                <w:tcPr>
                  <w:tcW w:w="4643"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Pmax</w:t>
                  </w:r>
                  <w:r>
                    <w:rPr>
                      <w:rFonts w:hint="eastAsia" w:ascii="宋体" w:hAnsi="宋体" w:eastAsia="宋体" w:cs="宋体"/>
                      <w:sz w:val="21"/>
                      <w:szCs w:val="21"/>
                    </w:rPr>
                    <w:t>≧</w:t>
                  </w:r>
                  <w:r>
                    <w:rPr>
                      <w:rFonts w:ascii="Times New Roman" w:hAnsi="Times New Roman" w:cs="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4643"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二级评价</w:t>
                  </w:r>
                </w:p>
              </w:tc>
              <w:tc>
                <w:tcPr>
                  <w:tcW w:w="4643"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1%</w:t>
                  </w:r>
                  <w:r>
                    <w:rPr>
                      <w:rFonts w:hint="eastAsia" w:ascii="宋体" w:hAnsi="宋体" w:eastAsia="宋体" w:cs="宋体"/>
                      <w:sz w:val="21"/>
                      <w:szCs w:val="21"/>
                    </w:rPr>
                    <w:t>≦</w:t>
                  </w:r>
                  <w:r>
                    <w:rPr>
                      <w:rFonts w:ascii="Times New Roman" w:hAnsi="Times New Roman" w:cs="Times New Roman"/>
                      <w:sz w:val="21"/>
                      <w:szCs w:val="21"/>
                    </w:rPr>
                    <w:t>Pmax&lt;10%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4643"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三级评价</w:t>
                  </w:r>
                </w:p>
              </w:tc>
              <w:tc>
                <w:tcPr>
                  <w:tcW w:w="4643"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Pmax&lt;1%</w:t>
                  </w:r>
                </w:p>
              </w:tc>
            </w:tr>
          </w:tbl>
          <w:p>
            <w:pPr>
              <w:spacing w:line="480" w:lineRule="exact"/>
              <w:ind w:firstLine="422" w:firstLineChars="176"/>
              <w:jc w:val="left"/>
              <w:rPr>
                <w:rFonts w:ascii="Times New Roman" w:hAnsi="Times New Roman" w:cs="Times New Roman"/>
                <w:sz w:val="24"/>
                <w:szCs w:val="24"/>
              </w:rPr>
            </w:pPr>
            <w:r>
              <w:rPr>
                <w:rFonts w:hint="eastAsia" w:ascii="Times New Roman" w:hAnsi="Times New Roman" w:cs="Times New Roman"/>
                <w:sz w:val="24"/>
                <w:szCs w:val="24"/>
              </w:rPr>
              <w:t>（3）</w:t>
            </w:r>
            <w:r>
              <w:rPr>
                <w:rFonts w:ascii="Times New Roman" w:hAnsi="Times New Roman" w:cs="Times New Roman"/>
                <w:sz w:val="24"/>
                <w:szCs w:val="24"/>
              </w:rPr>
              <w:t>污染物评价标准</w:t>
            </w:r>
          </w:p>
          <w:p>
            <w:pPr>
              <w:spacing w:line="480" w:lineRule="exact"/>
              <w:ind w:firstLine="422" w:firstLineChars="176"/>
              <w:jc w:val="left"/>
              <w:rPr>
                <w:rFonts w:ascii="Times New Roman" w:hAnsi="Times New Roman" w:cs="Times New Roman"/>
                <w:sz w:val="24"/>
                <w:szCs w:val="24"/>
              </w:rPr>
            </w:pPr>
            <w:r>
              <w:rPr>
                <w:rFonts w:ascii="Times New Roman" w:hAnsi="Times New Roman" w:cs="Times New Roman"/>
                <w:sz w:val="24"/>
                <w:szCs w:val="24"/>
              </w:rPr>
              <w:t>污染物评价标准和来源见下表。</w:t>
            </w:r>
          </w:p>
          <w:p>
            <w:pPr>
              <w:spacing w:line="480" w:lineRule="exact"/>
              <w:ind w:firstLine="371" w:firstLineChars="176"/>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表7-2 污染物评价标准</w:t>
            </w:r>
          </w:p>
          <w:tbl>
            <w:tblPr>
              <w:tblStyle w:val="70"/>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335"/>
              <w:gridCol w:w="1200"/>
              <w:gridCol w:w="2012"/>
              <w:gridCol w:w="3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2"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污染物名称</w:t>
                  </w:r>
                </w:p>
              </w:tc>
              <w:tc>
                <w:tcPr>
                  <w:tcW w:w="1335"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功能区</w:t>
                  </w:r>
                </w:p>
              </w:tc>
              <w:tc>
                <w:tcPr>
                  <w:tcW w:w="1200"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取值时间</w:t>
                  </w:r>
                </w:p>
              </w:tc>
              <w:tc>
                <w:tcPr>
                  <w:tcW w:w="2012"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标准值(μg/m3)</w:t>
                  </w:r>
                </w:p>
              </w:tc>
              <w:tc>
                <w:tcPr>
                  <w:tcW w:w="3367"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372"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NMHC</w:t>
                  </w:r>
                </w:p>
              </w:tc>
              <w:tc>
                <w:tcPr>
                  <w:tcW w:w="1335"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二类限区</w:t>
                  </w:r>
                </w:p>
              </w:tc>
              <w:tc>
                <w:tcPr>
                  <w:tcW w:w="1200"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一小时</w:t>
                  </w:r>
                </w:p>
              </w:tc>
              <w:tc>
                <w:tcPr>
                  <w:tcW w:w="2012"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2000.0</w:t>
                  </w:r>
                </w:p>
              </w:tc>
              <w:tc>
                <w:tcPr>
                  <w:tcW w:w="3367"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《环境空气质量 非甲烷总烃限值》（DB13/1577-2012）二级标准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372"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SO</w:t>
                  </w:r>
                  <w:r>
                    <w:rPr>
                      <w:rFonts w:ascii="Times New Roman" w:hAnsi="Times New Roman" w:cs="Times New Roman"/>
                      <w:sz w:val="21"/>
                      <w:szCs w:val="21"/>
                      <w:vertAlign w:val="subscript"/>
                    </w:rPr>
                    <w:t>2</w:t>
                  </w:r>
                </w:p>
              </w:tc>
              <w:tc>
                <w:tcPr>
                  <w:tcW w:w="1335"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二类限区</w:t>
                  </w:r>
                </w:p>
              </w:tc>
              <w:tc>
                <w:tcPr>
                  <w:tcW w:w="1200"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一小时</w:t>
                  </w:r>
                </w:p>
              </w:tc>
              <w:tc>
                <w:tcPr>
                  <w:tcW w:w="2012"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500.0</w:t>
                  </w:r>
                </w:p>
              </w:tc>
              <w:tc>
                <w:tcPr>
                  <w:tcW w:w="3367"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GB 3095-2012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372"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NO</w:t>
                  </w:r>
                  <w:r>
                    <w:rPr>
                      <w:rFonts w:ascii="Times New Roman" w:hAnsi="Times New Roman" w:cs="Times New Roman"/>
                      <w:sz w:val="21"/>
                      <w:szCs w:val="21"/>
                      <w:vertAlign w:val="subscript"/>
                    </w:rPr>
                    <w:t>2</w:t>
                  </w:r>
                </w:p>
              </w:tc>
              <w:tc>
                <w:tcPr>
                  <w:tcW w:w="1335"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二类限区</w:t>
                  </w:r>
                </w:p>
              </w:tc>
              <w:tc>
                <w:tcPr>
                  <w:tcW w:w="1200"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一小时</w:t>
                  </w:r>
                </w:p>
              </w:tc>
              <w:tc>
                <w:tcPr>
                  <w:tcW w:w="2012"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200.0</w:t>
                  </w:r>
                </w:p>
              </w:tc>
              <w:tc>
                <w:tcPr>
                  <w:tcW w:w="3367"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GB 3095-2012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372"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TSP</w:t>
                  </w:r>
                </w:p>
              </w:tc>
              <w:tc>
                <w:tcPr>
                  <w:tcW w:w="1335"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二类限区</w:t>
                  </w:r>
                </w:p>
              </w:tc>
              <w:tc>
                <w:tcPr>
                  <w:tcW w:w="1200"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日均</w:t>
                  </w:r>
                </w:p>
              </w:tc>
              <w:tc>
                <w:tcPr>
                  <w:tcW w:w="2012"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300.0</w:t>
                  </w:r>
                </w:p>
              </w:tc>
              <w:tc>
                <w:tcPr>
                  <w:tcW w:w="3367"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GB 3095-2012</w:t>
                  </w:r>
                </w:p>
              </w:tc>
            </w:tr>
          </w:tbl>
          <w:p>
            <w:pPr>
              <w:spacing w:line="480" w:lineRule="exact"/>
              <w:ind w:firstLine="369" w:firstLineChars="176"/>
              <w:jc w:val="left"/>
              <w:rPr>
                <w:rFonts w:ascii="Times New Roman" w:hAnsi="Times New Roman" w:cs="Times New Roman"/>
                <w:sz w:val="24"/>
                <w:szCs w:val="24"/>
              </w:rPr>
            </w:pPr>
            <w:r>
              <w:rPr>
                <w:rFonts w:hint="eastAsia"/>
                <w:lang w:eastAsia="zh-CN"/>
              </w:rPr>
              <w:t>（</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lang w:eastAsia="zh-CN"/>
              </w:rPr>
              <w:t>）</w:t>
            </w:r>
            <w:r>
              <w:rPr>
                <w:rFonts w:ascii="Times New Roman" w:hAnsi="Times New Roman" w:cs="Times New Roman"/>
                <w:sz w:val="24"/>
                <w:szCs w:val="24"/>
              </w:rPr>
              <w:t>污染源参数</w:t>
            </w:r>
          </w:p>
          <w:p>
            <w:pPr>
              <w:spacing w:line="480" w:lineRule="exact"/>
              <w:ind w:firstLine="422" w:firstLineChars="176"/>
              <w:jc w:val="left"/>
              <w:rPr>
                <w:rFonts w:ascii="Times New Roman" w:hAnsi="Times New Roman" w:cs="Times New Roman"/>
                <w:sz w:val="24"/>
                <w:szCs w:val="24"/>
              </w:rPr>
            </w:pPr>
            <w:r>
              <w:rPr>
                <w:rFonts w:ascii="Times New Roman" w:hAnsi="Times New Roman" w:cs="Times New Roman"/>
                <w:sz w:val="24"/>
                <w:szCs w:val="24"/>
              </w:rPr>
              <w:t>主要废气污染源排放参数见下表：</w:t>
            </w:r>
          </w:p>
          <w:p>
            <w:pPr>
              <w:spacing w:line="480" w:lineRule="exact"/>
              <w:ind w:firstLine="371" w:firstLineChars="176"/>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表7-3 主要废气污染源参数一览表（点源）</w:t>
            </w:r>
          </w:p>
          <w:tbl>
            <w:tblPr>
              <w:tblStyle w:val="70"/>
              <w:tblW w:w="92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4"/>
              <w:gridCol w:w="1172"/>
              <w:gridCol w:w="1110"/>
              <w:gridCol w:w="765"/>
              <w:gridCol w:w="675"/>
              <w:gridCol w:w="705"/>
              <w:gridCol w:w="690"/>
              <w:gridCol w:w="784"/>
              <w:gridCol w:w="720"/>
              <w:gridCol w:w="1082"/>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74" w:type="dxa"/>
                  <w:vMerge w:val="restart"/>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污染源名称</w:t>
                  </w:r>
                </w:p>
              </w:tc>
              <w:tc>
                <w:tcPr>
                  <w:tcW w:w="2282" w:type="dxa"/>
                  <w:gridSpan w:val="2"/>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坐标(o)</w:t>
                  </w:r>
                </w:p>
              </w:tc>
              <w:tc>
                <w:tcPr>
                  <w:tcW w:w="765" w:type="dxa"/>
                  <w:vMerge w:val="restart"/>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坐标(o)</w:t>
                  </w:r>
                </w:p>
              </w:tc>
              <w:tc>
                <w:tcPr>
                  <w:tcW w:w="2854" w:type="dxa"/>
                  <w:gridSpan w:val="4"/>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排气筒参数</w:t>
                  </w:r>
                </w:p>
              </w:tc>
              <w:tc>
                <w:tcPr>
                  <w:tcW w:w="720" w:type="dxa"/>
                  <w:vMerge w:val="restart"/>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污染物名称</w:t>
                  </w:r>
                </w:p>
              </w:tc>
              <w:tc>
                <w:tcPr>
                  <w:tcW w:w="1082" w:type="dxa"/>
                  <w:vMerge w:val="restart"/>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排放速率</w:t>
                  </w:r>
                </w:p>
              </w:tc>
              <w:tc>
                <w:tcPr>
                  <w:tcW w:w="626" w:type="dxa"/>
                  <w:vMerge w:val="restart"/>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74" w:type="dxa"/>
                  <w:vMerge w:val="continue"/>
                  <w:noWrap w:val="0"/>
                  <w:vAlign w:val="center"/>
                </w:tcPr>
                <w:p>
                  <w:pPr>
                    <w:jc w:val="center"/>
                    <w:rPr>
                      <w:rFonts w:ascii="Times New Roman" w:hAnsi="Times New Roman" w:cs="Times New Roman"/>
                      <w:sz w:val="21"/>
                      <w:szCs w:val="21"/>
                    </w:rPr>
                  </w:pPr>
                </w:p>
              </w:tc>
              <w:tc>
                <w:tcPr>
                  <w:tcW w:w="1172" w:type="dxa"/>
                  <w:noWrap w:val="0"/>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经度</w:t>
                  </w:r>
                </w:p>
              </w:tc>
              <w:tc>
                <w:tcPr>
                  <w:tcW w:w="1110" w:type="dxa"/>
                  <w:noWrap w:val="0"/>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经度</w:t>
                  </w:r>
                </w:p>
              </w:tc>
              <w:tc>
                <w:tcPr>
                  <w:tcW w:w="765" w:type="dxa"/>
                  <w:vMerge w:val="continue"/>
                  <w:noWrap w:val="0"/>
                  <w:vAlign w:val="center"/>
                </w:tcPr>
                <w:p>
                  <w:pPr>
                    <w:jc w:val="center"/>
                    <w:rPr>
                      <w:rFonts w:ascii="Times New Roman" w:hAnsi="Times New Roman" w:cs="Times New Roman"/>
                      <w:sz w:val="21"/>
                      <w:szCs w:val="21"/>
                    </w:rPr>
                  </w:pPr>
                </w:p>
              </w:tc>
              <w:tc>
                <w:tcPr>
                  <w:tcW w:w="675"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高度</w:t>
                  </w:r>
                </w:p>
                <w:p>
                  <w:pPr>
                    <w:jc w:val="center"/>
                    <w:rPr>
                      <w:rFonts w:ascii="Times New Roman" w:hAnsi="Times New Roman" w:cs="Times New Roman"/>
                      <w:sz w:val="21"/>
                      <w:szCs w:val="21"/>
                    </w:rPr>
                  </w:pPr>
                  <w:r>
                    <w:rPr>
                      <w:rFonts w:ascii="Times New Roman" w:hAnsi="Times New Roman" w:cs="Times New Roman"/>
                      <w:sz w:val="21"/>
                      <w:szCs w:val="21"/>
                    </w:rPr>
                    <w:t>(m)</w:t>
                  </w:r>
                </w:p>
              </w:tc>
              <w:tc>
                <w:tcPr>
                  <w:tcW w:w="705"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内径</w:t>
                  </w:r>
                </w:p>
                <w:p>
                  <w:pPr>
                    <w:jc w:val="center"/>
                    <w:rPr>
                      <w:rFonts w:ascii="Times New Roman" w:hAnsi="Times New Roman" w:cs="Times New Roman"/>
                      <w:sz w:val="21"/>
                      <w:szCs w:val="21"/>
                    </w:rPr>
                  </w:pPr>
                  <w:r>
                    <w:rPr>
                      <w:rFonts w:ascii="Times New Roman" w:hAnsi="Times New Roman" w:cs="Times New Roman"/>
                      <w:sz w:val="21"/>
                      <w:szCs w:val="21"/>
                    </w:rPr>
                    <w:t>(m)</w:t>
                  </w:r>
                </w:p>
              </w:tc>
              <w:tc>
                <w:tcPr>
                  <w:tcW w:w="690"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温度</w:t>
                  </w:r>
                </w:p>
                <w:p>
                  <w:pPr>
                    <w:jc w:val="center"/>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rPr>
                    <w:t>℃</w:t>
                  </w:r>
                  <w:r>
                    <w:rPr>
                      <w:rFonts w:ascii="Times New Roman" w:hAnsi="Times New Roman" w:cs="Times New Roman"/>
                      <w:sz w:val="21"/>
                      <w:szCs w:val="21"/>
                    </w:rPr>
                    <w:t>)</w:t>
                  </w:r>
                </w:p>
              </w:tc>
              <w:tc>
                <w:tcPr>
                  <w:tcW w:w="784"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流速</w:t>
                  </w:r>
                </w:p>
                <w:p>
                  <w:pPr>
                    <w:jc w:val="center"/>
                    <w:rPr>
                      <w:rFonts w:ascii="Times New Roman" w:hAnsi="Times New Roman" w:cs="Times New Roman"/>
                      <w:sz w:val="21"/>
                      <w:szCs w:val="21"/>
                    </w:rPr>
                  </w:pPr>
                  <w:r>
                    <w:rPr>
                      <w:rFonts w:ascii="Times New Roman" w:hAnsi="Times New Roman" w:cs="Times New Roman"/>
                      <w:sz w:val="21"/>
                      <w:szCs w:val="21"/>
                    </w:rPr>
                    <w:t>(m/s)</w:t>
                  </w:r>
                </w:p>
              </w:tc>
              <w:tc>
                <w:tcPr>
                  <w:tcW w:w="720" w:type="dxa"/>
                  <w:vMerge w:val="continue"/>
                  <w:noWrap w:val="0"/>
                  <w:vAlign w:val="center"/>
                </w:tcPr>
                <w:p>
                  <w:pPr>
                    <w:jc w:val="center"/>
                    <w:rPr>
                      <w:rFonts w:ascii="Times New Roman" w:hAnsi="Times New Roman" w:cs="Times New Roman"/>
                      <w:sz w:val="21"/>
                      <w:szCs w:val="21"/>
                    </w:rPr>
                  </w:pPr>
                </w:p>
              </w:tc>
              <w:tc>
                <w:tcPr>
                  <w:tcW w:w="1082" w:type="dxa"/>
                  <w:vMerge w:val="continue"/>
                  <w:noWrap w:val="0"/>
                  <w:vAlign w:val="center"/>
                </w:tcPr>
                <w:p>
                  <w:pPr>
                    <w:jc w:val="center"/>
                    <w:rPr>
                      <w:rFonts w:ascii="Times New Roman" w:hAnsi="Times New Roman" w:cs="Times New Roman"/>
                      <w:sz w:val="21"/>
                      <w:szCs w:val="21"/>
                    </w:rPr>
                  </w:pPr>
                </w:p>
              </w:tc>
              <w:tc>
                <w:tcPr>
                  <w:tcW w:w="626" w:type="dxa"/>
                  <w:vMerge w:val="continue"/>
                  <w:noWrap w:val="0"/>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0" w:hRule="atLeast"/>
                <w:jc w:val="center"/>
              </w:trPr>
              <w:tc>
                <w:tcPr>
                  <w:tcW w:w="874" w:type="dxa"/>
                  <w:noWrap w:val="0"/>
                  <w:vAlign w:val="center"/>
                </w:tcPr>
                <w:p>
                  <w:pPr>
                    <w:jc w:val="center"/>
                    <w:rPr>
                      <w:rFonts w:hint="eastAsia" w:ascii="Times New Roman" w:hAnsi="Times New Roman" w:eastAsia="宋体" w:cs="Times New Roman"/>
                      <w:sz w:val="21"/>
                      <w:szCs w:val="21"/>
                      <w:lang w:val="en-US" w:eastAsia="zh-CN"/>
                    </w:rPr>
                  </w:pPr>
                  <w:r>
                    <w:t>点源1</w:t>
                  </w:r>
                </w:p>
              </w:tc>
              <w:tc>
                <w:tcPr>
                  <w:tcW w:w="1172" w:type="dxa"/>
                  <w:noWrap w:val="0"/>
                  <w:vAlign w:val="center"/>
                </w:tcPr>
                <w:p>
                  <w:pPr>
                    <w:jc w:val="center"/>
                    <w:rPr>
                      <w:rFonts w:ascii="Times New Roman" w:hAnsi="Times New Roman" w:cs="Times New Roman"/>
                      <w:sz w:val="21"/>
                      <w:szCs w:val="21"/>
                    </w:rPr>
                  </w:pPr>
                  <w:r>
                    <w:t>103.845639</w:t>
                  </w:r>
                </w:p>
              </w:tc>
              <w:tc>
                <w:tcPr>
                  <w:tcW w:w="1110" w:type="dxa"/>
                  <w:noWrap w:val="0"/>
                  <w:vAlign w:val="center"/>
                </w:tcPr>
                <w:p>
                  <w:pPr>
                    <w:jc w:val="center"/>
                    <w:rPr>
                      <w:rFonts w:ascii="Times New Roman" w:hAnsi="Times New Roman" w:cs="Times New Roman"/>
                      <w:sz w:val="21"/>
                      <w:szCs w:val="21"/>
                    </w:rPr>
                  </w:pPr>
                  <w:r>
                    <w:t>29.651753</w:t>
                  </w:r>
                </w:p>
              </w:tc>
              <w:tc>
                <w:tcPr>
                  <w:tcW w:w="765" w:type="dxa"/>
                  <w:noWrap w:val="0"/>
                  <w:vAlign w:val="center"/>
                </w:tcPr>
                <w:p>
                  <w:pPr>
                    <w:jc w:val="center"/>
                    <w:rPr>
                      <w:rFonts w:ascii="Times New Roman" w:hAnsi="Times New Roman" w:cs="Times New Roman"/>
                      <w:sz w:val="21"/>
                      <w:szCs w:val="21"/>
                    </w:rPr>
                  </w:pPr>
                  <w:r>
                    <w:t>397.0</w:t>
                  </w:r>
                </w:p>
              </w:tc>
              <w:tc>
                <w:tcPr>
                  <w:tcW w:w="675" w:type="dxa"/>
                  <w:noWrap w:val="0"/>
                  <w:vAlign w:val="center"/>
                </w:tcPr>
                <w:p>
                  <w:pPr>
                    <w:jc w:val="center"/>
                    <w:rPr>
                      <w:rFonts w:ascii="Times New Roman" w:hAnsi="Times New Roman" w:cs="Times New Roman"/>
                      <w:sz w:val="21"/>
                      <w:szCs w:val="21"/>
                    </w:rPr>
                  </w:pPr>
                  <w:r>
                    <w:t>15.0</w:t>
                  </w:r>
                </w:p>
              </w:tc>
              <w:tc>
                <w:tcPr>
                  <w:tcW w:w="705" w:type="dxa"/>
                  <w:noWrap w:val="0"/>
                  <w:vAlign w:val="center"/>
                </w:tcPr>
                <w:p>
                  <w:pPr>
                    <w:jc w:val="center"/>
                    <w:rPr>
                      <w:rFonts w:ascii="Times New Roman" w:hAnsi="Times New Roman" w:cs="Times New Roman"/>
                      <w:sz w:val="21"/>
                      <w:szCs w:val="21"/>
                    </w:rPr>
                  </w:pPr>
                  <w:r>
                    <w:t>0.2</w:t>
                  </w:r>
                </w:p>
              </w:tc>
              <w:tc>
                <w:tcPr>
                  <w:tcW w:w="690" w:type="dxa"/>
                  <w:noWrap w:val="0"/>
                  <w:vAlign w:val="center"/>
                </w:tcPr>
                <w:p>
                  <w:pPr>
                    <w:jc w:val="center"/>
                    <w:rPr>
                      <w:rFonts w:ascii="Times New Roman" w:hAnsi="Times New Roman" w:cs="Times New Roman"/>
                      <w:sz w:val="21"/>
                      <w:szCs w:val="21"/>
                    </w:rPr>
                  </w:pPr>
                  <w:r>
                    <w:t>21.85</w:t>
                  </w:r>
                </w:p>
              </w:tc>
              <w:tc>
                <w:tcPr>
                  <w:tcW w:w="784" w:type="dxa"/>
                  <w:noWrap w:val="0"/>
                  <w:vAlign w:val="center"/>
                </w:tcPr>
                <w:p>
                  <w:pPr>
                    <w:jc w:val="center"/>
                    <w:rPr>
                      <w:rFonts w:ascii="Times New Roman" w:hAnsi="Times New Roman" w:cs="Times New Roman"/>
                      <w:sz w:val="21"/>
                      <w:szCs w:val="21"/>
                    </w:rPr>
                  </w:pPr>
                  <w:r>
                    <w:t>11.0</w:t>
                  </w:r>
                </w:p>
              </w:tc>
              <w:tc>
                <w:tcPr>
                  <w:tcW w:w="720" w:type="dxa"/>
                  <w:noWrap w:val="0"/>
                  <w:vAlign w:val="center"/>
                </w:tcPr>
                <w:p>
                  <w:pPr>
                    <w:jc w:val="center"/>
                    <w:rPr>
                      <w:rFonts w:ascii="Times New Roman" w:hAnsi="Times New Roman" w:cs="Times New Roman"/>
                      <w:sz w:val="21"/>
                      <w:szCs w:val="21"/>
                    </w:rPr>
                  </w:pPr>
                  <w:r>
                    <w:t xml:space="preserve">NMHC  </w:t>
                  </w:r>
                </w:p>
              </w:tc>
              <w:tc>
                <w:tcPr>
                  <w:tcW w:w="1082" w:type="dxa"/>
                  <w:noWrap w:val="0"/>
                  <w:vAlign w:val="center"/>
                </w:tcPr>
                <w:p>
                  <w:pPr>
                    <w:jc w:val="center"/>
                    <w:rPr>
                      <w:rFonts w:ascii="Times New Roman" w:hAnsi="Times New Roman" w:cs="Times New Roman"/>
                      <w:sz w:val="21"/>
                      <w:szCs w:val="21"/>
                    </w:rPr>
                  </w:pPr>
                  <w:r>
                    <w:t xml:space="preserve">5.56E-4  </w:t>
                  </w:r>
                </w:p>
              </w:tc>
              <w:tc>
                <w:tcPr>
                  <w:tcW w:w="626" w:type="dxa"/>
                  <w:noWrap w:val="0"/>
                  <w:vAlign w:val="center"/>
                </w:tcPr>
                <w:p>
                  <w:pPr>
                    <w:jc w:val="center"/>
                    <w:rPr>
                      <w:rFonts w:ascii="Times New Roman" w:hAnsi="Times New Roman" w:cs="Times New Roman"/>
                      <w:sz w:val="21"/>
                      <w:szCs w:val="21"/>
                    </w:rPr>
                  </w:pPr>
                  <w:r>
                    <w:t>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874" w:type="dxa"/>
                  <w:vMerge w:val="restart"/>
                  <w:noWrap w:val="0"/>
                  <w:vAlign w:val="center"/>
                </w:tcPr>
                <w:p>
                  <w:pPr>
                    <w:jc w:val="center"/>
                    <w:rPr>
                      <w:rFonts w:ascii="Times New Roman" w:hAnsi="Times New Roman" w:cs="Times New Roman"/>
                      <w:sz w:val="21"/>
                      <w:szCs w:val="21"/>
                    </w:rPr>
                  </w:pPr>
                  <w:r>
                    <w:t>点源2</w:t>
                  </w:r>
                </w:p>
              </w:tc>
              <w:tc>
                <w:tcPr>
                  <w:tcW w:w="1172" w:type="dxa"/>
                  <w:vMerge w:val="restart"/>
                  <w:noWrap w:val="0"/>
                  <w:vAlign w:val="center"/>
                </w:tcPr>
                <w:p>
                  <w:pPr>
                    <w:jc w:val="center"/>
                    <w:rPr>
                      <w:rFonts w:ascii="Times New Roman" w:hAnsi="Times New Roman" w:cs="Times New Roman"/>
                      <w:sz w:val="21"/>
                      <w:szCs w:val="21"/>
                    </w:rPr>
                  </w:pPr>
                  <w:r>
                    <w:t>103.845597</w:t>
                  </w:r>
                </w:p>
              </w:tc>
              <w:tc>
                <w:tcPr>
                  <w:tcW w:w="1110" w:type="dxa"/>
                  <w:vMerge w:val="restart"/>
                  <w:noWrap w:val="0"/>
                  <w:vAlign w:val="center"/>
                </w:tcPr>
                <w:p>
                  <w:pPr>
                    <w:jc w:val="center"/>
                    <w:rPr>
                      <w:rFonts w:ascii="Times New Roman" w:hAnsi="Times New Roman" w:cs="Times New Roman"/>
                      <w:sz w:val="21"/>
                      <w:szCs w:val="21"/>
                    </w:rPr>
                  </w:pPr>
                  <w:r>
                    <w:t>29.651859</w:t>
                  </w:r>
                </w:p>
              </w:tc>
              <w:tc>
                <w:tcPr>
                  <w:tcW w:w="765" w:type="dxa"/>
                  <w:vMerge w:val="restart"/>
                  <w:noWrap w:val="0"/>
                  <w:vAlign w:val="center"/>
                </w:tcPr>
                <w:p>
                  <w:pPr>
                    <w:jc w:val="center"/>
                    <w:rPr>
                      <w:rFonts w:ascii="Times New Roman" w:hAnsi="Times New Roman" w:cs="Times New Roman"/>
                      <w:sz w:val="21"/>
                      <w:szCs w:val="21"/>
                    </w:rPr>
                  </w:pPr>
                  <w:r>
                    <w:t>397.0</w:t>
                  </w:r>
                </w:p>
              </w:tc>
              <w:tc>
                <w:tcPr>
                  <w:tcW w:w="675" w:type="dxa"/>
                  <w:vMerge w:val="restart"/>
                  <w:noWrap w:val="0"/>
                  <w:vAlign w:val="center"/>
                </w:tcPr>
                <w:p>
                  <w:pPr>
                    <w:jc w:val="center"/>
                    <w:rPr>
                      <w:rFonts w:ascii="Times New Roman" w:hAnsi="Times New Roman" w:cs="Times New Roman"/>
                      <w:sz w:val="21"/>
                      <w:szCs w:val="21"/>
                    </w:rPr>
                  </w:pPr>
                  <w:r>
                    <w:t>8.0</w:t>
                  </w:r>
                </w:p>
              </w:tc>
              <w:tc>
                <w:tcPr>
                  <w:tcW w:w="705" w:type="dxa"/>
                  <w:vMerge w:val="restart"/>
                  <w:noWrap w:val="0"/>
                  <w:vAlign w:val="center"/>
                </w:tcPr>
                <w:p>
                  <w:pPr>
                    <w:jc w:val="center"/>
                    <w:rPr>
                      <w:rFonts w:ascii="Times New Roman" w:hAnsi="Times New Roman" w:cs="Times New Roman"/>
                      <w:sz w:val="21"/>
                      <w:szCs w:val="21"/>
                    </w:rPr>
                  </w:pPr>
                  <w:r>
                    <w:t>0.2</w:t>
                  </w:r>
                </w:p>
              </w:tc>
              <w:tc>
                <w:tcPr>
                  <w:tcW w:w="690" w:type="dxa"/>
                  <w:vMerge w:val="restart"/>
                  <w:noWrap w:val="0"/>
                  <w:vAlign w:val="center"/>
                </w:tcPr>
                <w:p>
                  <w:pPr>
                    <w:jc w:val="center"/>
                    <w:rPr>
                      <w:rFonts w:ascii="Times New Roman" w:hAnsi="Times New Roman" w:cs="Times New Roman"/>
                      <w:sz w:val="21"/>
                      <w:szCs w:val="21"/>
                    </w:rPr>
                  </w:pPr>
                  <w:r>
                    <w:t>76.85</w:t>
                  </w:r>
                </w:p>
              </w:tc>
              <w:tc>
                <w:tcPr>
                  <w:tcW w:w="784" w:type="dxa"/>
                  <w:vMerge w:val="restart"/>
                  <w:noWrap w:val="0"/>
                  <w:vAlign w:val="center"/>
                </w:tcPr>
                <w:p>
                  <w:pPr>
                    <w:jc w:val="center"/>
                    <w:rPr>
                      <w:rFonts w:ascii="Times New Roman" w:hAnsi="Times New Roman" w:cs="Times New Roman"/>
                      <w:sz w:val="21"/>
                      <w:szCs w:val="21"/>
                    </w:rPr>
                  </w:pPr>
                  <w:r>
                    <w:t>11.0</w:t>
                  </w:r>
                </w:p>
              </w:tc>
              <w:tc>
                <w:tcPr>
                  <w:tcW w:w="720" w:type="dxa"/>
                  <w:noWrap w:val="0"/>
                  <w:vAlign w:val="center"/>
                </w:tcPr>
                <w:p>
                  <w:pPr>
                    <w:jc w:val="center"/>
                    <w:rPr>
                      <w:rFonts w:ascii="Times New Roman" w:hAnsi="Times New Roman" w:cs="Times New Roman"/>
                      <w:sz w:val="21"/>
                      <w:szCs w:val="21"/>
                    </w:rPr>
                  </w:pPr>
                  <w:r>
                    <w:t>SO</w:t>
                  </w:r>
                  <w:r>
                    <w:rPr>
                      <w:vertAlign w:val="subscript"/>
                    </w:rPr>
                    <w:t>2</w:t>
                  </w:r>
                  <w:r>
                    <w:t xml:space="preserve">  </w:t>
                  </w:r>
                  <w:r>
                    <w:rPr>
                      <w:rFonts w:hint="eastAsia"/>
                      <w:lang w:val="en-US" w:eastAsia="zh-CN"/>
                    </w:rPr>
                    <w:t xml:space="preserve"> </w:t>
                  </w:r>
                  <w:r>
                    <w:t xml:space="preserve">  </w:t>
                  </w:r>
                </w:p>
              </w:tc>
              <w:tc>
                <w:tcPr>
                  <w:tcW w:w="1082" w:type="dxa"/>
                  <w:noWrap w:val="0"/>
                  <w:vAlign w:val="center"/>
                </w:tcPr>
                <w:p>
                  <w:pPr>
                    <w:jc w:val="center"/>
                    <w:rPr>
                      <w:rFonts w:ascii="Times New Roman" w:hAnsi="Times New Roman" w:cs="Times New Roman"/>
                      <w:sz w:val="21"/>
                      <w:szCs w:val="21"/>
                    </w:rPr>
                  </w:pPr>
                  <w:r>
                    <w:t xml:space="preserve">1.11E-4    </w:t>
                  </w:r>
                </w:p>
              </w:tc>
              <w:tc>
                <w:tcPr>
                  <w:tcW w:w="626" w:type="dxa"/>
                  <w:vMerge w:val="restart"/>
                  <w:noWrap w:val="0"/>
                  <w:vAlign w:val="center"/>
                </w:tcPr>
                <w:p>
                  <w:pPr>
                    <w:jc w:val="center"/>
                    <w:rPr>
                      <w:rFonts w:ascii="Times New Roman" w:hAnsi="Times New Roman" w:cs="Times New Roman"/>
                      <w:sz w:val="21"/>
                      <w:szCs w:val="21"/>
                    </w:rPr>
                  </w:pPr>
                  <w:r>
                    <w:t>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874" w:type="dxa"/>
                  <w:vMerge w:val="continue"/>
                  <w:noWrap w:val="0"/>
                  <w:vAlign w:val="center"/>
                </w:tcPr>
                <w:p>
                  <w:pPr>
                    <w:jc w:val="center"/>
                  </w:pPr>
                </w:p>
              </w:tc>
              <w:tc>
                <w:tcPr>
                  <w:tcW w:w="1172" w:type="dxa"/>
                  <w:vMerge w:val="continue"/>
                  <w:noWrap w:val="0"/>
                  <w:vAlign w:val="center"/>
                </w:tcPr>
                <w:p>
                  <w:pPr>
                    <w:jc w:val="center"/>
                  </w:pPr>
                </w:p>
              </w:tc>
              <w:tc>
                <w:tcPr>
                  <w:tcW w:w="1110" w:type="dxa"/>
                  <w:vMerge w:val="continue"/>
                  <w:noWrap w:val="0"/>
                  <w:vAlign w:val="center"/>
                </w:tcPr>
                <w:p>
                  <w:pPr>
                    <w:jc w:val="center"/>
                  </w:pPr>
                </w:p>
              </w:tc>
              <w:tc>
                <w:tcPr>
                  <w:tcW w:w="765" w:type="dxa"/>
                  <w:vMerge w:val="continue"/>
                  <w:noWrap w:val="0"/>
                  <w:vAlign w:val="center"/>
                </w:tcPr>
                <w:p>
                  <w:pPr>
                    <w:jc w:val="center"/>
                  </w:pPr>
                </w:p>
              </w:tc>
              <w:tc>
                <w:tcPr>
                  <w:tcW w:w="675" w:type="dxa"/>
                  <w:vMerge w:val="continue"/>
                  <w:noWrap w:val="0"/>
                  <w:vAlign w:val="center"/>
                </w:tcPr>
                <w:p>
                  <w:pPr>
                    <w:jc w:val="center"/>
                  </w:pPr>
                </w:p>
              </w:tc>
              <w:tc>
                <w:tcPr>
                  <w:tcW w:w="705" w:type="dxa"/>
                  <w:vMerge w:val="continue"/>
                  <w:noWrap w:val="0"/>
                  <w:vAlign w:val="center"/>
                </w:tcPr>
                <w:p>
                  <w:pPr>
                    <w:jc w:val="center"/>
                  </w:pPr>
                </w:p>
              </w:tc>
              <w:tc>
                <w:tcPr>
                  <w:tcW w:w="690" w:type="dxa"/>
                  <w:vMerge w:val="continue"/>
                  <w:noWrap w:val="0"/>
                  <w:vAlign w:val="center"/>
                </w:tcPr>
                <w:p>
                  <w:pPr>
                    <w:jc w:val="center"/>
                  </w:pPr>
                </w:p>
              </w:tc>
              <w:tc>
                <w:tcPr>
                  <w:tcW w:w="784" w:type="dxa"/>
                  <w:vMerge w:val="continue"/>
                  <w:noWrap w:val="0"/>
                  <w:vAlign w:val="center"/>
                </w:tcPr>
                <w:p>
                  <w:pPr>
                    <w:jc w:val="center"/>
                  </w:pPr>
                </w:p>
              </w:tc>
              <w:tc>
                <w:tcPr>
                  <w:tcW w:w="720" w:type="dxa"/>
                  <w:noWrap w:val="0"/>
                  <w:vAlign w:val="center"/>
                </w:tcPr>
                <w:p>
                  <w:pPr>
                    <w:jc w:val="center"/>
                  </w:pPr>
                  <w:r>
                    <w:t>NO</w:t>
                  </w:r>
                  <w:r>
                    <w:rPr>
                      <w:vertAlign w:val="subscript"/>
                    </w:rPr>
                    <w:t>2</w:t>
                  </w:r>
                </w:p>
              </w:tc>
              <w:tc>
                <w:tcPr>
                  <w:tcW w:w="1082" w:type="dxa"/>
                  <w:noWrap w:val="0"/>
                  <w:vAlign w:val="center"/>
                </w:tcPr>
                <w:p>
                  <w:pPr>
                    <w:jc w:val="center"/>
                  </w:pPr>
                  <w:r>
                    <w:t xml:space="preserve">6.94E-4 </w:t>
                  </w:r>
                </w:p>
              </w:tc>
              <w:tc>
                <w:tcPr>
                  <w:tcW w:w="626" w:type="dxa"/>
                  <w:vMerge w:val="continue"/>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3" w:hRule="atLeast"/>
                <w:jc w:val="center"/>
              </w:trPr>
              <w:tc>
                <w:tcPr>
                  <w:tcW w:w="874" w:type="dxa"/>
                  <w:vMerge w:val="continue"/>
                  <w:noWrap w:val="0"/>
                  <w:vAlign w:val="center"/>
                </w:tcPr>
                <w:p>
                  <w:pPr>
                    <w:jc w:val="center"/>
                  </w:pPr>
                </w:p>
              </w:tc>
              <w:tc>
                <w:tcPr>
                  <w:tcW w:w="1172" w:type="dxa"/>
                  <w:vMerge w:val="continue"/>
                  <w:noWrap w:val="0"/>
                  <w:vAlign w:val="center"/>
                </w:tcPr>
                <w:p>
                  <w:pPr>
                    <w:jc w:val="center"/>
                  </w:pPr>
                </w:p>
              </w:tc>
              <w:tc>
                <w:tcPr>
                  <w:tcW w:w="1110" w:type="dxa"/>
                  <w:vMerge w:val="continue"/>
                  <w:noWrap w:val="0"/>
                  <w:vAlign w:val="center"/>
                </w:tcPr>
                <w:p>
                  <w:pPr>
                    <w:jc w:val="center"/>
                  </w:pPr>
                </w:p>
              </w:tc>
              <w:tc>
                <w:tcPr>
                  <w:tcW w:w="765" w:type="dxa"/>
                  <w:vMerge w:val="continue"/>
                  <w:noWrap w:val="0"/>
                  <w:vAlign w:val="center"/>
                </w:tcPr>
                <w:p>
                  <w:pPr>
                    <w:jc w:val="center"/>
                  </w:pPr>
                </w:p>
              </w:tc>
              <w:tc>
                <w:tcPr>
                  <w:tcW w:w="675" w:type="dxa"/>
                  <w:vMerge w:val="continue"/>
                  <w:noWrap w:val="0"/>
                  <w:vAlign w:val="center"/>
                </w:tcPr>
                <w:p>
                  <w:pPr>
                    <w:jc w:val="center"/>
                  </w:pPr>
                </w:p>
              </w:tc>
              <w:tc>
                <w:tcPr>
                  <w:tcW w:w="705" w:type="dxa"/>
                  <w:vMerge w:val="continue"/>
                  <w:noWrap w:val="0"/>
                  <w:vAlign w:val="center"/>
                </w:tcPr>
                <w:p>
                  <w:pPr>
                    <w:jc w:val="center"/>
                  </w:pPr>
                </w:p>
              </w:tc>
              <w:tc>
                <w:tcPr>
                  <w:tcW w:w="690" w:type="dxa"/>
                  <w:vMerge w:val="continue"/>
                  <w:noWrap w:val="0"/>
                  <w:vAlign w:val="center"/>
                </w:tcPr>
                <w:p>
                  <w:pPr>
                    <w:jc w:val="center"/>
                  </w:pPr>
                </w:p>
              </w:tc>
              <w:tc>
                <w:tcPr>
                  <w:tcW w:w="784" w:type="dxa"/>
                  <w:vMerge w:val="continue"/>
                  <w:noWrap w:val="0"/>
                  <w:vAlign w:val="center"/>
                </w:tcPr>
                <w:p>
                  <w:pPr>
                    <w:jc w:val="center"/>
                  </w:pPr>
                </w:p>
              </w:tc>
              <w:tc>
                <w:tcPr>
                  <w:tcW w:w="720" w:type="dxa"/>
                  <w:noWrap w:val="0"/>
                  <w:vAlign w:val="center"/>
                </w:tcPr>
                <w:p>
                  <w:pPr>
                    <w:jc w:val="center"/>
                  </w:pPr>
                  <w:r>
                    <w:rPr>
                      <w:rFonts w:hint="eastAsia"/>
                      <w:lang w:val="en-US" w:eastAsia="zh-CN"/>
                    </w:rPr>
                    <w:t>TSP</w:t>
                  </w:r>
                  <w:r>
                    <w:t>
</w:t>
                  </w:r>
                </w:p>
              </w:tc>
              <w:tc>
                <w:tcPr>
                  <w:tcW w:w="1082" w:type="dxa"/>
                  <w:noWrap w:val="0"/>
                  <w:vAlign w:val="center"/>
                </w:tcPr>
                <w:p>
                  <w:pPr>
                    <w:jc w:val="center"/>
                  </w:pPr>
                  <w:r>
                    <w:t xml:space="preserve">2.65E-4 </w:t>
                  </w:r>
                </w:p>
              </w:tc>
              <w:tc>
                <w:tcPr>
                  <w:tcW w:w="626" w:type="dxa"/>
                  <w:vMerge w:val="continue"/>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874" w:type="dxa"/>
                  <w:vMerge w:val="restart"/>
                  <w:noWrap w:val="0"/>
                  <w:vAlign w:val="center"/>
                </w:tcPr>
                <w:p>
                  <w:pPr>
                    <w:jc w:val="center"/>
                    <w:rPr>
                      <w:rFonts w:ascii="Times New Roman" w:hAnsi="Times New Roman" w:cs="Times New Roman"/>
                      <w:sz w:val="21"/>
                      <w:szCs w:val="21"/>
                    </w:rPr>
                  </w:pPr>
                  <w:r>
                    <w:t>点源3</w:t>
                  </w:r>
                </w:p>
              </w:tc>
              <w:tc>
                <w:tcPr>
                  <w:tcW w:w="1172" w:type="dxa"/>
                  <w:vMerge w:val="restart"/>
                  <w:noWrap w:val="0"/>
                  <w:vAlign w:val="center"/>
                </w:tcPr>
                <w:p>
                  <w:pPr>
                    <w:jc w:val="center"/>
                    <w:rPr>
                      <w:rFonts w:ascii="Times New Roman" w:hAnsi="Times New Roman" w:cs="Times New Roman"/>
                      <w:sz w:val="21"/>
                      <w:szCs w:val="21"/>
                    </w:rPr>
                  </w:pPr>
                  <w:r>
                    <w:t>103.845572</w:t>
                  </w:r>
                </w:p>
              </w:tc>
              <w:tc>
                <w:tcPr>
                  <w:tcW w:w="1110" w:type="dxa"/>
                  <w:vMerge w:val="restart"/>
                  <w:noWrap w:val="0"/>
                  <w:vAlign w:val="center"/>
                </w:tcPr>
                <w:p>
                  <w:pPr>
                    <w:jc w:val="center"/>
                    <w:rPr>
                      <w:rFonts w:ascii="Times New Roman" w:hAnsi="Times New Roman" w:cs="Times New Roman"/>
                      <w:sz w:val="21"/>
                      <w:szCs w:val="21"/>
                    </w:rPr>
                  </w:pPr>
                  <w:r>
                    <w:t>29.651902</w:t>
                  </w:r>
                </w:p>
              </w:tc>
              <w:tc>
                <w:tcPr>
                  <w:tcW w:w="765" w:type="dxa"/>
                  <w:vMerge w:val="restart"/>
                  <w:noWrap w:val="0"/>
                  <w:vAlign w:val="center"/>
                </w:tcPr>
                <w:p>
                  <w:pPr>
                    <w:jc w:val="center"/>
                    <w:rPr>
                      <w:rFonts w:ascii="Times New Roman" w:hAnsi="Times New Roman" w:cs="Times New Roman"/>
                      <w:sz w:val="21"/>
                      <w:szCs w:val="21"/>
                    </w:rPr>
                  </w:pPr>
                  <w:r>
                    <w:t>397.0</w:t>
                  </w:r>
                </w:p>
              </w:tc>
              <w:tc>
                <w:tcPr>
                  <w:tcW w:w="675" w:type="dxa"/>
                  <w:vMerge w:val="restart"/>
                  <w:noWrap w:val="0"/>
                  <w:vAlign w:val="center"/>
                </w:tcPr>
                <w:p>
                  <w:pPr>
                    <w:jc w:val="center"/>
                    <w:rPr>
                      <w:rFonts w:ascii="Times New Roman" w:hAnsi="Times New Roman" w:cs="Times New Roman"/>
                      <w:sz w:val="21"/>
                      <w:szCs w:val="21"/>
                    </w:rPr>
                  </w:pPr>
                  <w:r>
                    <w:t>8.0</w:t>
                  </w:r>
                </w:p>
              </w:tc>
              <w:tc>
                <w:tcPr>
                  <w:tcW w:w="705" w:type="dxa"/>
                  <w:vMerge w:val="restart"/>
                  <w:noWrap w:val="0"/>
                  <w:vAlign w:val="center"/>
                </w:tcPr>
                <w:p>
                  <w:pPr>
                    <w:jc w:val="center"/>
                    <w:rPr>
                      <w:rFonts w:ascii="Times New Roman" w:hAnsi="Times New Roman" w:cs="Times New Roman"/>
                      <w:sz w:val="21"/>
                      <w:szCs w:val="21"/>
                    </w:rPr>
                  </w:pPr>
                  <w:r>
                    <w:t>0.2</w:t>
                  </w:r>
                </w:p>
              </w:tc>
              <w:tc>
                <w:tcPr>
                  <w:tcW w:w="690" w:type="dxa"/>
                  <w:vMerge w:val="restart"/>
                  <w:noWrap w:val="0"/>
                  <w:vAlign w:val="center"/>
                </w:tcPr>
                <w:p>
                  <w:pPr>
                    <w:jc w:val="center"/>
                    <w:rPr>
                      <w:rFonts w:ascii="Times New Roman" w:hAnsi="Times New Roman" w:cs="Times New Roman"/>
                      <w:sz w:val="21"/>
                      <w:szCs w:val="21"/>
                    </w:rPr>
                  </w:pPr>
                  <w:r>
                    <w:t>76.85</w:t>
                  </w:r>
                </w:p>
              </w:tc>
              <w:tc>
                <w:tcPr>
                  <w:tcW w:w="784" w:type="dxa"/>
                  <w:vMerge w:val="restart"/>
                  <w:noWrap w:val="0"/>
                  <w:vAlign w:val="center"/>
                </w:tcPr>
                <w:p>
                  <w:pPr>
                    <w:jc w:val="center"/>
                    <w:rPr>
                      <w:rFonts w:ascii="Times New Roman" w:hAnsi="Times New Roman" w:cs="Times New Roman"/>
                      <w:sz w:val="21"/>
                      <w:szCs w:val="21"/>
                    </w:rPr>
                  </w:pPr>
                  <w:r>
                    <w:t>11.0</w:t>
                  </w:r>
                </w:p>
              </w:tc>
              <w:tc>
                <w:tcPr>
                  <w:tcW w:w="720" w:type="dxa"/>
                  <w:noWrap w:val="0"/>
                  <w:vAlign w:val="center"/>
                </w:tcPr>
                <w:p>
                  <w:pPr>
                    <w:jc w:val="center"/>
                    <w:rPr>
                      <w:rFonts w:ascii="Times New Roman" w:hAnsi="Times New Roman" w:cs="Times New Roman"/>
                      <w:sz w:val="21"/>
                      <w:szCs w:val="21"/>
                    </w:rPr>
                  </w:pPr>
                  <w:r>
                    <w:t>SO</w:t>
                  </w:r>
                  <w:r>
                    <w:rPr>
                      <w:vertAlign w:val="subscript"/>
                    </w:rPr>
                    <w:t xml:space="preserve">2 </w:t>
                  </w:r>
                  <w:r>
                    <w:t xml:space="preserve">   </w:t>
                  </w:r>
                  <w:r>
                    <w:rPr>
                      <w:rFonts w:hint="eastAsia"/>
                      <w:lang w:val="en-US" w:eastAsia="zh-CN"/>
                    </w:rPr>
                    <w:t xml:space="preserve">    </w:t>
                  </w:r>
                  <w:r>
                    <w:t xml:space="preserve"> </w:t>
                  </w:r>
                </w:p>
              </w:tc>
              <w:tc>
                <w:tcPr>
                  <w:tcW w:w="1082" w:type="dxa"/>
                  <w:noWrap w:val="0"/>
                  <w:vAlign w:val="center"/>
                </w:tcPr>
                <w:p>
                  <w:pPr>
                    <w:jc w:val="center"/>
                    <w:rPr>
                      <w:rFonts w:ascii="Times New Roman" w:hAnsi="Times New Roman" w:cs="Times New Roman"/>
                      <w:sz w:val="21"/>
                      <w:szCs w:val="21"/>
                    </w:rPr>
                  </w:pPr>
                  <w:r>
                    <w:t xml:space="preserve">1.11E-4     </w:t>
                  </w:r>
                </w:p>
              </w:tc>
              <w:tc>
                <w:tcPr>
                  <w:tcW w:w="626" w:type="dxa"/>
                  <w:vMerge w:val="restart"/>
                  <w:noWrap w:val="0"/>
                  <w:vAlign w:val="center"/>
                </w:tcPr>
                <w:p>
                  <w:pPr>
                    <w:jc w:val="center"/>
                    <w:rPr>
                      <w:rFonts w:ascii="Times New Roman" w:hAnsi="Times New Roman" w:cs="Times New Roman"/>
                      <w:sz w:val="21"/>
                      <w:szCs w:val="21"/>
                    </w:rPr>
                  </w:pPr>
                  <w:r>
                    <w:t>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74" w:type="dxa"/>
                  <w:vMerge w:val="continue"/>
                  <w:noWrap w:val="0"/>
                  <w:vAlign w:val="center"/>
                </w:tcPr>
                <w:p>
                  <w:pPr>
                    <w:jc w:val="center"/>
                  </w:pPr>
                </w:p>
              </w:tc>
              <w:tc>
                <w:tcPr>
                  <w:tcW w:w="1172" w:type="dxa"/>
                  <w:vMerge w:val="continue"/>
                  <w:noWrap w:val="0"/>
                  <w:vAlign w:val="center"/>
                </w:tcPr>
                <w:p>
                  <w:pPr>
                    <w:jc w:val="center"/>
                  </w:pPr>
                </w:p>
              </w:tc>
              <w:tc>
                <w:tcPr>
                  <w:tcW w:w="1110" w:type="dxa"/>
                  <w:vMerge w:val="continue"/>
                  <w:noWrap w:val="0"/>
                  <w:vAlign w:val="center"/>
                </w:tcPr>
                <w:p>
                  <w:pPr>
                    <w:jc w:val="center"/>
                  </w:pPr>
                </w:p>
              </w:tc>
              <w:tc>
                <w:tcPr>
                  <w:tcW w:w="765" w:type="dxa"/>
                  <w:vMerge w:val="continue"/>
                  <w:noWrap w:val="0"/>
                  <w:vAlign w:val="center"/>
                </w:tcPr>
                <w:p>
                  <w:pPr>
                    <w:jc w:val="center"/>
                  </w:pPr>
                </w:p>
              </w:tc>
              <w:tc>
                <w:tcPr>
                  <w:tcW w:w="675" w:type="dxa"/>
                  <w:vMerge w:val="continue"/>
                  <w:noWrap w:val="0"/>
                  <w:vAlign w:val="center"/>
                </w:tcPr>
                <w:p>
                  <w:pPr>
                    <w:jc w:val="center"/>
                  </w:pPr>
                </w:p>
              </w:tc>
              <w:tc>
                <w:tcPr>
                  <w:tcW w:w="705" w:type="dxa"/>
                  <w:vMerge w:val="continue"/>
                  <w:noWrap w:val="0"/>
                  <w:vAlign w:val="center"/>
                </w:tcPr>
                <w:p>
                  <w:pPr>
                    <w:jc w:val="center"/>
                  </w:pPr>
                </w:p>
              </w:tc>
              <w:tc>
                <w:tcPr>
                  <w:tcW w:w="690" w:type="dxa"/>
                  <w:vMerge w:val="continue"/>
                  <w:noWrap w:val="0"/>
                  <w:vAlign w:val="center"/>
                </w:tcPr>
                <w:p>
                  <w:pPr>
                    <w:jc w:val="center"/>
                  </w:pPr>
                </w:p>
              </w:tc>
              <w:tc>
                <w:tcPr>
                  <w:tcW w:w="784" w:type="dxa"/>
                  <w:vMerge w:val="continue"/>
                  <w:noWrap w:val="0"/>
                  <w:vAlign w:val="center"/>
                </w:tcPr>
                <w:p>
                  <w:pPr>
                    <w:jc w:val="center"/>
                  </w:pPr>
                </w:p>
              </w:tc>
              <w:tc>
                <w:tcPr>
                  <w:tcW w:w="720" w:type="dxa"/>
                  <w:noWrap w:val="0"/>
                  <w:vAlign w:val="center"/>
                </w:tcPr>
                <w:p>
                  <w:pPr>
                    <w:jc w:val="center"/>
                  </w:pPr>
                  <w:r>
                    <w:t>NO</w:t>
                  </w:r>
                  <w:r>
                    <w:rPr>
                      <w:vertAlign w:val="subscript"/>
                    </w:rPr>
                    <w:t>2</w:t>
                  </w:r>
                </w:p>
              </w:tc>
              <w:tc>
                <w:tcPr>
                  <w:tcW w:w="1082" w:type="dxa"/>
                  <w:noWrap w:val="0"/>
                  <w:vAlign w:val="center"/>
                </w:tcPr>
                <w:p>
                  <w:pPr>
                    <w:jc w:val="center"/>
                  </w:pPr>
                  <w:r>
                    <w:t xml:space="preserve">6.94E-4 </w:t>
                  </w:r>
                </w:p>
              </w:tc>
              <w:tc>
                <w:tcPr>
                  <w:tcW w:w="626" w:type="dxa"/>
                  <w:vMerge w:val="continue"/>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1" w:hRule="atLeast"/>
                <w:jc w:val="center"/>
              </w:trPr>
              <w:tc>
                <w:tcPr>
                  <w:tcW w:w="874" w:type="dxa"/>
                  <w:vMerge w:val="continue"/>
                  <w:noWrap w:val="0"/>
                  <w:vAlign w:val="center"/>
                </w:tcPr>
                <w:p>
                  <w:pPr>
                    <w:jc w:val="center"/>
                  </w:pPr>
                </w:p>
              </w:tc>
              <w:tc>
                <w:tcPr>
                  <w:tcW w:w="1172" w:type="dxa"/>
                  <w:vMerge w:val="continue"/>
                  <w:noWrap w:val="0"/>
                  <w:vAlign w:val="center"/>
                </w:tcPr>
                <w:p>
                  <w:pPr>
                    <w:jc w:val="center"/>
                  </w:pPr>
                </w:p>
              </w:tc>
              <w:tc>
                <w:tcPr>
                  <w:tcW w:w="1110" w:type="dxa"/>
                  <w:vMerge w:val="continue"/>
                  <w:noWrap w:val="0"/>
                  <w:vAlign w:val="center"/>
                </w:tcPr>
                <w:p>
                  <w:pPr>
                    <w:jc w:val="center"/>
                  </w:pPr>
                </w:p>
              </w:tc>
              <w:tc>
                <w:tcPr>
                  <w:tcW w:w="765" w:type="dxa"/>
                  <w:vMerge w:val="continue"/>
                  <w:noWrap w:val="0"/>
                  <w:vAlign w:val="center"/>
                </w:tcPr>
                <w:p>
                  <w:pPr>
                    <w:jc w:val="center"/>
                  </w:pPr>
                </w:p>
              </w:tc>
              <w:tc>
                <w:tcPr>
                  <w:tcW w:w="675" w:type="dxa"/>
                  <w:vMerge w:val="continue"/>
                  <w:noWrap w:val="0"/>
                  <w:vAlign w:val="center"/>
                </w:tcPr>
                <w:p>
                  <w:pPr>
                    <w:jc w:val="center"/>
                  </w:pPr>
                </w:p>
              </w:tc>
              <w:tc>
                <w:tcPr>
                  <w:tcW w:w="705" w:type="dxa"/>
                  <w:vMerge w:val="continue"/>
                  <w:noWrap w:val="0"/>
                  <w:vAlign w:val="center"/>
                </w:tcPr>
                <w:p>
                  <w:pPr>
                    <w:jc w:val="center"/>
                  </w:pPr>
                </w:p>
              </w:tc>
              <w:tc>
                <w:tcPr>
                  <w:tcW w:w="690" w:type="dxa"/>
                  <w:vMerge w:val="continue"/>
                  <w:noWrap w:val="0"/>
                  <w:vAlign w:val="center"/>
                </w:tcPr>
                <w:p>
                  <w:pPr>
                    <w:jc w:val="center"/>
                  </w:pPr>
                </w:p>
              </w:tc>
              <w:tc>
                <w:tcPr>
                  <w:tcW w:w="784" w:type="dxa"/>
                  <w:vMerge w:val="continue"/>
                  <w:noWrap w:val="0"/>
                  <w:vAlign w:val="center"/>
                </w:tcPr>
                <w:p>
                  <w:pPr>
                    <w:jc w:val="center"/>
                  </w:pPr>
                </w:p>
              </w:tc>
              <w:tc>
                <w:tcPr>
                  <w:tcW w:w="720" w:type="dxa"/>
                  <w:noWrap w:val="0"/>
                  <w:vAlign w:val="center"/>
                </w:tcPr>
                <w:p>
                  <w:pPr>
                    <w:jc w:val="center"/>
                  </w:pPr>
                  <w:r>
                    <w:t>TSP</w:t>
                  </w:r>
                </w:p>
              </w:tc>
              <w:tc>
                <w:tcPr>
                  <w:tcW w:w="1082" w:type="dxa"/>
                  <w:noWrap w:val="0"/>
                  <w:vAlign w:val="center"/>
                </w:tcPr>
                <w:p>
                  <w:pPr>
                    <w:jc w:val="center"/>
                  </w:pPr>
                  <w:r>
                    <w:t>2.65E-4</w:t>
                  </w:r>
                </w:p>
              </w:tc>
              <w:tc>
                <w:tcPr>
                  <w:tcW w:w="626" w:type="dxa"/>
                  <w:vMerge w:val="continue"/>
                  <w:noWrap w:val="0"/>
                  <w:vAlign w:val="center"/>
                </w:tcPr>
                <w:p>
                  <w:pPr>
                    <w:jc w:val="center"/>
                  </w:pPr>
                </w:p>
              </w:tc>
            </w:tr>
          </w:tbl>
          <w:p>
            <w:pPr>
              <w:spacing w:line="480" w:lineRule="exact"/>
              <w:ind w:firstLine="422" w:firstLineChars="176"/>
              <w:jc w:val="left"/>
              <w:rPr>
                <w:rFonts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lang w:eastAsia="zh-CN"/>
              </w:rPr>
              <w:t>）</w:t>
            </w:r>
            <w:r>
              <w:rPr>
                <w:rFonts w:ascii="Times New Roman" w:hAnsi="Times New Roman" w:cs="Times New Roman"/>
                <w:sz w:val="24"/>
                <w:szCs w:val="24"/>
              </w:rPr>
              <w:t>项目参数</w:t>
            </w:r>
          </w:p>
          <w:p>
            <w:pPr>
              <w:spacing w:line="480" w:lineRule="exact"/>
              <w:ind w:firstLine="422" w:firstLineChars="176"/>
              <w:jc w:val="left"/>
              <w:rPr>
                <w:rFonts w:ascii="Times New Roman" w:hAnsi="Times New Roman" w:cs="Times New Roman"/>
                <w:sz w:val="24"/>
                <w:szCs w:val="24"/>
              </w:rPr>
            </w:pPr>
            <w:r>
              <w:rPr>
                <w:rFonts w:ascii="Times New Roman" w:hAnsi="Times New Roman" w:cs="Times New Roman"/>
                <w:sz w:val="24"/>
                <w:szCs w:val="24"/>
              </w:rPr>
              <w:t>估算模式所用参数见表。</w:t>
            </w:r>
          </w:p>
          <w:p>
            <w:pPr>
              <w:spacing w:line="480" w:lineRule="exact"/>
              <w:ind w:firstLine="371" w:firstLineChars="176"/>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表7-4 估算模型参数表</w:t>
            </w:r>
          </w:p>
          <w:tbl>
            <w:tblPr>
              <w:tblStyle w:val="70"/>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2554"/>
              <w:gridCol w:w="4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4725" w:type="dxa"/>
                  <w:gridSpan w:val="2"/>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参数</w:t>
                  </w:r>
                </w:p>
              </w:tc>
              <w:tc>
                <w:tcPr>
                  <w:tcW w:w="4561"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2171" w:type="dxa"/>
                  <w:vMerge w:val="restart"/>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城市农村/选项</w:t>
                  </w:r>
                </w:p>
              </w:tc>
              <w:tc>
                <w:tcPr>
                  <w:tcW w:w="2554"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城市/农村</w:t>
                  </w:r>
                </w:p>
              </w:tc>
              <w:tc>
                <w:tcPr>
                  <w:tcW w:w="4561"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2171" w:type="dxa"/>
                  <w:vMerge w:val="continue"/>
                  <w:noWrap w:val="0"/>
                  <w:vAlign w:val="center"/>
                </w:tcPr>
                <w:p>
                  <w:pPr>
                    <w:jc w:val="center"/>
                    <w:rPr>
                      <w:rFonts w:ascii="Times New Roman" w:hAnsi="Times New Roman" w:cs="Times New Roman"/>
                      <w:sz w:val="21"/>
                      <w:szCs w:val="21"/>
                    </w:rPr>
                  </w:pPr>
                </w:p>
              </w:tc>
              <w:tc>
                <w:tcPr>
                  <w:tcW w:w="2554"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人口数(城市人口数)</w:t>
                  </w:r>
                </w:p>
              </w:tc>
              <w:tc>
                <w:tcPr>
                  <w:tcW w:w="4561"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4725" w:type="dxa"/>
                  <w:gridSpan w:val="2"/>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最高环境温度</w:t>
                  </w:r>
                </w:p>
              </w:tc>
              <w:tc>
                <w:tcPr>
                  <w:tcW w:w="4561"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4725" w:type="dxa"/>
                  <w:gridSpan w:val="2"/>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最低环境温度</w:t>
                  </w:r>
                </w:p>
              </w:tc>
              <w:tc>
                <w:tcPr>
                  <w:tcW w:w="4561"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0.0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4725" w:type="dxa"/>
                  <w:gridSpan w:val="2"/>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土地利用类型</w:t>
                  </w:r>
                </w:p>
              </w:tc>
              <w:tc>
                <w:tcPr>
                  <w:tcW w:w="4561"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725" w:type="dxa"/>
                  <w:gridSpan w:val="2"/>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区域湿度条件</w:t>
                  </w:r>
                </w:p>
              </w:tc>
              <w:tc>
                <w:tcPr>
                  <w:tcW w:w="4561"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中等湿度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2171" w:type="dxa"/>
                  <w:vMerge w:val="restart"/>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是否考虑地形</w:t>
                  </w:r>
                </w:p>
              </w:tc>
              <w:tc>
                <w:tcPr>
                  <w:tcW w:w="2554"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考虑地形</w:t>
                  </w:r>
                </w:p>
              </w:tc>
              <w:tc>
                <w:tcPr>
                  <w:tcW w:w="4561"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2171" w:type="dxa"/>
                  <w:vMerge w:val="continue"/>
                  <w:noWrap w:val="0"/>
                  <w:vAlign w:val="center"/>
                </w:tcPr>
                <w:p>
                  <w:pPr>
                    <w:jc w:val="center"/>
                    <w:rPr>
                      <w:rFonts w:ascii="Times New Roman" w:hAnsi="Times New Roman" w:cs="Times New Roman"/>
                      <w:sz w:val="21"/>
                      <w:szCs w:val="21"/>
                    </w:rPr>
                  </w:pPr>
                </w:p>
              </w:tc>
              <w:tc>
                <w:tcPr>
                  <w:tcW w:w="2554"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地形数据分辨率(m)</w:t>
                  </w:r>
                </w:p>
              </w:tc>
              <w:tc>
                <w:tcPr>
                  <w:tcW w:w="4561"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2171" w:type="dxa"/>
                  <w:vMerge w:val="restart"/>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是否考虑岸线熏烟</w:t>
                  </w:r>
                </w:p>
              </w:tc>
              <w:tc>
                <w:tcPr>
                  <w:tcW w:w="2554"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考虑岸线熏烟</w:t>
                  </w:r>
                </w:p>
              </w:tc>
              <w:tc>
                <w:tcPr>
                  <w:tcW w:w="4561"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2171" w:type="dxa"/>
                  <w:vMerge w:val="continue"/>
                  <w:noWrap w:val="0"/>
                  <w:vAlign w:val="center"/>
                </w:tcPr>
                <w:p>
                  <w:pPr>
                    <w:jc w:val="center"/>
                    <w:rPr>
                      <w:rFonts w:ascii="Times New Roman" w:hAnsi="Times New Roman" w:cs="Times New Roman"/>
                      <w:sz w:val="21"/>
                      <w:szCs w:val="21"/>
                    </w:rPr>
                  </w:pPr>
                </w:p>
              </w:tc>
              <w:tc>
                <w:tcPr>
                  <w:tcW w:w="2554"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岸线距离/km</w:t>
                  </w:r>
                </w:p>
              </w:tc>
              <w:tc>
                <w:tcPr>
                  <w:tcW w:w="4561"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2171" w:type="dxa"/>
                  <w:vMerge w:val="continue"/>
                  <w:noWrap w:val="0"/>
                  <w:vAlign w:val="center"/>
                </w:tcPr>
                <w:p>
                  <w:pPr>
                    <w:jc w:val="center"/>
                    <w:rPr>
                      <w:rFonts w:ascii="Times New Roman" w:hAnsi="Times New Roman" w:cs="Times New Roman"/>
                      <w:sz w:val="21"/>
                      <w:szCs w:val="21"/>
                    </w:rPr>
                  </w:pPr>
                </w:p>
              </w:tc>
              <w:tc>
                <w:tcPr>
                  <w:tcW w:w="2554"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岸线方向/o</w:t>
                  </w:r>
                </w:p>
              </w:tc>
              <w:tc>
                <w:tcPr>
                  <w:tcW w:w="4561"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r>
          </w:tbl>
          <w:p>
            <w:pPr>
              <w:autoSpaceDE w:val="0"/>
              <w:autoSpaceDN w:val="0"/>
              <w:adjustRightInd w:val="0"/>
              <w:spacing w:line="360" w:lineRule="auto"/>
              <w:ind w:firstLine="480" w:firstLineChars="200"/>
              <w:jc w:val="left"/>
              <w:rPr>
                <w:rFonts w:hint="eastAsia" w:eastAsia="宋体"/>
                <w:color w:val="auto"/>
                <w:sz w:val="24"/>
                <w:lang w:eastAsia="zh-CN"/>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lang w:val="en-US" w:eastAsia="zh-CN"/>
              </w:rPr>
              <w:t>计算结果</w:t>
            </w:r>
          </w:p>
          <w:p>
            <w:pPr>
              <w:spacing w:line="480" w:lineRule="exact"/>
              <w:ind w:firstLine="422" w:firstLineChars="176"/>
              <w:jc w:val="left"/>
              <w:rPr>
                <w:rFonts w:ascii="Times New Roman" w:hAnsi="Times New Roman" w:cs="Times New Roman"/>
                <w:sz w:val="24"/>
                <w:szCs w:val="24"/>
              </w:rPr>
            </w:pPr>
            <w:r>
              <w:rPr>
                <w:rFonts w:ascii="Times New Roman" w:hAnsi="Times New Roman" w:cs="Times New Roman"/>
                <w:sz w:val="24"/>
                <w:szCs w:val="24"/>
              </w:rPr>
              <w:t>本项目所有污染源的正常排放的污染物的P</w:t>
            </w:r>
            <w:r>
              <w:rPr>
                <w:rFonts w:ascii="Times New Roman" w:hAnsi="Times New Roman" w:cs="Times New Roman"/>
                <w:sz w:val="24"/>
                <w:szCs w:val="24"/>
                <w:vertAlign w:val="subscript"/>
              </w:rPr>
              <w:t>max</w:t>
            </w:r>
            <w:r>
              <w:rPr>
                <w:rFonts w:ascii="Times New Roman" w:hAnsi="Times New Roman" w:cs="Times New Roman"/>
                <w:sz w:val="24"/>
                <w:szCs w:val="24"/>
              </w:rPr>
              <w:t>和D</w:t>
            </w:r>
            <w:r>
              <w:rPr>
                <w:rFonts w:ascii="Times New Roman" w:hAnsi="Times New Roman" w:cs="Times New Roman"/>
                <w:sz w:val="24"/>
                <w:szCs w:val="24"/>
                <w:vertAlign w:val="subscript"/>
              </w:rPr>
              <w:t>10%</w:t>
            </w:r>
            <w:r>
              <w:rPr>
                <w:rFonts w:ascii="Times New Roman" w:hAnsi="Times New Roman" w:cs="Times New Roman"/>
                <w:sz w:val="24"/>
                <w:szCs w:val="24"/>
              </w:rPr>
              <w:t>预测结果如下：</w:t>
            </w:r>
          </w:p>
          <w:p>
            <w:pPr>
              <w:spacing w:line="480" w:lineRule="exact"/>
              <w:ind w:firstLine="371" w:firstLineChars="176"/>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表7-5  Pmax和D10%预测和计算结果一览表</w:t>
            </w:r>
          </w:p>
          <w:tbl>
            <w:tblPr>
              <w:tblStyle w:val="70"/>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9"/>
              <w:gridCol w:w="1549"/>
              <w:gridCol w:w="1547"/>
              <w:gridCol w:w="1549"/>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1547"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污染源名称</w:t>
                  </w:r>
                </w:p>
              </w:tc>
              <w:tc>
                <w:tcPr>
                  <w:tcW w:w="1549"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评价因子</w:t>
                  </w:r>
                </w:p>
              </w:tc>
              <w:tc>
                <w:tcPr>
                  <w:tcW w:w="1549"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评价标准</w:t>
                  </w:r>
                  <w:r>
                    <w:rPr>
                      <w:rFonts w:hint="eastAsia" w:ascii="Times New Roman" w:hAnsi="Times New Roman" w:cs="Times New Roman"/>
                      <w:sz w:val="21"/>
                      <w:szCs w:val="21"/>
                    </w:rPr>
                    <w:t>(</w:t>
                  </w:r>
                  <w:r>
                    <w:rPr>
                      <w:rFonts w:ascii="Times New Roman" w:hAnsi="Times New Roman" w:cs="Times New Roman"/>
                      <w:sz w:val="21"/>
                      <w:szCs w:val="21"/>
                    </w:rPr>
                    <w:t>μg/m</w:t>
                  </w:r>
                  <w:r>
                    <w:rPr>
                      <w:rFonts w:ascii="Times New Roman" w:hAnsi="Times New Roman" w:cs="Times New Roman"/>
                      <w:sz w:val="21"/>
                      <w:szCs w:val="21"/>
                      <w:vertAlign w:val="superscript"/>
                    </w:rPr>
                    <w:t>3</w:t>
                  </w:r>
                  <w:r>
                    <w:rPr>
                      <w:rFonts w:hint="eastAsia" w:ascii="Times New Roman" w:hAnsi="Times New Roman" w:cs="Times New Roman"/>
                      <w:sz w:val="21"/>
                      <w:szCs w:val="21"/>
                    </w:rPr>
                    <w:t>)</w:t>
                  </w:r>
                </w:p>
              </w:tc>
              <w:tc>
                <w:tcPr>
                  <w:tcW w:w="1547"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Times New Roman" w:cs="Times New Roman"/>
                      <w:sz w:val="21"/>
                      <w:szCs w:val="21"/>
                    </w:rPr>
                    <w:t>max</w:t>
                  </w:r>
                </w:p>
                <w:p>
                  <w:pPr>
                    <w:jc w:val="center"/>
                    <w:rPr>
                      <w:rFonts w:ascii="Times New Roman" w:hAnsi="Times New Roman" w:cs="Times New Roman"/>
                      <w:sz w:val="21"/>
                      <w:szCs w:val="21"/>
                    </w:rPr>
                  </w:pPr>
                  <w:r>
                    <w:rPr>
                      <w:rFonts w:ascii="Times New Roman" w:hAnsi="Times New Roman" w:cs="Times New Roman"/>
                      <w:sz w:val="21"/>
                      <w:szCs w:val="21"/>
                    </w:rPr>
                    <w:t>(μg/m</w:t>
                  </w:r>
                  <w:r>
                    <w:rPr>
                      <w:rFonts w:ascii="Times New Roman" w:hAnsi="Times New Roman" w:cs="Times New Roman"/>
                      <w:sz w:val="21"/>
                      <w:szCs w:val="21"/>
                      <w:vertAlign w:val="superscript"/>
                    </w:rPr>
                    <w:t>3</w:t>
                  </w:r>
                  <w:r>
                    <w:rPr>
                      <w:rFonts w:ascii="Times New Roman" w:hAnsi="Times New Roman" w:cs="Times New Roman"/>
                      <w:sz w:val="21"/>
                      <w:szCs w:val="21"/>
                    </w:rPr>
                    <w:t>)</w:t>
                  </w:r>
                </w:p>
              </w:tc>
              <w:tc>
                <w:tcPr>
                  <w:tcW w:w="1549"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P</w:t>
                  </w:r>
                  <w:r>
                    <w:rPr>
                      <w:rFonts w:hint="eastAsia" w:ascii="Times New Roman" w:hAnsi="Times New Roman" w:cs="Times New Roman"/>
                      <w:sz w:val="21"/>
                      <w:szCs w:val="21"/>
                    </w:rPr>
                    <w:t>max</w:t>
                  </w:r>
                </w:p>
                <w:p>
                  <w:pPr>
                    <w:jc w:val="center"/>
                    <w:rPr>
                      <w:rFonts w:ascii="Times New Roman" w:hAnsi="Times New Roman" w:cs="Times New Roman"/>
                      <w:sz w:val="21"/>
                      <w:szCs w:val="21"/>
                    </w:rPr>
                  </w:pPr>
                  <w:r>
                    <w:rPr>
                      <w:rFonts w:ascii="Times New Roman" w:hAnsi="Times New Roman" w:cs="Times New Roman"/>
                      <w:sz w:val="21"/>
                      <w:szCs w:val="21"/>
                    </w:rPr>
                    <w:t>(%)</w:t>
                  </w:r>
                </w:p>
              </w:tc>
              <w:tc>
                <w:tcPr>
                  <w:tcW w:w="1545" w:type="dxa"/>
                  <w:noWrap w:val="0"/>
                  <w:vAlign w:val="center"/>
                </w:tcPr>
                <w:p>
                  <w:pPr>
                    <w:jc w:val="center"/>
                    <w:rPr>
                      <w:rFonts w:ascii="Times New Roman" w:hAnsi="Times New Roman" w:cs="Times New Roman"/>
                      <w:sz w:val="21"/>
                      <w:szCs w:val="21"/>
                    </w:rPr>
                  </w:pPr>
                  <w:r>
                    <w:rPr>
                      <w:rFonts w:ascii="Times New Roman" w:hAnsi="Times New Roman" w:cs="Times New Roman"/>
                      <w:sz w:val="21"/>
                      <w:szCs w:val="21"/>
                    </w:rPr>
                    <w:t>D10%</w:t>
                  </w:r>
                </w:p>
                <w:p>
                  <w:pPr>
                    <w:jc w:val="center"/>
                    <w:rPr>
                      <w:rFonts w:ascii="Times New Roman" w:hAnsi="Times New Roman" w:cs="Times New Roman"/>
                      <w:sz w:val="21"/>
                      <w:szCs w:val="21"/>
                    </w:rPr>
                  </w:pPr>
                  <w:r>
                    <w:rPr>
                      <w:rFonts w:ascii="Times New Roman" w:hAnsi="Times New Roman" w:cs="Times New Roman"/>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547" w:type="dxa"/>
                  <w:noWrap w:val="0"/>
                  <w:vAlign w:val="center"/>
                </w:tcPr>
                <w:p>
                  <w:pPr>
                    <w:jc w:val="center"/>
                    <w:rPr>
                      <w:rFonts w:ascii="Times New Roman" w:hAnsi="Times New Roman" w:cs="Times New Roman"/>
                      <w:sz w:val="21"/>
                      <w:szCs w:val="21"/>
                    </w:rPr>
                  </w:pPr>
                  <w:r>
                    <w:t>点源2</w:t>
                  </w:r>
                </w:p>
              </w:tc>
              <w:tc>
                <w:tcPr>
                  <w:tcW w:w="1549" w:type="dxa"/>
                  <w:noWrap w:val="0"/>
                  <w:vAlign w:val="center"/>
                </w:tcPr>
                <w:p>
                  <w:pPr>
                    <w:jc w:val="center"/>
                    <w:rPr>
                      <w:rFonts w:ascii="Times New Roman" w:hAnsi="Times New Roman" w:cs="Times New Roman"/>
                      <w:sz w:val="21"/>
                      <w:szCs w:val="21"/>
                    </w:rPr>
                  </w:pPr>
                  <w:r>
                    <w:t>SO</w:t>
                  </w:r>
                  <w:r>
                    <w:rPr>
                      <w:vertAlign w:val="subscript"/>
                    </w:rPr>
                    <w:t>2</w:t>
                  </w:r>
                </w:p>
              </w:tc>
              <w:tc>
                <w:tcPr>
                  <w:tcW w:w="1549" w:type="dxa"/>
                  <w:noWrap w:val="0"/>
                  <w:vAlign w:val="center"/>
                </w:tcPr>
                <w:p>
                  <w:pPr>
                    <w:jc w:val="center"/>
                    <w:rPr>
                      <w:rFonts w:ascii="Times New Roman" w:hAnsi="Times New Roman" w:cs="Times New Roman"/>
                      <w:sz w:val="21"/>
                      <w:szCs w:val="21"/>
                    </w:rPr>
                  </w:pPr>
                  <w:r>
                    <w:t>500.0</w:t>
                  </w:r>
                </w:p>
              </w:tc>
              <w:tc>
                <w:tcPr>
                  <w:tcW w:w="1547" w:type="dxa"/>
                  <w:noWrap w:val="0"/>
                  <w:vAlign w:val="center"/>
                </w:tcPr>
                <w:p>
                  <w:pPr>
                    <w:jc w:val="center"/>
                    <w:rPr>
                      <w:rFonts w:ascii="Times New Roman" w:hAnsi="Times New Roman" w:cs="Times New Roman"/>
                      <w:sz w:val="21"/>
                      <w:szCs w:val="21"/>
                    </w:rPr>
                  </w:pPr>
                  <w:r>
                    <w:t>0.2162</w:t>
                  </w:r>
                </w:p>
              </w:tc>
              <w:tc>
                <w:tcPr>
                  <w:tcW w:w="1549" w:type="dxa"/>
                  <w:noWrap w:val="0"/>
                  <w:vAlign w:val="center"/>
                </w:tcPr>
                <w:p>
                  <w:pPr>
                    <w:jc w:val="center"/>
                    <w:rPr>
                      <w:rFonts w:ascii="Times New Roman" w:hAnsi="Times New Roman" w:cs="Times New Roman"/>
                      <w:sz w:val="21"/>
                      <w:szCs w:val="21"/>
                    </w:rPr>
                  </w:pPr>
                  <w:r>
                    <w:t>0.0432</w:t>
                  </w:r>
                </w:p>
              </w:tc>
              <w:tc>
                <w:tcPr>
                  <w:tcW w:w="1545" w:type="dxa"/>
                  <w:noWrap w:val="0"/>
                  <w:vAlign w:val="center"/>
                </w:tcPr>
                <w:p>
                  <w:pPr>
                    <w:jc w:val="center"/>
                    <w:rPr>
                      <w:rFonts w:ascii="Times New Roman" w:hAnsi="Times New Roman" w:cs="Times New Roman"/>
                      <w:sz w:val="21"/>
                      <w:szCs w:val="21"/>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547" w:type="dxa"/>
                  <w:noWrap w:val="0"/>
                  <w:vAlign w:val="center"/>
                </w:tcPr>
                <w:p>
                  <w:pPr>
                    <w:jc w:val="center"/>
                    <w:rPr>
                      <w:rFonts w:ascii="Times New Roman" w:hAnsi="Times New Roman" w:cs="Times New Roman"/>
                      <w:sz w:val="21"/>
                      <w:szCs w:val="21"/>
                    </w:rPr>
                  </w:pPr>
                  <w:r>
                    <w:t>点源2</w:t>
                  </w:r>
                </w:p>
              </w:tc>
              <w:tc>
                <w:tcPr>
                  <w:tcW w:w="1549" w:type="dxa"/>
                  <w:noWrap w:val="0"/>
                  <w:vAlign w:val="center"/>
                </w:tcPr>
                <w:p>
                  <w:pPr>
                    <w:jc w:val="center"/>
                    <w:rPr>
                      <w:rFonts w:ascii="Times New Roman" w:hAnsi="Times New Roman" w:cs="Times New Roman"/>
                      <w:sz w:val="21"/>
                      <w:szCs w:val="21"/>
                    </w:rPr>
                  </w:pPr>
                  <w:r>
                    <w:t>NO</w:t>
                  </w:r>
                  <w:r>
                    <w:rPr>
                      <w:vertAlign w:val="subscript"/>
                    </w:rPr>
                    <w:t>2</w:t>
                  </w:r>
                </w:p>
              </w:tc>
              <w:tc>
                <w:tcPr>
                  <w:tcW w:w="1549" w:type="dxa"/>
                  <w:noWrap w:val="0"/>
                  <w:vAlign w:val="center"/>
                </w:tcPr>
                <w:p>
                  <w:pPr>
                    <w:jc w:val="center"/>
                    <w:rPr>
                      <w:rFonts w:ascii="Times New Roman" w:hAnsi="Times New Roman" w:cs="Times New Roman"/>
                      <w:sz w:val="21"/>
                      <w:szCs w:val="21"/>
                    </w:rPr>
                  </w:pPr>
                  <w:r>
                    <w:t>200.0</w:t>
                  </w:r>
                </w:p>
              </w:tc>
              <w:tc>
                <w:tcPr>
                  <w:tcW w:w="1547" w:type="dxa"/>
                  <w:noWrap w:val="0"/>
                  <w:vAlign w:val="center"/>
                </w:tcPr>
                <w:p>
                  <w:pPr>
                    <w:jc w:val="center"/>
                    <w:rPr>
                      <w:rFonts w:ascii="Times New Roman" w:hAnsi="Times New Roman" w:cs="Times New Roman"/>
                      <w:sz w:val="21"/>
                      <w:szCs w:val="21"/>
                    </w:rPr>
                  </w:pPr>
                  <w:r>
                    <w:t>1.3515</w:t>
                  </w:r>
                </w:p>
              </w:tc>
              <w:tc>
                <w:tcPr>
                  <w:tcW w:w="1549" w:type="dxa"/>
                  <w:noWrap w:val="0"/>
                  <w:vAlign w:val="center"/>
                </w:tcPr>
                <w:p>
                  <w:pPr>
                    <w:jc w:val="center"/>
                    <w:rPr>
                      <w:rFonts w:ascii="Times New Roman" w:hAnsi="Times New Roman" w:cs="Times New Roman"/>
                      <w:sz w:val="21"/>
                      <w:szCs w:val="21"/>
                    </w:rPr>
                  </w:pPr>
                  <w:r>
                    <w:t>0.6758</w:t>
                  </w:r>
                </w:p>
              </w:tc>
              <w:tc>
                <w:tcPr>
                  <w:tcW w:w="1545" w:type="dxa"/>
                  <w:noWrap w:val="0"/>
                  <w:vAlign w:val="center"/>
                </w:tcPr>
                <w:p>
                  <w:pPr>
                    <w:jc w:val="center"/>
                    <w:rPr>
                      <w:rFonts w:ascii="Times New Roman" w:hAnsi="Times New Roman" w:cs="Times New Roman"/>
                      <w:sz w:val="21"/>
                      <w:szCs w:val="21"/>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547" w:type="dxa"/>
                  <w:noWrap w:val="0"/>
                  <w:vAlign w:val="center"/>
                </w:tcPr>
                <w:p>
                  <w:pPr>
                    <w:jc w:val="center"/>
                    <w:rPr>
                      <w:rFonts w:ascii="Times New Roman" w:hAnsi="Times New Roman" w:cs="Times New Roman"/>
                      <w:sz w:val="21"/>
                      <w:szCs w:val="21"/>
                    </w:rPr>
                  </w:pPr>
                  <w:r>
                    <w:t>点源2</w:t>
                  </w:r>
                </w:p>
              </w:tc>
              <w:tc>
                <w:tcPr>
                  <w:tcW w:w="1549" w:type="dxa"/>
                  <w:noWrap w:val="0"/>
                  <w:vAlign w:val="center"/>
                </w:tcPr>
                <w:p>
                  <w:pPr>
                    <w:jc w:val="center"/>
                    <w:rPr>
                      <w:rFonts w:ascii="Times New Roman" w:hAnsi="Times New Roman" w:cs="Times New Roman"/>
                      <w:sz w:val="21"/>
                      <w:szCs w:val="21"/>
                    </w:rPr>
                  </w:pPr>
                  <w:r>
                    <w:t>TSP</w:t>
                  </w:r>
                </w:p>
              </w:tc>
              <w:tc>
                <w:tcPr>
                  <w:tcW w:w="1549" w:type="dxa"/>
                  <w:noWrap w:val="0"/>
                  <w:vAlign w:val="center"/>
                </w:tcPr>
                <w:p>
                  <w:pPr>
                    <w:jc w:val="center"/>
                    <w:rPr>
                      <w:rFonts w:ascii="Times New Roman" w:hAnsi="Times New Roman" w:cs="Times New Roman"/>
                      <w:sz w:val="21"/>
                      <w:szCs w:val="21"/>
                    </w:rPr>
                  </w:pPr>
                  <w:r>
                    <w:t>900.0</w:t>
                  </w:r>
                </w:p>
              </w:tc>
              <w:tc>
                <w:tcPr>
                  <w:tcW w:w="1547" w:type="dxa"/>
                  <w:noWrap w:val="0"/>
                  <w:vAlign w:val="center"/>
                </w:tcPr>
                <w:p>
                  <w:pPr>
                    <w:jc w:val="center"/>
                    <w:rPr>
                      <w:rFonts w:ascii="Times New Roman" w:hAnsi="Times New Roman" w:cs="Times New Roman"/>
                      <w:sz w:val="21"/>
                      <w:szCs w:val="21"/>
                    </w:rPr>
                  </w:pPr>
                  <w:r>
                    <w:t>0.5161</w:t>
                  </w:r>
                </w:p>
              </w:tc>
              <w:tc>
                <w:tcPr>
                  <w:tcW w:w="1549" w:type="dxa"/>
                  <w:noWrap w:val="0"/>
                  <w:vAlign w:val="center"/>
                </w:tcPr>
                <w:p>
                  <w:pPr>
                    <w:jc w:val="center"/>
                    <w:rPr>
                      <w:rFonts w:ascii="Times New Roman" w:hAnsi="Times New Roman" w:cs="Times New Roman"/>
                      <w:sz w:val="21"/>
                      <w:szCs w:val="21"/>
                    </w:rPr>
                  </w:pPr>
                  <w:r>
                    <w:t>0.0573</w:t>
                  </w:r>
                </w:p>
              </w:tc>
              <w:tc>
                <w:tcPr>
                  <w:tcW w:w="1545" w:type="dxa"/>
                  <w:noWrap w:val="0"/>
                  <w:vAlign w:val="center"/>
                </w:tcPr>
                <w:p>
                  <w:pPr>
                    <w:jc w:val="center"/>
                    <w:rPr>
                      <w:rFonts w:ascii="Times New Roman" w:hAnsi="Times New Roman" w:cs="Times New Roman"/>
                      <w:sz w:val="21"/>
                      <w:szCs w:val="21"/>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547" w:type="dxa"/>
                  <w:noWrap w:val="0"/>
                  <w:vAlign w:val="center"/>
                </w:tcPr>
                <w:p>
                  <w:pPr>
                    <w:jc w:val="center"/>
                    <w:rPr>
                      <w:rFonts w:hint="eastAsia" w:ascii="Times New Roman" w:hAnsi="Times New Roman" w:eastAsia="宋体" w:cs="Times New Roman"/>
                      <w:sz w:val="21"/>
                      <w:szCs w:val="21"/>
                      <w:lang w:val="en-US" w:eastAsia="zh-CN"/>
                    </w:rPr>
                  </w:pPr>
                  <w:r>
                    <w:t>点源1</w:t>
                  </w:r>
                </w:p>
              </w:tc>
              <w:tc>
                <w:tcPr>
                  <w:tcW w:w="1549" w:type="dxa"/>
                  <w:noWrap w:val="0"/>
                  <w:vAlign w:val="center"/>
                </w:tcPr>
                <w:p>
                  <w:pPr>
                    <w:jc w:val="center"/>
                    <w:rPr>
                      <w:rFonts w:ascii="Times New Roman" w:hAnsi="Times New Roman" w:cs="Times New Roman"/>
                      <w:sz w:val="21"/>
                      <w:szCs w:val="21"/>
                    </w:rPr>
                  </w:pPr>
                  <w:r>
                    <w:t>NMHC</w:t>
                  </w:r>
                </w:p>
              </w:tc>
              <w:tc>
                <w:tcPr>
                  <w:tcW w:w="1549" w:type="dxa"/>
                  <w:noWrap w:val="0"/>
                  <w:vAlign w:val="center"/>
                </w:tcPr>
                <w:p>
                  <w:pPr>
                    <w:jc w:val="center"/>
                    <w:rPr>
                      <w:rFonts w:ascii="Times New Roman" w:hAnsi="Times New Roman" w:cs="Times New Roman"/>
                      <w:sz w:val="21"/>
                      <w:szCs w:val="21"/>
                    </w:rPr>
                  </w:pPr>
                  <w:r>
                    <w:t>2000.0</w:t>
                  </w:r>
                </w:p>
              </w:tc>
              <w:tc>
                <w:tcPr>
                  <w:tcW w:w="1547" w:type="dxa"/>
                  <w:noWrap w:val="0"/>
                  <w:vAlign w:val="center"/>
                </w:tcPr>
                <w:p>
                  <w:pPr>
                    <w:jc w:val="center"/>
                    <w:rPr>
                      <w:rFonts w:ascii="Times New Roman" w:hAnsi="Times New Roman" w:cs="Times New Roman"/>
                      <w:sz w:val="21"/>
                      <w:szCs w:val="21"/>
                    </w:rPr>
                  </w:pPr>
                  <w:r>
                    <w:t>2.1067</w:t>
                  </w:r>
                </w:p>
              </w:tc>
              <w:tc>
                <w:tcPr>
                  <w:tcW w:w="1549" w:type="dxa"/>
                  <w:noWrap w:val="0"/>
                  <w:vAlign w:val="center"/>
                </w:tcPr>
                <w:p>
                  <w:pPr>
                    <w:jc w:val="center"/>
                    <w:rPr>
                      <w:rFonts w:ascii="Times New Roman" w:hAnsi="Times New Roman" w:cs="Times New Roman"/>
                      <w:sz w:val="21"/>
                      <w:szCs w:val="21"/>
                    </w:rPr>
                  </w:pPr>
                  <w:r>
                    <w:t>0.1053</w:t>
                  </w:r>
                </w:p>
              </w:tc>
              <w:tc>
                <w:tcPr>
                  <w:tcW w:w="1545" w:type="dxa"/>
                  <w:noWrap w:val="0"/>
                  <w:vAlign w:val="center"/>
                </w:tcPr>
                <w:p>
                  <w:pPr>
                    <w:jc w:val="center"/>
                    <w:rPr>
                      <w:rFonts w:ascii="Times New Roman" w:hAnsi="Times New Roman" w:cs="Times New Roman"/>
                      <w:sz w:val="21"/>
                      <w:szCs w:val="21"/>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547" w:type="dxa"/>
                  <w:noWrap w:val="0"/>
                  <w:vAlign w:val="center"/>
                </w:tcPr>
                <w:p>
                  <w:pPr>
                    <w:jc w:val="center"/>
                    <w:rPr>
                      <w:rFonts w:ascii="Times New Roman" w:hAnsi="Times New Roman" w:cs="Times New Roman"/>
                      <w:sz w:val="21"/>
                      <w:szCs w:val="21"/>
                    </w:rPr>
                  </w:pPr>
                  <w:r>
                    <w:t>点源3</w:t>
                  </w:r>
                </w:p>
              </w:tc>
              <w:tc>
                <w:tcPr>
                  <w:tcW w:w="1549" w:type="dxa"/>
                  <w:noWrap w:val="0"/>
                  <w:vAlign w:val="center"/>
                </w:tcPr>
                <w:p>
                  <w:pPr>
                    <w:jc w:val="center"/>
                    <w:rPr>
                      <w:rFonts w:ascii="Times New Roman" w:hAnsi="Times New Roman" w:cs="Times New Roman"/>
                      <w:sz w:val="21"/>
                      <w:szCs w:val="21"/>
                    </w:rPr>
                  </w:pPr>
                  <w:r>
                    <w:t>SO</w:t>
                  </w:r>
                  <w:r>
                    <w:rPr>
                      <w:vertAlign w:val="subscript"/>
                    </w:rPr>
                    <w:t>2</w:t>
                  </w:r>
                </w:p>
              </w:tc>
              <w:tc>
                <w:tcPr>
                  <w:tcW w:w="1549" w:type="dxa"/>
                  <w:noWrap w:val="0"/>
                  <w:vAlign w:val="center"/>
                </w:tcPr>
                <w:p>
                  <w:pPr>
                    <w:jc w:val="center"/>
                    <w:rPr>
                      <w:rFonts w:ascii="Times New Roman" w:hAnsi="Times New Roman" w:cs="Times New Roman"/>
                      <w:sz w:val="21"/>
                      <w:szCs w:val="21"/>
                    </w:rPr>
                  </w:pPr>
                  <w:r>
                    <w:t>500.0</w:t>
                  </w:r>
                </w:p>
              </w:tc>
              <w:tc>
                <w:tcPr>
                  <w:tcW w:w="1547" w:type="dxa"/>
                  <w:noWrap w:val="0"/>
                  <w:vAlign w:val="center"/>
                </w:tcPr>
                <w:p>
                  <w:pPr>
                    <w:jc w:val="center"/>
                    <w:rPr>
                      <w:rFonts w:ascii="Times New Roman" w:hAnsi="Times New Roman" w:cs="Times New Roman"/>
                      <w:sz w:val="21"/>
                      <w:szCs w:val="21"/>
                    </w:rPr>
                  </w:pPr>
                  <w:r>
                    <w:t>0.2161</w:t>
                  </w:r>
                </w:p>
              </w:tc>
              <w:tc>
                <w:tcPr>
                  <w:tcW w:w="1549" w:type="dxa"/>
                  <w:noWrap w:val="0"/>
                  <w:vAlign w:val="center"/>
                </w:tcPr>
                <w:p>
                  <w:pPr>
                    <w:jc w:val="center"/>
                    <w:rPr>
                      <w:rFonts w:ascii="Times New Roman" w:hAnsi="Times New Roman" w:cs="Times New Roman"/>
                      <w:sz w:val="21"/>
                      <w:szCs w:val="21"/>
                    </w:rPr>
                  </w:pPr>
                  <w:r>
                    <w:t>0.0432</w:t>
                  </w:r>
                </w:p>
              </w:tc>
              <w:tc>
                <w:tcPr>
                  <w:tcW w:w="1545" w:type="dxa"/>
                  <w:noWrap w:val="0"/>
                  <w:vAlign w:val="center"/>
                </w:tcPr>
                <w:p>
                  <w:pPr>
                    <w:jc w:val="center"/>
                    <w:rPr>
                      <w:rFonts w:ascii="Times New Roman" w:hAnsi="Times New Roman" w:cs="Times New Roman"/>
                      <w:sz w:val="21"/>
                      <w:szCs w:val="21"/>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547" w:type="dxa"/>
                  <w:noWrap w:val="0"/>
                  <w:vAlign w:val="center"/>
                </w:tcPr>
                <w:p>
                  <w:pPr>
                    <w:jc w:val="center"/>
                    <w:rPr>
                      <w:rFonts w:ascii="Times New Roman" w:hAnsi="Times New Roman" w:cs="Times New Roman"/>
                      <w:sz w:val="21"/>
                      <w:szCs w:val="21"/>
                    </w:rPr>
                  </w:pPr>
                  <w:r>
                    <w:t>点源3</w:t>
                  </w:r>
                </w:p>
              </w:tc>
              <w:tc>
                <w:tcPr>
                  <w:tcW w:w="1549" w:type="dxa"/>
                  <w:noWrap w:val="0"/>
                  <w:vAlign w:val="center"/>
                </w:tcPr>
                <w:p>
                  <w:pPr>
                    <w:jc w:val="center"/>
                    <w:rPr>
                      <w:rFonts w:ascii="Times New Roman" w:hAnsi="Times New Roman" w:cs="Times New Roman"/>
                      <w:sz w:val="21"/>
                      <w:szCs w:val="21"/>
                    </w:rPr>
                  </w:pPr>
                  <w:r>
                    <w:t>NO</w:t>
                  </w:r>
                  <w:r>
                    <w:rPr>
                      <w:vertAlign w:val="subscript"/>
                    </w:rPr>
                    <w:t>2</w:t>
                  </w:r>
                </w:p>
              </w:tc>
              <w:tc>
                <w:tcPr>
                  <w:tcW w:w="1549" w:type="dxa"/>
                  <w:noWrap w:val="0"/>
                  <w:vAlign w:val="center"/>
                </w:tcPr>
                <w:p>
                  <w:pPr>
                    <w:jc w:val="center"/>
                    <w:rPr>
                      <w:rFonts w:ascii="Times New Roman" w:hAnsi="Times New Roman" w:cs="Times New Roman"/>
                      <w:sz w:val="21"/>
                      <w:szCs w:val="21"/>
                    </w:rPr>
                  </w:pPr>
                  <w:r>
                    <w:t>200.0</w:t>
                  </w:r>
                </w:p>
              </w:tc>
              <w:tc>
                <w:tcPr>
                  <w:tcW w:w="1547" w:type="dxa"/>
                  <w:noWrap w:val="0"/>
                  <w:vAlign w:val="center"/>
                </w:tcPr>
                <w:p>
                  <w:pPr>
                    <w:jc w:val="center"/>
                    <w:rPr>
                      <w:rFonts w:ascii="Times New Roman" w:hAnsi="Times New Roman" w:cs="Times New Roman"/>
                      <w:sz w:val="21"/>
                      <w:szCs w:val="21"/>
                    </w:rPr>
                  </w:pPr>
                  <w:r>
                    <w:t>1.3512</w:t>
                  </w:r>
                </w:p>
              </w:tc>
              <w:tc>
                <w:tcPr>
                  <w:tcW w:w="1549" w:type="dxa"/>
                  <w:noWrap w:val="0"/>
                  <w:vAlign w:val="center"/>
                </w:tcPr>
                <w:p>
                  <w:pPr>
                    <w:jc w:val="center"/>
                    <w:rPr>
                      <w:rFonts w:ascii="Times New Roman" w:hAnsi="Times New Roman" w:cs="Times New Roman"/>
                      <w:sz w:val="21"/>
                      <w:szCs w:val="21"/>
                    </w:rPr>
                  </w:pPr>
                  <w:r>
                    <w:t>0.6756</w:t>
                  </w:r>
                </w:p>
              </w:tc>
              <w:tc>
                <w:tcPr>
                  <w:tcW w:w="1545" w:type="dxa"/>
                  <w:noWrap w:val="0"/>
                  <w:vAlign w:val="center"/>
                </w:tcPr>
                <w:p>
                  <w:pPr>
                    <w:jc w:val="center"/>
                    <w:rPr>
                      <w:rFonts w:ascii="Times New Roman" w:hAnsi="Times New Roman" w:cs="Times New Roman"/>
                      <w:sz w:val="21"/>
                      <w:szCs w:val="21"/>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547" w:type="dxa"/>
                  <w:noWrap w:val="0"/>
                  <w:vAlign w:val="center"/>
                </w:tcPr>
                <w:p>
                  <w:pPr>
                    <w:jc w:val="center"/>
                    <w:rPr>
                      <w:rFonts w:ascii="Times New Roman" w:hAnsi="Times New Roman" w:cs="Times New Roman"/>
                      <w:sz w:val="21"/>
                      <w:szCs w:val="21"/>
                    </w:rPr>
                  </w:pPr>
                  <w:r>
                    <w:t>点源3</w:t>
                  </w:r>
                </w:p>
              </w:tc>
              <w:tc>
                <w:tcPr>
                  <w:tcW w:w="1549" w:type="dxa"/>
                  <w:noWrap w:val="0"/>
                  <w:vAlign w:val="center"/>
                </w:tcPr>
                <w:p>
                  <w:pPr>
                    <w:jc w:val="center"/>
                    <w:rPr>
                      <w:rFonts w:ascii="Times New Roman" w:hAnsi="Times New Roman" w:cs="Times New Roman"/>
                      <w:sz w:val="21"/>
                      <w:szCs w:val="21"/>
                    </w:rPr>
                  </w:pPr>
                  <w:r>
                    <w:t>TSP</w:t>
                  </w:r>
                </w:p>
              </w:tc>
              <w:tc>
                <w:tcPr>
                  <w:tcW w:w="1549" w:type="dxa"/>
                  <w:noWrap w:val="0"/>
                  <w:vAlign w:val="center"/>
                </w:tcPr>
                <w:p>
                  <w:pPr>
                    <w:jc w:val="center"/>
                    <w:rPr>
                      <w:rFonts w:ascii="Times New Roman" w:hAnsi="Times New Roman" w:cs="Times New Roman"/>
                      <w:sz w:val="21"/>
                      <w:szCs w:val="21"/>
                    </w:rPr>
                  </w:pPr>
                  <w:r>
                    <w:t>900.0</w:t>
                  </w:r>
                </w:p>
              </w:tc>
              <w:tc>
                <w:tcPr>
                  <w:tcW w:w="1547" w:type="dxa"/>
                  <w:noWrap w:val="0"/>
                  <w:vAlign w:val="center"/>
                </w:tcPr>
                <w:p>
                  <w:pPr>
                    <w:jc w:val="center"/>
                    <w:rPr>
                      <w:rFonts w:ascii="Times New Roman" w:hAnsi="Times New Roman" w:cs="Times New Roman"/>
                      <w:sz w:val="21"/>
                      <w:szCs w:val="21"/>
                    </w:rPr>
                  </w:pPr>
                  <w:r>
                    <w:t>0.5159</w:t>
                  </w:r>
                </w:p>
              </w:tc>
              <w:tc>
                <w:tcPr>
                  <w:tcW w:w="1549" w:type="dxa"/>
                  <w:noWrap w:val="0"/>
                  <w:vAlign w:val="center"/>
                </w:tcPr>
                <w:p>
                  <w:pPr>
                    <w:jc w:val="center"/>
                    <w:rPr>
                      <w:rFonts w:ascii="Times New Roman" w:hAnsi="Times New Roman" w:cs="Times New Roman"/>
                      <w:sz w:val="21"/>
                      <w:szCs w:val="21"/>
                    </w:rPr>
                  </w:pPr>
                  <w:r>
                    <w:t>0.0573</w:t>
                  </w:r>
                </w:p>
              </w:tc>
              <w:tc>
                <w:tcPr>
                  <w:tcW w:w="1545" w:type="dxa"/>
                  <w:noWrap w:val="0"/>
                  <w:vAlign w:val="center"/>
                </w:tcPr>
                <w:p>
                  <w:pPr>
                    <w:jc w:val="center"/>
                    <w:rPr>
                      <w:rFonts w:ascii="Times New Roman" w:hAnsi="Times New Roman" w:cs="Times New Roman"/>
                      <w:sz w:val="21"/>
                      <w:szCs w:val="21"/>
                    </w:rPr>
                  </w:pPr>
                  <w:r>
                    <w:t>/</w:t>
                  </w:r>
                </w:p>
              </w:tc>
            </w:tr>
          </w:tbl>
          <w:p>
            <w:pPr>
              <w:spacing w:line="480" w:lineRule="exact"/>
              <w:ind w:firstLine="422" w:firstLineChars="176"/>
              <w:rPr>
                <w:rFonts w:ascii="Times New Roman" w:hAnsi="Times New Roman" w:cs="Times New Roman"/>
                <w:color w:val="FF0000"/>
                <w:sz w:val="24"/>
                <w:szCs w:val="24"/>
              </w:rPr>
            </w:pPr>
            <w:r>
              <w:rPr>
                <w:rFonts w:ascii="Times New Roman" w:hAnsi="Times New Roman" w:cs="Times New Roman"/>
                <w:sz w:val="24"/>
                <w:szCs w:val="24"/>
              </w:rPr>
              <w:t>本项目P</w:t>
            </w:r>
            <w:r>
              <w:rPr>
                <w:rFonts w:ascii="Times New Roman" w:hAnsi="Times New Roman" w:cs="Times New Roman"/>
                <w:sz w:val="24"/>
                <w:szCs w:val="24"/>
                <w:vertAlign w:val="subscript"/>
              </w:rPr>
              <w:t>max</w:t>
            </w:r>
            <w:r>
              <w:rPr>
                <w:rFonts w:ascii="Times New Roman" w:hAnsi="Times New Roman" w:cs="Times New Roman"/>
                <w:sz w:val="24"/>
                <w:szCs w:val="24"/>
              </w:rPr>
              <w:t>最大值出现为</w:t>
            </w:r>
            <w:r>
              <w:rPr>
                <w:rFonts w:hint="eastAsia" w:ascii="Times New Roman" w:hAnsi="Times New Roman" w:cs="Times New Roman"/>
                <w:sz w:val="24"/>
                <w:szCs w:val="24"/>
              </w:rPr>
              <w:t>点源2</w:t>
            </w:r>
            <w:r>
              <w:rPr>
                <w:rFonts w:ascii="Times New Roman" w:hAnsi="Times New Roman" w:cs="Times New Roman"/>
                <w:sz w:val="24"/>
                <w:szCs w:val="24"/>
              </w:rPr>
              <w:t>排放的</w:t>
            </w:r>
            <w:r>
              <w:rPr>
                <w:rFonts w:hint="eastAsia" w:ascii="Times New Roman" w:hAnsi="Times New Roman" w:cs="Times New Roman"/>
                <w:sz w:val="24"/>
                <w:szCs w:val="24"/>
              </w:rPr>
              <w:t>NO</w:t>
            </w:r>
            <w:r>
              <w:rPr>
                <w:rFonts w:hint="eastAsia" w:ascii="Times New Roman" w:hAnsi="Times New Roman" w:cs="Times New Roman"/>
                <w:sz w:val="24"/>
                <w:szCs w:val="24"/>
                <w:vertAlign w:val="subscript"/>
              </w:rPr>
              <w:t>2</w:t>
            </w:r>
            <w:r>
              <w:rPr>
                <w:rFonts w:ascii="Times New Roman" w:hAnsi="Times New Roman" w:cs="Times New Roman"/>
                <w:sz w:val="24"/>
                <w:szCs w:val="24"/>
              </w:rPr>
              <w:t>，P</w:t>
            </w:r>
            <w:r>
              <w:rPr>
                <w:rFonts w:ascii="Times New Roman" w:hAnsi="Times New Roman" w:cs="Times New Roman"/>
                <w:sz w:val="24"/>
                <w:szCs w:val="24"/>
                <w:vertAlign w:val="subscript"/>
              </w:rPr>
              <w:t>max</w:t>
            </w:r>
            <w:r>
              <w:rPr>
                <w:rFonts w:ascii="Times New Roman" w:hAnsi="Times New Roman" w:cs="Times New Roman"/>
                <w:sz w:val="24"/>
                <w:szCs w:val="24"/>
              </w:rPr>
              <w:t>值为</w:t>
            </w:r>
            <w:r>
              <w:rPr>
                <w:rFonts w:hint="eastAsia" w:ascii="Times New Roman" w:hAnsi="Times New Roman" w:cs="Times New Roman"/>
                <w:sz w:val="24"/>
                <w:szCs w:val="24"/>
              </w:rPr>
              <w:t>0.6758%</w:t>
            </w:r>
            <w:r>
              <w:rPr>
                <w:rFonts w:ascii="Times New Roman" w:hAnsi="Times New Roman" w:cs="Times New Roman"/>
                <w:sz w:val="24"/>
                <w:szCs w:val="24"/>
              </w:rPr>
              <w:t>，C</w:t>
            </w:r>
            <w:r>
              <w:rPr>
                <w:rFonts w:ascii="Times New Roman" w:hAnsi="Times New Roman" w:cs="Times New Roman"/>
                <w:sz w:val="24"/>
                <w:szCs w:val="24"/>
                <w:vertAlign w:val="subscript"/>
              </w:rPr>
              <w:t>max</w:t>
            </w:r>
            <w:r>
              <w:rPr>
                <w:rFonts w:ascii="Times New Roman" w:hAnsi="Times New Roman" w:cs="Times New Roman"/>
                <w:sz w:val="24"/>
                <w:szCs w:val="24"/>
              </w:rPr>
              <w:t>为</w:t>
            </w:r>
            <w:r>
              <w:rPr>
                <w:rFonts w:hint="eastAsia" w:ascii="Times New Roman" w:hAnsi="Times New Roman" w:cs="Times New Roman"/>
                <w:sz w:val="24"/>
                <w:szCs w:val="24"/>
              </w:rPr>
              <w:t>1.3515</w:t>
            </w:r>
            <w:r>
              <w:rPr>
                <w:rFonts w:ascii="Times New Roman" w:hAnsi="Times New Roman" w:cs="Times New Roman"/>
                <w:sz w:val="24"/>
                <w:szCs w:val="24"/>
              </w:rPr>
              <w:t>ug/m</w:t>
            </w:r>
            <w:r>
              <w:rPr>
                <w:rFonts w:ascii="Times New Roman" w:hAnsi="Times New Roman" w:cs="Times New Roman"/>
                <w:sz w:val="24"/>
                <w:szCs w:val="24"/>
                <w:vertAlign w:val="superscript"/>
              </w:rPr>
              <w:t>3</w:t>
            </w:r>
            <w:r>
              <w:rPr>
                <w:rFonts w:ascii="Times New Roman" w:hAnsi="Times New Roman" w:cs="Times New Roman"/>
                <w:sz w:val="24"/>
                <w:szCs w:val="24"/>
              </w:rPr>
              <w:t>，根据《环境影响评价技术导则 大气环境》(HJ2.2-20</w:t>
            </w:r>
            <w:r>
              <w:rPr>
                <w:rFonts w:hint="eastAsia" w:ascii="Times New Roman" w:hAnsi="Times New Roman" w:cs="Times New Roman"/>
                <w:sz w:val="24"/>
                <w:szCs w:val="24"/>
              </w:rPr>
              <w:t>1</w:t>
            </w:r>
            <w:r>
              <w:rPr>
                <w:rFonts w:ascii="Times New Roman" w:hAnsi="Times New Roman" w:cs="Times New Roman"/>
                <w:sz w:val="24"/>
                <w:szCs w:val="24"/>
              </w:rPr>
              <w:t>8)分级判据，确定</w:t>
            </w:r>
            <w:r>
              <w:rPr>
                <w:rFonts w:hint="eastAsia" w:ascii="Times New Roman" w:hAnsi="Times New Roman" w:cs="Times New Roman"/>
                <w:sz w:val="24"/>
                <w:szCs w:val="24"/>
              </w:rPr>
              <w:t>本项目</w:t>
            </w:r>
            <w:r>
              <w:rPr>
                <w:rFonts w:ascii="Times New Roman" w:hAnsi="Times New Roman" w:cs="Times New Roman"/>
                <w:sz w:val="24"/>
                <w:szCs w:val="24"/>
              </w:rPr>
              <w:t>大气环境影响评价工作</w:t>
            </w:r>
            <w:r>
              <w:rPr>
                <w:rFonts w:ascii="Times New Roman" w:hAnsi="Times New Roman" w:cs="Times New Roman"/>
                <w:color w:val="auto"/>
                <w:sz w:val="24"/>
                <w:szCs w:val="24"/>
              </w:rPr>
              <w:t>等级为</w:t>
            </w:r>
            <w:r>
              <w:rPr>
                <w:rFonts w:hint="eastAsia" w:ascii="Times New Roman" w:hAnsi="Times New Roman" w:cs="Times New Roman"/>
                <w:color w:val="auto"/>
                <w:sz w:val="24"/>
                <w:szCs w:val="24"/>
              </w:rPr>
              <w:t>三</w:t>
            </w:r>
            <w:r>
              <w:rPr>
                <w:rFonts w:ascii="Times New Roman" w:hAnsi="Times New Roman" w:cs="Times New Roman"/>
                <w:color w:val="auto"/>
                <w:sz w:val="24"/>
                <w:szCs w:val="24"/>
              </w:rPr>
              <w:t>级。</w:t>
            </w:r>
          </w:p>
          <w:p>
            <w:pPr>
              <w:spacing w:line="480" w:lineRule="exact"/>
              <w:ind w:firstLine="371" w:firstLineChars="176"/>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表7-6  敏感点预测结果1</w:t>
            </w:r>
          </w:p>
          <w:tbl>
            <w:tblPr>
              <w:tblStyle w:val="69"/>
              <w:tblW w:w="8746" w:type="dxa"/>
              <w:jc w:val="center"/>
              <w:tblInd w:w="-118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03"/>
              <w:gridCol w:w="1605"/>
              <w:gridCol w:w="1365"/>
              <w:gridCol w:w="885"/>
              <w:gridCol w:w="1320"/>
              <w:gridCol w:w="16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8" w:hRule="atLeast"/>
                <w:jc w:val="center"/>
              </w:trPr>
              <w:tc>
                <w:tcPr>
                  <w:tcW w:w="7078" w:type="dxa"/>
                  <w:gridSpan w:val="5"/>
                  <w:noWrap w:val="0"/>
                  <w:vAlign w:val="center"/>
                </w:tcPr>
                <w:p>
                  <w:pPr>
                    <w:jc w:val="center"/>
                  </w:pPr>
                  <w:r>
                    <w:t>离散点信息</w:t>
                  </w:r>
                </w:p>
              </w:tc>
              <w:tc>
                <w:tcPr>
                  <w:tcW w:w="1668" w:type="dxa"/>
                  <w:noWrap w:val="0"/>
                  <w:vAlign w:val="center"/>
                </w:tcPr>
                <w:p>
                  <w:pPr>
                    <w:jc w:val="center"/>
                    <w:rPr>
                      <w:rFonts w:hint="eastAsia" w:eastAsia="宋体"/>
                      <w:lang w:eastAsia="zh-CN"/>
                    </w:rPr>
                  </w:pPr>
                  <w:r>
                    <w:t>点源1</w:t>
                  </w:r>
                  <w:r>
                    <w:rPr>
                      <w:rFonts w:hint="eastAsia"/>
                      <w:lang w:eastAsia="zh-CN"/>
                    </w:rPr>
                    <w:t>（浓度）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63" w:hRule="atLeast"/>
                <w:jc w:val="center"/>
              </w:trPr>
              <w:tc>
                <w:tcPr>
                  <w:tcW w:w="1903" w:type="dxa"/>
                  <w:noWrap w:val="0"/>
                  <w:vAlign w:val="center"/>
                </w:tcPr>
                <w:p>
                  <w:pPr>
                    <w:jc w:val="center"/>
                  </w:pPr>
                  <w:r>
                    <w:t>离散点名称</w:t>
                  </w:r>
                </w:p>
              </w:tc>
              <w:tc>
                <w:tcPr>
                  <w:tcW w:w="1605" w:type="dxa"/>
                  <w:noWrap w:val="0"/>
                  <w:vAlign w:val="center"/>
                </w:tcPr>
                <w:p>
                  <w:pPr>
                    <w:jc w:val="center"/>
                  </w:pPr>
                  <w:r>
                    <w:t>纬度</w:t>
                  </w:r>
                </w:p>
              </w:tc>
              <w:tc>
                <w:tcPr>
                  <w:tcW w:w="1365" w:type="dxa"/>
                  <w:noWrap w:val="0"/>
                  <w:vAlign w:val="center"/>
                </w:tcPr>
                <w:p>
                  <w:pPr>
                    <w:jc w:val="center"/>
                  </w:pPr>
                  <w:r>
                    <w:t>经度</w:t>
                  </w:r>
                </w:p>
              </w:tc>
              <w:tc>
                <w:tcPr>
                  <w:tcW w:w="885" w:type="dxa"/>
                  <w:noWrap w:val="0"/>
                  <w:vAlign w:val="center"/>
                </w:tcPr>
                <w:p>
                  <w:pPr>
                    <w:jc w:val="center"/>
                  </w:pPr>
                  <w:r>
                    <w:t>海拔</w:t>
                  </w:r>
                </w:p>
              </w:tc>
              <w:tc>
                <w:tcPr>
                  <w:tcW w:w="1320" w:type="dxa"/>
                  <w:noWrap w:val="0"/>
                  <w:vAlign w:val="center"/>
                </w:tcPr>
                <w:p>
                  <w:pPr>
                    <w:jc w:val="center"/>
                  </w:pPr>
                  <w:r>
                    <w:t>下风向距离</w:t>
                  </w:r>
                </w:p>
              </w:tc>
              <w:tc>
                <w:tcPr>
                  <w:tcW w:w="1668" w:type="dxa"/>
                  <w:noWrap w:val="0"/>
                  <w:vAlign w:val="center"/>
                </w:tcPr>
                <w:p>
                  <w:pPr>
                    <w:jc w:val="center"/>
                  </w:pPr>
                  <w:r>
                    <w:t>NMHC</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8" w:hRule="atLeast"/>
                <w:jc w:val="center"/>
              </w:trPr>
              <w:tc>
                <w:tcPr>
                  <w:tcW w:w="1903" w:type="dxa"/>
                  <w:noWrap w:val="0"/>
                  <w:vAlign w:val="center"/>
                </w:tcPr>
                <w:p>
                  <w:pPr>
                    <w:jc w:val="center"/>
                    <w:rPr>
                      <w:rFonts w:hint="eastAsia" w:eastAsia="宋体"/>
                      <w:lang w:val="en-US" w:eastAsia="zh-CN"/>
                    </w:rPr>
                  </w:pPr>
                  <w:r>
                    <w:t>住户</w:t>
                  </w:r>
                  <w:r>
                    <w:rPr>
                      <w:rFonts w:hint="eastAsia"/>
                      <w:lang w:val="en-US" w:eastAsia="zh-CN"/>
                    </w:rPr>
                    <w:t>1</w:t>
                  </w:r>
                </w:p>
              </w:tc>
              <w:tc>
                <w:tcPr>
                  <w:tcW w:w="1605" w:type="dxa"/>
                  <w:noWrap w:val="0"/>
                  <w:vAlign w:val="center"/>
                </w:tcPr>
                <w:p>
                  <w:pPr>
                    <w:jc w:val="center"/>
                  </w:pPr>
                  <w:r>
                    <w:t>103.847085</w:t>
                  </w:r>
                </w:p>
              </w:tc>
              <w:tc>
                <w:tcPr>
                  <w:tcW w:w="1365" w:type="dxa"/>
                  <w:noWrap w:val="0"/>
                  <w:vAlign w:val="center"/>
                </w:tcPr>
                <w:p>
                  <w:pPr>
                    <w:jc w:val="center"/>
                  </w:pPr>
                  <w:r>
                    <w:t>29.651259</w:t>
                  </w:r>
                </w:p>
              </w:tc>
              <w:tc>
                <w:tcPr>
                  <w:tcW w:w="885" w:type="dxa"/>
                  <w:noWrap w:val="0"/>
                  <w:vAlign w:val="center"/>
                </w:tcPr>
                <w:p>
                  <w:pPr>
                    <w:jc w:val="center"/>
                  </w:pPr>
                  <w:r>
                    <w:t>396.0</w:t>
                  </w:r>
                </w:p>
              </w:tc>
              <w:tc>
                <w:tcPr>
                  <w:tcW w:w="1320" w:type="dxa"/>
                  <w:noWrap w:val="0"/>
                  <w:vAlign w:val="center"/>
                </w:tcPr>
                <w:p>
                  <w:pPr>
                    <w:jc w:val="center"/>
                  </w:pPr>
                  <w:r>
                    <w:t>150.15</w:t>
                  </w:r>
                </w:p>
              </w:tc>
              <w:tc>
                <w:tcPr>
                  <w:tcW w:w="1668" w:type="dxa"/>
                  <w:noWrap w:val="0"/>
                  <w:vAlign w:val="center"/>
                </w:tcPr>
                <w:p>
                  <w:pPr>
                    <w:jc w:val="center"/>
                  </w:pPr>
                  <w:r>
                    <w:t>0.1932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8" w:hRule="atLeast"/>
                <w:jc w:val="center"/>
              </w:trPr>
              <w:tc>
                <w:tcPr>
                  <w:tcW w:w="1903" w:type="dxa"/>
                  <w:noWrap w:val="0"/>
                  <w:vAlign w:val="center"/>
                </w:tcPr>
                <w:p>
                  <w:pPr>
                    <w:jc w:val="center"/>
                    <w:rPr>
                      <w:rFonts w:hint="eastAsia" w:eastAsia="宋体"/>
                      <w:lang w:val="en-US" w:eastAsia="zh-CN"/>
                    </w:rPr>
                  </w:pPr>
                  <w:r>
                    <w:t>住户</w:t>
                  </w:r>
                  <w:r>
                    <w:rPr>
                      <w:rFonts w:hint="eastAsia"/>
                      <w:lang w:val="en-US" w:eastAsia="zh-CN"/>
                    </w:rPr>
                    <w:t>2</w:t>
                  </w:r>
                </w:p>
              </w:tc>
              <w:tc>
                <w:tcPr>
                  <w:tcW w:w="1605" w:type="dxa"/>
                  <w:noWrap w:val="0"/>
                  <w:vAlign w:val="center"/>
                </w:tcPr>
                <w:p>
                  <w:pPr>
                    <w:jc w:val="center"/>
                  </w:pPr>
                  <w:r>
                    <w:t>103.84728</w:t>
                  </w:r>
                </w:p>
              </w:tc>
              <w:tc>
                <w:tcPr>
                  <w:tcW w:w="1365" w:type="dxa"/>
                  <w:noWrap w:val="0"/>
                  <w:vAlign w:val="center"/>
                </w:tcPr>
                <w:p>
                  <w:pPr>
                    <w:jc w:val="center"/>
                  </w:pPr>
                  <w:r>
                    <w:t>29.651567</w:t>
                  </w:r>
                </w:p>
              </w:tc>
              <w:tc>
                <w:tcPr>
                  <w:tcW w:w="885" w:type="dxa"/>
                  <w:noWrap w:val="0"/>
                  <w:vAlign w:val="center"/>
                </w:tcPr>
                <w:p>
                  <w:pPr>
                    <w:jc w:val="center"/>
                  </w:pPr>
                  <w:r>
                    <w:t>396.0</w:t>
                  </w:r>
                </w:p>
              </w:tc>
              <w:tc>
                <w:tcPr>
                  <w:tcW w:w="1320" w:type="dxa"/>
                  <w:noWrap w:val="0"/>
                  <w:vAlign w:val="center"/>
                </w:tcPr>
                <w:p>
                  <w:pPr>
                    <w:jc w:val="center"/>
                  </w:pPr>
                  <w:r>
                    <w:t>159.92</w:t>
                  </w:r>
                </w:p>
              </w:tc>
              <w:tc>
                <w:tcPr>
                  <w:tcW w:w="1668" w:type="dxa"/>
                  <w:noWrap w:val="0"/>
                  <w:vAlign w:val="center"/>
                </w:tcPr>
                <w:p>
                  <w:pPr>
                    <w:jc w:val="center"/>
                  </w:pPr>
                  <w:r>
                    <w:t>0.2094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8" w:hRule="atLeast"/>
                <w:jc w:val="center"/>
              </w:trPr>
              <w:tc>
                <w:tcPr>
                  <w:tcW w:w="1903" w:type="dxa"/>
                  <w:noWrap w:val="0"/>
                  <w:vAlign w:val="center"/>
                </w:tcPr>
                <w:p>
                  <w:pPr>
                    <w:jc w:val="center"/>
                    <w:rPr>
                      <w:rFonts w:hint="eastAsia" w:eastAsia="宋体"/>
                      <w:lang w:val="en-US" w:eastAsia="zh-CN"/>
                    </w:rPr>
                  </w:pPr>
                  <w:r>
                    <w:t>住户</w:t>
                  </w:r>
                  <w:r>
                    <w:rPr>
                      <w:rFonts w:hint="eastAsia"/>
                      <w:lang w:val="en-US" w:eastAsia="zh-CN"/>
                    </w:rPr>
                    <w:t>3</w:t>
                  </w:r>
                </w:p>
              </w:tc>
              <w:tc>
                <w:tcPr>
                  <w:tcW w:w="1605" w:type="dxa"/>
                  <w:noWrap w:val="0"/>
                  <w:vAlign w:val="center"/>
                </w:tcPr>
                <w:p>
                  <w:pPr>
                    <w:jc w:val="center"/>
                  </w:pPr>
                  <w:r>
                    <w:t>103.847404</w:t>
                  </w:r>
                </w:p>
              </w:tc>
              <w:tc>
                <w:tcPr>
                  <w:tcW w:w="1365" w:type="dxa"/>
                  <w:noWrap w:val="0"/>
                  <w:vAlign w:val="center"/>
                </w:tcPr>
                <w:p>
                  <w:pPr>
                    <w:jc w:val="center"/>
                  </w:pPr>
                  <w:r>
                    <w:t>29.651876</w:t>
                  </w:r>
                </w:p>
              </w:tc>
              <w:tc>
                <w:tcPr>
                  <w:tcW w:w="885" w:type="dxa"/>
                  <w:noWrap w:val="0"/>
                  <w:vAlign w:val="center"/>
                </w:tcPr>
                <w:p>
                  <w:pPr>
                    <w:jc w:val="center"/>
                  </w:pPr>
                  <w:r>
                    <w:t>396.0</w:t>
                  </w:r>
                </w:p>
              </w:tc>
              <w:tc>
                <w:tcPr>
                  <w:tcW w:w="1320" w:type="dxa"/>
                  <w:noWrap w:val="0"/>
                  <w:vAlign w:val="center"/>
                </w:tcPr>
                <w:p>
                  <w:pPr>
                    <w:jc w:val="center"/>
                  </w:pPr>
                  <w:r>
                    <w:t>171.11</w:t>
                  </w:r>
                </w:p>
              </w:tc>
              <w:tc>
                <w:tcPr>
                  <w:tcW w:w="1668" w:type="dxa"/>
                  <w:noWrap w:val="0"/>
                  <w:vAlign w:val="center"/>
                </w:tcPr>
                <w:p>
                  <w:pPr>
                    <w:jc w:val="center"/>
                  </w:pPr>
                  <w:r>
                    <w:t>0.2219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13" w:hRule="atLeast"/>
                <w:jc w:val="center"/>
              </w:trPr>
              <w:tc>
                <w:tcPr>
                  <w:tcW w:w="1903" w:type="dxa"/>
                  <w:noWrap w:val="0"/>
                  <w:vAlign w:val="center"/>
                </w:tcPr>
                <w:p>
                  <w:pPr>
                    <w:jc w:val="center"/>
                    <w:rPr>
                      <w:rFonts w:hint="eastAsia" w:eastAsia="宋体"/>
                      <w:lang w:val="en-US" w:eastAsia="zh-CN"/>
                    </w:rPr>
                  </w:pPr>
                  <w:r>
                    <w:t>住户</w:t>
                  </w:r>
                  <w:r>
                    <w:rPr>
                      <w:rFonts w:hint="eastAsia"/>
                      <w:lang w:val="en-US" w:eastAsia="zh-CN"/>
                    </w:rPr>
                    <w:t>4</w:t>
                  </w:r>
                </w:p>
              </w:tc>
              <w:tc>
                <w:tcPr>
                  <w:tcW w:w="1605" w:type="dxa"/>
                  <w:noWrap w:val="0"/>
                  <w:vAlign w:val="center"/>
                </w:tcPr>
                <w:p>
                  <w:pPr>
                    <w:jc w:val="center"/>
                  </w:pPr>
                  <w:r>
                    <w:t>103.847493</w:t>
                  </w:r>
                </w:p>
              </w:tc>
              <w:tc>
                <w:tcPr>
                  <w:tcW w:w="1365" w:type="dxa"/>
                  <w:noWrap w:val="0"/>
                  <w:vAlign w:val="center"/>
                </w:tcPr>
                <w:p>
                  <w:pPr>
                    <w:jc w:val="center"/>
                  </w:pPr>
                  <w:r>
                    <w:t>29.652169</w:t>
                  </w:r>
                </w:p>
              </w:tc>
              <w:tc>
                <w:tcPr>
                  <w:tcW w:w="885" w:type="dxa"/>
                  <w:noWrap w:val="0"/>
                  <w:vAlign w:val="center"/>
                </w:tcPr>
                <w:p>
                  <w:pPr>
                    <w:jc w:val="center"/>
                  </w:pPr>
                  <w:r>
                    <w:t>399.0</w:t>
                  </w:r>
                </w:p>
              </w:tc>
              <w:tc>
                <w:tcPr>
                  <w:tcW w:w="1320" w:type="dxa"/>
                  <w:noWrap w:val="0"/>
                  <w:vAlign w:val="center"/>
                </w:tcPr>
                <w:p>
                  <w:pPr>
                    <w:jc w:val="center"/>
                  </w:pPr>
                  <w:r>
                    <w:t>185.04</w:t>
                  </w:r>
                </w:p>
              </w:tc>
              <w:tc>
                <w:tcPr>
                  <w:tcW w:w="1668" w:type="dxa"/>
                  <w:noWrap w:val="0"/>
                  <w:vAlign w:val="center"/>
                </w:tcPr>
                <w:p>
                  <w:pPr>
                    <w:jc w:val="center"/>
                  </w:pPr>
                  <w:r>
                    <w:t>0.2923</w:t>
                  </w:r>
                </w:p>
              </w:tc>
            </w:tr>
          </w:tbl>
          <w:p>
            <w:pPr>
              <w:spacing w:line="480" w:lineRule="exact"/>
              <w:ind w:firstLine="371" w:firstLineChars="176"/>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表7-7  敏感点预测结果2</w:t>
            </w:r>
          </w:p>
          <w:tbl>
            <w:tblPr>
              <w:tblStyle w:val="70"/>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305"/>
              <w:gridCol w:w="1125"/>
              <w:gridCol w:w="810"/>
              <w:gridCol w:w="1328"/>
              <w:gridCol w:w="1148"/>
              <w:gridCol w:w="1148"/>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46" w:type="dxa"/>
                  <w:gridSpan w:val="5"/>
                  <w:tcBorders>
                    <w:top w:val="single" w:color="auto" w:sz="4" w:space="0"/>
                    <w:left w:val="single" w:color="auto" w:sz="4" w:space="0"/>
                    <w:bottom w:val="single" w:color="auto" w:sz="4" w:space="0"/>
                    <w:right w:val="single" w:color="auto" w:sz="4" w:space="0"/>
                  </w:tcBorders>
                  <w:noWrap w:val="0"/>
                  <w:vAlign w:val="center"/>
                </w:tcPr>
                <w:p>
                  <w:pPr>
                    <w:jc w:val="center"/>
                  </w:pPr>
                  <w:r>
                    <w:t>离散点信息</w:t>
                  </w:r>
                </w:p>
              </w:tc>
              <w:tc>
                <w:tcPr>
                  <w:tcW w:w="34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lang w:eastAsia="zh-CN"/>
                    </w:rPr>
                  </w:pPr>
                  <w:r>
                    <w:t>点源2</w:t>
                  </w:r>
                  <w:r>
                    <w:rPr>
                      <w:rFonts w:hint="eastAsia"/>
                      <w:lang w:eastAsia="zh-CN"/>
                    </w:rPr>
                    <w:t>（浓度）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离散点名称</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纬度</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经度</w:t>
                  </w: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海拔</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下风向距离</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center"/>
                  </w:pPr>
                  <w:r>
                    <w:t>NO</w:t>
                  </w:r>
                  <w:r>
                    <w:rPr>
                      <w:vertAlign w:val="subscript"/>
                    </w:rPr>
                    <w:t>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center"/>
                  </w:pPr>
                  <w:r>
                    <w:t>SO</w:t>
                  </w:r>
                  <w:r>
                    <w:rPr>
                      <w:vertAlign w:val="subscript"/>
                    </w:rPr>
                    <w:t>2</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jc w:val="center"/>
                  </w:pPr>
                  <w:r>
                    <w:t>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lang w:val="en-US" w:eastAsia="zh-CN"/>
                    </w:rPr>
                  </w:pPr>
                  <w:r>
                    <w:t>住户</w:t>
                  </w:r>
                  <w:r>
                    <w:rPr>
                      <w:rFonts w:hint="eastAsia"/>
                      <w:lang w:val="en-US" w:eastAsia="zh-CN"/>
                    </w:rPr>
                    <w:t>1</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pPr>
                  <w:r>
                    <w:t>103.847085</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pPr>
                  <w:r>
                    <w:t>29.651259</w:t>
                  </w: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pPr>
                  <w:r>
                    <w:t>396.0</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pPr>
                  <w:r>
                    <w:t>158.52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center"/>
                  </w:pPr>
                  <w:r>
                    <w:t>0.477</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center"/>
                  </w:pPr>
                  <w:r>
                    <w:t>0.0763</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jc w:val="center"/>
                  </w:pPr>
                  <w:r>
                    <w:t>0.1821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278" w:type="dxa"/>
                  <w:noWrap w:val="0"/>
                  <w:vAlign w:val="center"/>
                </w:tcPr>
                <w:p>
                  <w:pPr>
                    <w:jc w:val="center"/>
                    <w:rPr>
                      <w:rFonts w:hint="eastAsia" w:eastAsia="宋体"/>
                      <w:lang w:val="en-US" w:eastAsia="zh-CN"/>
                    </w:rPr>
                  </w:pPr>
                  <w:r>
                    <w:t>住户</w:t>
                  </w:r>
                  <w:r>
                    <w:rPr>
                      <w:rFonts w:hint="eastAsia"/>
                      <w:lang w:val="en-US" w:eastAsia="zh-CN"/>
                    </w:rPr>
                    <w:t>2</w:t>
                  </w:r>
                </w:p>
              </w:tc>
              <w:tc>
                <w:tcPr>
                  <w:tcW w:w="1305" w:type="dxa"/>
                  <w:noWrap w:val="0"/>
                  <w:vAlign w:val="center"/>
                </w:tcPr>
                <w:p>
                  <w:pPr>
                    <w:jc w:val="center"/>
                  </w:pPr>
                  <w:r>
                    <w:t>103.84728</w:t>
                  </w:r>
                </w:p>
              </w:tc>
              <w:tc>
                <w:tcPr>
                  <w:tcW w:w="1125" w:type="dxa"/>
                  <w:noWrap w:val="0"/>
                  <w:vAlign w:val="center"/>
                </w:tcPr>
                <w:p>
                  <w:pPr>
                    <w:jc w:val="center"/>
                  </w:pPr>
                  <w:r>
                    <w:t>29.651567</w:t>
                  </w:r>
                </w:p>
              </w:tc>
              <w:tc>
                <w:tcPr>
                  <w:tcW w:w="810" w:type="dxa"/>
                  <w:noWrap w:val="0"/>
                  <w:vAlign w:val="center"/>
                </w:tcPr>
                <w:p>
                  <w:pPr>
                    <w:jc w:val="center"/>
                  </w:pPr>
                  <w:r>
                    <w:t>396.0</w:t>
                  </w:r>
                </w:p>
              </w:tc>
              <w:tc>
                <w:tcPr>
                  <w:tcW w:w="1328" w:type="dxa"/>
                  <w:noWrap w:val="0"/>
                  <w:vAlign w:val="center"/>
                </w:tcPr>
                <w:p>
                  <w:pPr>
                    <w:jc w:val="center"/>
                  </w:pPr>
                  <w:r>
                    <w:t>165.85</w:t>
                  </w:r>
                </w:p>
              </w:tc>
              <w:tc>
                <w:tcPr>
                  <w:tcW w:w="1148" w:type="dxa"/>
                  <w:noWrap w:val="0"/>
                  <w:vAlign w:val="center"/>
                </w:tcPr>
                <w:p>
                  <w:pPr>
                    <w:jc w:val="center"/>
                  </w:pPr>
                  <w:r>
                    <w:t>0.7336</w:t>
                  </w:r>
                </w:p>
              </w:tc>
              <w:tc>
                <w:tcPr>
                  <w:tcW w:w="1148" w:type="dxa"/>
                  <w:noWrap w:val="0"/>
                  <w:vAlign w:val="center"/>
                </w:tcPr>
                <w:p>
                  <w:pPr>
                    <w:jc w:val="center"/>
                  </w:pPr>
                  <w:r>
                    <w:t>0.1173</w:t>
                  </w:r>
                </w:p>
              </w:tc>
              <w:tc>
                <w:tcPr>
                  <w:tcW w:w="1144" w:type="dxa"/>
                  <w:noWrap w:val="0"/>
                  <w:vAlign w:val="center"/>
                </w:tcPr>
                <w:p>
                  <w:pPr>
                    <w:jc w:val="center"/>
                  </w:pPr>
                  <w:r>
                    <w:t>0.2801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278" w:type="dxa"/>
                  <w:noWrap w:val="0"/>
                  <w:vAlign w:val="center"/>
                </w:tcPr>
                <w:p>
                  <w:pPr>
                    <w:jc w:val="center"/>
                    <w:rPr>
                      <w:rFonts w:hint="eastAsia" w:eastAsia="宋体"/>
                      <w:lang w:val="en-US" w:eastAsia="zh-CN"/>
                    </w:rPr>
                  </w:pPr>
                  <w:r>
                    <w:t>住户</w:t>
                  </w:r>
                  <w:r>
                    <w:rPr>
                      <w:rFonts w:hint="eastAsia"/>
                      <w:lang w:val="en-US" w:eastAsia="zh-CN"/>
                    </w:rPr>
                    <w:t>3</w:t>
                  </w:r>
                </w:p>
              </w:tc>
              <w:tc>
                <w:tcPr>
                  <w:tcW w:w="1305" w:type="dxa"/>
                  <w:noWrap w:val="0"/>
                  <w:vAlign w:val="center"/>
                </w:tcPr>
                <w:p>
                  <w:pPr>
                    <w:jc w:val="center"/>
                  </w:pPr>
                  <w:r>
                    <w:t>103.847404</w:t>
                  </w:r>
                </w:p>
              </w:tc>
              <w:tc>
                <w:tcPr>
                  <w:tcW w:w="1125" w:type="dxa"/>
                  <w:noWrap w:val="0"/>
                  <w:vAlign w:val="center"/>
                </w:tcPr>
                <w:p>
                  <w:pPr>
                    <w:jc w:val="center"/>
                  </w:pPr>
                  <w:r>
                    <w:t>29.651876</w:t>
                  </w:r>
                </w:p>
              </w:tc>
              <w:tc>
                <w:tcPr>
                  <w:tcW w:w="810" w:type="dxa"/>
                  <w:noWrap w:val="0"/>
                  <w:vAlign w:val="center"/>
                </w:tcPr>
                <w:p>
                  <w:pPr>
                    <w:jc w:val="center"/>
                  </w:pPr>
                  <w:r>
                    <w:t>396.0</w:t>
                  </w:r>
                </w:p>
              </w:tc>
              <w:tc>
                <w:tcPr>
                  <w:tcW w:w="1328" w:type="dxa"/>
                  <w:noWrap w:val="0"/>
                  <w:vAlign w:val="center"/>
                </w:tcPr>
                <w:p>
                  <w:pPr>
                    <w:jc w:val="center"/>
                  </w:pPr>
                  <w:r>
                    <w:t>174.63</w:t>
                  </w:r>
                </w:p>
              </w:tc>
              <w:tc>
                <w:tcPr>
                  <w:tcW w:w="1148" w:type="dxa"/>
                  <w:noWrap w:val="0"/>
                  <w:vAlign w:val="center"/>
                </w:tcPr>
                <w:p>
                  <w:pPr>
                    <w:jc w:val="center"/>
                  </w:pPr>
                  <w:r>
                    <w:t>1.0384</w:t>
                  </w:r>
                </w:p>
              </w:tc>
              <w:tc>
                <w:tcPr>
                  <w:tcW w:w="1148" w:type="dxa"/>
                  <w:noWrap w:val="0"/>
                  <w:vAlign w:val="center"/>
                </w:tcPr>
                <w:p>
                  <w:pPr>
                    <w:jc w:val="center"/>
                  </w:pPr>
                  <w:r>
                    <w:t>0.1661</w:t>
                  </w:r>
                </w:p>
              </w:tc>
              <w:tc>
                <w:tcPr>
                  <w:tcW w:w="1144" w:type="dxa"/>
                  <w:noWrap w:val="0"/>
                  <w:vAlign w:val="center"/>
                </w:tcPr>
                <w:p>
                  <w:pPr>
                    <w:jc w:val="center"/>
                  </w:pPr>
                  <w:r>
                    <w:t>0.3965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1278" w:type="dxa"/>
                  <w:noWrap w:val="0"/>
                  <w:vAlign w:val="center"/>
                </w:tcPr>
                <w:p>
                  <w:pPr>
                    <w:jc w:val="center"/>
                    <w:rPr>
                      <w:rFonts w:hint="eastAsia" w:eastAsia="宋体"/>
                      <w:lang w:val="en-US" w:eastAsia="zh-CN"/>
                    </w:rPr>
                  </w:pPr>
                  <w:r>
                    <w:t>住户</w:t>
                  </w:r>
                  <w:r>
                    <w:rPr>
                      <w:rFonts w:hint="eastAsia"/>
                      <w:lang w:val="en-US" w:eastAsia="zh-CN"/>
                    </w:rPr>
                    <w:t>4</w:t>
                  </w:r>
                </w:p>
              </w:tc>
              <w:tc>
                <w:tcPr>
                  <w:tcW w:w="1305" w:type="dxa"/>
                  <w:noWrap w:val="0"/>
                  <w:vAlign w:val="center"/>
                </w:tcPr>
                <w:p>
                  <w:pPr>
                    <w:jc w:val="center"/>
                  </w:pPr>
                  <w:r>
                    <w:t>103.847493</w:t>
                  </w:r>
                </w:p>
              </w:tc>
              <w:tc>
                <w:tcPr>
                  <w:tcW w:w="1125" w:type="dxa"/>
                  <w:noWrap w:val="0"/>
                  <w:vAlign w:val="center"/>
                </w:tcPr>
                <w:p>
                  <w:pPr>
                    <w:jc w:val="center"/>
                  </w:pPr>
                  <w:r>
                    <w:t>29.652169</w:t>
                  </w:r>
                </w:p>
              </w:tc>
              <w:tc>
                <w:tcPr>
                  <w:tcW w:w="810" w:type="dxa"/>
                  <w:noWrap w:val="0"/>
                  <w:vAlign w:val="center"/>
                </w:tcPr>
                <w:p>
                  <w:pPr>
                    <w:jc w:val="center"/>
                  </w:pPr>
                  <w:r>
                    <w:t>399.0</w:t>
                  </w:r>
                </w:p>
              </w:tc>
              <w:tc>
                <w:tcPr>
                  <w:tcW w:w="1328" w:type="dxa"/>
                  <w:noWrap w:val="0"/>
                  <w:vAlign w:val="center"/>
                </w:tcPr>
                <w:p>
                  <w:pPr>
                    <w:jc w:val="center"/>
                  </w:pPr>
                  <w:r>
                    <w:t>186.44</w:t>
                  </w:r>
                </w:p>
              </w:tc>
              <w:tc>
                <w:tcPr>
                  <w:tcW w:w="1148" w:type="dxa"/>
                  <w:noWrap w:val="0"/>
                  <w:vAlign w:val="center"/>
                </w:tcPr>
                <w:p>
                  <w:pPr>
                    <w:jc w:val="center"/>
                  </w:pPr>
                  <w:r>
                    <w:t>1.1879</w:t>
                  </w:r>
                </w:p>
              </w:tc>
              <w:tc>
                <w:tcPr>
                  <w:tcW w:w="1148" w:type="dxa"/>
                  <w:noWrap w:val="0"/>
                  <w:vAlign w:val="center"/>
                </w:tcPr>
                <w:p>
                  <w:pPr>
                    <w:jc w:val="center"/>
                  </w:pPr>
                  <w:r>
                    <w:t>0.19</w:t>
                  </w:r>
                </w:p>
              </w:tc>
              <w:tc>
                <w:tcPr>
                  <w:tcW w:w="1144" w:type="dxa"/>
                  <w:noWrap w:val="0"/>
                  <w:vAlign w:val="center"/>
                </w:tcPr>
                <w:p>
                  <w:pPr>
                    <w:jc w:val="center"/>
                  </w:pPr>
                  <w:r>
                    <w:t>0.4536</w:t>
                  </w:r>
                </w:p>
              </w:tc>
            </w:tr>
          </w:tbl>
          <w:p>
            <w:pPr>
              <w:spacing w:line="480" w:lineRule="exact"/>
              <w:ind w:firstLine="371" w:firstLineChars="176"/>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表7-8  敏感点预测结果3</w:t>
            </w:r>
          </w:p>
          <w:tbl>
            <w:tblPr>
              <w:tblStyle w:val="70"/>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305"/>
              <w:gridCol w:w="1125"/>
              <w:gridCol w:w="810"/>
              <w:gridCol w:w="1328"/>
              <w:gridCol w:w="1148"/>
              <w:gridCol w:w="1148"/>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46" w:type="dxa"/>
                  <w:gridSpan w:val="5"/>
                  <w:tcBorders>
                    <w:top w:val="single" w:color="auto" w:sz="4" w:space="0"/>
                    <w:left w:val="single" w:color="auto" w:sz="4" w:space="0"/>
                    <w:bottom w:val="single" w:color="auto" w:sz="4" w:space="0"/>
                    <w:right w:val="single" w:color="auto" w:sz="4" w:space="0"/>
                  </w:tcBorders>
                  <w:noWrap w:val="0"/>
                  <w:vAlign w:val="center"/>
                </w:tcPr>
                <w:p>
                  <w:pPr>
                    <w:jc w:val="center"/>
                  </w:pPr>
                  <w:r>
                    <w:t>离散点信息</w:t>
                  </w:r>
                </w:p>
              </w:tc>
              <w:tc>
                <w:tcPr>
                  <w:tcW w:w="34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lang w:eastAsia="zh-CN"/>
                    </w:rPr>
                  </w:pPr>
                  <w:r>
                    <w:t>点源</w:t>
                  </w:r>
                  <w:r>
                    <w:rPr>
                      <w:rFonts w:hint="eastAsia"/>
                      <w:lang w:val="en-US" w:eastAsia="zh-CN"/>
                    </w:rPr>
                    <w:t>3</w:t>
                  </w:r>
                  <w:r>
                    <w:rPr>
                      <w:rFonts w:hint="eastAsia"/>
                      <w:lang w:eastAsia="zh-CN"/>
                    </w:rPr>
                    <w:t>（浓度）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离散点名称</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纬度</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经度</w:t>
                  </w: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海拔</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下风向距离</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center"/>
                  </w:pPr>
                  <w:r>
                    <w:t>NO</w:t>
                  </w:r>
                  <w:r>
                    <w:rPr>
                      <w:vertAlign w:val="subscript"/>
                    </w:rPr>
                    <w:t>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center"/>
                  </w:pPr>
                  <w:r>
                    <w:t>SO</w:t>
                  </w:r>
                  <w:r>
                    <w:rPr>
                      <w:vertAlign w:val="subscript"/>
                    </w:rPr>
                    <w:t>2</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jc w:val="center"/>
                  </w:pPr>
                  <w:r>
                    <w:t>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lang w:val="en-US" w:eastAsia="zh-CN"/>
                    </w:rPr>
                  </w:pPr>
                  <w:r>
                    <w:t>住户</w:t>
                  </w:r>
                  <w:r>
                    <w:rPr>
                      <w:rFonts w:hint="eastAsia"/>
                      <w:lang w:val="en-US" w:eastAsia="zh-CN"/>
                    </w:rPr>
                    <w:t>1</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pPr>
                  <w:r>
                    <w:t>103.847085</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pPr>
                  <w:r>
                    <w:t>29.651259</w:t>
                  </w: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pPr>
                  <w:r>
                    <w:t>396.0</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pPr>
                  <w:r>
                    <w:t>162.76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center"/>
                  </w:pPr>
                  <w:r>
                    <w:t>0.5951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center"/>
                  </w:pPr>
                  <w:r>
                    <w:t>0.0952</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jc w:val="center"/>
                  </w:pPr>
                  <w:r>
                    <w:t>0.2272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1278" w:type="dxa"/>
                  <w:noWrap w:val="0"/>
                  <w:vAlign w:val="center"/>
                </w:tcPr>
                <w:p>
                  <w:pPr>
                    <w:jc w:val="center"/>
                    <w:rPr>
                      <w:rFonts w:hint="eastAsia" w:eastAsia="宋体"/>
                      <w:lang w:val="en-US" w:eastAsia="zh-CN"/>
                    </w:rPr>
                  </w:pPr>
                  <w:r>
                    <w:t>住户</w:t>
                  </w:r>
                  <w:r>
                    <w:rPr>
                      <w:rFonts w:hint="eastAsia"/>
                      <w:lang w:val="en-US" w:eastAsia="zh-CN"/>
                    </w:rPr>
                    <w:t>2</w:t>
                  </w:r>
                </w:p>
              </w:tc>
              <w:tc>
                <w:tcPr>
                  <w:tcW w:w="1305" w:type="dxa"/>
                  <w:noWrap w:val="0"/>
                  <w:vAlign w:val="center"/>
                </w:tcPr>
                <w:p>
                  <w:pPr>
                    <w:jc w:val="center"/>
                  </w:pPr>
                  <w:r>
                    <w:t>103.84728</w:t>
                  </w:r>
                </w:p>
              </w:tc>
              <w:tc>
                <w:tcPr>
                  <w:tcW w:w="1125" w:type="dxa"/>
                  <w:noWrap w:val="0"/>
                  <w:vAlign w:val="center"/>
                </w:tcPr>
                <w:p>
                  <w:pPr>
                    <w:jc w:val="center"/>
                  </w:pPr>
                  <w:r>
                    <w:t>29.651567</w:t>
                  </w:r>
                </w:p>
              </w:tc>
              <w:tc>
                <w:tcPr>
                  <w:tcW w:w="810" w:type="dxa"/>
                  <w:noWrap w:val="0"/>
                  <w:vAlign w:val="center"/>
                </w:tcPr>
                <w:p>
                  <w:pPr>
                    <w:jc w:val="center"/>
                  </w:pPr>
                  <w:r>
                    <w:t>396.0</w:t>
                  </w:r>
                </w:p>
              </w:tc>
              <w:tc>
                <w:tcPr>
                  <w:tcW w:w="1328" w:type="dxa"/>
                  <w:noWrap w:val="0"/>
                  <w:vAlign w:val="center"/>
                </w:tcPr>
                <w:p>
                  <w:pPr>
                    <w:jc w:val="center"/>
                  </w:pPr>
                  <w:r>
                    <w:t>169.2</w:t>
                  </w:r>
                </w:p>
              </w:tc>
              <w:tc>
                <w:tcPr>
                  <w:tcW w:w="1148" w:type="dxa"/>
                  <w:noWrap w:val="0"/>
                  <w:vAlign w:val="center"/>
                </w:tcPr>
                <w:p>
                  <w:pPr>
                    <w:jc w:val="center"/>
                  </w:pPr>
                  <w:r>
                    <w:t>0.8703</w:t>
                  </w:r>
                </w:p>
              </w:tc>
              <w:tc>
                <w:tcPr>
                  <w:tcW w:w="1148" w:type="dxa"/>
                  <w:noWrap w:val="0"/>
                  <w:vAlign w:val="center"/>
                </w:tcPr>
                <w:p>
                  <w:pPr>
                    <w:jc w:val="center"/>
                  </w:pPr>
                  <w:r>
                    <w:t>0.1392</w:t>
                  </w:r>
                </w:p>
              </w:tc>
              <w:tc>
                <w:tcPr>
                  <w:tcW w:w="1144" w:type="dxa"/>
                  <w:noWrap w:val="0"/>
                  <w:vAlign w:val="center"/>
                </w:tcPr>
                <w:p>
                  <w:pPr>
                    <w:jc w:val="center"/>
                  </w:pPr>
                  <w:r>
                    <w:t>0.3323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278" w:type="dxa"/>
                  <w:noWrap w:val="0"/>
                  <w:vAlign w:val="center"/>
                </w:tcPr>
                <w:p>
                  <w:pPr>
                    <w:jc w:val="center"/>
                    <w:rPr>
                      <w:rFonts w:hint="eastAsia" w:eastAsia="宋体"/>
                      <w:lang w:val="en-US" w:eastAsia="zh-CN"/>
                    </w:rPr>
                  </w:pPr>
                  <w:r>
                    <w:t>住户</w:t>
                  </w:r>
                  <w:r>
                    <w:rPr>
                      <w:rFonts w:hint="eastAsia"/>
                      <w:lang w:val="en-US" w:eastAsia="zh-CN"/>
                    </w:rPr>
                    <w:t>3</w:t>
                  </w:r>
                </w:p>
              </w:tc>
              <w:tc>
                <w:tcPr>
                  <w:tcW w:w="1305" w:type="dxa"/>
                  <w:noWrap w:val="0"/>
                  <w:vAlign w:val="center"/>
                </w:tcPr>
                <w:p>
                  <w:pPr>
                    <w:jc w:val="center"/>
                  </w:pPr>
                  <w:r>
                    <w:t>103.847404</w:t>
                  </w:r>
                </w:p>
              </w:tc>
              <w:tc>
                <w:tcPr>
                  <w:tcW w:w="1125" w:type="dxa"/>
                  <w:noWrap w:val="0"/>
                  <w:vAlign w:val="center"/>
                </w:tcPr>
                <w:p>
                  <w:pPr>
                    <w:jc w:val="center"/>
                  </w:pPr>
                  <w:r>
                    <w:t>29.651876</w:t>
                  </w:r>
                </w:p>
              </w:tc>
              <w:tc>
                <w:tcPr>
                  <w:tcW w:w="810" w:type="dxa"/>
                  <w:noWrap w:val="0"/>
                  <w:vAlign w:val="center"/>
                </w:tcPr>
                <w:p>
                  <w:pPr>
                    <w:jc w:val="center"/>
                  </w:pPr>
                  <w:r>
                    <w:t>396.0</w:t>
                  </w:r>
                </w:p>
              </w:tc>
              <w:tc>
                <w:tcPr>
                  <w:tcW w:w="1328" w:type="dxa"/>
                  <w:noWrap w:val="0"/>
                  <w:vAlign w:val="center"/>
                </w:tcPr>
                <w:p>
                  <w:pPr>
                    <w:jc w:val="center"/>
                  </w:pPr>
                  <w:r>
                    <w:t>177.06</w:t>
                  </w:r>
                </w:p>
              </w:tc>
              <w:tc>
                <w:tcPr>
                  <w:tcW w:w="1148" w:type="dxa"/>
                  <w:noWrap w:val="0"/>
                  <w:vAlign w:val="center"/>
                </w:tcPr>
                <w:p>
                  <w:pPr>
                    <w:jc w:val="center"/>
                  </w:pPr>
                  <w:r>
                    <w:t>1.0746</w:t>
                  </w:r>
                </w:p>
              </w:tc>
              <w:tc>
                <w:tcPr>
                  <w:tcW w:w="1148" w:type="dxa"/>
                  <w:noWrap w:val="0"/>
                  <w:vAlign w:val="center"/>
                </w:tcPr>
                <w:p>
                  <w:pPr>
                    <w:jc w:val="center"/>
                  </w:pPr>
                  <w:r>
                    <w:t>0.1719</w:t>
                  </w:r>
                </w:p>
              </w:tc>
              <w:tc>
                <w:tcPr>
                  <w:tcW w:w="1144" w:type="dxa"/>
                  <w:noWrap w:val="0"/>
                  <w:vAlign w:val="center"/>
                </w:tcPr>
                <w:p>
                  <w:pPr>
                    <w:jc w:val="center"/>
                  </w:pPr>
                  <w:r>
                    <w:t>0.4103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278" w:type="dxa"/>
                  <w:noWrap w:val="0"/>
                  <w:vAlign w:val="center"/>
                </w:tcPr>
                <w:p>
                  <w:pPr>
                    <w:jc w:val="center"/>
                    <w:rPr>
                      <w:rFonts w:hint="eastAsia" w:eastAsia="宋体"/>
                      <w:lang w:val="en-US" w:eastAsia="zh-CN"/>
                    </w:rPr>
                  </w:pPr>
                  <w:r>
                    <w:t>住户</w:t>
                  </w:r>
                  <w:r>
                    <w:rPr>
                      <w:rFonts w:hint="eastAsia"/>
                      <w:lang w:val="en-US" w:eastAsia="zh-CN"/>
                    </w:rPr>
                    <w:t>4</w:t>
                  </w:r>
                </w:p>
              </w:tc>
              <w:tc>
                <w:tcPr>
                  <w:tcW w:w="1305" w:type="dxa"/>
                  <w:noWrap w:val="0"/>
                  <w:vAlign w:val="center"/>
                </w:tcPr>
                <w:p>
                  <w:pPr>
                    <w:jc w:val="center"/>
                  </w:pPr>
                  <w:r>
                    <w:t>103.847493</w:t>
                  </w:r>
                </w:p>
              </w:tc>
              <w:tc>
                <w:tcPr>
                  <w:tcW w:w="1125" w:type="dxa"/>
                  <w:noWrap w:val="0"/>
                  <w:vAlign w:val="center"/>
                </w:tcPr>
                <w:p>
                  <w:pPr>
                    <w:jc w:val="center"/>
                  </w:pPr>
                  <w:r>
                    <w:t>29.652169</w:t>
                  </w:r>
                </w:p>
              </w:tc>
              <w:tc>
                <w:tcPr>
                  <w:tcW w:w="810" w:type="dxa"/>
                  <w:noWrap w:val="0"/>
                  <w:vAlign w:val="center"/>
                </w:tcPr>
                <w:p>
                  <w:pPr>
                    <w:jc w:val="center"/>
                  </w:pPr>
                  <w:r>
                    <w:t>399.0</w:t>
                  </w:r>
                </w:p>
              </w:tc>
              <w:tc>
                <w:tcPr>
                  <w:tcW w:w="1328" w:type="dxa"/>
                  <w:noWrap w:val="0"/>
                  <w:vAlign w:val="center"/>
                </w:tcPr>
                <w:p>
                  <w:pPr>
                    <w:jc w:val="center"/>
                  </w:pPr>
                  <w:r>
                    <w:t>188.0</w:t>
                  </w:r>
                </w:p>
              </w:tc>
              <w:tc>
                <w:tcPr>
                  <w:tcW w:w="1148" w:type="dxa"/>
                  <w:noWrap w:val="0"/>
                  <w:vAlign w:val="center"/>
                </w:tcPr>
                <w:p>
                  <w:pPr>
                    <w:jc w:val="center"/>
                  </w:pPr>
                  <w:r>
                    <w:t>1.2195</w:t>
                  </w:r>
                </w:p>
              </w:tc>
              <w:tc>
                <w:tcPr>
                  <w:tcW w:w="1148" w:type="dxa"/>
                  <w:noWrap w:val="0"/>
                  <w:vAlign w:val="center"/>
                </w:tcPr>
                <w:p>
                  <w:pPr>
                    <w:jc w:val="center"/>
                  </w:pPr>
                  <w:r>
                    <w:t>0.1951</w:t>
                  </w:r>
                </w:p>
              </w:tc>
              <w:tc>
                <w:tcPr>
                  <w:tcW w:w="1144" w:type="dxa"/>
                  <w:noWrap w:val="0"/>
                  <w:vAlign w:val="center"/>
                </w:tcPr>
                <w:p>
                  <w:pPr>
                    <w:jc w:val="center"/>
                  </w:pPr>
                  <w:r>
                    <w:t>0.4657</w:t>
                  </w:r>
                </w:p>
              </w:tc>
            </w:tr>
          </w:tbl>
          <w:p>
            <w:pPr>
              <w:spacing w:line="480" w:lineRule="exact"/>
              <w:ind w:firstLine="371" w:firstLineChars="176"/>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表7-9  点源1（15m排气筒）  NMHC占标率预测结果</w:t>
            </w:r>
          </w:p>
          <w:tbl>
            <w:tblPr>
              <w:tblStyle w:val="69"/>
              <w:tblW w:w="9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107"/>
              <w:gridCol w:w="3117"/>
              <w:gridCol w:w="30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90" w:hRule="atLeast"/>
              </w:trPr>
              <w:tc>
                <w:tcPr>
                  <w:tcW w:w="3107" w:type="dxa"/>
                  <w:vMerge w:val="restart"/>
                  <w:noWrap w:val="0"/>
                  <w:vAlign w:val="center"/>
                </w:tcPr>
                <w:p>
                  <w:pPr>
                    <w:jc w:val="center"/>
                  </w:pPr>
                  <w:r>
                    <w:t>下方向距离(m)</w:t>
                  </w:r>
                </w:p>
              </w:tc>
              <w:tc>
                <w:tcPr>
                  <w:tcW w:w="6200" w:type="dxa"/>
                  <w:gridSpan w:val="2"/>
                  <w:noWrap w:val="0"/>
                  <w:vAlign w:val="center"/>
                </w:tcPr>
                <w:p>
                  <w:pPr>
                    <w:jc w:val="center"/>
                  </w:pPr>
                  <w:r>
                    <w:t>点源1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31" w:hRule="atLeast"/>
              </w:trPr>
              <w:tc>
                <w:tcPr>
                  <w:tcW w:w="3107" w:type="dxa"/>
                  <w:vMerge w:val="continue"/>
                  <w:noWrap w:val="0"/>
                  <w:vAlign w:val="center"/>
                </w:tcPr>
                <w:p/>
              </w:tc>
              <w:tc>
                <w:tcPr>
                  <w:tcW w:w="3117" w:type="dxa"/>
                  <w:noWrap w:val="0"/>
                  <w:vAlign w:val="center"/>
                </w:tcPr>
                <w:p>
                  <w:pPr>
                    <w:jc w:val="center"/>
                  </w:pPr>
                  <w:r>
                    <w:t>NMHC浓度（ug/m</w:t>
                  </w:r>
                  <w:r>
                    <w:rPr>
                      <w:vertAlign w:val="superscript"/>
                    </w:rPr>
                    <w:t>3</w:t>
                  </w:r>
                  <w:r>
                    <w:t>）</w:t>
                  </w:r>
                </w:p>
              </w:tc>
              <w:tc>
                <w:tcPr>
                  <w:tcW w:w="3083" w:type="dxa"/>
                  <w:noWrap w:val="0"/>
                  <w:vAlign w:val="center"/>
                </w:tcPr>
                <w:p>
                  <w:pPr>
                    <w:jc w:val="center"/>
                  </w:pPr>
                  <w:r>
                    <w:t>NMHC占标率（%）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0" w:hRule="atLeast"/>
              </w:trPr>
              <w:tc>
                <w:tcPr>
                  <w:tcW w:w="3107" w:type="dxa"/>
                  <w:noWrap w:val="0"/>
                  <w:vAlign w:val="center"/>
                </w:tcPr>
                <w:p>
                  <w:pPr>
                    <w:jc w:val="center"/>
                  </w:pPr>
                  <w:r>
                    <w:t>1.0</w:t>
                  </w:r>
                </w:p>
              </w:tc>
              <w:tc>
                <w:tcPr>
                  <w:tcW w:w="3117" w:type="dxa"/>
                  <w:noWrap w:val="0"/>
                  <w:vAlign w:val="center"/>
                </w:tcPr>
                <w:p>
                  <w:pPr>
                    <w:jc w:val="center"/>
                  </w:pPr>
                  <w:r>
                    <w:t>0.0</w:t>
                  </w:r>
                </w:p>
              </w:tc>
              <w:tc>
                <w:tcPr>
                  <w:tcW w:w="3083" w:type="dxa"/>
                  <w:noWrap w:val="0"/>
                  <w:vAlign w:val="center"/>
                </w:tcPr>
                <w:p>
                  <w:pPr>
                    <w:jc w:val="center"/>
                  </w:pPr>
                  <w:r>
                    <w:t>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0" w:hRule="atLeast"/>
              </w:trPr>
              <w:tc>
                <w:tcPr>
                  <w:tcW w:w="3107" w:type="dxa"/>
                  <w:noWrap w:val="0"/>
                  <w:vAlign w:val="center"/>
                </w:tcPr>
                <w:p>
                  <w:pPr>
                    <w:jc w:val="center"/>
                  </w:pPr>
                  <w:r>
                    <w:t>100.0</w:t>
                  </w:r>
                </w:p>
              </w:tc>
              <w:tc>
                <w:tcPr>
                  <w:tcW w:w="3117" w:type="dxa"/>
                  <w:noWrap w:val="0"/>
                  <w:vAlign w:val="center"/>
                </w:tcPr>
                <w:p>
                  <w:pPr>
                    <w:jc w:val="center"/>
                  </w:pPr>
                  <w:r>
                    <w:t>0.2223</w:t>
                  </w:r>
                </w:p>
              </w:tc>
              <w:tc>
                <w:tcPr>
                  <w:tcW w:w="3083" w:type="dxa"/>
                  <w:noWrap w:val="0"/>
                  <w:vAlign w:val="center"/>
                </w:tcPr>
                <w:p>
                  <w:pPr>
                    <w:jc w:val="center"/>
                  </w:pPr>
                  <w:r>
                    <w:t>0.0111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0" w:hRule="atLeast"/>
              </w:trPr>
              <w:tc>
                <w:tcPr>
                  <w:tcW w:w="3107" w:type="dxa"/>
                  <w:noWrap w:val="0"/>
                  <w:vAlign w:val="center"/>
                </w:tcPr>
                <w:p>
                  <w:pPr>
                    <w:jc w:val="center"/>
                  </w:pPr>
                  <w:r>
                    <w:t>150.15</w:t>
                  </w:r>
                </w:p>
              </w:tc>
              <w:tc>
                <w:tcPr>
                  <w:tcW w:w="3117" w:type="dxa"/>
                  <w:noWrap w:val="0"/>
                  <w:vAlign w:val="center"/>
                </w:tcPr>
                <w:p>
                  <w:pPr>
                    <w:jc w:val="center"/>
                  </w:pPr>
                  <w:r>
                    <w:t>0.1932</w:t>
                  </w:r>
                </w:p>
              </w:tc>
              <w:tc>
                <w:tcPr>
                  <w:tcW w:w="3083" w:type="dxa"/>
                  <w:noWrap w:val="0"/>
                  <w:vAlign w:val="center"/>
                </w:tcPr>
                <w:p>
                  <w:pPr>
                    <w:jc w:val="center"/>
                  </w:pPr>
                  <w:r>
                    <w:t>0.0097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0" w:hRule="atLeast"/>
              </w:trPr>
              <w:tc>
                <w:tcPr>
                  <w:tcW w:w="3107" w:type="dxa"/>
                  <w:noWrap w:val="0"/>
                  <w:vAlign w:val="center"/>
                </w:tcPr>
                <w:p>
                  <w:pPr>
                    <w:jc w:val="center"/>
                  </w:pPr>
                  <w:r>
                    <w:t>159.92</w:t>
                  </w:r>
                </w:p>
              </w:tc>
              <w:tc>
                <w:tcPr>
                  <w:tcW w:w="3117" w:type="dxa"/>
                  <w:noWrap w:val="0"/>
                  <w:vAlign w:val="center"/>
                </w:tcPr>
                <w:p>
                  <w:pPr>
                    <w:jc w:val="center"/>
                  </w:pPr>
                  <w:r>
                    <w:t>0.2094</w:t>
                  </w:r>
                </w:p>
              </w:tc>
              <w:tc>
                <w:tcPr>
                  <w:tcW w:w="3083" w:type="dxa"/>
                  <w:noWrap w:val="0"/>
                  <w:vAlign w:val="center"/>
                </w:tcPr>
                <w:p>
                  <w:pPr>
                    <w:jc w:val="center"/>
                  </w:pPr>
                  <w:r>
                    <w:t>0.0105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0" w:hRule="atLeast"/>
              </w:trPr>
              <w:tc>
                <w:tcPr>
                  <w:tcW w:w="3107" w:type="dxa"/>
                  <w:noWrap w:val="0"/>
                  <w:vAlign w:val="center"/>
                </w:tcPr>
                <w:p>
                  <w:pPr>
                    <w:jc w:val="center"/>
                  </w:pPr>
                  <w:r>
                    <w:t>171.11</w:t>
                  </w:r>
                </w:p>
              </w:tc>
              <w:tc>
                <w:tcPr>
                  <w:tcW w:w="3117" w:type="dxa"/>
                  <w:noWrap w:val="0"/>
                  <w:vAlign w:val="center"/>
                </w:tcPr>
                <w:p>
                  <w:pPr>
                    <w:jc w:val="center"/>
                  </w:pPr>
                  <w:r>
                    <w:t>0.2219</w:t>
                  </w:r>
                </w:p>
              </w:tc>
              <w:tc>
                <w:tcPr>
                  <w:tcW w:w="3083" w:type="dxa"/>
                  <w:noWrap w:val="0"/>
                  <w:vAlign w:val="center"/>
                </w:tcPr>
                <w:p>
                  <w:pPr>
                    <w:jc w:val="center"/>
                  </w:pPr>
                  <w:r>
                    <w:t>0.0111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0" w:hRule="atLeast"/>
              </w:trPr>
              <w:tc>
                <w:tcPr>
                  <w:tcW w:w="3107" w:type="dxa"/>
                  <w:noWrap w:val="0"/>
                  <w:vAlign w:val="center"/>
                </w:tcPr>
                <w:p>
                  <w:pPr>
                    <w:jc w:val="center"/>
                  </w:pPr>
                  <w:r>
                    <w:t>185.04</w:t>
                  </w:r>
                </w:p>
              </w:tc>
              <w:tc>
                <w:tcPr>
                  <w:tcW w:w="3117" w:type="dxa"/>
                  <w:noWrap w:val="0"/>
                  <w:vAlign w:val="center"/>
                </w:tcPr>
                <w:p>
                  <w:pPr>
                    <w:jc w:val="center"/>
                  </w:pPr>
                  <w:r>
                    <w:t>0.2923</w:t>
                  </w:r>
                </w:p>
              </w:tc>
              <w:tc>
                <w:tcPr>
                  <w:tcW w:w="3083" w:type="dxa"/>
                  <w:noWrap w:val="0"/>
                  <w:vAlign w:val="center"/>
                </w:tcPr>
                <w:p>
                  <w:pPr>
                    <w:jc w:val="center"/>
                  </w:pPr>
                  <w:r>
                    <w:t>0.0146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0" w:hRule="atLeast"/>
              </w:trPr>
              <w:tc>
                <w:tcPr>
                  <w:tcW w:w="3107" w:type="dxa"/>
                  <w:noWrap w:val="0"/>
                  <w:vAlign w:val="center"/>
                </w:tcPr>
                <w:p>
                  <w:pPr>
                    <w:jc w:val="center"/>
                    <w:rPr>
                      <w:rFonts w:hint="default" w:eastAsia="宋体"/>
                      <w:lang w:val="en-US" w:eastAsia="zh-CN"/>
                    </w:rPr>
                  </w:pPr>
                  <w:r>
                    <w:rPr>
                      <w:rFonts w:hint="eastAsia"/>
                      <w:lang w:val="en-US" w:eastAsia="zh-CN"/>
                    </w:rPr>
                    <w:t>240.0</w:t>
                  </w:r>
                </w:p>
              </w:tc>
              <w:tc>
                <w:tcPr>
                  <w:tcW w:w="3117" w:type="dxa"/>
                  <w:noWrap w:val="0"/>
                  <w:vAlign w:val="center"/>
                </w:tcPr>
                <w:p>
                  <w:pPr>
                    <w:jc w:val="center"/>
                  </w:pPr>
                  <w:r>
                    <w:t>2.1067</w:t>
                  </w:r>
                </w:p>
              </w:tc>
              <w:tc>
                <w:tcPr>
                  <w:tcW w:w="3083" w:type="dxa"/>
                  <w:noWrap w:val="0"/>
                  <w:vAlign w:val="center"/>
                </w:tcPr>
                <w:p>
                  <w:pPr>
                    <w:jc w:val="center"/>
                  </w:pPr>
                  <w:r>
                    <w:t>0.1053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0" w:hRule="atLeast"/>
              </w:trPr>
              <w:tc>
                <w:tcPr>
                  <w:tcW w:w="3107" w:type="dxa"/>
                  <w:noWrap w:val="0"/>
                  <w:vAlign w:val="center"/>
                </w:tcPr>
                <w:p>
                  <w:pPr>
                    <w:jc w:val="center"/>
                  </w:pPr>
                  <w:r>
                    <w:t>300.0</w:t>
                  </w:r>
                </w:p>
              </w:tc>
              <w:tc>
                <w:tcPr>
                  <w:tcW w:w="3117" w:type="dxa"/>
                  <w:noWrap w:val="0"/>
                  <w:vAlign w:val="center"/>
                </w:tcPr>
                <w:p>
                  <w:pPr>
                    <w:jc w:val="center"/>
                  </w:pPr>
                  <w:r>
                    <w:t>1.3127</w:t>
                  </w:r>
                </w:p>
              </w:tc>
              <w:tc>
                <w:tcPr>
                  <w:tcW w:w="3083" w:type="dxa"/>
                  <w:noWrap w:val="0"/>
                  <w:vAlign w:val="center"/>
                </w:tcPr>
                <w:p>
                  <w:pPr>
                    <w:jc w:val="center"/>
                  </w:pPr>
                  <w:r>
                    <w:t>0.0656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0" w:hRule="atLeast"/>
              </w:trPr>
              <w:tc>
                <w:tcPr>
                  <w:tcW w:w="3107" w:type="dxa"/>
                  <w:noWrap w:val="0"/>
                  <w:vAlign w:val="center"/>
                </w:tcPr>
                <w:p>
                  <w:pPr>
                    <w:jc w:val="center"/>
                  </w:pPr>
                  <w:r>
                    <w:t>500.0</w:t>
                  </w:r>
                </w:p>
              </w:tc>
              <w:tc>
                <w:tcPr>
                  <w:tcW w:w="3117" w:type="dxa"/>
                  <w:noWrap w:val="0"/>
                  <w:vAlign w:val="center"/>
                </w:tcPr>
                <w:p>
                  <w:pPr>
                    <w:jc w:val="center"/>
                  </w:pPr>
                  <w:r>
                    <w:t>0.8432</w:t>
                  </w:r>
                </w:p>
              </w:tc>
              <w:tc>
                <w:tcPr>
                  <w:tcW w:w="3083" w:type="dxa"/>
                  <w:noWrap w:val="0"/>
                  <w:vAlign w:val="center"/>
                </w:tcPr>
                <w:p>
                  <w:pPr>
                    <w:jc w:val="center"/>
                  </w:pPr>
                  <w:r>
                    <w:t>0.0422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0" w:hRule="atLeast"/>
              </w:trPr>
              <w:tc>
                <w:tcPr>
                  <w:tcW w:w="3107" w:type="dxa"/>
                  <w:noWrap w:val="0"/>
                  <w:vAlign w:val="center"/>
                </w:tcPr>
                <w:p>
                  <w:pPr>
                    <w:jc w:val="center"/>
                  </w:pPr>
                  <w:r>
                    <w:t>800.0</w:t>
                  </w:r>
                </w:p>
              </w:tc>
              <w:tc>
                <w:tcPr>
                  <w:tcW w:w="3117" w:type="dxa"/>
                  <w:noWrap w:val="0"/>
                  <w:vAlign w:val="center"/>
                </w:tcPr>
                <w:p>
                  <w:pPr>
                    <w:jc w:val="center"/>
                  </w:pPr>
                  <w:r>
                    <w:t>0.7497</w:t>
                  </w:r>
                </w:p>
              </w:tc>
              <w:tc>
                <w:tcPr>
                  <w:tcW w:w="3083" w:type="dxa"/>
                  <w:noWrap w:val="0"/>
                  <w:vAlign w:val="center"/>
                </w:tcPr>
                <w:p>
                  <w:pPr>
                    <w:jc w:val="center"/>
                  </w:pPr>
                  <w:r>
                    <w:t>0.0375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0" w:hRule="atLeast"/>
              </w:trPr>
              <w:tc>
                <w:tcPr>
                  <w:tcW w:w="3107" w:type="dxa"/>
                  <w:noWrap w:val="0"/>
                  <w:vAlign w:val="center"/>
                </w:tcPr>
                <w:p>
                  <w:pPr>
                    <w:jc w:val="center"/>
                  </w:pPr>
                  <w:r>
                    <w:t>1000.0</w:t>
                  </w:r>
                </w:p>
              </w:tc>
              <w:tc>
                <w:tcPr>
                  <w:tcW w:w="3117" w:type="dxa"/>
                  <w:noWrap w:val="0"/>
                  <w:vAlign w:val="center"/>
                </w:tcPr>
                <w:p>
                  <w:pPr>
                    <w:jc w:val="center"/>
                  </w:pPr>
                  <w:r>
                    <w:t>0.5642</w:t>
                  </w:r>
                </w:p>
              </w:tc>
              <w:tc>
                <w:tcPr>
                  <w:tcW w:w="3083" w:type="dxa"/>
                  <w:noWrap w:val="0"/>
                  <w:vAlign w:val="center"/>
                </w:tcPr>
                <w:p>
                  <w:pPr>
                    <w:jc w:val="center"/>
                  </w:pPr>
                  <w:r>
                    <w:t>0.0282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0" w:hRule="atLeast"/>
              </w:trPr>
              <w:tc>
                <w:tcPr>
                  <w:tcW w:w="3107" w:type="dxa"/>
                  <w:noWrap w:val="0"/>
                  <w:vAlign w:val="center"/>
                </w:tcPr>
                <w:p>
                  <w:pPr>
                    <w:jc w:val="center"/>
                  </w:pPr>
                  <w:r>
                    <w:t>1200.0</w:t>
                  </w:r>
                </w:p>
              </w:tc>
              <w:tc>
                <w:tcPr>
                  <w:tcW w:w="3117" w:type="dxa"/>
                  <w:noWrap w:val="0"/>
                  <w:vAlign w:val="center"/>
                </w:tcPr>
                <w:p>
                  <w:pPr>
                    <w:jc w:val="center"/>
                  </w:pPr>
                  <w:r>
                    <w:t>0.4454</w:t>
                  </w:r>
                </w:p>
              </w:tc>
              <w:tc>
                <w:tcPr>
                  <w:tcW w:w="3083" w:type="dxa"/>
                  <w:noWrap w:val="0"/>
                  <w:vAlign w:val="center"/>
                </w:tcPr>
                <w:p>
                  <w:pPr>
                    <w:jc w:val="center"/>
                  </w:pPr>
                  <w:r>
                    <w:t>0.0223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00" w:hRule="atLeast"/>
              </w:trPr>
              <w:tc>
                <w:tcPr>
                  <w:tcW w:w="3107" w:type="dxa"/>
                  <w:noWrap w:val="0"/>
                  <w:vAlign w:val="center"/>
                </w:tcPr>
                <w:p>
                  <w:pPr>
                    <w:jc w:val="center"/>
                  </w:pPr>
                  <w:r>
                    <w:t>1500.0</w:t>
                  </w:r>
                </w:p>
              </w:tc>
              <w:tc>
                <w:tcPr>
                  <w:tcW w:w="3117" w:type="dxa"/>
                  <w:noWrap w:val="0"/>
                  <w:vAlign w:val="center"/>
                </w:tcPr>
                <w:p>
                  <w:pPr>
                    <w:jc w:val="center"/>
                  </w:pPr>
                  <w:r>
                    <w:t>0.2777</w:t>
                  </w:r>
                </w:p>
              </w:tc>
              <w:tc>
                <w:tcPr>
                  <w:tcW w:w="3083" w:type="dxa"/>
                  <w:noWrap w:val="0"/>
                  <w:vAlign w:val="center"/>
                </w:tcPr>
                <w:p>
                  <w:pPr>
                    <w:jc w:val="center"/>
                  </w:pPr>
                  <w:r>
                    <w:t>0.0139</w:t>
                  </w:r>
                </w:p>
              </w:tc>
            </w:tr>
          </w:tbl>
          <w:p>
            <w:pPr>
              <w:spacing w:line="480" w:lineRule="exact"/>
              <w:ind w:firstLine="371" w:firstLineChars="176"/>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表7-10  点源2（1#导热油炉8m排气筒）  SO</w:t>
            </w:r>
            <w:r>
              <w:rPr>
                <w:rFonts w:hint="eastAsia" w:ascii="Times New Roman" w:hAnsi="Times New Roman" w:cs="Times New Roman"/>
                <w:b/>
                <w:bCs/>
                <w:sz w:val="21"/>
                <w:szCs w:val="21"/>
                <w:vertAlign w:val="subscript"/>
                <w:lang w:val="en-US" w:eastAsia="zh-CN"/>
              </w:rPr>
              <w:t>2</w:t>
            </w:r>
            <w:r>
              <w:rPr>
                <w:rFonts w:hint="eastAsia" w:ascii="Times New Roman" w:hAnsi="Times New Roman" w:cs="Times New Roman"/>
                <w:b/>
                <w:bCs/>
                <w:sz w:val="21"/>
                <w:szCs w:val="21"/>
                <w:lang w:val="en-US" w:eastAsia="zh-CN"/>
              </w:rPr>
              <w:t>占标率预测结果</w:t>
            </w:r>
          </w:p>
          <w:tbl>
            <w:tblPr>
              <w:tblStyle w:val="7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4"/>
              <w:gridCol w:w="3091"/>
              <w:gridCol w:w="3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3104" w:type="dxa"/>
                  <w:vMerge w:val="restart"/>
                  <w:noWrap w:val="0"/>
                  <w:vAlign w:val="center"/>
                </w:tcPr>
                <w:p>
                  <w:pPr>
                    <w:jc w:val="center"/>
                  </w:pPr>
                  <w:r>
                    <w:t>下方向距离(m)</w:t>
                  </w:r>
                </w:p>
              </w:tc>
              <w:tc>
                <w:tcPr>
                  <w:tcW w:w="6182" w:type="dxa"/>
                  <w:gridSpan w:val="2"/>
                  <w:noWrap w:val="0"/>
                  <w:vAlign w:val="center"/>
                </w:tcPr>
                <w:p>
                  <w:pPr>
                    <w:jc w:val="center"/>
                  </w:pPr>
                  <w:r>
                    <w:t>点源2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3104" w:type="dxa"/>
                  <w:vMerge w:val="continue"/>
                  <w:noWrap w:val="0"/>
                  <w:vAlign w:val="center"/>
                </w:tcPr>
                <w:p>
                  <w:pPr>
                    <w:jc w:val="center"/>
                  </w:pPr>
                </w:p>
              </w:tc>
              <w:tc>
                <w:tcPr>
                  <w:tcW w:w="3091" w:type="dxa"/>
                  <w:noWrap w:val="0"/>
                  <w:vAlign w:val="center"/>
                </w:tcPr>
                <w:p>
                  <w:pPr>
                    <w:jc w:val="center"/>
                  </w:pPr>
                  <w:r>
                    <w:t>SO</w:t>
                  </w:r>
                  <w:r>
                    <w:rPr>
                      <w:vertAlign w:val="subscript"/>
                    </w:rPr>
                    <w:t>2</w:t>
                  </w:r>
                  <w:r>
                    <w:t>浓度（ug/m</w:t>
                  </w:r>
                  <w:r>
                    <w:rPr>
                      <w:vertAlign w:val="superscript"/>
                    </w:rPr>
                    <w:t>3</w:t>
                  </w:r>
                  <w:r>
                    <w:t>）</w:t>
                  </w:r>
                </w:p>
              </w:tc>
              <w:tc>
                <w:tcPr>
                  <w:tcW w:w="3091" w:type="dxa"/>
                  <w:noWrap w:val="0"/>
                  <w:vAlign w:val="center"/>
                </w:tcPr>
                <w:p>
                  <w:pPr>
                    <w:jc w:val="center"/>
                  </w:pPr>
                  <w:r>
                    <w:t>SO</w:t>
                  </w:r>
                  <w:r>
                    <w:rPr>
                      <w:vertAlign w:val="subscript"/>
                    </w:rPr>
                    <w:t>2</w:t>
                  </w:r>
                  <w: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w:t>
                  </w:r>
                </w:p>
              </w:tc>
              <w:tc>
                <w:tcPr>
                  <w:tcW w:w="3091" w:type="dxa"/>
                  <w:noWrap w:val="0"/>
                  <w:vAlign w:val="center"/>
                </w:tcPr>
                <w:p>
                  <w:pPr>
                    <w:jc w:val="center"/>
                  </w:pPr>
                  <w:r>
                    <w:t>0.0</w:t>
                  </w:r>
                </w:p>
              </w:tc>
              <w:tc>
                <w:tcPr>
                  <w:tcW w:w="3091" w:type="dxa"/>
                  <w:noWrap w:val="0"/>
                  <w:vAlign w:val="center"/>
                </w:tcPr>
                <w:p>
                  <w:pPr>
                    <w:jc w:val="center"/>
                  </w:pP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100.0</w:t>
                  </w:r>
                </w:p>
              </w:tc>
              <w:tc>
                <w:tcPr>
                  <w:tcW w:w="3091" w:type="dxa"/>
                  <w:noWrap w:val="0"/>
                  <w:vAlign w:val="center"/>
                </w:tcPr>
                <w:p>
                  <w:pPr>
                    <w:jc w:val="center"/>
                  </w:pPr>
                  <w:r>
                    <w:t>0.0547</w:t>
                  </w:r>
                </w:p>
              </w:tc>
              <w:tc>
                <w:tcPr>
                  <w:tcW w:w="3091" w:type="dxa"/>
                  <w:noWrap w:val="0"/>
                  <w:vAlign w:val="center"/>
                </w:tcPr>
                <w:p>
                  <w:pPr>
                    <w:jc w:val="center"/>
                  </w:pPr>
                  <w:r>
                    <w:t>0.0109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158.52</w:t>
                  </w:r>
                </w:p>
              </w:tc>
              <w:tc>
                <w:tcPr>
                  <w:tcW w:w="3091" w:type="dxa"/>
                  <w:noWrap w:val="0"/>
                  <w:vAlign w:val="center"/>
                </w:tcPr>
                <w:p>
                  <w:pPr>
                    <w:jc w:val="center"/>
                  </w:pPr>
                  <w:r>
                    <w:t>0.0763</w:t>
                  </w:r>
                </w:p>
              </w:tc>
              <w:tc>
                <w:tcPr>
                  <w:tcW w:w="3091" w:type="dxa"/>
                  <w:noWrap w:val="0"/>
                  <w:vAlign w:val="center"/>
                </w:tcPr>
                <w:p>
                  <w:pPr>
                    <w:jc w:val="center"/>
                  </w:pPr>
                  <w:r>
                    <w:t>0.0153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165.85</w:t>
                  </w:r>
                </w:p>
              </w:tc>
              <w:tc>
                <w:tcPr>
                  <w:tcW w:w="3091" w:type="dxa"/>
                  <w:noWrap w:val="0"/>
                  <w:vAlign w:val="center"/>
                </w:tcPr>
                <w:p>
                  <w:pPr>
                    <w:jc w:val="center"/>
                  </w:pPr>
                  <w:r>
                    <w:t>0.1173</w:t>
                  </w:r>
                </w:p>
              </w:tc>
              <w:tc>
                <w:tcPr>
                  <w:tcW w:w="3091" w:type="dxa"/>
                  <w:noWrap w:val="0"/>
                  <w:vAlign w:val="center"/>
                </w:tcPr>
                <w:p>
                  <w:pPr>
                    <w:jc w:val="center"/>
                  </w:pPr>
                  <w:r>
                    <w:t>0.0235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174.63</w:t>
                  </w:r>
                </w:p>
              </w:tc>
              <w:tc>
                <w:tcPr>
                  <w:tcW w:w="3091" w:type="dxa"/>
                  <w:noWrap w:val="0"/>
                  <w:vAlign w:val="center"/>
                </w:tcPr>
                <w:p>
                  <w:pPr>
                    <w:jc w:val="center"/>
                  </w:pPr>
                  <w:r>
                    <w:t>0.1661</w:t>
                  </w:r>
                </w:p>
              </w:tc>
              <w:tc>
                <w:tcPr>
                  <w:tcW w:w="3091" w:type="dxa"/>
                  <w:noWrap w:val="0"/>
                  <w:vAlign w:val="center"/>
                </w:tcPr>
                <w:p>
                  <w:pPr>
                    <w:jc w:val="center"/>
                  </w:pPr>
                  <w:r>
                    <w:t>0.0332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186.44</w:t>
                  </w:r>
                </w:p>
              </w:tc>
              <w:tc>
                <w:tcPr>
                  <w:tcW w:w="3091" w:type="dxa"/>
                  <w:noWrap w:val="0"/>
                  <w:vAlign w:val="center"/>
                </w:tcPr>
                <w:p>
                  <w:pPr>
                    <w:jc w:val="center"/>
                  </w:pPr>
                  <w:r>
                    <w:t>0.19</w:t>
                  </w:r>
                </w:p>
              </w:tc>
              <w:tc>
                <w:tcPr>
                  <w:tcW w:w="3091" w:type="dxa"/>
                  <w:noWrap w:val="0"/>
                  <w:vAlign w:val="center"/>
                </w:tcPr>
                <w:p>
                  <w:pPr>
                    <w:jc w:val="center"/>
                  </w:pPr>
                  <w:r>
                    <w:t>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206.0</w:t>
                  </w:r>
                </w:p>
              </w:tc>
              <w:tc>
                <w:tcPr>
                  <w:tcW w:w="3091" w:type="dxa"/>
                  <w:noWrap w:val="0"/>
                  <w:vAlign w:val="center"/>
                </w:tcPr>
                <w:p>
                  <w:pPr>
                    <w:jc w:val="center"/>
                  </w:pPr>
                  <w:r>
                    <w:t>0.2162</w:t>
                  </w:r>
                </w:p>
              </w:tc>
              <w:tc>
                <w:tcPr>
                  <w:tcW w:w="3091" w:type="dxa"/>
                  <w:noWrap w:val="0"/>
                  <w:vAlign w:val="center"/>
                </w:tcPr>
                <w:p>
                  <w:pPr>
                    <w:jc w:val="center"/>
                  </w:pPr>
                  <w:r>
                    <w:t>0.0432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300.0</w:t>
                  </w:r>
                </w:p>
              </w:tc>
              <w:tc>
                <w:tcPr>
                  <w:tcW w:w="3091" w:type="dxa"/>
                  <w:noWrap w:val="0"/>
                  <w:vAlign w:val="center"/>
                </w:tcPr>
                <w:p>
                  <w:pPr>
                    <w:jc w:val="center"/>
                  </w:pPr>
                  <w:r>
                    <w:t>0.1553</w:t>
                  </w:r>
                </w:p>
              </w:tc>
              <w:tc>
                <w:tcPr>
                  <w:tcW w:w="3091" w:type="dxa"/>
                  <w:noWrap w:val="0"/>
                  <w:vAlign w:val="center"/>
                </w:tcPr>
                <w:p>
                  <w:pPr>
                    <w:jc w:val="center"/>
                  </w:pPr>
                  <w:r>
                    <w:t>0.0311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500.0</w:t>
                  </w:r>
                </w:p>
              </w:tc>
              <w:tc>
                <w:tcPr>
                  <w:tcW w:w="3091" w:type="dxa"/>
                  <w:noWrap w:val="0"/>
                  <w:vAlign w:val="center"/>
                </w:tcPr>
                <w:p>
                  <w:pPr>
                    <w:jc w:val="center"/>
                  </w:pPr>
                  <w:r>
                    <w:t>0.102</w:t>
                  </w:r>
                </w:p>
              </w:tc>
              <w:tc>
                <w:tcPr>
                  <w:tcW w:w="3091" w:type="dxa"/>
                  <w:noWrap w:val="0"/>
                  <w:vAlign w:val="center"/>
                </w:tcPr>
                <w:p>
                  <w:pPr>
                    <w:jc w:val="center"/>
                  </w:pPr>
                  <w:r>
                    <w:t>0.0204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800.0</w:t>
                  </w:r>
                </w:p>
              </w:tc>
              <w:tc>
                <w:tcPr>
                  <w:tcW w:w="3091" w:type="dxa"/>
                  <w:noWrap w:val="0"/>
                  <w:vAlign w:val="center"/>
                </w:tcPr>
                <w:p>
                  <w:pPr>
                    <w:jc w:val="center"/>
                  </w:pPr>
                  <w:r>
                    <w:t>0.072</w:t>
                  </w:r>
                </w:p>
              </w:tc>
              <w:tc>
                <w:tcPr>
                  <w:tcW w:w="3091" w:type="dxa"/>
                  <w:noWrap w:val="0"/>
                  <w:vAlign w:val="center"/>
                </w:tcPr>
                <w:p>
                  <w:pPr>
                    <w:jc w:val="center"/>
                  </w:pPr>
                  <w:r>
                    <w:t>0.0144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1000.0</w:t>
                  </w:r>
                </w:p>
              </w:tc>
              <w:tc>
                <w:tcPr>
                  <w:tcW w:w="3091" w:type="dxa"/>
                  <w:noWrap w:val="0"/>
                  <w:vAlign w:val="center"/>
                </w:tcPr>
                <w:p>
                  <w:pPr>
                    <w:jc w:val="center"/>
                  </w:pPr>
                  <w:r>
                    <w:t>0.072</w:t>
                  </w:r>
                </w:p>
              </w:tc>
              <w:tc>
                <w:tcPr>
                  <w:tcW w:w="3091" w:type="dxa"/>
                  <w:noWrap w:val="0"/>
                  <w:vAlign w:val="center"/>
                </w:tcPr>
                <w:p>
                  <w:pPr>
                    <w:jc w:val="center"/>
                  </w:pPr>
                  <w:r>
                    <w:t>0.0144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1200.0</w:t>
                  </w:r>
                </w:p>
              </w:tc>
              <w:tc>
                <w:tcPr>
                  <w:tcW w:w="3091" w:type="dxa"/>
                  <w:noWrap w:val="0"/>
                  <w:vAlign w:val="center"/>
                </w:tcPr>
                <w:p>
                  <w:pPr>
                    <w:jc w:val="center"/>
                  </w:pPr>
                  <w:r>
                    <w:t>0.0572</w:t>
                  </w:r>
                </w:p>
              </w:tc>
              <w:tc>
                <w:tcPr>
                  <w:tcW w:w="3091" w:type="dxa"/>
                  <w:noWrap w:val="0"/>
                  <w:vAlign w:val="center"/>
                </w:tcPr>
                <w:p>
                  <w:pPr>
                    <w:jc w:val="center"/>
                  </w:pPr>
                  <w:r>
                    <w:t>0.0114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1500.0</w:t>
                  </w:r>
                </w:p>
              </w:tc>
              <w:tc>
                <w:tcPr>
                  <w:tcW w:w="3091" w:type="dxa"/>
                  <w:noWrap w:val="0"/>
                  <w:vAlign w:val="center"/>
                </w:tcPr>
                <w:p>
                  <w:pPr>
                    <w:jc w:val="center"/>
                  </w:pPr>
                  <w:r>
                    <w:t>0.0517</w:t>
                  </w:r>
                </w:p>
              </w:tc>
              <w:tc>
                <w:tcPr>
                  <w:tcW w:w="3091" w:type="dxa"/>
                  <w:noWrap w:val="0"/>
                  <w:vAlign w:val="center"/>
                </w:tcPr>
                <w:p>
                  <w:pPr>
                    <w:jc w:val="center"/>
                  </w:pPr>
                  <w:r>
                    <w:t>0.0103</w:t>
                  </w:r>
                </w:p>
              </w:tc>
            </w:tr>
          </w:tbl>
          <w:p>
            <w:pPr>
              <w:spacing w:line="480" w:lineRule="exact"/>
              <w:ind w:firstLine="371" w:firstLineChars="176"/>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表7-11  点源2（1#导热油炉8m排气筒）  NO</w:t>
            </w:r>
            <w:r>
              <w:rPr>
                <w:rFonts w:hint="eastAsia" w:ascii="Times New Roman" w:hAnsi="Times New Roman" w:cs="Times New Roman"/>
                <w:b/>
                <w:bCs/>
                <w:sz w:val="21"/>
                <w:szCs w:val="21"/>
                <w:vertAlign w:val="subscript"/>
                <w:lang w:val="en-US" w:eastAsia="zh-CN"/>
              </w:rPr>
              <w:t>2</w:t>
            </w:r>
            <w:r>
              <w:rPr>
                <w:rFonts w:hint="eastAsia" w:ascii="Times New Roman" w:hAnsi="Times New Roman" w:cs="Times New Roman"/>
                <w:b/>
                <w:bCs/>
                <w:sz w:val="21"/>
                <w:szCs w:val="21"/>
                <w:lang w:val="en-US" w:eastAsia="zh-CN"/>
              </w:rPr>
              <w:t>占标率预测结果</w:t>
            </w:r>
          </w:p>
          <w:tbl>
            <w:tblPr>
              <w:tblStyle w:val="7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4"/>
              <w:gridCol w:w="3090"/>
              <w:gridCol w:w="1"/>
              <w:gridCol w:w="3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3104" w:type="dxa"/>
                  <w:vMerge w:val="restart"/>
                  <w:noWrap w:val="0"/>
                  <w:vAlign w:val="center"/>
                </w:tcPr>
                <w:p>
                  <w:pPr>
                    <w:jc w:val="center"/>
                  </w:pPr>
                  <w:r>
                    <w:t>下方向距离(m)</w:t>
                  </w:r>
                </w:p>
              </w:tc>
              <w:tc>
                <w:tcPr>
                  <w:tcW w:w="6182" w:type="dxa"/>
                  <w:gridSpan w:val="3"/>
                  <w:noWrap w:val="0"/>
                  <w:vAlign w:val="center"/>
                </w:tcPr>
                <w:p>
                  <w:pPr>
                    <w:jc w:val="center"/>
                  </w:pPr>
                  <w:r>
                    <w:t>点源2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3104" w:type="dxa"/>
                  <w:vMerge w:val="continue"/>
                  <w:noWrap w:val="0"/>
                  <w:vAlign w:val="center"/>
                </w:tcPr>
                <w:p/>
              </w:tc>
              <w:tc>
                <w:tcPr>
                  <w:tcW w:w="3090" w:type="dxa"/>
                  <w:noWrap w:val="0"/>
                  <w:vAlign w:val="center"/>
                </w:tcPr>
                <w:p>
                  <w:pPr>
                    <w:jc w:val="center"/>
                  </w:pPr>
                  <w:r>
                    <w:t>NO</w:t>
                  </w:r>
                  <w:r>
                    <w:rPr>
                      <w:vertAlign w:val="subscript"/>
                    </w:rPr>
                    <w:t>2</w:t>
                  </w:r>
                  <w:r>
                    <w:t>浓度（ug/m</w:t>
                  </w:r>
                  <w:r>
                    <w:rPr>
                      <w:vertAlign w:val="superscript"/>
                    </w:rPr>
                    <w:t>3</w:t>
                  </w:r>
                  <w:r>
                    <w:t>）</w:t>
                  </w:r>
                </w:p>
              </w:tc>
              <w:tc>
                <w:tcPr>
                  <w:tcW w:w="3092" w:type="dxa"/>
                  <w:gridSpan w:val="2"/>
                  <w:noWrap w:val="0"/>
                  <w:vAlign w:val="center"/>
                </w:tcPr>
                <w:p>
                  <w:pPr>
                    <w:jc w:val="center"/>
                  </w:pPr>
                  <w:r>
                    <w:t>NO</w:t>
                  </w:r>
                  <w:r>
                    <w:rPr>
                      <w:vertAlign w:val="subscript"/>
                    </w:rPr>
                    <w:t>2</w:t>
                  </w:r>
                  <w: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w:t>
                  </w:r>
                </w:p>
              </w:tc>
              <w:tc>
                <w:tcPr>
                  <w:tcW w:w="3091" w:type="dxa"/>
                  <w:gridSpan w:val="2"/>
                  <w:noWrap w:val="0"/>
                  <w:vAlign w:val="center"/>
                </w:tcPr>
                <w:p>
                  <w:pPr>
                    <w:jc w:val="center"/>
                  </w:pPr>
                  <w:r>
                    <w:t>1.0E-4</w:t>
                  </w:r>
                </w:p>
              </w:tc>
              <w:tc>
                <w:tcPr>
                  <w:tcW w:w="3091" w:type="dxa"/>
                  <w:noWrap w:val="0"/>
                  <w:vAlign w:val="center"/>
                </w:tcPr>
                <w:p>
                  <w:pPr>
                    <w:jc w:val="center"/>
                  </w:pPr>
                  <w:r>
                    <w:t>1.0E-4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100.0</w:t>
                  </w:r>
                </w:p>
              </w:tc>
              <w:tc>
                <w:tcPr>
                  <w:tcW w:w="3091" w:type="dxa"/>
                  <w:gridSpan w:val="2"/>
                  <w:noWrap w:val="0"/>
                  <w:vAlign w:val="center"/>
                </w:tcPr>
                <w:p>
                  <w:pPr>
                    <w:jc w:val="center"/>
                  </w:pPr>
                  <w:r>
                    <w:t>0.3422</w:t>
                  </w:r>
                </w:p>
              </w:tc>
              <w:tc>
                <w:tcPr>
                  <w:tcW w:w="3091" w:type="dxa"/>
                  <w:noWrap w:val="0"/>
                  <w:vAlign w:val="center"/>
                </w:tcPr>
                <w:p>
                  <w:pPr>
                    <w:jc w:val="center"/>
                  </w:pPr>
                  <w:r>
                    <w:t>0.1711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158.52</w:t>
                  </w:r>
                </w:p>
              </w:tc>
              <w:tc>
                <w:tcPr>
                  <w:tcW w:w="3091" w:type="dxa"/>
                  <w:gridSpan w:val="2"/>
                  <w:noWrap w:val="0"/>
                  <w:vAlign w:val="center"/>
                </w:tcPr>
                <w:p>
                  <w:pPr>
                    <w:jc w:val="center"/>
                  </w:pPr>
                  <w:r>
                    <w:t>0.477</w:t>
                  </w:r>
                </w:p>
              </w:tc>
              <w:tc>
                <w:tcPr>
                  <w:tcW w:w="3091" w:type="dxa"/>
                  <w:noWrap w:val="0"/>
                  <w:vAlign w:val="center"/>
                </w:tcPr>
                <w:p>
                  <w:pPr>
                    <w:jc w:val="center"/>
                  </w:pPr>
                  <w:r>
                    <w:t>0.2385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165.85</w:t>
                  </w:r>
                </w:p>
              </w:tc>
              <w:tc>
                <w:tcPr>
                  <w:tcW w:w="3091" w:type="dxa"/>
                  <w:gridSpan w:val="2"/>
                  <w:noWrap w:val="0"/>
                  <w:vAlign w:val="center"/>
                </w:tcPr>
                <w:p>
                  <w:pPr>
                    <w:jc w:val="center"/>
                  </w:pPr>
                  <w:r>
                    <w:t>0.7336</w:t>
                  </w:r>
                </w:p>
              </w:tc>
              <w:tc>
                <w:tcPr>
                  <w:tcW w:w="3091" w:type="dxa"/>
                  <w:noWrap w:val="0"/>
                  <w:vAlign w:val="center"/>
                </w:tcPr>
                <w:p>
                  <w:pPr>
                    <w:jc w:val="center"/>
                  </w:pPr>
                  <w:r>
                    <w:t>0.3668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174.63</w:t>
                  </w:r>
                </w:p>
              </w:tc>
              <w:tc>
                <w:tcPr>
                  <w:tcW w:w="3091" w:type="dxa"/>
                  <w:gridSpan w:val="2"/>
                  <w:noWrap w:val="0"/>
                  <w:vAlign w:val="center"/>
                </w:tcPr>
                <w:p>
                  <w:pPr>
                    <w:jc w:val="center"/>
                  </w:pPr>
                  <w:r>
                    <w:t>1.0384</w:t>
                  </w:r>
                </w:p>
              </w:tc>
              <w:tc>
                <w:tcPr>
                  <w:tcW w:w="3091" w:type="dxa"/>
                  <w:noWrap w:val="0"/>
                  <w:vAlign w:val="center"/>
                </w:tcPr>
                <w:p>
                  <w:pPr>
                    <w:jc w:val="center"/>
                  </w:pPr>
                  <w:r>
                    <w:t>0.5192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186.44</w:t>
                  </w:r>
                </w:p>
              </w:tc>
              <w:tc>
                <w:tcPr>
                  <w:tcW w:w="3091" w:type="dxa"/>
                  <w:gridSpan w:val="2"/>
                  <w:noWrap w:val="0"/>
                  <w:vAlign w:val="center"/>
                </w:tcPr>
                <w:p>
                  <w:pPr>
                    <w:jc w:val="center"/>
                  </w:pPr>
                  <w:r>
                    <w:t>1.1879</w:t>
                  </w:r>
                </w:p>
              </w:tc>
              <w:tc>
                <w:tcPr>
                  <w:tcW w:w="3091" w:type="dxa"/>
                  <w:noWrap w:val="0"/>
                  <w:vAlign w:val="center"/>
                </w:tcPr>
                <w:p>
                  <w:pPr>
                    <w:jc w:val="center"/>
                  </w:pPr>
                  <w:r>
                    <w:t>0.5939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206.0</w:t>
                  </w:r>
                </w:p>
              </w:tc>
              <w:tc>
                <w:tcPr>
                  <w:tcW w:w="3091" w:type="dxa"/>
                  <w:gridSpan w:val="2"/>
                  <w:noWrap w:val="0"/>
                  <w:vAlign w:val="center"/>
                </w:tcPr>
                <w:p>
                  <w:pPr>
                    <w:jc w:val="center"/>
                  </w:pPr>
                  <w:r>
                    <w:t>1.3515</w:t>
                  </w:r>
                </w:p>
              </w:tc>
              <w:tc>
                <w:tcPr>
                  <w:tcW w:w="3091" w:type="dxa"/>
                  <w:noWrap w:val="0"/>
                  <w:vAlign w:val="center"/>
                </w:tcPr>
                <w:p>
                  <w:pPr>
                    <w:jc w:val="center"/>
                  </w:pPr>
                  <w:r>
                    <w:t>0.6758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300.0</w:t>
                  </w:r>
                </w:p>
              </w:tc>
              <w:tc>
                <w:tcPr>
                  <w:tcW w:w="3091" w:type="dxa"/>
                  <w:gridSpan w:val="2"/>
                  <w:noWrap w:val="0"/>
                  <w:vAlign w:val="center"/>
                </w:tcPr>
                <w:p>
                  <w:pPr>
                    <w:jc w:val="center"/>
                  </w:pPr>
                  <w:r>
                    <w:t>0.9707</w:t>
                  </w:r>
                </w:p>
              </w:tc>
              <w:tc>
                <w:tcPr>
                  <w:tcW w:w="3091" w:type="dxa"/>
                  <w:noWrap w:val="0"/>
                  <w:vAlign w:val="center"/>
                </w:tcPr>
                <w:p>
                  <w:pPr>
                    <w:jc w:val="center"/>
                  </w:pPr>
                  <w:r>
                    <w:t>0.4854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500.0</w:t>
                  </w:r>
                </w:p>
              </w:tc>
              <w:tc>
                <w:tcPr>
                  <w:tcW w:w="3091" w:type="dxa"/>
                  <w:gridSpan w:val="2"/>
                  <w:noWrap w:val="0"/>
                  <w:vAlign w:val="center"/>
                </w:tcPr>
                <w:p>
                  <w:pPr>
                    <w:jc w:val="center"/>
                  </w:pPr>
                  <w:r>
                    <w:t>0.638</w:t>
                  </w:r>
                </w:p>
              </w:tc>
              <w:tc>
                <w:tcPr>
                  <w:tcW w:w="3091" w:type="dxa"/>
                  <w:noWrap w:val="0"/>
                  <w:vAlign w:val="center"/>
                </w:tcPr>
                <w:p>
                  <w:pPr>
                    <w:jc w:val="center"/>
                  </w:pPr>
                  <w:r>
                    <w:t>0.319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800.0</w:t>
                  </w:r>
                </w:p>
              </w:tc>
              <w:tc>
                <w:tcPr>
                  <w:tcW w:w="3091" w:type="dxa"/>
                  <w:gridSpan w:val="2"/>
                  <w:noWrap w:val="0"/>
                  <w:vAlign w:val="center"/>
                </w:tcPr>
                <w:p>
                  <w:pPr>
                    <w:jc w:val="center"/>
                  </w:pPr>
                  <w:r>
                    <w:t>0.4505</w:t>
                  </w:r>
                </w:p>
              </w:tc>
              <w:tc>
                <w:tcPr>
                  <w:tcW w:w="3091" w:type="dxa"/>
                  <w:noWrap w:val="0"/>
                  <w:vAlign w:val="center"/>
                </w:tcPr>
                <w:p>
                  <w:pPr>
                    <w:jc w:val="center"/>
                  </w:pPr>
                  <w:r>
                    <w:t>0.2252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1000.0</w:t>
                  </w:r>
                </w:p>
              </w:tc>
              <w:tc>
                <w:tcPr>
                  <w:tcW w:w="3091" w:type="dxa"/>
                  <w:gridSpan w:val="2"/>
                  <w:noWrap w:val="0"/>
                  <w:vAlign w:val="center"/>
                </w:tcPr>
                <w:p>
                  <w:pPr>
                    <w:jc w:val="center"/>
                  </w:pPr>
                  <w:r>
                    <w:t>0.45</w:t>
                  </w:r>
                </w:p>
              </w:tc>
              <w:tc>
                <w:tcPr>
                  <w:tcW w:w="3091" w:type="dxa"/>
                  <w:noWrap w:val="0"/>
                  <w:vAlign w:val="center"/>
                </w:tcPr>
                <w:p>
                  <w:pPr>
                    <w:jc w:val="center"/>
                  </w:pPr>
                  <w:r>
                    <w:t>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1200.0</w:t>
                  </w:r>
                </w:p>
              </w:tc>
              <w:tc>
                <w:tcPr>
                  <w:tcW w:w="3091" w:type="dxa"/>
                  <w:gridSpan w:val="2"/>
                  <w:noWrap w:val="0"/>
                  <w:vAlign w:val="center"/>
                </w:tcPr>
                <w:p>
                  <w:pPr>
                    <w:jc w:val="center"/>
                  </w:pPr>
                  <w:r>
                    <w:t>0.3575</w:t>
                  </w:r>
                </w:p>
              </w:tc>
              <w:tc>
                <w:tcPr>
                  <w:tcW w:w="3091" w:type="dxa"/>
                  <w:noWrap w:val="0"/>
                  <w:vAlign w:val="center"/>
                </w:tcPr>
                <w:p>
                  <w:pPr>
                    <w:jc w:val="center"/>
                  </w:pPr>
                  <w:r>
                    <w:t>0.1787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1500.0</w:t>
                  </w:r>
                </w:p>
              </w:tc>
              <w:tc>
                <w:tcPr>
                  <w:tcW w:w="3091" w:type="dxa"/>
                  <w:gridSpan w:val="2"/>
                  <w:noWrap w:val="0"/>
                  <w:vAlign w:val="center"/>
                </w:tcPr>
                <w:p>
                  <w:pPr>
                    <w:jc w:val="center"/>
                  </w:pPr>
                  <w:r>
                    <w:t>0.3234</w:t>
                  </w:r>
                </w:p>
              </w:tc>
              <w:tc>
                <w:tcPr>
                  <w:tcW w:w="3091" w:type="dxa"/>
                  <w:noWrap w:val="0"/>
                  <w:vAlign w:val="center"/>
                </w:tcPr>
                <w:p>
                  <w:pPr>
                    <w:jc w:val="center"/>
                  </w:pPr>
                  <w:r>
                    <w:t>0.1617</w:t>
                  </w:r>
                </w:p>
              </w:tc>
            </w:tr>
          </w:tbl>
          <w:p>
            <w:pPr>
              <w:spacing w:line="480" w:lineRule="exact"/>
              <w:ind w:firstLine="371" w:firstLineChars="176"/>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表7-12  点源2（1#导热油炉8m排气筒）  TSP占标率预测结果</w:t>
            </w:r>
          </w:p>
          <w:tbl>
            <w:tblPr>
              <w:tblStyle w:val="7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4"/>
              <w:gridCol w:w="3090"/>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3104" w:type="dxa"/>
                  <w:vMerge w:val="restart"/>
                  <w:noWrap w:val="0"/>
                  <w:vAlign w:val="center"/>
                </w:tcPr>
                <w:p>
                  <w:pPr>
                    <w:jc w:val="center"/>
                  </w:pPr>
                  <w:r>
                    <w:t>下方向距离(m)</w:t>
                  </w:r>
                </w:p>
              </w:tc>
              <w:tc>
                <w:tcPr>
                  <w:tcW w:w="6182" w:type="dxa"/>
                  <w:gridSpan w:val="2"/>
                  <w:noWrap w:val="0"/>
                  <w:vAlign w:val="center"/>
                </w:tcPr>
                <w:p>
                  <w:pPr>
                    <w:jc w:val="center"/>
                  </w:pPr>
                  <w:r>
                    <w:t>点源2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6" w:hRule="atLeast"/>
              </w:trPr>
              <w:tc>
                <w:tcPr>
                  <w:tcW w:w="3104" w:type="dxa"/>
                  <w:vMerge w:val="continue"/>
                  <w:noWrap w:val="0"/>
                  <w:vAlign w:val="center"/>
                </w:tcPr>
                <w:p/>
              </w:tc>
              <w:tc>
                <w:tcPr>
                  <w:tcW w:w="3090" w:type="dxa"/>
                  <w:noWrap w:val="0"/>
                  <w:vAlign w:val="center"/>
                </w:tcPr>
                <w:p>
                  <w:pPr>
                    <w:jc w:val="center"/>
                  </w:pPr>
                  <w:r>
                    <w:t>TSP浓度（ug/m</w:t>
                  </w:r>
                  <w:r>
                    <w:rPr>
                      <w:vertAlign w:val="superscript"/>
                    </w:rPr>
                    <w:t>3</w:t>
                  </w:r>
                  <w:r>
                    <w:t>）</w:t>
                  </w:r>
                </w:p>
              </w:tc>
              <w:tc>
                <w:tcPr>
                  <w:tcW w:w="3092" w:type="dxa"/>
                  <w:noWrap w:val="0"/>
                  <w:vAlign w:val="center"/>
                </w:tcPr>
                <w:p>
                  <w:pPr>
                    <w:jc w:val="center"/>
                  </w:pPr>
                  <w:r>
                    <w:t>TSP占标率（%）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w:t>
                  </w:r>
                </w:p>
              </w:tc>
              <w:tc>
                <w:tcPr>
                  <w:tcW w:w="3090" w:type="dxa"/>
                  <w:noWrap w:val="0"/>
                  <w:vAlign w:val="center"/>
                </w:tcPr>
                <w:p>
                  <w:pPr>
                    <w:jc w:val="center"/>
                  </w:pPr>
                  <w:r>
                    <w:t>0.0</w:t>
                  </w:r>
                </w:p>
              </w:tc>
              <w:tc>
                <w:tcPr>
                  <w:tcW w:w="3092" w:type="dxa"/>
                  <w:noWrap w:val="0"/>
                  <w:vAlign w:val="center"/>
                </w:tcPr>
                <w:p>
                  <w:pPr>
                    <w:jc w:val="center"/>
                  </w:pP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100.0</w:t>
                  </w:r>
                </w:p>
              </w:tc>
              <w:tc>
                <w:tcPr>
                  <w:tcW w:w="3090" w:type="dxa"/>
                  <w:noWrap w:val="0"/>
                  <w:vAlign w:val="center"/>
                </w:tcPr>
                <w:p>
                  <w:pPr>
                    <w:jc w:val="center"/>
                  </w:pPr>
                  <w:r>
                    <w:t>0.1307</w:t>
                  </w:r>
                </w:p>
              </w:tc>
              <w:tc>
                <w:tcPr>
                  <w:tcW w:w="3092" w:type="dxa"/>
                  <w:noWrap w:val="0"/>
                  <w:vAlign w:val="center"/>
                </w:tcPr>
                <w:p>
                  <w:pPr>
                    <w:jc w:val="center"/>
                  </w:pPr>
                  <w:r>
                    <w:t>0.0145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158.52</w:t>
                  </w:r>
                </w:p>
              </w:tc>
              <w:tc>
                <w:tcPr>
                  <w:tcW w:w="3090" w:type="dxa"/>
                  <w:noWrap w:val="0"/>
                  <w:vAlign w:val="center"/>
                </w:tcPr>
                <w:p>
                  <w:pPr>
                    <w:jc w:val="center"/>
                  </w:pPr>
                  <w:r>
                    <w:t>0.1821</w:t>
                  </w:r>
                </w:p>
              </w:tc>
              <w:tc>
                <w:tcPr>
                  <w:tcW w:w="3092" w:type="dxa"/>
                  <w:noWrap w:val="0"/>
                  <w:vAlign w:val="center"/>
                </w:tcPr>
                <w:p>
                  <w:pPr>
                    <w:jc w:val="center"/>
                  </w:pPr>
                  <w:r>
                    <w:t>0.0202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165.85</w:t>
                  </w:r>
                </w:p>
              </w:tc>
              <w:tc>
                <w:tcPr>
                  <w:tcW w:w="3090" w:type="dxa"/>
                  <w:noWrap w:val="0"/>
                  <w:vAlign w:val="center"/>
                </w:tcPr>
                <w:p>
                  <w:pPr>
                    <w:jc w:val="center"/>
                  </w:pPr>
                  <w:r>
                    <w:t>0.2801</w:t>
                  </w:r>
                </w:p>
              </w:tc>
              <w:tc>
                <w:tcPr>
                  <w:tcW w:w="3092" w:type="dxa"/>
                  <w:noWrap w:val="0"/>
                  <w:vAlign w:val="center"/>
                </w:tcPr>
                <w:p>
                  <w:pPr>
                    <w:jc w:val="center"/>
                  </w:pPr>
                  <w:r>
                    <w:t>0.0311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174.63</w:t>
                  </w:r>
                </w:p>
              </w:tc>
              <w:tc>
                <w:tcPr>
                  <w:tcW w:w="3090" w:type="dxa"/>
                  <w:noWrap w:val="0"/>
                  <w:vAlign w:val="center"/>
                </w:tcPr>
                <w:p>
                  <w:pPr>
                    <w:jc w:val="center"/>
                  </w:pPr>
                  <w:r>
                    <w:t>0.3965</w:t>
                  </w:r>
                </w:p>
              </w:tc>
              <w:tc>
                <w:tcPr>
                  <w:tcW w:w="3092" w:type="dxa"/>
                  <w:noWrap w:val="0"/>
                  <w:vAlign w:val="center"/>
                </w:tcPr>
                <w:p>
                  <w:pPr>
                    <w:jc w:val="center"/>
                  </w:pPr>
                  <w:r>
                    <w:t>0.0441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186.44</w:t>
                  </w:r>
                </w:p>
              </w:tc>
              <w:tc>
                <w:tcPr>
                  <w:tcW w:w="3090" w:type="dxa"/>
                  <w:noWrap w:val="0"/>
                  <w:vAlign w:val="center"/>
                </w:tcPr>
                <w:p>
                  <w:pPr>
                    <w:jc w:val="center"/>
                  </w:pPr>
                  <w:r>
                    <w:t>0.4536</w:t>
                  </w:r>
                </w:p>
              </w:tc>
              <w:tc>
                <w:tcPr>
                  <w:tcW w:w="3092" w:type="dxa"/>
                  <w:noWrap w:val="0"/>
                  <w:vAlign w:val="center"/>
                </w:tcPr>
                <w:p>
                  <w:pPr>
                    <w:jc w:val="center"/>
                  </w:pPr>
                  <w:r>
                    <w:t>0.0504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206.0</w:t>
                  </w:r>
                </w:p>
              </w:tc>
              <w:tc>
                <w:tcPr>
                  <w:tcW w:w="3090" w:type="dxa"/>
                  <w:noWrap w:val="0"/>
                  <w:vAlign w:val="center"/>
                </w:tcPr>
                <w:p>
                  <w:pPr>
                    <w:jc w:val="center"/>
                  </w:pPr>
                  <w:r>
                    <w:t>0.5161</w:t>
                  </w:r>
                </w:p>
              </w:tc>
              <w:tc>
                <w:tcPr>
                  <w:tcW w:w="3092" w:type="dxa"/>
                  <w:noWrap w:val="0"/>
                  <w:vAlign w:val="center"/>
                </w:tcPr>
                <w:p>
                  <w:pPr>
                    <w:jc w:val="center"/>
                  </w:pPr>
                  <w:r>
                    <w:t>0.0573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300.0</w:t>
                  </w:r>
                </w:p>
              </w:tc>
              <w:tc>
                <w:tcPr>
                  <w:tcW w:w="3090" w:type="dxa"/>
                  <w:noWrap w:val="0"/>
                  <w:vAlign w:val="center"/>
                </w:tcPr>
                <w:p>
                  <w:pPr>
                    <w:jc w:val="center"/>
                  </w:pPr>
                  <w:r>
                    <w:t>0.3707</w:t>
                  </w:r>
                </w:p>
              </w:tc>
              <w:tc>
                <w:tcPr>
                  <w:tcW w:w="3092" w:type="dxa"/>
                  <w:noWrap w:val="0"/>
                  <w:vAlign w:val="center"/>
                </w:tcPr>
                <w:p>
                  <w:pPr>
                    <w:jc w:val="center"/>
                  </w:pPr>
                  <w:r>
                    <w:t>0.0412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500.0</w:t>
                  </w:r>
                </w:p>
              </w:tc>
              <w:tc>
                <w:tcPr>
                  <w:tcW w:w="3090" w:type="dxa"/>
                  <w:noWrap w:val="0"/>
                  <w:vAlign w:val="center"/>
                </w:tcPr>
                <w:p>
                  <w:pPr>
                    <w:jc w:val="center"/>
                  </w:pPr>
                  <w:r>
                    <w:t>0.2436</w:t>
                  </w:r>
                </w:p>
              </w:tc>
              <w:tc>
                <w:tcPr>
                  <w:tcW w:w="3092" w:type="dxa"/>
                  <w:noWrap w:val="0"/>
                  <w:vAlign w:val="center"/>
                </w:tcPr>
                <w:p>
                  <w:pPr>
                    <w:jc w:val="center"/>
                  </w:pPr>
                  <w:r>
                    <w:t>0.0271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800.0</w:t>
                  </w:r>
                </w:p>
              </w:tc>
              <w:tc>
                <w:tcPr>
                  <w:tcW w:w="3090" w:type="dxa"/>
                  <w:noWrap w:val="0"/>
                  <w:vAlign w:val="center"/>
                </w:tcPr>
                <w:p>
                  <w:pPr>
                    <w:jc w:val="center"/>
                  </w:pPr>
                  <w:r>
                    <w:t>0.172</w:t>
                  </w:r>
                </w:p>
              </w:tc>
              <w:tc>
                <w:tcPr>
                  <w:tcW w:w="3092" w:type="dxa"/>
                  <w:noWrap w:val="0"/>
                  <w:vAlign w:val="center"/>
                </w:tcPr>
                <w:p>
                  <w:pPr>
                    <w:jc w:val="center"/>
                  </w:pPr>
                  <w:r>
                    <w:t>0.0191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1000.0</w:t>
                  </w:r>
                </w:p>
              </w:tc>
              <w:tc>
                <w:tcPr>
                  <w:tcW w:w="3090" w:type="dxa"/>
                  <w:noWrap w:val="0"/>
                  <w:vAlign w:val="center"/>
                </w:tcPr>
                <w:p>
                  <w:pPr>
                    <w:jc w:val="center"/>
                  </w:pPr>
                  <w:r>
                    <w:t>0.1718</w:t>
                  </w:r>
                </w:p>
              </w:tc>
              <w:tc>
                <w:tcPr>
                  <w:tcW w:w="3092" w:type="dxa"/>
                  <w:noWrap w:val="0"/>
                  <w:vAlign w:val="center"/>
                </w:tcPr>
                <w:p>
                  <w:pPr>
                    <w:jc w:val="center"/>
                  </w:pPr>
                  <w:r>
                    <w:t>0.0191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1200.0</w:t>
                  </w:r>
                </w:p>
              </w:tc>
              <w:tc>
                <w:tcPr>
                  <w:tcW w:w="3090" w:type="dxa"/>
                  <w:noWrap w:val="0"/>
                  <w:vAlign w:val="center"/>
                </w:tcPr>
                <w:p>
                  <w:pPr>
                    <w:jc w:val="center"/>
                  </w:pPr>
                  <w:r>
                    <w:t>0.1365</w:t>
                  </w:r>
                </w:p>
              </w:tc>
              <w:tc>
                <w:tcPr>
                  <w:tcW w:w="3092" w:type="dxa"/>
                  <w:noWrap w:val="0"/>
                  <w:vAlign w:val="center"/>
                </w:tcPr>
                <w:p>
                  <w:pPr>
                    <w:jc w:val="center"/>
                  </w:pPr>
                  <w:r>
                    <w:t>0.0152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1500.0</w:t>
                  </w:r>
                </w:p>
              </w:tc>
              <w:tc>
                <w:tcPr>
                  <w:tcW w:w="3090" w:type="dxa"/>
                  <w:noWrap w:val="0"/>
                  <w:vAlign w:val="center"/>
                </w:tcPr>
                <w:p>
                  <w:pPr>
                    <w:jc w:val="center"/>
                  </w:pPr>
                  <w:r>
                    <w:t>0.1235</w:t>
                  </w:r>
                </w:p>
              </w:tc>
              <w:tc>
                <w:tcPr>
                  <w:tcW w:w="3092" w:type="dxa"/>
                  <w:noWrap w:val="0"/>
                  <w:vAlign w:val="center"/>
                </w:tcPr>
                <w:p>
                  <w:pPr>
                    <w:jc w:val="center"/>
                  </w:pPr>
                  <w:r>
                    <w:t>0.0137</w:t>
                  </w:r>
                </w:p>
              </w:tc>
            </w:tr>
          </w:tbl>
          <w:p>
            <w:pPr>
              <w:spacing w:line="480" w:lineRule="exact"/>
              <w:ind w:firstLine="371" w:firstLineChars="176"/>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表7-13  点源3（2#导热油炉8m排气筒）  SO</w:t>
            </w:r>
            <w:r>
              <w:rPr>
                <w:rFonts w:hint="eastAsia" w:ascii="Times New Roman" w:hAnsi="Times New Roman" w:cs="Times New Roman"/>
                <w:b/>
                <w:bCs/>
                <w:sz w:val="21"/>
                <w:szCs w:val="21"/>
                <w:vertAlign w:val="subscript"/>
                <w:lang w:val="en-US" w:eastAsia="zh-CN"/>
              </w:rPr>
              <w:t>2</w:t>
            </w:r>
            <w:r>
              <w:rPr>
                <w:rFonts w:hint="eastAsia" w:ascii="Times New Roman" w:hAnsi="Times New Roman" w:cs="Times New Roman"/>
                <w:b/>
                <w:bCs/>
                <w:sz w:val="21"/>
                <w:szCs w:val="21"/>
                <w:lang w:val="en-US" w:eastAsia="zh-CN"/>
              </w:rPr>
              <w:t>占标率预测结果</w:t>
            </w:r>
          </w:p>
          <w:tbl>
            <w:tblPr>
              <w:tblStyle w:val="7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4"/>
              <w:gridCol w:w="3091"/>
              <w:gridCol w:w="3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3104" w:type="dxa"/>
                  <w:vMerge w:val="restart"/>
                  <w:noWrap w:val="0"/>
                  <w:vAlign w:val="center"/>
                </w:tcPr>
                <w:p>
                  <w:pPr>
                    <w:jc w:val="center"/>
                  </w:pPr>
                  <w:r>
                    <w:t>下方向距离(m)</w:t>
                  </w:r>
                </w:p>
              </w:tc>
              <w:tc>
                <w:tcPr>
                  <w:tcW w:w="6182" w:type="dxa"/>
                  <w:gridSpan w:val="2"/>
                  <w:noWrap w:val="0"/>
                  <w:vAlign w:val="center"/>
                </w:tcPr>
                <w:p>
                  <w:pPr>
                    <w:jc w:val="center"/>
                    <w:rPr>
                      <w:rFonts w:hint="eastAsia" w:eastAsia="宋体"/>
                      <w:lang w:val="en-US" w:eastAsia="zh-CN"/>
                    </w:rPr>
                  </w:pPr>
                  <w:r>
                    <w:t>点源</w:t>
                  </w: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3104" w:type="dxa"/>
                  <w:vMerge w:val="continue"/>
                  <w:noWrap w:val="0"/>
                  <w:vAlign w:val="center"/>
                </w:tcPr>
                <w:p>
                  <w:pPr>
                    <w:jc w:val="center"/>
                  </w:pPr>
                </w:p>
              </w:tc>
              <w:tc>
                <w:tcPr>
                  <w:tcW w:w="3091" w:type="dxa"/>
                  <w:noWrap w:val="0"/>
                  <w:vAlign w:val="center"/>
                </w:tcPr>
                <w:p>
                  <w:pPr>
                    <w:jc w:val="center"/>
                  </w:pPr>
                  <w:r>
                    <w:t>SO</w:t>
                  </w:r>
                  <w:r>
                    <w:rPr>
                      <w:vertAlign w:val="subscript"/>
                    </w:rPr>
                    <w:t>2</w:t>
                  </w:r>
                  <w:r>
                    <w:t>浓度（ug/m</w:t>
                  </w:r>
                  <w:r>
                    <w:rPr>
                      <w:vertAlign w:val="superscript"/>
                    </w:rPr>
                    <w:t>3</w:t>
                  </w:r>
                  <w:r>
                    <w:t>）</w:t>
                  </w:r>
                </w:p>
              </w:tc>
              <w:tc>
                <w:tcPr>
                  <w:tcW w:w="3091" w:type="dxa"/>
                  <w:noWrap w:val="0"/>
                  <w:vAlign w:val="center"/>
                </w:tcPr>
                <w:p>
                  <w:pPr>
                    <w:jc w:val="center"/>
                  </w:pPr>
                  <w:r>
                    <w:t>SO</w:t>
                  </w:r>
                  <w:r>
                    <w:rPr>
                      <w:vertAlign w:val="subscript"/>
                    </w:rPr>
                    <w:t>2</w:t>
                  </w:r>
                  <w: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w:t>
                  </w:r>
                </w:p>
              </w:tc>
              <w:tc>
                <w:tcPr>
                  <w:tcW w:w="3091" w:type="dxa"/>
                  <w:noWrap w:val="0"/>
                  <w:vAlign w:val="center"/>
                </w:tcPr>
                <w:p>
                  <w:pPr>
                    <w:jc w:val="center"/>
                  </w:pPr>
                  <w:r>
                    <w:t>0.0</w:t>
                  </w:r>
                </w:p>
              </w:tc>
              <w:tc>
                <w:tcPr>
                  <w:tcW w:w="3091" w:type="dxa"/>
                  <w:noWrap w:val="0"/>
                  <w:vAlign w:val="center"/>
                </w:tcPr>
                <w:p>
                  <w:pPr>
                    <w:jc w:val="center"/>
                  </w:pP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100.0</w:t>
                  </w:r>
                </w:p>
              </w:tc>
              <w:tc>
                <w:tcPr>
                  <w:tcW w:w="3091" w:type="dxa"/>
                  <w:noWrap w:val="0"/>
                  <w:vAlign w:val="center"/>
                </w:tcPr>
                <w:p>
                  <w:pPr>
                    <w:jc w:val="center"/>
                  </w:pPr>
                  <w:r>
                    <w:t>0.0547</w:t>
                  </w:r>
                </w:p>
              </w:tc>
              <w:tc>
                <w:tcPr>
                  <w:tcW w:w="3091" w:type="dxa"/>
                  <w:noWrap w:val="0"/>
                  <w:vAlign w:val="center"/>
                </w:tcPr>
                <w:p>
                  <w:pPr>
                    <w:jc w:val="center"/>
                  </w:pPr>
                  <w:r>
                    <w:t>0.0109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162.76</w:t>
                  </w:r>
                </w:p>
              </w:tc>
              <w:tc>
                <w:tcPr>
                  <w:tcW w:w="3091" w:type="dxa"/>
                  <w:noWrap w:val="0"/>
                  <w:vAlign w:val="center"/>
                </w:tcPr>
                <w:p>
                  <w:pPr>
                    <w:jc w:val="center"/>
                  </w:pPr>
                  <w:r>
                    <w:t>0.0952</w:t>
                  </w:r>
                </w:p>
              </w:tc>
              <w:tc>
                <w:tcPr>
                  <w:tcW w:w="3091" w:type="dxa"/>
                  <w:noWrap w:val="0"/>
                  <w:vAlign w:val="center"/>
                </w:tcPr>
                <w:p>
                  <w:pPr>
                    <w:jc w:val="center"/>
                  </w:pPr>
                  <w:r>
                    <w:t>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169.2</w:t>
                  </w:r>
                </w:p>
              </w:tc>
              <w:tc>
                <w:tcPr>
                  <w:tcW w:w="3091" w:type="dxa"/>
                  <w:noWrap w:val="0"/>
                  <w:vAlign w:val="center"/>
                </w:tcPr>
                <w:p>
                  <w:pPr>
                    <w:jc w:val="center"/>
                  </w:pPr>
                  <w:r>
                    <w:t>0.1392</w:t>
                  </w:r>
                </w:p>
              </w:tc>
              <w:tc>
                <w:tcPr>
                  <w:tcW w:w="3091" w:type="dxa"/>
                  <w:noWrap w:val="0"/>
                  <w:vAlign w:val="center"/>
                </w:tcPr>
                <w:p>
                  <w:pPr>
                    <w:jc w:val="center"/>
                  </w:pPr>
                  <w:r>
                    <w:t>0.0278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177.06</w:t>
                  </w:r>
                </w:p>
              </w:tc>
              <w:tc>
                <w:tcPr>
                  <w:tcW w:w="3091" w:type="dxa"/>
                  <w:noWrap w:val="0"/>
                  <w:vAlign w:val="center"/>
                </w:tcPr>
                <w:p>
                  <w:pPr>
                    <w:jc w:val="center"/>
                  </w:pPr>
                  <w:r>
                    <w:t>0.1719</w:t>
                  </w:r>
                </w:p>
              </w:tc>
              <w:tc>
                <w:tcPr>
                  <w:tcW w:w="3091" w:type="dxa"/>
                  <w:noWrap w:val="0"/>
                  <w:vAlign w:val="center"/>
                </w:tcPr>
                <w:p>
                  <w:pPr>
                    <w:jc w:val="center"/>
                  </w:pPr>
                  <w:r>
                    <w:t>0.0344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188.0</w:t>
                  </w:r>
                </w:p>
              </w:tc>
              <w:tc>
                <w:tcPr>
                  <w:tcW w:w="3091" w:type="dxa"/>
                  <w:noWrap w:val="0"/>
                  <w:vAlign w:val="center"/>
                </w:tcPr>
                <w:p>
                  <w:pPr>
                    <w:jc w:val="center"/>
                  </w:pPr>
                  <w:r>
                    <w:t>0.1951</w:t>
                  </w:r>
                </w:p>
              </w:tc>
              <w:tc>
                <w:tcPr>
                  <w:tcW w:w="3091" w:type="dxa"/>
                  <w:noWrap w:val="0"/>
                  <w:vAlign w:val="center"/>
                </w:tcPr>
                <w:p>
                  <w:pPr>
                    <w:jc w:val="center"/>
                  </w:pPr>
                  <w:r>
                    <w:t>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rPr>
                      <w:rFonts w:hint="default" w:eastAsia="宋体"/>
                      <w:lang w:val="en-US" w:eastAsia="zh-CN"/>
                    </w:rPr>
                  </w:pPr>
                  <w:r>
                    <w:rPr>
                      <w:rFonts w:hint="eastAsia"/>
                      <w:lang w:val="en-US" w:eastAsia="zh-CN"/>
                    </w:rPr>
                    <w:t>206.0</w:t>
                  </w:r>
                </w:p>
              </w:tc>
              <w:tc>
                <w:tcPr>
                  <w:tcW w:w="3091" w:type="dxa"/>
                  <w:noWrap w:val="0"/>
                  <w:vAlign w:val="center"/>
                </w:tcPr>
                <w:p>
                  <w:pPr>
                    <w:jc w:val="center"/>
                  </w:pPr>
                  <w:r>
                    <w:t>0.2161</w:t>
                  </w:r>
                </w:p>
              </w:tc>
              <w:tc>
                <w:tcPr>
                  <w:tcW w:w="3091" w:type="dxa"/>
                  <w:noWrap w:val="0"/>
                  <w:vAlign w:val="center"/>
                </w:tcPr>
                <w:p>
                  <w:pPr>
                    <w:jc w:val="center"/>
                  </w:pPr>
                  <w:r>
                    <w:t>0.0432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300.0</w:t>
                  </w:r>
                </w:p>
              </w:tc>
              <w:tc>
                <w:tcPr>
                  <w:tcW w:w="3091" w:type="dxa"/>
                  <w:noWrap w:val="0"/>
                  <w:vAlign w:val="center"/>
                </w:tcPr>
                <w:p>
                  <w:pPr>
                    <w:jc w:val="center"/>
                  </w:pPr>
                  <w:r>
                    <w:t>0.1551</w:t>
                  </w:r>
                </w:p>
              </w:tc>
              <w:tc>
                <w:tcPr>
                  <w:tcW w:w="3091" w:type="dxa"/>
                  <w:noWrap w:val="0"/>
                  <w:vAlign w:val="center"/>
                </w:tcPr>
                <w:p>
                  <w:pPr>
                    <w:jc w:val="center"/>
                  </w:pPr>
                  <w:r>
                    <w:t>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500.0</w:t>
                  </w:r>
                </w:p>
              </w:tc>
              <w:tc>
                <w:tcPr>
                  <w:tcW w:w="3091" w:type="dxa"/>
                  <w:noWrap w:val="0"/>
                  <w:vAlign w:val="center"/>
                </w:tcPr>
                <w:p>
                  <w:pPr>
                    <w:jc w:val="center"/>
                  </w:pPr>
                  <w:r>
                    <w:t>0.102</w:t>
                  </w:r>
                </w:p>
              </w:tc>
              <w:tc>
                <w:tcPr>
                  <w:tcW w:w="3091" w:type="dxa"/>
                  <w:noWrap w:val="0"/>
                  <w:vAlign w:val="center"/>
                </w:tcPr>
                <w:p>
                  <w:pPr>
                    <w:jc w:val="center"/>
                  </w:pPr>
                  <w:r>
                    <w:t>0.0204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800.0</w:t>
                  </w:r>
                </w:p>
              </w:tc>
              <w:tc>
                <w:tcPr>
                  <w:tcW w:w="3091" w:type="dxa"/>
                  <w:noWrap w:val="0"/>
                  <w:vAlign w:val="center"/>
                </w:tcPr>
                <w:p>
                  <w:pPr>
                    <w:jc w:val="center"/>
                  </w:pPr>
                  <w:r>
                    <w:t>0.0721</w:t>
                  </w:r>
                </w:p>
              </w:tc>
              <w:tc>
                <w:tcPr>
                  <w:tcW w:w="3091" w:type="dxa"/>
                  <w:noWrap w:val="0"/>
                  <w:vAlign w:val="center"/>
                </w:tcPr>
                <w:p>
                  <w:pPr>
                    <w:jc w:val="center"/>
                  </w:pPr>
                  <w:r>
                    <w:t>0.0144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1000.0</w:t>
                  </w:r>
                </w:p>
              </w:tc>
              <w:tc>
                <w:tcPr>
                  <w:tcW w:w="3091" w:type="dxa"/>
                  <w:noWrap w:val="0"/>
                  <w:vAlign w:val="center"/>
                </w:tcPr>
                <w:p>
                  <w:pPr>
                    <w:jc w:val="center"/>
                  </w:pPr>
                  <w:r>
                    <w:t>0.0719</w:t>
                  </w:r>
                </w:p>
              </w:tc>
              <w:tc>
                <w:tcPr>
                  <w:tcW w:w="3091" w:type="dxa"/>
                  <w:noWrap w:val="0"/>
                  <w:vAlign w:val="center"/>
                </w:tcPr>
                <w:p>
                  <w:pPr>
                    <w:jc w:val="center"/>
                  </w:pPr>
                  <w:r>
                    <w:t>0.0144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1200.0</w:t>
                  </w:r>
                </w:p>
              </w:tc>
              <w:tc>
                <w:tcPr>
                  <w:tcW w:w="3091" w:type="dxa"/>
                  <w:noWrap w:val="0"/>
                  <w:vAlign w:val="center"/>
                </w:tcPr>
                <w:p>
                  <w:pPr>
                    <w:jc w:val="center"/>
                  </w:pPr>
                  <w:r>
                    <w:t>0.0572</w:t>
                  </w:r>
                </w:p>
              </w:tc>
              <w:tc>
                <w:tcPr>
                  <w:tcW w:w="3091" w:type="dxa"/>
                  <w:noWrap w:val="0"/>
                  <w:vAlign w:val="center"/>
                </w:tcPr>
                <w:p>
                  <w:pPr>
                    <w:jc w:val="center"/>
                  </w:pPr>
                  <w:r>
                    <w:t>0.0114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1500.0</w:t>
                  </w:r>
                </w:p>
              </w:tc>
              <w:tc>
                <w:tcPr>
                  <w:tcW w:w="3091" w:type="dxa"/>
                  <w:noWrap w:val="0"/>
                  <w:vAlign w:val="center"/>
                </w:tcPr>
                <w:p>
                  <w:pPr>
                    <w:jc w:val="center"/>
                  </w:pPr>
                  <w:r>
                    <w:t>0.0517</w:t>
                  </w:r>
                </w:p>
              </w:tc>
              <w:tc>
                <w:tcPr>
                  <w:tcW w:w="3091" w:type="dxa"/>
                  <w:noWrap w:val="0"/>
                  <w:vAlign w:val="center"/>
                </w:tcPr>
                <w:p>
                  <w:pPr>
                    <w:jc w:val="center"/>
                  </w:pPr>
                  <w:r>
                    <w:t>0.0103</w:t>
                  </w:r>
                </w:p>
              </w:tc>
            </w:tr>
          </w:tbl>
          <w:p>
            <w:pPr>
              <w:spacing w:line="480" w:lineRule="exact"/>
              <w:ind w:firstLine="371" w:firstLineChars="176"/>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表7-14  点源3（2#导热油炉8m排气筒）  NO</w:t>
            </w:r>
            <w:r>
              <w:rPr>
                <w:rFonts w:hint="eastAsia" w:ascii="Times New Roman" w:hAnsi="Times New Roman" w:cs="Times New Roman"/>
                <w:b/>
                <w:bCs/>
                <w:sz w:val="21"/>
                <w:szCs w:val="21"/>
                <w:vertAlign w:val="subscript"/>
                <w:lang w:val="en-US" w:eastAsia="zh-CN"/>
              </w:rPr>
              <w:t>2</w:t>
            </w:r>
            <w:r>
              <w:rPr>
                <w:rFonts w:hint="eastAsia" w:ascii="Times New Roman" w:hAnsi="Times New Roman" w:cs="Times New Roman"/>
                <w:b/>
                <w:bCs/>
                <w:sz w:val="21"/>
                <w:szCs w:val="21"/>
                <w:lang w:val="en-US" w:eastAsia="zh-CN"/>
              </w:rPr>
              <w:t>占标率预测结果</w:t>
            </w:r>
          </w:p>
          <w:tbl>
            <w:tblPr>
              <w:tblStyle w:val="7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4"/>
              <w:gridCol w:w="3090"/>
              <w:gridCol w:w="1"/>
              <w:gridCol w:w="3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3104" w:type="dxa"/>
                  <w:vMerge w:val="restart"/>
                  <w:noWrap w:val="0"/>
                  <w:vAlign w:val="center"/>
                </w:tcPr>
                <w:p>
                  <w:pPr>
                    <w:jc w:val="center"/>
                  </w:pPr>
                  <w:r>
                    <w:t>下方向距离(m)</w:t>
                  </w:r>
                </w:p>
              </w:tc>
              <w:tc>
                <w:tcPr>
                  <w:tcW w:w="6182" w:type="dxa"/>
                  <w:gridSpan w:val="3"/>
                  <w:noWrap w:val="0"/>
                  <w:vAlign w:val="center"/>
                </w:tcPr>
                <w:p>
                  <w:pPr>
                    <w:jc w:val="center"/>
                    <w:rPr>
                      <w:rFonts w:hint="eastAsia" w:eastAsia="宋体"/>
                      <w:lang w:val="en-US" w:eastAsia="zh-CN"/>
                    </w:rPr>
                  </w:pPr>
                  <w:r>
                    <w:t>点源</w:t>
                  </w: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3104" w:type="dxa"/>
                  <w:vMerge w:val="continue"/>
                  <w:noWrap w:val="0"/>
                  <w:vAlign w:val="center"/>
                </w:tcPr>
                <w:p/>
              </w:tc>
              <w:tc>
                <w:tcPr>
                  <w:tcW w:w="3090" w:type="dxa"/>
                  <w:noWrap w:val="0"/>
                  <w:vAlign w:val="center"/>
                </w:tcPr>
                <w:p>
                  <w:pPr>
                    <w:jc w:val="center"/>
                  </w:pPr>
                  <w:r>
                    <w:t>NO</w:t>
                  </w:r>
                  <w:r>
                    <w:rPr>
                      <w:vertAlign w:val="subscript"/>
                    </w:rPr>
                    <w:t>2</w:t>
                  </w:r>
                  <w:r>
                    <w:t>浓度（ug/m</w:t>
                  </w:r>
                  <w:r>
                    <w:rPr>
                      <w:vertAlign w:val="superscript"/>
                    </w:rPr>
                    <w:t>3</w:t>
                  </w:r>
                  <w:r>
                    <w:t>）</w:t>
                  </w:r>
                </w:p>
              </w:tc>
              <w:tc>
                <w:tcPr>
                  <w:tcW w:w="3092" w:type="dxa"/>
                  <w:gridSpan w:val="2"/>
                  <w:noWrap w:val="0"/>
                  <w:vAlign w:val="center"/>
                </w:tcPr>
                <w:p>
                  <w:pPr>
                    <w:jc w:val="center"/>
                  </w:pPr>
                  <w:r>
                    <w:t>NO</w:t>
                  </w:r>
                  <w:r>
                    <w:rPr>
                      <w:vertAlign w:val="subscript"/>
                    </w:rPr>
                    <w:t>2</w:t>
                  </w:r>
                  <w: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w:t>
                  </w:r>
                </w:p>
              </w:tc>
              <w:tc>
                <w:tcPr>
                  <w:tcW w:w="3091" w:type="dxa"/>
                  <w:gridSpan w:val="2"/>
                  <w:noWrap w:val="0"/>
                  <w:vAlign w:val="center"/>
                </w:tcPr>
                <w:p>
                  <w:pPr>
                    <w:jc w:val="center"/>
                  </w:pPr>
                  <w:r>
                    <w:t>1.0E-4</w:t>
                  </w:r>
                </w:p>
              </w:tc>
              <w:tc>
                <w:tcPr>
                  <w:tcW w:w="3091" w:type="dxa"/>
                  <w:noWrap w:val="0"/>
                  <w:vAlign w:val="center"/>
                </w:tcPr>
                <w:p>
                  <w:pPr>
                    <w:jc w:val="center"/>
                  </w:pPr>
                  <w:r>
                    <w:t>1.0E-4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100.0</w:t>
                  </w:r>
                </w:p>
              </w:tc>
              <w:tc>
                <w:tcPr>
                  <w:tcW w:w="3091" w:type="dxa"/>
                  <w:gridSpan w:val="2"/>
                  <w:noWrap w:val="0"/>
                  <w:vAlign w:val="center"/>
                </w:tcPr>
                <w:p>
                  <w:pPr>
                    <w:jc w:val="center"/>
                  </w:pPr>
                  <w:r>
                    <w:t>0.3422</w:t>
                  </w:r>
                </w:p>
              </w:tc>
              <w:tc>
                <w:tcPr>
                  <w:tcW w:w="3091" w:type="dxa"/>
                  <w:noWrap w:val="0"/>
                  <w:vAlign w:val="center"/>
                </w:tcPr>
                <w:p>
                  <w:pPr>
                    <w:jc w:val="center"/>
                  </w:pPr>
                  <w:r>
                    <w:t>0.1711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162.76</w:t>
                  </w:r>
                </w:p>
              </w:tc>
              <w:tc>
                <w:tcPr>
                  <w:tcW w:w="3091" w:type="dxa"/>
                  <w:gridSpan w:val="2"/>
                  <w:noWrap w:val="0"/>
                  <w:vAlign w:val="center"/>
                </w:tcPr>
                <w:p>
                  <w:pPr>
                    <w:jc w:val="center"/>
                  </w:pPr>
                  <w:r>
                    <w:t>0.5951</w:t>
                  </w:r>
                </w:p>
              </w:tc>
              <w:tc>
                <w:tcPr>
                  <w:tcW w:w="3091" w:type="dxa"/>
                  <w:noWrap w:val="0"/>
                  <w:vAlign w:val="center"/>
                </w:tcPr>
                <w:p>
                  <w:pPr>
                    <w:jc w:val="center"/>
                  </w:pPr>
                  <w:r>
                    <w:t>0.2976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169.2</w:t>
                  </w:r>
                </w:p>
              </w:tc>
              <w:tc>
                <w:tcPr>
                  <w:tcW w:w="3091" w:type="dxa"/>
                  <w:gridSpan w:val="2"/>
                  <w:noWrap w:val="0"/>
                  <w:vAlign w:val="center"/>
                </w:tcPr>
                <w:p>
                  <w:pPr>
                    <w:jc w:val="center"/>
                  </w:pPr>
                  <w:r>
                    <w:t>0.8703</w:t>
                  </w:r>
                </w:p>
              </w:tc>
              <w:tc>
                <w:tcPr>
                  <w:tcW w:w="3091" w:type="dxa"/>
                  <w:noWrap w:val="0"/>
                  <w:vAlign w:val="center"/>
                </w:tcPr>
                <w:p>
                  <w:pPr>
                    <w:jc w:val="center"/>
                  </w:pPr>
                  <w:r>
                    <w:t>0.4352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177.06</w:t>
                  </w:r>
                </w:p>
              </w:tc>
              <w:tc>
                <w:tcPr>
                  <w:tcW w:w="3091" w:type="dxa"/>
                  <w:gridSpan w:val="2"/>
                  <w:noWrap w:val="0"/>
                  <w:vAlign w:val="center"/>
                </w:tcPr>
                <w:p>
                  <w:pPr>
                    <w:jc w:val="center"/>
                  </w:pPr>
                  <w:r>
                    <w:t>1.0746</w:t>
                  </w:r>
                </w:p>
              </w:tc>
              <w:tc>
                <w:tcPr>
                  <w:tcW w:w="3091" w:type="dxa"/>
                  <w:noWrap w:val="0"/>
                  <w:vAlign w:val="center"/>
                </w:tcPr>
                <w:p>
                  <w:pPr>
                    <w:jc w:val="center"/>
                  </w:pPr>
                  <w:r>
                    <w:t>0.5373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188.0</w:t>
                  </w:r>
                </w:p>
              </w:tc>
              <w:tc>
                <w:tcPr>
                  <w:tcW w:w="3091" w:type="dxa"/>
                  <w:gridSpan w:val="2"/>
                  <w:noWrap w:val="0"/>
                  <w:vAlign w:val="center"/>
                </w:tcPr>
                <w:p>
                  <w:pPr>
                    <w:jc w:val="center"/>
                  </w:pPr>
                  <w:r>
                    <w:t>1.2195</w:t>
                  </w:r>
                </w:p>
              </w:tc>
              <w:tc>
                <w:tcPr>
                  <w:tcW w:w="3091" w:type="dxa"/>
                  <w:noWrap w:val="0"/>
                  <w:vAlign w:val="center"/>
                </w:tcPr>
                <w:p>
                  <w:pPr>
                    <w:jc w:val="center"/>
                  </w:pPr>
                  <w:r>
                    <w:t>0.6098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rPr>
                      <w:rFonts w:hint="default" w:eastAsia="宋体"/>
                      <w:lang w:val="en-US" w:eastAsia="zh-CN"/>
                    </w:rPr>
                  </w:pPr>
                  <w:r>
                    <w:rPr>
                      <w:rFonts w:hint="eastAsia"/>
                      <w:lang w:val="en-US" w:eastAsia="zh-CN"/>
                    </w:rPr>
                    <w:t>206.0</w:t>
                  </w:r>
                </w:p>
              </w:tc>
              <w:tc>
                <w:tcPr>
                  <w:tcW w:w="3091" w:type="dxa"/>
                  <w:gridSpan w:val="2"/>
                  <w:noWrap w:val="0"/>
                  <w:vAlign w:val="center"/>
                </w:tcPr>
                <w:p>
                  <w:pPr>
                    <w:jc w:val="center"/>
                  </w:pPr>
                  <w:r>
                    <w:t>1.3512</w:t>
                  </w:r>
                </w:p>
              </w:tc>
              <w:tc>
                <w:tcPr>
                  <w:tcW w:w="3091" w:type="dxa"/>
                  <w:noWrap w:val="0"/>
                  <w:vAlign w:val="center"/>
                </w:tcPr>
                <w:p>
                  <w:pPr>
                    <w:jc w:val="center"/>
                  </w:pPr>
                  <w:r>
                    <w:t>0.6756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300.0</w:t>
                  </w:r>
                </w:p>
              </w:tc>
              <w:tc>
                <w:tcPr>
                  <w:tcW w:w="3091" w:type="dxa"/>
                  <w:gridSpan w:val="2"/>
                  <w:noWrap w:val="0"/>
                  <w:vAlign w:val="center"/>
                </w:tcPr>
                <w:p>
                  <w:pPr>
                    <w:jc w:val="center"/>
                  </w:pPr>
                  <w:r>
                    <w:t>0.9697</w:t>
                  </w:r>
                </w:p>
              </w:tc>
              <w:tc>
                <w:tcPr>
                  <w:tcW w:w="3091" w:type="dxa"/>
                  <w:noWrap w:val="0"/>
                  <w:vAlign w:val="center"/>
                </w:tcPr>
                <w:p>
                  <w:pPr>
                    <w:jc w:val="center"/>
                  </w:pPr>
                  <w:r>
                    <w:t>0.4848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500.0</w:t>
                  </w:r>
                </w:p>
              </w:tc>
              <w:tc>
                <w:tcPr>
                  <w:tcW w:w="3091" w:type="dxa"/>
                  <w:gridSpan w:val="2"/>
                  <w:noWrap w:val="0"/>
                  <w:vAlign w:val="center"/>
                </w:tcPr>
                <w:p>
                  <w:pPr>
                    <w:jc w:val="center"/>
                  </w:pPr>
                  <w:r>
                    <w:t>0.638</w:t>
                  </w:r>
                </w:p>
              </w:tc>
              <w:tc>
                <w:tcPr>
                  <w:tcW w:w="3091" w:type="dxa"/>
                  <w:noWrap w:val="0"/>
                  <w:vAlign w:val="center"/>
                </w:tcPr>
                <w:p>
                  <w:pPr>
                    <w:jc w:val="center"/>
                  </w:pPr>
                  <w:r>
                    <w:t>0.319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800.0</w:t>
                  </w:r>
                </w:p>
              </w:tc>
              <w:tc>
                <w:tcPr>
                  <w:tcW w:w="3091" w:type="dxa"/>
                  <w:gridSpan w:val="2"/>
                  <w:noWrap w:val="0"/>
                  <w:vAlign w:val="center"/>
                </w:tcPr>
                <w:p>
                  <w:pPr>
                    <w:jc w:val="center"/>
                  </w:pPr>
                  <w:r>
                    <w:t>0.4505</w:t>
                  </w:r>
                </w:p>
              </w:tc>
              <w:tc>
                <w:tcPr>
                  <w:tcW w:w="3091" w:type="dxa"/>
                  <w:noWrap w:val="0"/>
                  <w:vAlign w:val="center"/>
                </w:tcPr>
                <w:p>
                  <w:pPr>
                    <w:jc w:val="center"/>
                  </w:pPr>
                  <w:r>
                    <w:t>0.2252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1000.0</w:t>
                  </w:r>
                </w:p>
              </w:tc>
              <w:tc>
                <w:tcPr>
                  <w:tcW w:w="3091" w:type="dxa"/>
                  <w:gridSpan w:val="2"/>
                  <w:noWrap w:val="0"/>
                  <w:vAlign w:val="center"/>
                </w:tcPr>
                <w:p>
                  <w:pPr>
                    <w:jc w:val="center"/>
                  </w:pPr>
                  <w:r>
                    <w:t>0.4495</w:t>
                  </w:r>
                </w:p>
              </w:tc>
              <w:tc>
                <w:tcPr>
                  <w:tcW w:w="3091" w:type="dxa"/>
                  <w:noWrap w:val="0"/>
                  <w:vAlign w:val="center"/>
                </w:tcPr>
                <w:p>
                  <w:pPr>
                    <w:jc w:val="center"/>
                  </w:pPr>
                  <w:r>
                    <w:t>0.2247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1200.0</w:t>
                  </w:r>
                </w:p>
              </w:tc>
              <w:tc>
                <w:tcPr>
                  <w:tcW w:w="3091" w:type="dxa"/>
                  <w:gridSpan w:val="2"/>
                  <w:noWrap w:val="0"/>
                  <w:vAlign w:val="center"/>
                </w:tcPr>
                <w:p>
                  <w:pPr>
                    <w:jc w:val="center"/>
                  </w:pPr>
                  <w:r>
                    <w:t>0.3575</w:t>
                  </w:r>
                </w:p>
              </w:tc>
              <w:tc>
                <w:tcPr>
                  <w:tcW w:w="3091" w:type="dxa"/>
                  <w:noWrap w:val="0"/>
                  <w:vAlign w:val="center"/>
                </w:tcPr>
                <w:p>
                  <w:pPr>
                    <w:jc w:val="center"/>
                  </w:pPr>
                  <w:r>
                    <w:t>0.1787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1500.0</w:t>
                  </w:r>
                </w:p>
              </w:tc>
              <w:tc>
                <w:tcPr>
                  <w:tcW w:w="3091" w:type="dxa"/>
                  <w:gridSpan w:val="2"/>
                  <w:noWrap w:val="0"/>
                  <w:vAlign w:val="center"/>
                </w:tcPr>
                <w:p>
                  <w:pPr>
                    <w:jc w:val="center"/>
                  </w:pPr>
                  <w:r>
                    <w:t>0.3234</w:t>
                  </w:r>
                </w:p>
              </w:tc>
              <w:tc>
                <w:tcPr>
                  <w:tcW w:w="3091" w:type="dxa"/>
                  <w:noWrap w:val="0"/>
                  <w:vAlign w:val="center"/>
                </w:tcPr>
                <w:p>
                  <w:pPr>
                    <w:jc w:val="center"/>
                  </w:pPr>
                  <w:r>
                    <w:t>0.1617</w:t>
                  </w:r>
                </w:p>
              </w:tc>
            </w:tr>
          </w:tbl>
          <w:p>
            <w:pPr>
              <w:spacing w:line="480" w:lineRule="exact"/>
              <w:ind w:firstLine="371" w:firstLineChars="176"/>
              <w:jc w:val="center"/>
              <w:rPr>
                <w:rFonts w:hint="eastAsia" w:ascii="Times New Roman" w:hAnsi="Times New Roman" w:cs="Times New Roman"/>
                <w:b/>
                <w:bCs/>
                <w:sz w:val="21"/>
                <w:szCs w:val="21"/>
                <w:lang w:val="en-US" w:eastAsia="zh-CN"/>
              </w:rPr>
            </w:pPr>
          </w:p>
          <w:p>
            <w:pPr>
              <w:spacing w:line="480" w:lineRule="exact"/>
              <w:ind w:firstLine="371" w:firstLineChars="176"/>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表7-15  点源3（2#导热油炉8m排气筒）  TSP占标率预测结果</w:t>
            </w:r>
          </w:p>
          <w:tbl>
            <w:tblPr>
              <w:tblStyle w:val="7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4"/>
              <w:gridCol w:w="3090"/>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3104" w:type="dxa"/>
                  <w:vMerge w:val="restart"/>
                  <w:noWrap w:val="0"/>
                  <w:vAlign w:val="center"/>
                </w:tcPr>
                <w:p>
                  <w:pPr>
                    <w:jc w:val="center"/>
                  </w:pPr>
                  <w:r>
                    <w:t>下方向距离(m)</w:t>
                  </w:r>
                </w:p>
              </w:tc>
              <w:tc>
                <w:tcPr>
                  <w:tcW w:w="6182" w:type="dxa"/>
                  <w:gridSpan w:val="2"/>
                  <w:noWrap w:val="0"/>
                  <w:vAlign w:val="center"/>
                </w:tcPr>
                <w:p>
                  <w:pPr>
                    <w:jc w:val="center"/>
                    <w:rPr>
                      <w:rFonts w:hint="eastAsia" w:eastAsia="宋体"/>
                      <w:lang w:val="en-US" w:eastAsia="zh-CN"/>
                    </w:rPr>
                  </w:pPr>
                  <w:r>
                    <w:t>点源</w:t>
                  </w: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3104" w:type="dxa"/>
                  <w:vMerge w:val="continue"/>
                  <w:noWrap w:val="0"/>
                  <w:vAlign w:val="center"/>
                </w:tcPr>
                <w:p/>
              </w:tc>
              <w:tc>
                <w:tcPr>
                  <w:tcW w:w="3090" w:type="dxa"/>
                  <w:noWrap w:val="0"/>
                  <w:vAlign w:val="center"/>
                </w:tcPr>
                <w:p>
                  <w:pPr>
                    <w:jc w:val="center"/>
                  </w:pPr>
                  <w:r>
                    <w:t>TSP浓度（ug/m</w:t>
                  </w:r>
                  <w:r>
                    <w:rPr>
                      <w:vertAlign w:val="superscript"/>
                    </w:rPr>
                    <w:t>3</w:t>
                  </w:r>
                  <w:r>
                    <w:t>）</w:t>
                  </w:r>
                </w:p>
              </w:tc>
              <w:tc>
                <w:tcPr>
                  <w:tcW w:w="3092" w:type="dxa"/>
                  <w:noWrap w:val="0"/>
                  <w:vAlign w:val="center"/>
                </w:tcPr>
                <w:p>
                  <w:pPr>
                    <w:jc w:val="center"/>
                  </w:pPr>
                  <w:r>
                    <w:t>TSP占标率（%）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w:t>
                  </w:r>
                </w:p>
              </w:tc>
              <w:tc>
                <w:tcPr>
                  <w:tcW w:w="3090" w:type="dxa"/>
                  <w:noWrap w:val="0"/>
                  <w:vAlign w:val="center"/>
                </w:tcPr>
                <w:p>
                  <w:pPr>
                    <w:jc w:val="center"/>
                  </w:pPr>
                  <w:r>
                    <w:t>0.0</w:t>
                  </w:r>
                </w:p>
              </w:tc>
              <w:tc>
                <w:tcPr>
                  <w:tcW w:w="3092" w:type="dxa"/>
                  <w:noWrap w:val="0"/>
                  <w:vAlign w:val="center"/>
                </w:tcPr>
                <w:p>
                  <w:pPr>
                    <w:jc w:val="center"/>
                  </w:pP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100.0</w:t>
                  </w:r>
                </w:p>
              </w:tc>
              <w:tc>
                <w:tcPr>
                  <w:tcW w:w="3090" w:type="dxa"/>
                  <w:noWrap w:val="0"/>
                  <w:vAlign w:val="center"/>
                </w:tcPr>
                <w:p>
                  <w:pPr>
                    <w:jc w:val="center"/>
                  </w:pPr>
                  <w:r>
                    <w:t>0.1307</w:t>
                  </w:r>
                </w:p>
              </w:tc>
              <w:tc>
                <w:tcPr>
                  <w:tcW w:w="3092" w:type="dxa"/>
                  <w:noWrap w:val="0"/>
                  <w:vAlign w:val="center"/>
                </w:tcPr>
                <w:p>
                  <w:pPr>
                    <w:jc w:val="center"/>
                  </w:pPr>
                  <w:r>
                    <w:t>0.0145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162.76</w:t>
                  </w:r>
                </w:p>
              </w:tc>
              <w:tc>
                <w:tcPr>
                  <w:tcW w:w="3090" w:type="dxa"/>
                  <w:noWrap w:val="0"/>
                  <w:vAlign w:val="center"/>
                </w:tcPr>
                <w:p>
                  <w:pPr>
                    <w:jc w:val="center"/>
                  </w:pPr>
                  <w:r>
                    <w:t>0.2272</w:t>
                  </w:r>
                </w:p>
              </w:tc>
              <w:tc>
                <w:tcPr>
                  <w:tcW w:w="3092" w:type="dxa"/>
                  <w:noWrap w:val="0"/>
                  <w:vAlign w:val="center"/>
                </w:tcPr>
                <w:p>
                  <w:pPr>
                    <w:jc w:val="center"/>
                  </w:pPr>
                  <w:r>
                    <w:t>0.0252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169.2</w:t>
                  </w:r>
                </w:p>
              </w:tc>
              <w:tc>
                <w:tcPr>
                  <w:tcW w:w="3090" w:type="dxa"/>
                  <w:noWrap w:val="0"/>
                  <w:vAlign w:val="center"/>
                </w:tcPr>
                <w:p>
                  <w:pPr>
                    <w:jc w:val="center"/>
                  </w:pPr>
                  <w:r>
                    <w:t>0.3323</w:t>
                  </w:r>
                </w:p>
              </w:tc>
              <w:tc>
                <w:tcPr>
                  <w:tcW w:w="3092" w:type="dxa"/>
                  <w:noWrap w:val="0"/>
                  <w:vAlign w:val="center"/>
                </w:tcPr>
                <w:p>
                  <w:pPr>
                    <w:jc w:val="center"/>
                  </w:pPr>
                  <w:r>
                    <w:t>0.0369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177.06</w:t>
                  </w:r>
                </w:p>
              </w:tc>
              <w:tc>
                <w:tcPr>
                  <w:tcW w:w="3090" w:type="dxa"/>
                  <w:noWrap w:val="0"/>
                  <w:vAlign w:val="center"/>
                </w:tcPr>
                <w:p>
                  <w:pPr>
                    <w:jc w:val="center"/>
                  </w:pPr>
                  <w:r>
                    <w:t>0.4103</w:t>
                  </w:r>
                </w:p>
              </w:tc>
              <w:tc>
                <w:tcPr>
                  <w:tcW w:w="3092" w:type="dxa"/>
                  <w:noWrap w:val="0"/>
                  <w:vAlign w:val="center"/>
                </w:tcPr>
                <w:p>
                  <w:pPr>
                    <w:jc w:val="center"/>
                  </w:pPr>
                  <w:r>
                    <w:t>0.0456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188.0</w:t>
                  </w:r>
                </w:p>
              </w:tc>
              <w:tc>
                <w:tcPr>
                  <w:tcW w:w="3090" w:type="dxa"/>
                  <w:noWrap w:val="0"/>
                  <w:vAlign w:val="center"/>
                </w:tcPr>
                <w:p>
                  <w:pPr>
                    <w:jc w:val="center"/>
                  </w:pPr>
                  <w:r>
                    <w:t>0.4657</w:t>
                  </w:r>
                </w:p>
              </w:tc>
              <w:tc>
                <w:tcPr>
                  <w:tcW w:w="3092" w:type="dxa"/>
                  <w:noWrap w:val="0"/>
                  <w:vAlign w:val="center"/>
                </w:tcPr>
                <w:p>
                  <w:pPr>
                    <w:jc w:val="center"/>
                  </w:pPr>
                  <w:r>
                    <w:t>0.0517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rPr>
                      <w:rFonts w:hint="default" w:eastAsia="宋体"/>
                      <w:lang w:val="en-US" w:eastAsia="zh-CN"/>
                    </w:rPr>
                  </w:pPr>
                  <w:r>
                    <w:rPr>
                      <w:rFonts w:hint="eastAsia"/>
                      <w:lang w:val="en-US" w:eastAsia="zh-CN"/>
                    </w:rPr>
                    <w:t>206.0</w:t>
                  </w:r>
                </w:p>
              </w:tc>
              <w:tc>
                <w:tcPr>
                  <w:tcW w:w="3090" w:type="dxa"/>
                  <w:noWrap w:val="0"/>
                  <w:vAlign w:val="center"/>
                </w:tcPr>
                <w:p>
                  <w:pPr>
                    <w:jc w:val="center"/>
                  </w:pPr>
                  <w:r>
                    <w:t>0.5159</w:t>
                  </w:r>
                </w:p>
              </w:tc>
              <w:tc>
                <w:tcPr>
                  <w:tcW w:w="3092" w:type="dxa"/>
                  <w:noWrap w:val="0"/>
                  <w:vAlign w:val="center"/>
                </w:tcPr>
                <w:p>
                  <w:pPr>
                    <w:jc w:val="center"/>
                  </w:pPr>
                  <w:r>
                    <w:t>0.0573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300.0</w:t>
                  </w:r>
                </w:p>
              </w:tc>
              <w:tc>
                <w:tcPr>
                  <w:tcW w:w="3090" w:type="dxa"/>
                  <w:noWrap w:val="0"/>
                  <w:vAlign w:val="center"/>
                </w:tcPr>
                <w:p>
                  <w:pPr>
                    <w:jc w:val="center"/>
                  </w:pPr>
                  <w:r>
                    <w:t>0.3703</w:t>
                  </w:r>
                </w:p>
              </w:tc>
              <w:tc>
                <w:tcPr>
                  <w:tcW w:w="3092" w:type="dxa"/>
                  <w:noWrap w:val="0"/>
                  <w:vAlign w:val="center"/>
                </w:tcPr>
                <w:p>
                  <w:pPr>
                    <w:jc w:val="center"/>
                  </w:pPr>
                  <w:r>
                    <w:t>0.0411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500.0</w:t>
                  </w:r>
                </w:p>
              </w:tc>
              <w:tc>
                <w:tcPr>
                  <w:tcW w:w="3090" w:type="dxa"/>
                  <w:noWrap w:val="0"/>
                  <w:vAlign w:val="center"/>
                </w:tcPr>
                <w:p>
                  <w:pPr>
                    <w:jc w:val="center"/>
                  </w:pPr>
                  <w:r>
                    <w:t>0.2436</w:t>
                  </w:r>
                </w:p>
              </w:tc>
              <w:tc>
                <w:tcPr>
                  <w:tcW w:w="3092" w:type="dxa"/>
                  <w:noWrap w:val="0"/>
                  <w:vAlign w:val="center"/>
                </w:tcPr>
                <w:p>
                  <w:pPr>
                    <w:jc w:val="center"/>
                  </w:pPr>
                  <w:r>
                    <w:t>0.0271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800.0</w:t>
                  </w:r>
                </w:p>
              </w:tc>
              <w:tc>
                <w:tcPr>
                  <w:tcW w:w="3090" w:type="dxa"/>
                  <w:noWrap w:val="0"/>
                  <w:vAlign w:val="center"/>
                </w:tcPr>
                <w:p>
                  <w:pPr>
                    <w:jc w:val="center"/>
                  </w:pPr>
                  <w:r>
                    <w:t>0.172</w:t>
                  </w:r>
                </w:p>
              </w:tc>
              <w:tc>
                <w:tcPr>
                  <w:tcW w:w="3092" w:type="dxa"/>
                  <w:noWrap w:val="0"/>
                  <w:vAlign w:val="center"/>
                </w:tcPr>
                <w:p>
                  <w:pPr>
                    <w:jc w:val="center"/>
                  </w:pPr>
                  <w:r>
                    <w:t>0.0191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1000.0</w:t>
                  </w:r>
                </w:p>
              </w:tc>
              <w:tc>
                <w:tcPr>
                  <w:tcW w:w="3090" w:type="dxa"/>
                  <w:noWrap w:val="0"/>
                  <w:vAlign w:val="center"/>
                </w:tcPr>
                <w:p>
                  <w:pPr>
                    <w:jc w:val="center"/>
                  </w:pPr>
                  <w:r>
                    <w:t>0.1716</w:t>
                  </w:r>
                </w:p>
              </w:tc>
              <w:tc>
                <w:tcPr>
                  <w:tcW w:w="3092" w:type="dxa"/>
                  <w:noWrap w:val="0"/>
                  <w:vAlign w:val="center"/>
                </w:tcPr>
                <w:p>
                  <w:pPr>
                    <w:jc w:val="center"/>
                  </w:pPr>
                  <w:r>
                    <w:t>0.0191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1200.0</w:t>
                  </w:r>
                </w:p>
              </w:tc>
              <w:tc>
                <w:tcPr>
                  <w:tcW w:w="3090" w:type="dxa"/>
                  <w:noWrap w:val="0"/>
                  <w:vAlign w:val="center"/>
                </w:tcPr>
                <w:p>
                  <w:pPr>
                    <w:jc w:val="center"/>
                  </w:pPr>
                  <w:r>
                    <w:t>0.1365</w:t>
                  </w:r>
                </w:p>
              </w:tc>
              <w:tc>
                <w:tcPr>
                  <w:tcW w:w="3092" w:type="dxa"/>
                  <w:noWrap w:val="0"/>
                  <w:vAlign w:val="center"/>
                </w:tcPr>
                <w:p>
                  <w:pPr>
                    <w:jc w:val="center"/>
                  </w:pPr>
                  <w:r>
                    <w:t>0.0152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04" w:type="dxa"/>
                  <w:noWrap w:val="0"/>
                  <w:vAlign w:val="center"/>
                </w:tcPr>
                <w:p>
                  <w:pPr>
                    <w:jc w:val="center"/>
                  </w:pPr>
                  <w:r>
                    <w:t>1500.0</w:t>
                  </w:r>
                </w:p>
              </w:tc>
              <w:tc>
                <w:tcPr>
                  <w:tcW w:w="3090" w:type="dxa"/>
                  <w:noWrap w:val="0"/>
                  <w:vAlign w:val="center"/>
                </w:tcPr>
                <w:p>
                  <w:pPr>
                    <w:jc w:val="center"/>
                  </w:pPr>
                  <w:r>
                    <w:t>0.1235</w:t>
                  </w:r>
                </w:p>
              </w:tc>
              <w:tc>
                <w:tcPr>
                  <w:tcW w:w="3092" w:type="dxa"/>
                  <w:noWrap w:val="0"/>
                  <w:vAlign w:val="center"/>
                </w:tcPr>
                <w:p>
                  <w:pPr>
                    <w:jc w:val="center"/>
                  </w:pPr>
                  <w:r>
                    <w:t>0.0137</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center"/>
              <w:textAlignment w:val="auto"/>
              <w:rPr>
                <w:rFonts w:hint="default"/>
                <w:color w:val="FF0000"/>
                <w:sz w:val="24"/>
                <w:lang w:val="en-US" w:eastAsia="zh-CN"/>
              </w:rPr>
            </w:pPr>
            <w:r>
              <w:rPr>
                <w:rFonts w:hint="eastAsia" w:ascii="Times New Roman" w:hAnsi="Times New Roman" w:cs="Times New Roman"/>
                <w:b/>
                <w:bCs/>
                <w:sz w:val="21"/>
                <w:szCs w:val="21"/>
                <w:lang w:val="en-US" w:eastAsia="zh-CN"/>
              </w:rPr>
              <w:t>表7-16 点源2、点源3排气筒污染物浓度叠加结果</w:t>
            </w:r>
          </w:p>
          <w:tbl>
            <w:tblPr>
              <w:tblStyle w:val="70"/>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9"/>
              <w:gridCol w:w="1830"/>
              <w:gridCol w:w="192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089" w:type="dxa"/>
                  <w:vMerge w:val="restart"/>
                  <w:noWrap w:val="0"/>
                  <w:vAlign w:val="center"/>
                </w:tcPr>
                <w:p>
                  <w:pPr>
                    <w:jc w:val="center"/>
                  </w:pPr>
                  <w:r>
                    <w:t>下方向距离(m)</w:t>
                  </w:r>
                </w:p>
              </w:tc>
              <w:tc>
                <w:tcPr>
                  <w:tcW w:w="5731" w:type="dxa"/>
                  <w:gridSpan w:val="3"/>
                  <w:noWrap w:val="0"/>
                  <w:vAlign w:val="center"/>
                </w:tcPr>
                <w:p>
                  <w:pPr>
                    <w:jc w:val="center"/>
                  </w:pPr>
                  <w:r>
                    <w:t>点源2（ug/m</w:t>
                  </w:r>
                  <w:r>
                    <w:rPr>
                      <w:vertAlign w:val="superscript"/>
                    </w:rPr>
                    <w:t>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3089" w:type="dxa"/>
                  <w:vMerge w:val="continue"/>
                  <w:noWrap w:val="0"/>
                  <w:vAlign w:val="center"/>
                </w:tcPr>
                <w:p/>
              </w:tc>
              <w:tc>
                <w:tcPr>
                  <w:tcW w:w="1830" w:type="dxa"/>
                  <w:noWrap w:val="0"/>
                  <w:vAlign w:val="center"/>
                </w:tcPr>
                <w:p>
                  <w:pPr>
                    <w:jc w:val="center"/>
                    <w:rPr>
                      <w:rFonts w:hint="default" w:eastAsia="宋体"/>
                      <w:lang w:val="en-US" w:eastAsia="zh-CN"/>
                    </w:rPr>
                  </w:pPr>
                  <w:r>
                    <w:rPr>
                      <w:rFonts w:hint="eastAsia"/>
                      <w:lang w:val="en-US" w:eastAsia="zh-CN"/>
                    </w:rPr>
                    <w:t>SO</w:t>
                  </w:r>
                  <w:r>
                    <w:rPr>
                      <w:rFonts w:hint="eastAsia"/>
                      <w:vertAlign w:val="subscript"/>
                      <w:lang w:val="en-US" w:eastAsia="zh-CN"/>
                    </w:rPr>
                    <w:t>2</w:t>
                  </w:r>
                </w:p>
              </w:tc>
              <w:tc>
                <w:tcPr>
                  <w:tcW w:w="1927" w:type="dxa"/>
                  <w:noWrap w:val="0"/>
                  <w:vAlign w:val="center"/>
                </w:tcPr>
                <w:p>
                  <w:pPr>
                    <w:jc w:val="center"/>
                    <w:rPr>
                      <w:rFonts w:hint="default" w:eastAsia="宋体"/>
                      <w:lang w:val="en-US" w:eastAsia="zh-CN"/>
                    </w:rPr>
                  </w:pPr>
                  <w:r>
                    <w:rPr>
                      <w:rFonts w:hint="eastAsia"/>
                      <w:lang w:val="en-US" w:eastAsia="zh-CN"/>
                    </w:rPr>
                    <w:t>NO</w:t>
                  </w:r>
                  <w:r>
                    <w:rPr>
                      <w:rFonts w:hint="eastAsia"/>
                      <w:vertAlign w:val="subscript"/>
                      <w:lang w:val="en-US" w:eastAsia="zh-CN"/>
                    </w:rPr>
                    <w:t>2</w:t>
                  </w:r>
                </w:p>
              </w:tc>
              <w:tc>
                <w:tcPr>
                  <w:tcW w:w="1974" w:type="dxa"/>
                  <w:noWrap w:val="0"/>
                  <w:vAlign w:val="center"/>
                </w:tcPr>
                <w:p>
                  <w:pPr>
                    <w:jc w:val="center"/>
                    <w:rPr>
                      <w:rFonts w:hint="default" w:eastAsia="宋体"/>
                      <w:lang w:val="en-US" w:eastAsia="zh-CN"/>
                    </w:rPr>
                  </w:pPr>
                  <w:r>
                    <w:rPr>
                      <w:rFonts w:hint="eastAsia"/>
                      <w:lang w:val="en-US" w:eastAsia="zh-CN"/>
                    </w:rPr>
                    <w:t>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089" w:type="dxa"/>
                  <w:noWrap w:val="0"/>
                  <w:vAlign w:val="center"/>
                </w:tcPr>
                <w:p>
                  <w:pPr>
                    <w:jc w:val="center"/>
                  </w:pPr>
                  <w:r>
                    <w:t>1.0</w:t>
                  </w:r>
                </w:p>
              </w:tc>
              <w:tc>
                <w:tcPr>
                  <w:tcW w:w="1830" w:type="dxa"/>
                  <w:noWrap w:val="0"/>
                  <w:vAlign w:val="center"/>
                </w:tcPr>
                <w:p>
                  <w:pPr>
                    <w:jc w:val="center"/>
                  </w:pPr>
                  <w:r>
                    <w:t>0.0</w:t>
                  </w:r>
                </w:p>
              </w:tc>
              <w:tc>
                <w:tcPr>
                  <w:tcW w:w="1927" w:type="dxa"/>
                  <w:noWrap w:val="0"/>
                  <w:vAlign w:val="center"/>
                </w:tcPr>
                <w:p>
                  <w:pPr>
                    <w:jc w:val="center"/>
                  </w:pPr>
                  <w:r>
                    <w:rPr>
                      <w:rFonts w:hint="eastAsia"/>
                      <w:lang w:val="en-US" w:eastAsia="zh-CN"/>
                    </w:rPr>
                    <w:t>2</w:t>
                  </w:r>
                  <w:r>
                    <w:t>.0E-4</w:t>
                  </w:r>
                </w:p>
              </w:tc>
              <w:tc>
                <w:tcPr>
                  <w:tcW w:w="1974" w:type="dxa"/>
                  <w:noWrap w:val="0"/>
                  <w:vAlign w:val="center"/>
                </w:tcPr>
                <w:p>
                  <w:pPr>
                    <w:jc w:val="center"/>
                    <w:rPr>
                      <w:rFonts w:hint="default" w:eastAsia="宋体"/>
                      <w:lang w:val="en-US" w:eastAsia="zh-CN"/>
                    </w:rPr>
                  </w:pP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089" w:type="dxa"/>
                  <w:noWrap w:val="0"/>
                  <w:vAlign w:val="center"/>
                </w:tcPr>
                <w:p>
                  <w:pPr>
                    <w:jc w:val="center"/>
                  </w:pPr>
                  <w:r>
                    <w:t>100.0</w:t>
                  </w:r>
                </w:p>
              </w:tc>
              <w:tc>
                <w:tcPr>
                  <w:tcW w:w="1830" w:type="dxa"/>
                  <w:noWrap w:val="0"/>
                  <w:vAlign w:val="center"/>
                </w:tcPr>
                <w:p>
                  <w:pPr>
                    <w:jc w:val="center"/>
                    <w:rPr>
                      <w:rFonts w:hint="default" w:eastAsia="宋体"/>
                      <w:lang w:val="en-US" w:eastAsia="zh-CN"/>
                    </w:rPr>
                  </w:pPr>
                  <w:r>
                    <w:rPr>
                      <w:rFonts w:hint="eastAsia"/>
                      <w:lang w:val="en-US" w:eastAsia="zh-CN"/>
                    </w:rPr>
                    <w:t>0.1094</w:t>
                  </w:r>
                </w:p>
              </w:tc>
              <w:tc>
                <w:tcPr>
                  <w:tcW w:w="1927" w:type="dxa"/>
                  <w:noWrap w:val="0"/>
                  <w:vAlign w:val="center"/>
                </w:tcPr>
                <w:p>
                  <w:pPr>
                    <w:jc w:val="center"/>
                    <w:rPr>
                      <w:rFonts w:hint="default" w:eastAsia="宋体"/>
                      <w:lang w:val="en-US" w:eastAsia="zh-CN"/>
                    </w:rPr>
                  </w:pPr>
                  <w:r>
                    <w:rPr>
                      <w:rFonts w:hint="eastAsia"/>
                      <w:lang w:val="en-US" w:eastAsia="zh-CN"/>
                    </w:rPr>
                    <w:t>0.6844</w:t>
                  </w:r>
                </w:p>
              </w:tc>
              <w:tc>
                <w:tcPr>
                  <w:tcW w:w="1974" w:type="dxa"/>
                  <w:noWrap w:val="0"/>
                  <w:vAlign w:val="center"/>
                </w:tcPr>
                <w:p>
                  <w:pPr>
                    <w:jc w:val="center"/>
                    <w:rPr>
                      <w:rFonts w:hint="default" w:eastAsia="宋体"/>
                      <w:lang w:val="en-US" w:eastAsia="zh-CN"/>
                    </w:rPr>
                  </w:pPr>
                  <w:r>
                    <w:rPr>
                      <w:rFonts w:hint="eastAsia"/>
                      <w:lang w:val="en-US" w:eastAsia="zh-CN"/>
                    </w:rPr>
                    <w:t>0.2614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089" w:type="dxa"/>
                  <w:noWrap w:val="0"/>
                  <w:vAlign w:val="center"/>
                </w:tcPr>
                <w:p>
                  <w:pPr>
                    <w:jc w:val="center"/>
                    <w:rPr>
                      <w:rFonts w:hint="default" w:eastAsia="宋体"/>
                      <w:lang w:val="en-US" w:eastAsia="zh-CN"/>
                    </w:rPr>
                  </w:pPr>
                  <w:r>
                    <w:rPr>
                      <w:rFonts w:hint="eastAsia"/>
                      <w:lang w:eastAsia="zh-CN"/>
                    </w:rPr>
                    <w:t>住户</w:t>
                  </w:r>
                  <w:r>
                    <w:rPr>
                      <w:rFonts w:hint="eastAsia"/>
                      <w:lang w:val="en-US" w:eastAsia="zh-CN"/>
                    </w:rPr>
                    <w:t>1</w:t>
                  </w:r>
                </w:p>
              </w:tc>
              <w:tc>
                <w:tcPr>
                  <w:tcW w:w="1830" w:type="dxa"/>
                  <w:noWrap w:val="0"/>
                  <w:vAlign w:val="center"/>
                </w:tcPr>
                <w:p>
                  <w:pPr>
                    <w:jc w:val="center"/>
                    <w:rPr>
                      <w:rFonts w:hint="default" w:eastAsia="宋体"/>
                      <w:lang w:val="en-US" w:eastAsia="zh-CN"/>
                    </w:rPr>
                  </w:pPr>
                  <w:r>
                    <w:rPr>
                      <w:rFonts w:hint="eastAsia"/>
                      <w:lang w:val="en-US" w:eastAsia="zh-CN"/>
                    </w:rPr>
                    <w:t>0.1715</w:t>
                  </w:r>
                </w:p>
              </w:tc>
              <w:tc>
                <w:tcPr>
                  <w:tcW w:w="1927" w:type="dxa"/>
                  <w:noWrap w:val="0"/>
                  <w:vAlign w:val="center"/>
                </w:tcPr>
                <w:p>
                  <w:pPr>
                    <w:jc w:val="center"/>
                    <w:rPr>
                      <w:rFonts w:hint="default" w:eastAsia="宋体"/>
                      <w:lang w:val="en-US" w:eastAsia="zh-CN"/>
                    </w:rPr>
                  </w:pPr>
                  <w:r>
                    <w:rPr>
                      <w:rFonts w:hint="eastAsia"/>
                      <w:lang w:val="en-US" w:eastAsia="zh-CN"/>
                    </w:rPr>
                    <w:t>1.0721</w:t>
                  </w:r>
                </w:p>
              </w:tc>
              <w:tc>
                <w:tcPr>
                  <w:tcW w:w="1974" w:type="dxa"/>
                  <w:noWrap w:val="0"/>
                  <w:vAlign w:val="center"/>
                </w:tcPr>
                <w:p>
                  <w:pPr>
                    <w:jc w:val="center"/>
                    <w:rPr>
                      <w:rFonts w:hint="default" w:eastAsia="宋体"/>
                      <w:lang w:val="en-US" w:eastAsia="zh-CN"/>
                    </w:rPr>
                  </w:pPr>
                  <w:r>
                    <w:rPr>
                      <w:rFonts w:hint="eastAsia"/>
                      <w:lang w:val="en-US" w:eastAsia="zh-CN"/>
                    </w:rPr>
                    <w:t>0.4093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089" w:type="dxa"/>
                  <w:noWrap w:val="0"/>
                  <w:vAlign w:val="center"/>
                </w:tcPr>
                <w:p>
                  <w:pPr>
                    <w:jc w:val="center"/>
                    <w:rPr>
                      <w:rFonts w:hint="default" w:eastAsia="宋体"/>
                      <w:lang w:val="en-US" w:eastAsia="zh-CN"/>
                    </w:rPr>
                  </w:pPr>
                  <w:r>
                    <w:rPr>
                      <w:rFonts w:hint="eastAsia"/>
                      <w:lang w:eastAsia="zh-CN"/>
                    </w:rPr>
                    <w:t>住户</w:t>
                  </w:r>
                  <w:r>
                    <w:rPr>
                      <w:rFonts w:hint="eastAsia"/>
                      <w:lang w:val="en-US" w:eastAsia="zh-CN"/>
                    </w:rPr>
                    <w:t>2</w:t>
                  </w:r>
                </w:p>
              </w:tc>
              <w:tc>
                <w:tcPr>
                  <w:tcW w:w="1830" w:type="dxa"/>
                  <w:noWrap w:val="0"/>
                  <w:vAlign w:val="center"/>
                </w:tcPr>
                <w:p>
                  <w:pPr>
                    <w:jc w:val="center"/>
                    <w:rPr>
                      <w:rFonts w:hint="default" w:eastAsia="宋体"/>
                      <w:lang w:val="en-US" w:eastAsia="zh-CN"/>
                    </w:rPr>
                  </w:pPr>
                  <w:r>
                    <w:rPr>
                      <w:rFonts w:hint="eastAsia"/>
                      <w:lang w:val="en-US" w:eastAsia="zh-CN"/>
                    </w:rPr>
                    <w:t>0.2565</w:t>
                  </w:r>
                </w:p>
              </w:tc>
              <w:tc>
                <w:tcPr>
                  <w:tcW w:w="1927" w:type="dxa"/>
                  <w:noWrap w:val="0"/>
                  <w:vAlign w:val="center"/>
                </w:tcPr>
                <w:p>
                  <w:pPr>
                    <w:jc w:val="center"/>
                    <w:rPr>
                      <w:rFonts w:hint="default" w:eastAsia="宋体"/>
                      <w:lang w:val="en-US" w:eastAsia="zh-CN"/>
                    </w:rPr>
                  </w:pPr>
                  <w:r>
                    <w:rPr>
                      <w:rFonts w:hint="eastAsia"/>
                      <w:lang w:val="en-US" w:eastAsia="zh-CN"/>
                    </w:rPr>
                    <w:t>1.6039</w:t>
                  </w:r>
                </w:p>
              </w:tc>
              <w:tc>
                <w:tcPr>
                  <w:tcW w:w="1974" w:type="dxa"/>
                  <w:noWrap w:val="0"/>
                  <w:vAlign w:val="center"/>
                </w:tcPr>
                <w:p>
                  <w:pPr>
                    <w:jc w:val="center"/>
                    <w:rPr>
                      <w:rFonts w:hint="default" w:eastAsia="宋体"/>
                      <w:lang w:val="en-US" w:eastAsia="zh-CN"/>
                    </w:rPr>
                  </w:pPr>
                  <w:r>
                    <w:rPr>
                      <w:rFonts w:hint="eastAsia"/>
                      <w:lang w:val="en-US" w:eastAsia="zh-CN"/>
                    </w:rPr>
                    <w:t>0.6124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089" w:type="dxa"/>
                  <w:noWrap w:val="0"/>
                  <w:vAlign w:val="center"/>
                </w:tcPr>
                <w:p>
                  <w:pPr>
                    <w:jc w:val="center"/>
                    <w:rPr>
                      <w:rFonts w:hint="default" w:eastAsia="宋体"/>
                      <w:lang w:val="en-US" w:eastAsia="zh-CN"/>
                    </w:rPr>
                  </w:pPr>
                  <w:r>
                    <w:rPr>
                      <w:rFonts w:hint="eastAsia"/>
                      <w:lang w:eastAsia="zh-CN"/>
                    </w:rPr>
                    <w:t>住户</w:t>
                  </w:r>
                  <w:r>
                    <w:rPr>
                      <w:rFonts w:hint="eastAsia"/>
                      <w:lang w:val="en-US" w:eastAsia="zh-CN"/>
                    </w:rPr>
                    <w:t>3</w:t>
                  </w:r>
                </w:p>
              </w:tc>
              <w:tc>
                <w:tcPr>
                  <w:tcW w:w="1830" w:type="dxa"/>
                  <w:noWrap w:val="0"/>
                  <w:vAlign w:val="center"/>
                </w:tcPr>
                <w:p>
                  <w:pPr>
                    <w:jc w:val="center"/>
                    <w:rPr>
                      <w:rFonts w:hint="default" w:eastAsia="宋体"/>
                      <w:lang w:val="en-US" w:eastAsia="zh-CN"/>
                    </w:rPr>
                  </w:pPr>
                  <w:r>
                    <w:rPr>
                      <w:rFonts w:hint="eastAsia"/>
                      <w:lang w:val="en-US" w:eastAsia="zh-CN"/>
                    </w:rPr>
                    <w:t>0.338</w:t>
                  </w:r>
                </w:p>
              </w:tc>
              <w:tc>
                <w:tcPr>
                  <w:tcW w:w="1927" w:type="dxa"/>
                  <w:noWrap w:val="0"/>
                  <w:vAlign w:val="center"/>
                </w:tcPr>
                <w:p>
                  <w:pPr>
                    <w:jc w:val="center"/>
                    <w:rPr>
                      <w:rFonts w:hint="default" w:eastAsia="宋体"/>
                      <w:lang w:val="en-US" w:eastAsia="zh-CN"/>
                    </w:rPr>
                  </w:pPr>
                  <w:r>
                    <w:rPr>
                      <w:rFonts w:hint="eastAsia"/>
                      <w:lang w:val="en-US" w:eastAsia="zh-CN"/>
                    </w:rPr>
                    <w:t>2.113</w:t>
                  </w:r>
                </w:p>
              </w:tc>
              <w:tc>
                <w:tcPr>
                  <w:tcW w:w="1974" w:type="dxa"/>
                  <w:noWrap w:val="0"/>
                  <w:vAlign w:val="center"/>
                </w:tcPr>
                <w:p>
                  <w:pPr>
                    <w:jc w:val="center"/>
                    <w:rPr>
                      <w:rFonts w:hint="default" w:eastAsia="宋体"/>
                      <w:lang w:val="en-US" w:eastAsia="zh-CN"/>
                    </w:rPr>
                  </w:pPr>
                  <w:r>
                    <w:rPr>
                      <w:rFonts w:hint="eastAsia"/>
                      <w:lang w:val="en-US" w:eastAsia="zh-CN"/>
                    </w:rPr>
                    <w:t>0.8068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089" w:type="dxa"/>
                  <w:noWrap w:val="0"/>
                  <w:vAlign w:val="center"/>
                </w:tcPr>
                <w:p>
                  <w:pPr>
                    <w:jc w:val="center"/>
                    <w:rPr>
                      <w:rFonts w:hint="default" w:eastAsia="宋体"/>
                      <w:lang w:val="en-US" w:eastAsia="zh-CN"/>
                    </w:rPr>
                  </w:pPr>
                  <w:r>
                    <w:rPr>
                      <w:rFonts w:hint="eastAsia"/>
                      <w:lang w:eastAsia="zh-CN"/>
                    </w:rPr>
                    <w:t>住户</w:t>
                  </w:r>
                  <w:r>
                    <w:rPr>
                      <w:rFonts w:hint="eastAsia"/>
                      <w:lang w:val="en-US" w:eastAsia="zh-CN"/>
                    </w:rPr>
                    <w:t>4</w:t>
                  </w:r>
                </w:p>
              </w:tc>
              <w:tc>
                <w:tcPr>
                  <w:tcW w:w="1830" w:type="dxa"/>
                  <w:noWrap w:val="0"/>
                  <w:vAlign w:val="center"/>
                </w:tcPr>
                <w:p>
                  <w:pPr>
                    <w:jc w:val="center"/>
                    <w:rPr>
                      <w:rFonts w:hint="default" w:eastAsia="宋体"/>
                      <w:lang w:val="en-US" w:eastAsia="zh-CN"/>
                    </w:rPr>
                  </w:pPr>
                  <w:r>
                    <w:rPr>
                      <w:rFonts w:hint="eastAsia"/>
                      <w:lang w:val="en-US" w:eastAsia="zh-CN"/>
                    </w:rPr>
                    <w:t>0.3851</w:t>
                  </w:r>
                </w:p>
              </w:tc>
              <w:tc>
                <w:tcPr>
                  <w:tcW w:w="1927" w:type="dxa"/>
                  <w:noWrap w:val="0"/>
                  <w:vAlign w:val="center"/>
                </w:tcPr>
                <w:p>
                  <w:pPr>
                    <w:jc w:val="center"/>
                    <w:rPr>
                      <w:rFonts w:hint="default" w:eastAsia="宋体"/>
                      <w:lang w:val="en-US" w:eastAsia="zh-CN"/>
                    </w:rPr>
                  </w:pPr>
                  <w:r>
                    <w:rPr>
                      <w:rFonts w:hint="eastAsia"/>
                      <w:lang w:val="en-US" w:eastAsia="zh-CN"/>
                    </w:rPr>
                    <w:t>2.4074</w:t>
                  </w:r>
                </w:p>
              </w:tc>
              <w:tc>
                <w:tcPr>
                  <w:tcW w:w="1974" w:type="dxa"/>
                  <w:noWrap w:val="0"/>
                  <w:vAlign w:val="center"/>
                </w:tcPr>
                <w:p>
                  <w:pPr>
                    <w:jc w:val="center"/>
                    <w:rPr>
                      <w:rFonts w:hint="default" w:eastAsia="宋体"/>
                      <w:lang w:val="en-US" w:eastAsia="zh-CN"/>
                    </w:rPr>
                  </w:pPr>
                  <w:r>
                    <w:rPr>
                      <w:rFonts w:hint="eastAsia"/>
                      <w:lang w:val="en-US" w:eastAsia="zh-CN"/>
                    </w:rPr>
                    <w:t>0.9193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089" w:type="dxa"/>
                  <w:noWrap w:val="0"/>
                  <w:vAlign w:val="center"/>
                </w:tcPr>
                <w:p>
                  <w:pPr>
                    <w:jc w:val="center"/>
                    <w:rPr>
                      <w:rFonts w:hint="default" w:eastAsia="宋体"/>
                      <w:lang w:val="en-US" w:eastAsia="zh-CN"/>
                    </w:rPr>
                  </w:pPr>
                  <w:r>
                    <w:rPr>
                      <w:rFonts w:hint="eastAsia"/>
                      <w:lang w:val="en-US" w:eastAsia="zh-CN"/>
                    </w:rPr>
                    <w:t>206.0</w:t>
                  </w:r>
                </w:p>
              </w:tc>
              <w:tc>
                <w:tcPr>
                  <w:tcW w:w="1830" w:type="dxa"/>
                  <w:noWrap w:val="0"/>
                  <w:vAlign w:val="center"/>
                </w:tcPr>
                <w:p>
                  <w:pPr>
                    <w:jc w:val="center"/>
                    <w:rPr>
                      <w:rFonts w:hint="default" w:eastAsia="宋体"/>
                      <w:lang w:val="en-US" w:eastAsia="zh-CN"/>
                    </w:rPr>
                  </w:pPr>
                  <w:r>
                    <w:rPr>
                      <w:rFonts w:hint="eastAsia"/>
                      <w:lang w:val="en-US" w:eastAsia="zh-CN"/>
                    </w:rPr>
                    <w:t>0.4323</w:t>
                  </w:r>
                </w:p>
              </w:tc>
              <w:tc>
                <w:tcPr>
                  <w:tcW w:w="1927" w:type="dxa"/>
                  <w:noWrap w:val="0"/>
                  <w:vAlign w:val="center"/>
                </w:tcPr>
                <w:p>
                  <w:pPr>
                    <w:jc w:val="center"/>
                    <w:rPr>
                      <w:rFonts w:hint="default" w:eastAsia="宋体"/>
                      <w:lang w:val="en-US" w:eastAsia="zh-CN"/>
                    </w:rPr>
                  </w:pPr>
                  <w:r>
                    <w:rPr>
                      <w:rFonts w:hint="eastAsia"/>
                      <w:lang w:val="en-US" w:eastAsia="zh-CN"/>
                    </w:rPr>
                    <w:t>2.7027</w:t>
                  </w:r>
                </w:p>
              </w:tc>
              <w:tc>
                <w:tcPr>
                  <w:tcW w:w="1974" w:type="dxa"/>
                  <w:noWrap w:val="0"/>
                  <w:vAlign w:val="center"/>
                </w:tcPr>
                <w:p>
                  <w:pPr>
                    <w:jc w:val="center"/>
                    <w:rPr>
                      <w:rFonts w:hint="default" w:eastAsia="宋体"/>
                      <w:lang w:val="en-US" w:eastAsia="zh-CN"/>
                    </w:rPr>
                  </w:pPr>
                  <w:r>
                    <w:rPr>
                      <w:rFonts w:hint="eastAsia"/>
                      <w:lang w:val="en-US" w:eastAsia="zh-CN"/>
                    </w:rPr>
                    <w:t>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089" w:type="dxa"/>
                  <w:noWrap w:val="0"/>
                  <w:vAlign w:val="center"/>
                </w:tcPr>
                <w:p>
                  <w:pPr>
                    <w:jc w:val="center"/>
                  </w:pPr>
                  <w:r>
                    <w:t>300.0</w:t>
                  </w:r>
                </w:p>
              </w:tc>
              <w:tc>
                <w:tcPr>
                  <w:tcW w:w="1830" w:type="dxa"/>
                  <w:noWrap w:val="0"/>
                  <w:vAlign w:val="center"/>
                </w:tcPr>
                <w:p>
                  <w:pPr>
                    <w:jc w:val="center"/>
                    <w:rPr>
                      <w:rFonts w:hint="default" w:eastAsia="宋体"/>
                      <w:lang w:val="en-US" w:eastAsia="zh-CN"/>
                    </w:rPr>
                  </w:pPr>
                  <w:r>
                    <w:rPr>
                      <w:rFonts w:hint="eastAsia"/>
                      <w:lang w:val="en-US" w:eastAsia="zh-CN"/>
                    </w:rPr>
                    <w:t>0.3104</w:t>
                  </w:r>
                </w:p>
              </w:tc>
              <w:tc>
                <w:tcPr>
                  <w:tcW w:w="1927" w:type="dxa"/>
                  <w:noWrap w:val="0"/>
                  <w:vAlign w:val="center"/>
                </w:tcPr>
                <w:p>
                  <w:pPr>
                    <w:jc w:val="center"/>
                    <w:rPr>
                      <w:rFonts w:hint="default" w:eastAsia="宋体"/>
                      <w:lang w:val="en-US" w:eastAsia="zh-CN"/>
                    </w:rPr>
                  </w:pPr>
                  <w:r>
                    <w:rPr>
                      <w:rFonts w:hint="eastAsia"/>
                      <w:lang w:val="en-US" w:eastAsia="zh-CN"/>
                    </w:rPr>
                    <w:t>1.9404</w:t>
                  </w:r>
                </w:p>
              </w:tc>
              <w:tc>
                <w:tcPr>
                  <w:tcW w:w="1974" w:type="dxa"/>
                  <w:noWrap w:val="0"/>
                  <w:vAlign w:val="center"/>
                </w:tcPr>
                <w:p>
                  <w:pPr>
                    <w:jc w:val="center"/>
                    <w:rPr>
                      <w:rFonts w:hint="default" w:eastAsia="宋体"/>
                      <w:lang w:val="en-US" w:eastAsia="zh-CN"/>
                    </w:rPr>
                  </w:pPr>
                  <w:r>
                    <w:rPr>
                      <w:rFonts w:hint="eastAsia"/>
                      <w:lang w:val="en-US" w:eastAsia="zh-CN"/>
                    </w:rPr>
                    <w:t>0.741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089" w:type="dxa"/>
                  <w:noWrap w:val="0"/>
                  <w:vAlign w:val="center"/>
                </w:tcPr>
                <w:p>
                  <w:pPr>
                    <w:jc w:val="center"/>
                  </w:pPr>
                  <w:r>
                    <w:t>500.0</w:t>
                  </w:r>
                </w:p>
              </w:tc>
              <w:tc>
                <w:tcPr>
                  <w:tcW w:w="1830" w:type="dxa"/>
                  <w:noWrap w:val="0"/>
                  <w:vAlign w:val="center"/>
                </w:tcPr>
                <w:p>
                  <w:pPr>
                    <w:jc w:val="center"/>
                    <w:rPr>
                      <w:rFonts w:hint="default" w:eastAsia="宋体"/>
                      <w:lang w:val="en-US" w:eastAsia="zh-CN"/>
                    </w:rPr>
                  </w:pPr>
                  <w:r>
                    <w:rPr>
                      <w:rFonts w:hint="eastAsia"/>
                      <w:lang w:val="en-US" w:eastAsia="zh-CN"/>
                    </w:rPr>
                    <w:t>0.204</w:t>
                  </w:r>
                </w:p>
              </w:tc>
              <w:tc>
                <w:tcPr>
                  <w:tcW w:w="1927" w:type="dxa"/>
                  <w:noWrap w:val="0"/>
                  <w:vAlign w:val="center"/>
                </w:tcPr>
                <w:p>
                  <w:pPr>
                    <w:jc w:val="center"/>
                    <w:rPr>
                      <w:rFonts w:hint="default" w:eastAsia="宋体"/>
                      <w:lang w:val="en-US" w:eastAsia="zh-CN"/>
                    </w:rPr>
                  </w:pPr>
                  <w:r>
                    <w:rPr>
                      <w:rFonts w:hint="eastAsia"/>
                      <w:lang w:val="en-US" w:eastAsia="zh-CN"/>
                    </w:rPr>
                    <w:t>1.276</w:t>
                  </w:r>
                </w:p>
              </w:tc>
              <w:tc>
                <w:tcPr>
                  <w:tcW w:w="1974" w:type="dxa"/>
                  <w:noWrap w:val="0"/>
                  <w:vAlign w:val="center"/>
                </w:tcPr>
                <w:p>
                  <w:pPr>
                    <w:jc w:val="center"/>
                    <w:rPr>
                      <w:rFonts w:hint="default" w:eastAsia="宋体"/>
                      <w:lang w:val="en-US" w:eastAsia="zh-CN"/>
                    </w:rPr>
                  </w:pPr>
                  <w:r>
                    <w:rPr>
                      <w:rFonts w:hint="eastAsia"/>
                      <w:lang w:val="en-US" w:eastAsia="zh-CN"/>
                    </w:rPr>
                    <w:t>0.4872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089" w:type="dxa"/>
                  <w:noWrap w:val="0"/>
                  <w:vAlign w:val="center"/>
                </w:tcPr>
                <w:p>
                  <w:pPr>
                    <w:jc w:val="center"/>
                  </w:pPr>
                  <w:r>
                    <w:t>800.0</w:t>
                  </w:r>
                </w:p>
              </w:tc>
              <w:tc>
                <w:tcPr>
                  <w:tcW w:w="1830" w:type="dxa"/>
                  <w:noWrap w:val="0"/>
                  <w:vAlign w:val="center"/>
                </w:tcPr>
                <w:p>
                  <w:pPr>
                    <w:jc w:val="center"/>
                    <w:rPr>
                      <w:rFonts w:hint="default" w:eastAsia="宋体"/>
                      <w:lang w:val="en-US" w:eastAsia="zh-CN"/>
                    </w:rPr>
                  </w:pPr>
                  <w:r>
                    <w:rPr>
                      <w:rFonts w:hint="eastAsia"/>
                      <w:lang w:val="en-US" w:eastAsia="zh-CN"/>
                    </w:rPr>
                    <w:t>0.1441</w:t>
                  </w:r>
                </w:p>
              </w:tc>
              <w:tc>
                <w:tcPr>
                  <w:tcW w:w="1927" w:type="dxa"/>
                  <w:noWrap w:val="0"/>
                  <w:vAlign w:val="center"/>
                </w:tcPr>
                <w:p>
                  <w:pPr>
                    <w:jc w:val="center"/>
                    <w:rPr>
                      <w:rFonts w:hint="default" w:eastAsia="宋体"/>
                      <w:lang w:val="en-US" w:eastAsia="zh-CN"/>
                    </w:rPr>
                  </w:pPr>
                  <w:r>
                    <w:rPr>
                      <w:rFonts w:hint="eastAsia"/>
                      <w:lang w:val="en-US" w:eastAsia="zh-CN"/>
                    </w:rPr>
                    <w:t>0.901</w:t>
                  </w:r>
                </w:p>
              </w:tc>
              <w:tc>
                <w:tcPr>
                  <w:tcW w:w="1974" w:type="dxa"/>
                  <w:noWrap w:val="0"/>
                  <w:vAlign w:val="center"/>
                </w:tcPr>
                <w:p>
                  <w:pPr>
                    <w:jc w:val="center"/>
                    <w:rPr>
                      <w:rFonts w:hint="default" w:eastAsia="宋体"/>
                      <w:lang w:val="en-US" w:eastAsia="zh-CN"/>
                    </w:rPr>
                  </w:pPr>
                  <w:r>
                    <w:rPr>
                      <w:rFonts w:hint="eastAsia"/>
                      <w:lang w:val="en-US" w:eastAsia="zh-CN"/>
                    </w:rPr>
                    <w:t>0.344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089" w:type="dxa"/>
                  <w:noWrap w:val="0"/>
                  <w:vAlign w:val="center"/>
                </w:tcPr>
                <w:p>
                  <w:pPr>
                    <w:jc w:val="center"/>
                  </w:pPr>
                  <w:r>
                    <w:t>1000.0</w:t>
                  </w:r>
                </w:p>
              </w:tc>
              <w:tc>
                <w:tcPr>
                  <w:tcW w:w="1830" w:type="dxa"/>
                  <w:noWrap w:val="0"/>
                  <w:vAlign w:val="center"/>
                </w:tcPr>
                <w:p>
                  <w:pPr>
                    <w:jc w:val="center"/>
                    <w:rPr>
                      <w:rFonts w:hint="default" w:eastAsia="宋体"/>
                      <w:lang w:val="en-US" w:eastAsia="zh-CN"/>
                    </w:rPr>
                  </w:pPr>
                  <w:r>
                    <w:rPr>
                      <w:rFonts w:hint="eastAsia"/>
                      <w:lang w:val="en-US" w:eastAsia="zh-CN"/>
                    </w:rPr>
                    <w:t>0.1439</w:t>
                  </w:r>
                </w:p>
              </w:tc>
              <w:tc>
                <w:tcPr>
                  <w:tcW w:w="1927" w:type="dxa"/>
                  <w:noWrap w:val="0"/>
                  <w:vAlign w:val="center"/>
                </w:tcPr>
                <w:p>
                  <w:pPr>
                    <w:jc w:val="center"/>
                    <w:rPr>
                      <w:rFonts w:hint="default" w:eastAsia="宋体"/>
                      <w:lang w:val="en-US" w:eastAsia="zh-CN"/>
                    </w:rPr>
                  </w:pPr>
                  <w:r>
                    <w:rPr>
                      <w:rFonts w:hint="eastAsia"/>
                      <w:lang w:val="en-US" w:eastAsia="zh-CN"/>
                    </w:rPr>
                    <w:t>0.8995</w:t>
                  </w:r>
                </w:p>
              </w:tc>
              <w:tc>
                <w:tcPr>
                  <w:tcW w:w="1974" w:type="dxa"/>
                  <w:noWrap w:val="0"/>
                  <w:vAlign w:val="center"/>
                </w:tcPr>
                <w:p>
                  <w:pPr>
                    <w:jc w:val="center"/>
                    <w:rPr>
                      <w:rFonts w:hint="default" w:eastAsia="宋体"/>
                      <w:lang w:val="en-US" w:eastAsia="zh-CN"/>
                    </w:rPr>
                  </w:pPr>
                  <w:r>
                    <w:rPr>
                      <w:rFonts w:hint="eastAsia"/>
                      <w:lang w:val="en-US" w:eastAsia="zh-CN"/>
                    </w:rPr>
                    <w:t>0.3434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089" w:type="dxa"/>
                  <w:noWrap w:val="0"/>
                  <w:vAlign w:val="center"/>
                </w:tcPr>
                <w:p>
                  <w:pPr>
                    <w:jc w:val="center"/>
                  </w:pPr>
                  <w:r>
                    <w:t>1200.0</w:t>
                  </w:r>
                </w:p>
              </w:tc>
              <w:tc>
                <w:tcPr>
                  <w:tcW w:w="1830" w:type="dxa"/>
                  <w:noWrap w:val="0"/>
                  <w:vAlign w:val="center"/>
                </w:tcPr>
                <w:p>
                  <w:pPr>
                    <w:jc w:val="center"/>
                    <w:rPr>
                      <w:rFonts w:hint="default" w:eastAsia="宋体"/>
                      <w:lang w:val="en-US" w:eastAsia="zh-CN"/>
                    </w:rPr>
                  </w:pPr>
                  <w:r>
                    <w:rPr>
                      <w:rFonts w:hint="eastAsia"/>
                      <w:lang w:val="en-US" w:eastAsia="zh-CN"/>
                    </w:rPr>
                    <w:t>0.1144</w:t>
                  </w:r>
                </w:p>
              </w:tc>
              <w:tc>
                <w:tcPr>
                  <w:tcW w:w="1927" w:type="dxa"/>
                  <w:noWrap w:val="0"/>
                  <w:vAlign w:val="center"/>
                </w:tcPr>
                <w:p>
                  <w:pPr>
                    <w:jc w:val="center"/>
                    <w:rPr>
                      <w:rFonts w:hint="default" w:eastAsia="宋体"/>
                      <w:lang w:val="en-US" w:eastAsia="zh-CN"/>
                    </w:rPr>
                  </w:pPr>
                  <w:r>
                    <w:rPr>
                      <w:rFonts w:hint="eastAsia"/>
                      <w:lang w:val="en-US" w:eastAsia="zh-CN"/>
                    </w:rPr>
                    <w:t>0.715</w:t>
                  </w:r>
                </w:p>
              </w:tc>
              <w:tc>
                <w:tcPr>
                  <w:tcW w:w="1974" w:type="dxa"/>
                  <w:noWrap w:val="0"/>
                  <w:vAlign w:val="center"/>
                </w:tcPr>
                <w:p>
                  <w:pPr>
                    <w:jc w:val="center"/>
                    <w:rPr>
                      <w:rFonts w:hint="default" w:eastAsia="宋体"/>
                      <w:lang w:val="en-US" w:eastAsia="zh-CN"/>
                    </w:rPr>
                  </w:pPr>
                  <w:r>
                    <w:rPr>
                      <w:rFonts w:hint="eastAsia"/>
                      <w:lang w:val="en-US" w:eastAsia="zh-CN"/>
                    </w:rPr>
                    <w:t>0.273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089" w:type="dxa"/>
                  <w:noWrap w:val="0"/>
                  <w:vAlign w:val="center"/>
                </w:tcPr>
                <w:p>
                  <w:pPr>
                    <w:jc w:val="center"/>
                  </w:pPr>
                  <w:r>
                    <w:t>1500.0</w:t>
                  </w:r>
                </w:p>
              </w:tc>
              <w:tc>
                <w:tcPr>
                  <w:tcW w:w="1830" w:type="dxa"/>
                  <w:noWrap w:val="0"/>
                  <w:vAlign w:val="center"/>
                </w:tcPr>
                <w:p>
                  <w:pPr>
                    <w:jc w:val="center"/>
                    <w:rPr>
                      <w:rFonts w:hint="default" w:eastAsia="宋体"/>
                      <w:lang w:val="en-US" w:eastAsia="zh-CN"/>
                    </w:rPr>
                  </w:pPr>
                  <w:r>
                    <w:rPr>
                      <w:rFonts w:hint="eastAsia"/>
                      <w:lang w:val="en-US" w:eastAsia="zh-CN"/>
                    </w:rPr>
                    <w:t>0.1034</w:t>
                  </w:r>
                </w:p>
              </w:tc>
              <w:tc>
                <w:tcPr>
                  <w:tcW w:w="1927" w:type="dxa"/>
                  <w:noWrap w:val="0"/>
                  <w:vAlign w:val="center"/>
                </w:tcPr>
                <w:p>
                  <w:pPr>
                    <w:jc w:val="center"/>
                    <w:rPr>
                      <w:rFonts w:hint="default" w:eastAsia="宋体"/>
                      <w:lang w:val="en-US" w:eastAsia="zh-CN"/>
                    </w:rPr>
                  </w:pPr>
                  <w:r>
                    <w:rPr>
                      <w:rFonts w:hint="eastAsia"/>
                      <w:lang w:val="en-US" w:eastAsia="zh-CN"/>
                    </w:rPr>
                    <w:t>0.6468</w:t>
                  </w:r>
                </w:p>
              </w:tc>
              <w:tc>
                <w:tcPr>
                  <w:tcW w:w="1974" w:type="dxa"/>
                  <w:noWrap w:val="0"/>
                  <w:vAlign w:val="center"/>
                </w:tcPr>
                <w:p>
                  <w:pPr>
                    <w:jc w:val="center"/>
                    <w:rPr>
                      <w:rFonts w:hint="default" w:eastAsia="宋体"/>
                      <w:lang w:val="en-US" w:eastAsia="zh-CN"/>
                    </w:rPr>
                  </w:pPr>
                  <w:r>
                    <w:rPr>
                      <w:rFonts w:hint="eastAsia"/>
                      <w:lang w:val="en-US" w:eastAsia="zh-CN"/>
                    </w:rPr>
                    <w:t>0.247</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color w:val="auto"/>
                <w:sz w:val="24"/>
                <w:vertAlign w:val="baseline"/>
                <w:lang w:val="en-US" w:eastAsia="zh-CN"/>
              </w:rPr>
            </w:pPr>
            <w:r>
              <w:rPr>
                <w:rFonts w:hint="eastAsia"/>
                <w:color w:val="auto"/>
                <w:sz w:val="24"/>
                <w:lang w:val="en-US" w:eastAsia="zh-CN"/>
              </w:rPr>
              <w:t>根据预测结果可知，项目运营期热压工序产生的非甲烷总烃（点源1）在下风向100-1500m的浓度为0.2-2.1ug/m</w:t>
            </w:r>
            <w:r>
              <w:rPr>
                <w:rFonts w:hint="eastAsia"/>
                <w:color w:val="auto"/>
                <w:sz w:val="24"/>
                <w:vertAlign w:val="superscript"/>
                <w:lang w:val="en-US" w:eastAsia="zh-CN"/>
              </w:rPr>
              <w:t>3</w:t>
            </w:r>
            <w:r>
              <w:rPr>
                <w:rFonts w:hint="eastAsia"/>
                <w:color w:val="auto"/>
                <w:sz w:val="24"/>
                <w:lang w:val="en-US" w:eastAsia="zh-CN"/>
              </w:rPr>
              <w:t>，满足</w:t>
            </w:r>
            <w:r>
              <w:rPr>
                <w:rFonts w:hint="default"/>
                <w:color w:val="auto"/>
                <w:sz w:val="24"/>
                <w:lang w:eastAsia="zh-CN"/>
              </w:rPr>
              <w:t>《环境影响评价技术导则</w:t>
            </w:r>
            <w:r>
              <w:rPr>
                <w:rFonts w:hint="default"/>
                <w:color w:val="auto"/>
                <w:sz w:val="24"/>
                <w:lang w:val="en-US" w:eastAsia="zh-CN"/>
              </w:rPr>
              <w:t xml:space="preserve"> 大气环境</w:t>
            </w:r>
            <w:r>
              <w:rPr>
                <w:rFonts w:hint="default"/>
                <w:color w:val="auto"/>
                <w:sz w:val="24"/>
                <w:lang w:eastAsia="zh-CN"/>
              </w:rPr>
              <w:t>》（</w:t>
            </w:r>
            <w:r>
              <w:rPr>
                <w:rFonts w:hint="default"/>
                <w:color w:val="auto"/>
                <w:sz w:val="24"/>
                <w:lang w:val="en-US" w:eastAsia="zh-CN"/>
              </w:rPr>
              <w:t>HJ2.2-2018</w:t>
            </w:r>
            <w:r>
              <w:rPr>
                <w:rFonts w:hint="default"/>
                <w:color w:val="auto"/>
                <w:sz w:val="24"/>
                <w:lang w:eastAsia="zh-CN"/>
              </w:rPr>
              <w:t>）</w:t>
            </w:r>
            <w:r>
              <w:rPr>
                <w:rFonts w:hint="eastAsia"/>
                <w:color w:val="auto"/>
                <w:sz w:val="24"/>
                <w:lang w:eastAsia="zh-CN"/>
              </w:rPr>
              <w:t>附录</w:t>
            </w:r>
            <w:r>
              <w:rPr>
                <w:rFonts w:hint="eastAsia"/>
                <w:color w:val="auto"/>
                <w:sz w:val="24"/>
                <w:lang w:val="en-US" w:eastAsia="zh-CN"/>
              </w:rPr>
              <w:t>D</w:t>
            </w:r>
            <w:r>
              <w:rPr>
                <w:rFonts w:hint="eastAsia"/>
                <w:color w:val="auto"/>
                <w:sz w:val="24"/>
                <w:lang w:eastAsia="zh-CN"/>
              </w:rPr>
              <w:t>中标准值</w:t>
            </w:r>
            <w:r>
              <w:rPr>
                <w:rFonts w:hint="eastAsia"/>
                <w:color w:val="auto"/>
                <w:sz w:val="24"/>
                <w:lang w:val="en-US" w:eastAsia="zh-CN"/>
              </w:rPr>
              <w:t>；本项目有</w:t>
            </w:r>
            <w:r>
              <w:rPr>
                <w:rFonts w:hint="eastAsia"/>
                <w:color w:val="auto"/>
                <w:sz w:val="24"/>
              </w:rPr>
              <w:t>导热油炉</w:t>
            </w:r>
            <w:r>
              <w:rPr>
                <w:rFonts w:hint="eastAsia"/>
                <w:color w:val="auto"/>
                <w:sz w:val="24"/>
                <w:lang w:eastAsia="zh-CN"/>
              </w:rPr>
              <w:t>两台，其燃烧废气分别通过各自</w:t>
            </w:r>
            <w:r>
              <w:rPr>
                <w:rFonts w:hint="eastAsia"/>
                <w:color w:val="auto"/>
                <w:sz w:val="24"/>
                <w:lang w:val="en-US" w:eastAsia="zh-CN"/>
              </w:rPr>
              <w:t>8m高排气筒排放（点源2和点源3），根据预测结果，两点源污染物浓度叠加后，在下风向100-1500m范围，SO</w:t>
            </w:r>
            <w:r>
              <w:rPr>
                <w:rFonts w:hint="eastAsia"/>
                <w:color w:val="auto"/>
                <w:sz w:val="24"/>
                <w:vertAlign w:val="subscript"/>
                <w:lang w:val="en-US" w:eastAsia="zh-CN"/>
              </w:rPr>
              <w:t>2</w:t>
            </w:r>
            <w:r>
              <w:rPr>
                <w:rFonts w:hint="eastAsia"/>
                <w:color w:val="auto"/>
                <w:sz w:val="24"/>
                <w:lang w:val="en-US" w:eastAsia="zh-CN"/>
              </w:rPr>
              <w:t>浓度为0.1-0.43ug/m</w:t>
            </w:r>
            <w:r>
              <w:rPr>
                <w:rFonts w:hint="eastAsia"/>
                <w:color w:val="auto"/>
                <w:sz w:val="24"/>
                <w:vertAlign w:val="superscript"/>
                <w:lang w:val="en-US" w:eastAsia="zh-CN"/>
              </w:rPr>
              <w:t>3</w:t>
            </w:r>
            <w:r>
              <w:rPr>
                <w:rFonts w:hint="eastAsia"/>
                <w:color w:val="auto"/>
                <w:sz w:val="24"/>
                <w:lang w:val="en-US" w:eastAsia="zh-CN"/>
              </w:rPr>
              <w:t>，NO</w:t>
            </w:r>
            <w:r>
              <w:rPr>
                <w:rFonts w:hint="eastAsia"/>
                <w:color w:val="auto"/>
                <w:sz w:val="24"/>
                <w:vertAlign w:val="subscript"/>
                <w:lang w:val="en-US" w:eastAsia="zh-CN"/>
              </w:rPr>
              <w:t>2</w:t>
            </w:r>
            <w:r>
              <w:rPr>
                <w:rFonts w:hint="eastAsia"/>
                <w:color w:val="auto"/>
                <w:sz w:val="24"/>
                <w:lang w:val="en-US" w:eastAsia="zh-CN"/>
              </w:rPr>
              <w:t>浓度为0.65-2.7ug/m</w:t>
            </w:r>
            <w:r>
              <w:rPr>
                <w:rFonts w:hint="eastAsia"/>
                <w:color w:val="auto"/>
                <w:sz w:val="24"/>
                <w:vertAlign w:val="superscript"/>
                <w:lang w:val="en-US" w:eastAsia="zh-CN"/>
              </w:rPr>
              <w:t>3</w:t>
            </w:r>
            <w:r>
              <w:rPr>
                <w:rFonts w:hint="eastAsia"/>
                <w:color w:val="auto"/>
                <w:sz w:val="24"/>
                <w:lang w:val="en-US" w:eastAsia="zh-CN"/>
              </w:rPr>
              <w:t>，TSP浓度为0.25-1.0ug/m</w:t>
            </w:r>
            <w:r>
              <w:rPr>
                <w:rFonts w:hint="eastAsia"/>
                <w:color w:val="auto"/>
                <w:sz w:val="24"/>
                <w:vertAlign w:val="superscript"/>
                <w:lang w:val="en-US" w:eastAsia="zh-CN"/>
              </w:rPr>
              <w:t>3，</w:t>
            </w:r>
            <w:r>
              <w:rPr>
                <w:rFonts w:hint="eastAsia"/>
                <w:color w:val="auto"/>
                <w:sz w:val="24"/>
                <w:vertAlign w:val="baseline"/>
                <w:lang w:val="en-US" w:eastAsia="zh-CN"/>
              </w:rPr>
              <w:t>满足《环境空气质量标准》（GB3095-2012）二类区标准限值。</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color w:val="auto"/>
                <w:sz w:val="24"/>
                <w:vertAlign w:val="baseline"/>
                <w:lang w:val="en-US" w:eastAsia="zh-CN"/>
              </w:rPr>
            </w:pPr>
            <w:r>
              <w:rPr>
                <w:rFonts w:hint="eastAsia"/>
                <w:color w:val="auto"/>
                <w:sz w:val="24"/>
                <w:vertAlign w:val="baseline"/>
                <w:lang w:val="en-US" w:eastAsia="zh-CN"/>
              </w:rPr>
              <w:t>本项目200m范围内有住户，根据AERSCREEN模型计算预测，点源1排放NMHC在敏感点处浓度为0.19-0.30ug/m</w:t>
            </w:r>
            <w:r>
              <w:rPr>
                <w:rFonts w:hint="eastAsia"/>
                <w:color w:val="auto"/>
                <w:sz w:val="24"/>
                <w:vertAlign w:val="superscript"/>
                <w:lang w:val="en-US" w:eastAsia="zh-CN"/>
              </w:rPr>
              <w:t>3</w:t>
            </w:r>
            <w:r>
              <w:rPr>
                <w:rFonts w:hint="eastAsia"/>
                <w:color w:val="auto"/>
                <w:sz w:val="24"/>
                <w:vertAlign w:val="baseline"/>
                <w:lang w:val="en-US" w:eastAsia="zh-CN"/>
              </w:rPr>
              <w:t>，满足</w:t>
            </w:r>
            <w:r>
              <w:rPr>
                <w:rFonts w:hint="default"/>
                <w:color w:val="auto"/>
                <w:sz w:val="24"/>
                <w:lang w:eastAsia="zh-CN"/>
              </w:rPr>
              <w:t>《环境影响评价技术导则</w:t>
            </w:r>
            <w:r>
              <w:rPr>
                <w:rFonts w:hint="default"/>
                <w:color w:val="auto"/>
                <w:sz w:val="24"/>
                <w:lang w:val="en-US" w:eastAsia="zh-CN"/>
              </w:rPr>
              <w:t xml:space="preserve"> 大气环境</w:t>
            </w:r>
            <w:r>
              <w:rPr>
                <w:rFonts w:hint="default"/>
                <w:color w:val="auto"/>
                <w:sz w:val="24"/>
                <w:lang w:eastAsia="zh-CN"/>
              </w:rPr>
              <w:t>》（</w:t>
            </w:r>
            <w:r>
              <w:rPr>
                <w:rFonts w:hint="default"/>
                <w:color w:val="auto"/>
                <w:sz w:val="24"/>
                <w:lang w:val="en-US" w:eastAsia="zh-CN"/>
              </w:rPr>
              <w:t>HJ2.2-2018</w:t>
            </w:r>
            <w:r>
              <w:rPr>
                <w:rFonts w:hint="default"/>
                <w:color w:val="auto"/>
                <w:sz w:val="24"/>
                <w:lang w:eastAsia="zh-CN"/>
              </w:rPr>
              <w:t>）</w:t>
            </w:r>
            <w:r>
              <w:rPr>
                <w:rFonts w:hint="eastAsia"/>
                <w:color w:val="auto"/>
                <w:sz w:val="24"/>
                <w:lang w:eastAsia="zh-CN"/>
              </w:rPr>
              <w:t>附录</w:t>
            </w:r>
            <w:r>
              <w:rPr>
                <w:rFonts w:hint="eastAsia"/>
                <w:color w:val="auto"/>
                <w:sz w:val="24"/>
                <w:lang w:val="en-US" w:eastAsia="zh-CN"/>
              </w:rPr>
              <w:t>D</w:t>
            </w:r>
            <w:r>
              <w:rPr>
                <w:rFonts w:hint="eastAsia"/>
                <w:color w:val="auto"/>
                <w:sz w:val="24"/>
                <w:lang w:eastAsia="zh-CN"/>
              </w:rPr>
              <w:t>中标准值</w:t>
            </w:r>
            <w:r>
              <w:rPr>
                <w:rFonts w:hint="eastAsia"/>
                <w:color w:val="auto"/>
                <w:sz w:val="24"/>
                <w:vertAlign w:val="baseline"/>
                <w:lang w:val="en-US" w:eastAsia="zh-CN"/>
              </w:rPr>
              <w:t>；在敏感点处，点源2和点源3</w:t>
            </w:r>
            <w:r>
              <w:rPr>
                <w:rFonts w:hint="eastAsia"/>
                <w:color w:val="auto"/>
                <w:sz w:val="24"/>
                <w:lang w:val="en-US" w:eastAsia="zh-CN"/>
              </w:rPr>
              <w:t>污染物浓度叠加后，SO</w:t>
            </w:r>
            <w:r>
              <w:rPr>
                <w:rFonts w:hint="eastAsia"/>
                <w:color w:val="auto"/>
                <w:sz w:val="24"/>
                <w:vertAlign w:val="subscript"/>
                <w:lang w:val="en-US" w:eastAsia="zh-CN"/>
              </w:rPr>
              <w:t>2</w:t>
            </w:r>
            <w:r>
              <w:rPr>
                <w:rFonts w:hint="eastAsia"/>
                <w:color w:val="auto"/>
                <w:sz w:val="24"/>
                <w:lang w:val="en-US" w:eastAsia="zh-CN"/>
              </w:rPr>
              <w:t>浓度为0.17-0.39ug/m</w:t>
            </w:r>
            <w:r>
              <w:rPr>
                <w:rFonts w:hint="eastAsia"/>
                <w:color w:val="auto"/>
                <w:sz w:val="24"/>
                <w:vertAlign w:val="superscript"/>
                <w:lang w:val="en-US" w:eastAsia="zh-CN"/>
              </w:rPr>
              <w:t>33</w:t>
            </w:r>
            <w:r>
              <w:rPr>
                <w:rFonts w:hint="eastAsia"/>
                <w:color w:val="auto"/>
                <w:sz w:val="24"/>
                <w:lang w:val="en-US" w:eastAsia="zh-CN"/>
              </w:rPr>
              <w:t>，NO</w:t>
            </w:r>
            <w:r>
              <w:rPr>
                <w:rFonts w:hint="eastAsia"/>
                <w:color w:val="auto"/>
                <w:sz w:val="24"/>
                <w:vertAlign w:val="subscript"/>
                <w:lang w:val="en-US" w:eastAsia="zh-CN"/>
              </w:rPr>
              <w:t>2</w:t>
            </w:r>
            <w:r>
              <w:rPr>
                <w:rFonts w:hint="eastAsia"/>
                <w:color w:val="auto"/>
                <w:sz w:val="24"/>
                <w:lang w:val="en-US" w:eastAsia="zh-CN"/>
              </w:rPr>
              <w:t>浓度为1.1-2.4ug/m</w:t>
            </w:r>
            <w:r>
              <w:rPr>
                <w:rFonts w:hint="eastAsia"/>
                <w:color w:val="auto"/>
                <w:sz w:val="24"/>
                <w:vertAlign w:val="superscript"/>
                <w:lang w:val="en-US" w:eastAsia="zh-CN"/>
              </w:rPr>
              <w:t>3</w:t>
            </w:r>
            <w:r>
              <w:rPr>
                <w:rFonts w:hint="eastAsia"/>
                <w:color w:val="auto"/>
                <w:sz w:val="24"/>
                <w:lang w:val="en-US" w:eastAsia="zh-CN"/>
              </w:rPr>
              <w:t>，TSP浓度为0.4-0.92ug/m</w:t>
            </w:r>
            <w:r>
              <w:rPr>
                <w:rFonts w:hint="eastAsia"/>
                <w:color w:val="auto"/>
                <w:sz w:val="24"/>
                <w:vertAlign w:val="superscript"/>
                <w:lang w:val="en-US" w:eastAsia="zh-CN"/>
              </w:rPr>
              <w:t>3</w:t>
            </w:r>
            <w:r>
              <w:rPr>
                <w:rFonts w:hint="eastAsia"/>
                <w:color w:val="auto"/>
                <w:sz w:val="24"/>
                <w:vertAlign w:val="baseline"/>
                <w:lang w:val="en-US" w:eastAsia="zh-CN"/>
              </w:rPr>
              <w:t>，根据预测结果可知，敏感点处污染物浓度皆满足《环境空气质量标准》（GB3095-2012）二类区标准限值。</w:t>
            </w:r>
          </w:p>
          <w:p>
            <w:pPr>
              <w:snapToGrid w:val="0"/>
              <w:spacing w:line="360" w:lineRule="auto"/>
              <w:rPr>
                <w:rFonts w:hint="eastAsia"/>
                <w:szCs w:val="21"/>
              </w:rPr>
            </w:pPr>
            <w:r>
              <w:rPr>
                <w:rFonts w:hint="eastAsia"/>
                <w:color w:val="000000"/>
                <w:sz w:val="24"/>
              </w:rPr>
              <w:t xml:space="preserve">    因此采取治理措施后，本项目对周围大气环境无明显影响。</w:t>
            </w:r>
          </w:p>
          <w:p>
            <w:pPr>
              <w:spacing w:line="360" w:lineRule="auto"/>
              <w:ind w:firstLine="482" w:firstLineChars="200"/>
              <w:rPr>
                <w:b/>
                <w:bCs/>
                <w:sz w:val="24"/>
              </w:rPr>
            </w:pPr>
            <w:r>
              <w:rPr>
                <w:b/>
                <w:bCs/>
                <w:sz w:val="24"/>
              </w:rPr>
              <w:t>（二）水环境影响分析</w:t>
            </w:r>
          </w:p>
          <w:p>
            <w:pPr>
              <w:adjustRightInd w:val="0"/>
              <w:snapToGrid w:val="0"/>
              <w:spacing w:line="360" w:lineRule="auto"/>
              <w:ind w:firstLine="480" w:firstLineChars="200"/>
              <w:rPr>
                <w:sz w:val="24"/>
              </w:rPr>
            </w:pPr>
            <w:r>
              <w:rPr>
                <w:rFonts w:hint="eastAsia" w:cs="微软雅黑"/>
                <w:kern w:val="0"/>
                <w:sz w:val="24"/>
              </w:rPr>
              <w:t>本</w:t>
            </w:r>
            <w:r>
              <w:rPr>
                <w:rFonts w:cs="微软雅黑"/>
                <w:kern w:val="0"/>
                <w:sz w:val="24"/>
              </w:rPr>
              <w:t>项目生产</w:t>
            </w:r>
            <w:r>
              <w:rPr>
                <w:rFonts w:hint="eastAsia" w:cs="微软雅黑"/>
                <w:kern w:val="0"/>
                <w:sz w:val="24"/>
              </w:rPr>
              <w:t>过程</w:t>
            </w:r>
            <w:r>
              <w:rPr>
                <w:rFonts w:cs="微软雅黑"/>
                <w:kern w:val="0"/>
                <w:sz w:val="24"/>
              </w:rPr>
              <w:t>不使用水</w:t>
            </w:r>
            <w:r>
              <w:rPr>
                <w:rFonts w:hint="eastAsia" w:cs="微软雅黑"/>
                <w:kern w:val="0"/>
                <w:sz w:val="24"/>
              </w:rPr>
              <w:t>，</w:t>
            </w:r>
            <w:r>
              <w:rPr>
                <w:rFonts w:cs="微软雅黑"/>
                <w:kern w:val="0"/>
                <w:sz w:val="24"/>
              </w:rPr>
              <w:t>因此本项目废水主要是生活废水</w:t>
            </w:r>
            <w:r>
              <w:rPr>
                <w:rFonts w:hint="eastAsia" w:cs="微软雅黑"/>
                <w:kern w:val="0"/>
                <w:sz w:val="24"/>
              </w:rPr>
              <w:t>。</w:t>
            </w:r>
          </w:p>
          <w:p>
            <w:pPr>
              <w:spacing w:line="360" w:lineRule="auto"/>
              <w:ind w:firstLine="480" w:firstLineChars="200"/>
              <w:rPr>
                <w:rFonts w:hint="eastAsia"/>
                <w:bCs/>
                <w:sz w:val="24"/>
              </w:rPr>
            </w:pPr>
            <w:r>
              <w:rPr>
                <w:rFonts w:hint="eastAsia"/>
                <w:bCs/>
                <w:sz w:val="24"/>
              </w:rPr>
              <w:t>生活污水</w:t>
            </w:r>
            <w:r>
              <w:rPr>
                <w:rFonts w:hint="eastAsia"/>
                <w:bCs/>
                <w:sz w:val="24"/>
                <w:lang w:eastAsia="zh-CN"/>
              </w:rPr>
              <w:t>经化粪池后作农溉，不外排</w:t>
            </w:r>
            <w:r>
              <w:rPr>
                <w:rFonts w:hint="eastAsia"/>
                <w:bCs/>
                <w:sz w:val="24"/>
              </w:rPr>
              <w:t>。</w:t>
            </w:r>
          </w:p>
          <w:p>
            <w:pPr>
              <w:spacing w:line="360" w:lineRule="auto"/>
              <w:ind w:firstLine="482" w:firstLineChars="200"/>
              <w:rPr>
                <w:rFonts w:hint="eastAsia"/>
                <w:b/>
                <w:bCs/>
                <w:sz w:val="24"/>
              </w:rPr>
            </w:pPr>
            <w:r>
              <w:rPr>
                <w:rFonts w:hint="eastAsia"/>
                <w:b/>
                <w:bCs/>
                <w:sz w:val="24"/>
              </w:rPr>
              <w:t>（三）</w:t>
            </w:r>
            <w:r>
              <w:rPr>
                <w:b/>
                <w:bCs/>
                <w:sz w:val="24"/>
              </w:rPr>
              <w:t>声环境影响分析</w:t>
            </w:r>
          </w:p>
          <w:p>
            <w:pPr>
              <w:spacing w:line="360" w:lineRule="auto"/>
              <w:ind w:firstLine="480" w:firstLineChars="200"/>
              <w:rPr>
                <w:sz w:val="24"/>
              </w:rPr>
            </w:pPr>
            <w:r>
              <w:rPr>
                <w:rFonts w:hint="eastAsia"/>
                <w:sz w:val="24"/>
              </w:rPr>
              <w:t>（1）运营期噪声源强分析</w:t>
            </w:r>
          </w:p>
          <w:p>
            <w:pPr>
              <w:snapToGrid w:val="0"/>
              <w:spacing w:line="360" w:lineRule="auto"/>
              <w:ind w:firstLine="480" w:firstLineChars="200"/>
              <w:rPr>
                <w:rFonts w:hint="eastAsia"/>
                <w:bCs/>
                <w:sz w:val="24"/>
              </w:rPr>
            </w:pPr>
            <w:r>
              <w:rPr>
                <w:sz w:val="24"/>
              </w:rPr>
              <w:t>本项目噪声主要来源于机器设备运行时产生的噪声，源强为65～</w:t>
            </w:r>
            <w:r>
              <w:rPr>
                <w:rFonts w:hint="eastAsia"/>
                <w:sz w:val="24"/>
              </w:rPr>
              <w:t>80</w:t>
            </w:r>
            <w:r>
              <w:rPr>
                <w:sz w:val="24"/>
              </w:rPr>
              <w:t>dB（A）。</w:t>
            </w:r>
            <w:r>
              <w:rPr>
                <w:rFonts w:hint="eastAsia"/>
                <w:sz w:val="24"/>
              </w:rPr>
              <w:t>本项目对厂内设备进行基础减振，并在其厂房为封闭式标准化厂房，以达到降噪效果。对于叉车和进出运输车辆，只要对其加强管理，合理安排工作时间，其产生的噪声不会对周围环境造成明显影响。</w:t>
            </w:r>
          </w:p>
          <w:p>
            <w:pPr>
              <w:spacing w:line="360" w:lineRule="auto"/>
              <w:ind w:firstLine="480" w:firstLineChars="200"/>
              <w:rPr>
                <w:sz w:val="24"/>
              </w:rPr>
            </w:pPr>
            <w:r>
              <w:rPr>
                <w:sz w:val="24"/>
              </w:rPr>
              <w:t xml:space="preserve"> 由于本项目</w:t>
            </w:r>
            <w:r>
              <w:rPr>
                <w:rFonts w:hint="eastAsia"/>
                <w:sz w:val="24"/>
              </w:rPr>
              <w:t>近三年来将会采取一班制度，</w:t>
            </w:r>
            <w:r>
              <w:rPr>
                <w:sz w:val="24"/>
              </w:rPr>
              <w:t>夜间不生产</w:t>
            </w:r>
            <w:r>
              <w:rPr>
                <w:rFonts w:hint="eastAsia"/>
                <w:sz w:val="24"/>
              </w:rPr>
              <w:t>，</w:t>
            </w:r>
            <w:r>
              <w:rPr>
                <w:sz w:val="24"/>
              </w:rPr>
              <w:t>故本次预测白天生产时的噪声影响</w:t>
            </w:r>
            <w:r>
              <w:rPr>
                <w:rFonts w:hint="eastAsia"/>
                <w:sz w:val="24"/>
              </w:rPr>
              <w:t>。</w:t>
            </w:r>
          </w:p>
          <w:p>
            <w:pPr>
              <w:tabs>
                <w:tab w:val="center" w:pos="4579"/>
              </w:tabs>
              <w:spacing w:line="360" w:lineRule="auto"/>
              <w:ind w:firstLine="200"/>
              <w:rPr>
                <w:rFonts w:hint="eastAsia" w:ascii="宋体" w:hAnsi="宋体"/>
              </w:rPr>
            </w:pPr>
            <w:r>
              <w:rPr>
                <w:rFonts w:hint="eastAsia" w:ascii="宋体" w:hAnsi="宋体"/>
              </w:rPr>
              <w:drawing>
                <wp:anchor distT="0" distB="0" distL="114300" distR="114300" simplePos="0" relativeHeight="251670528" behindDoc="0" locked="0" layoutInCell="1" allowOverlap="1">
                  <wp:simplePos x="0" y="0"/>
                  <wp:positionH relativeFrom="column">
                    <wp:posOffset>1737360</wp:posOffset>
                  </wp:positionH>
                  <wp:positionV relativeFrom="paragraph">
                    <wp:posOffset>170180</wp:posOffset>
                  </wp:positionV>
                  <wp:extent cx="2127885" cy="518160"/>
                  <wp:effectExtent l="0" t="0" r="5715" b="15240"/>
                  <wp:wrapNone/>
                  <wp:docPr id="2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3"/>
                          <pic:cNvPicPr>
                            <a:picLocks noChangeAspect="1"/>
                          </pic:cNvPicPr>
                        </pic:nvPicPr>
                        <pic:blipFill>
                          <a:blip r:embed="rId38"/>
                          <a:stretch>
                            <a:fillRect/>
                          </a:stretch>
                        </pic:blipFill>
                        <pic:spPr>
                          <a:xfrm>
                            <a:off x="0" y="0"/>
                            <a:ext cx="2127885" cy="518160"/>
                          </a:xfrm>
                          <a:prstGeom prst="rect">
                            <a:avLst/>
                          </a:prstGeom>
                          <a:noFill/>
                          <a:ln w="9525">
                            <a:noFill/>
                          </a:ln>
                        </pic:spPr>
                      </pic:pic>
                    </a:graphicData>
                  </a:graphic>
                </wp:anchor>
              </w:drawing>
            </w:r>
            <w:r>
              <w:rPr>
                <w:rFonts w:hint="eastAsia" w:ascii="宋体" w:hAnsi="宋体"/>
                <w:sz w:val="24"/>
              </w:rPr>
              <w:t xml:space="preserve">     计算点声源在预测点的声压级：</w:t>
            </w:r>
            <w:r>
              <w:rPr>
                <w:rFonts w:ascii="宋体" w:hAnsi="宋体"/>
              </w:rPr>
              <w:tab/>
            </w:r>
          </w:p>
          <w:p>
            <w:pPr>
              <w:tabs>
                <w:tab w:val="center" w:pos="4579"/>
              </w:tabs>
              <w:jc w:val="center"/>
              <w:rPr>
                <w:rFonts w:hint="eastAsia" w:ascii="宋体" w:hAnsi="宋体"/>
              </w:rPr>
            </w:pPr>
          </w:p>
          <w:p>
            <w:pPr>
              <w:rPr>
                <w:rFonts w:hint="eastAsia" w:ascii="宋体" w:hAnsi="宋体"/>
              </w:rPr>
            </w:pPr>
          </w:p>
          <w:p>
            <w:pPr>
              <w:adjustRightInd w:val="0"/>
              <w:snapToGrid w:val="0"/>
              <w:spacing w:line="360" w:lineRule="auto"/>
              <w:rPr>
                <w:rFonts w:hint="eastAsia" w:ascii="宋体" w:hAnsi="宋体"/>
                <w:sz w:val="24"/>
              </w:rPr>
            </w:pPr>
            <w:r>
              <w:rPr>
                <w:rFonts w:hint="eastAsia" w:ascii="宋体" w:hAnsi="宋体"/>
              </w:rPr>
              <w:t xml:space="preserve">     </w:t>
            </w:r>
            <w:r>
              <w:rPr>
                <w:rFonts w:hint="eastAsia" w:ascii="宋体" w:hAnsi="宋体"/>
                <w:sz w:val="24"/>
              </w:rPr>
              <w:t>式中：Lp(r)--点声源在预测点产生的声压级；</w:t>
            </w:r>
          </w:p>
          <w:p>
            <w:pPr>
              <w:adjustRightInd w:val="0"/>
              <w:snapToGrid w:val="0"/>
              <w:spacing w:line="360" w:lineRule="auto"/>
              <w:rPr>
                <w:rFonts w:hint="eastAsia" w:ascii="宋体" w:hAnsi="宋体"/>
                <w:sz w:val="24"/>
              </w:rPr>
            </w:pPr>
            <w:r>
              <w:rPr>
                <w:rFonts w:hint="eastAsia" w:ascii="宋体" w:hAnsi="宋体"/>
                <w:sz w:val="24"/>
              </w:rPr>
              <w:t xml:space="preserve">           Lp(r0)--参考位置r0处的声压级；</w:t>
            </w:r>
          </w:p>
          <w:p>
            <w:pPr>
              <w:adjustRightInd w:val="0"/>
              <w:snapToGrid w:val="0"/>
              <w:spacing w:line="360" w:lineRule="auto"/>
              <w:rPr>
                <w:rFonts w:hint="eastAsia" w:ascii="宋体" w:hAnsi="宋体"/>
                <w:sz w:val="24"/>
              </w:rPr>
            </w:pPr>
            <w:r>
              <w:rPr>
                <w:rFonts w:hint="eastAsia" w:ascii="宋体" w:hAnsi="宋体"/>
                <w:sz w:val="24"/>
              </w:rPr>
              <w:t xml:space="preserve">           r--预测点距声源的距离，m；</w:t>
            </w:r>
          </w:p>
          <w:p>
            <w:pPr>
              <w:adjustRightInd w:val="0"/>
              <w:snapToGrid w:val="0"/>
              <w:spacing w:line="360" w:lineRule="auto"/>
              <w:rPr>
                <w:rFonts w:hint="eastAsia" w:ascii="宋体" w:hAnsi="宋体"/>
                <w:sz w:val="24"/>
              </w:rPr>
            </w:pPr>
            <w:r>
              <w:rPr>
                <w:rFonts w:hint="eastAsia" w:ascii="宋体" w:hAnsi="宋体"/>
                <w:sz w:val="24"/>
              </w:rPr>
              <w:t xml:space="preserve">           r0--参考位置距声源的距离，m；</w:t>
            </w:r>
          </w:p>
          <w:p>
            <w:pPr>
              <w:adjustRightInd w:val="0"/>
              <w:snapToGrid w:val="0"/>
              <w:spacing w:line="360" w:lineRule="auto"/>
              <w:rPr>
                <w:rFonts w:hint="eastAsia" w:ascii="宋体" w:hAnsi="宋体"/>
                <w:sz w:val="24"/>
              </w:rPr>
            </w:pPr>
            <w:r>
              <w:rPr>
                <w:rFonts w:hint="eastAsia" w:ascii="宋体" w:hAnsi="宋体"/>
                <w:sz w:val="24"/>
              </w:rPr>
              <w:t xml:space="preserve">           ΔLp--各种因素引起的衰减量（包括声屏障、遮挡物、空气吸收、地面效应等引起的衰减量）。</w:t>
            </w:r>
          </w:p>
          <w:p>
            <w:pPr>
              <w:adjustRightInd w:val="0"/>
              <w:snapToGrid w:val="0"/>
              <w:spacing w:line="360" w:lineRule="auto"/>
              <w:rPr>
                <w:rFonts w:hint="eastAsia" w:ascii="宋体" w:hAnsi="宋体"/>
                <w:sz w:val="24"/>
              </w:rPr>
            </w:pPr>
            <w:r>
              <w:rPr>
                <w:rFonts w:hint="eastAsia" w:ascii="宋体" w:hAnsi="宋体"/>
                <w:sz w:val="24"/>
              </w:rPr>
              <w:t xml:space="preserve">    运输车辆线声源预测模式采用以下预测模式进行预测：</w:t>
            </w:r>
          </w:p>
          <w:p>
            <w:pPr>
              <w:adjustRightInd w:val="0"/>
              <w:snapToGrid w:val="0"/>
              <w:spacing w:line="360" w:lineRule="auto"/>
              <w:jc w:val="center"/>
              <w:rPr>
                <w:rFonts w:hint="eastAsia" w:ascii="宋体" w:hAnsi="宋体"/>
                <w:sz w:val="24"/>
              </w:rPr>
            </w:pPr>
            <w:r>
              <w:rPr>
                <w:rFonts w:hint="eastAsia" w:ascii="宋体" w:hAnsi="宋体"/>
                <w:sz w:val="24"/>
              </w:rPr>
              <w:object>
                <v:shape id="_x0000_i1046" o:spt="75" type="#_x0000_t75" style="height:41.15pt;width:124.75pt;" o:ole="t" filled="f" o:preferrelative="t" stroked="f" coordsize="21600,21600">
                  <v:path/>
                  <v:fill on="f" focussize="0,0"/>
                  <v:stroke on="f"/>
                  <v:imagedata r:id="rId40" o:title=""/>
                  <o:lock v:ext="edit" grouping="f" rotation="f" text="f" aspectratio="t"/>
                  <w10:wrap type="none"/>
                  <w10:anchorlock/>
                </v:shape>
                <o:OLEObject Type="Embed" ProgID="Equation.3" ShapeID="_x0000_i1046" DrawAspect="Content" ObjectID="_1468075727" r:id="rId39">
                  <o:LockedField>false</o:LockedField>
                </o:OLEObject>
              </w:object>
            </w:r>
          </w:p>
          <w:p>
            <w:pPr>
              <w:adjustRightInd w:val="0"/>
              <w:snapToGrid w:val="0"/>
              <w:spacing w:line="360" w:lineRule="auto"/>
              <w:rPr>
                <w:rFonts w:hint="eastAsia" w:ascii="宋体" w:hAnsi="宋体"/>
                <w:sz w:val="24"/>
              </w:rPr>
            </w:pPr>
            <w:r>
              <w:rPr>
                <w:rFonts w:hint="eastAsia" w:ascii="宋体" w:hAnsi="宋体"/>
                <w:sz w:val="24"/>
              </w:rPr>
              <w:t xml:space="preserve">     式中：</w:t>
            </w:r>
            <w:r>
              <w:rPr>
                <w:rFonts w:hint="eastAsia" w:ascii="宋体" w:hAnsi="宋体"/>
                <w:sz w:val="24"/>
              </w:rPr>
              <w:object>
                <v:shape id="_x0000_i1047" o:spt="75" type="#_x0000_t75" style="height:18pt;width:20pt;" o:ole="t" filled="f" o:preferrelative="t" stroked="f" coordsize="21600,21600">
                  <v:path/>
                  <v:fill on="f" focussize="0,0"/>
                  <v:stroke on="f"/>
                  <v:imagedata r:id="rId42" o:title=""/>
                  <o:lock v:ext="edit" grouping="f" rotation="f" text="f" aspectratio="t"/>
                  <w10:wrap type="none"/>
                  <w10:anchorlock/>
                </v:shape>
                <o:OLEObject Type="Embed" ProgID="Equation.3" ShapeID="_x0000_i1047" DrawAspect="Content" ObjectID="_1468075728" r:id="rId41">
                  <o:LockedField>false</o:LockedField>
                </o:OLEObject>
              </w:object>
            </w:r>
            <w:r>
              <w:rPr>
                <w:rFonts w:hint="eastAsia" w:ascii="宋体" w:hAnsi="宋体"/>
                <w:sz w:val="24"/>
              </w:rPr>
              <w:t>——点（线）源在预测点产生的声压级，dB(A)；</w:t>
            </w:r>
          </w:p>
          <w:p>
            <w:pPr>
              <w:adjustRightInd w:val="0"/>
              <w:snapToGrid w:val="0"/>
              <w:spacing w:line="360" w:lineRule="auto"/>
              <w:rPr>
                <w:rFonts w:hint="eastAsia" w:ascii="宋体" w:hAnsi="宋体"/>
                <w:sz w:val="24"/>
              </w:rPr>
            </w:pPr>
            <w:r>
              <w:rPr>
                <w:rFonts w:hint="eastAsia" w:ascii="宋体" w:hAnsi="宋体"/>
                <w:sz w:val="24"/>
              </w:rPr>
              <w:t xml:space="preserve">          </w:t>
            </w:r>
            <w:r>
              <w:rPr>
                <w:rFonts w:hint="eastAsia" w:ascii="宋体" w:hAnsi="宋体"/>
                <w:sz w:val="24"/>
              </w:rPr>
              <w:object>
                <v:shape id="_x0000_i1048" o:spt="75" type="#_x0000_t75" style="height:18pt;width:39pt;" o:ole="t" filled="f" o:preferrelative="t" stroked="f" coordsize="21600,21600">
                  <v:path/>
                  <v:fill on="f" focussize="0,0"/>
                  <v:stroke on="f"/>
                  <v:imagedata r:id="rId44" o:title=""/>
                  <o:lock v:ext="edit" grouping="f" rotation="f" text="f" aspectratio="t"/>
                  <w10:wrap type="none"/>
                  <w10:anchorlock/>
                </v:shape>
                <o:OLEObject Type="Embed" ProgID="Equation.3" ShapeID="_x0000_i1048" DrawAspect="Content" ObjectID="_1468075729" r:id="rId43">
                  <o:LockedField>false</o:LockedField>
                </o:OLEObject>
              </w:object>
            </w:r>
            <w:r>
              <w:rPr>
                <w:rFonts w:hint="eastAsia" w:ascii="宋体" w:hAnsi="宋体"/>
                <w:sz w:val="24"/>
              </w:rPr>
              <w:t>—— 参考值r0处的声压级，dB(A)；</w:t>
            </w:r>
          </w:p>
          <w:p>
            <w:pPr>
              <w:adjustRightInd w:val="0"/>
              <w:snapToGrid w:val="0"/>
              <w:spacing w:line="360" w:lineRule="auto"/>
              <w:rPr>
                <w:rFonts w:hint="eastAsia" w:ascii="宋体" w:hAnsi="宋体"/>
                <w:sz w:val="24"/>
              </w:rPr>
            </w:pPr>
            <w:r>
              <w:rPr>
                <w:rFonts w:hint="eastAsia" w:ascii="宋体" w:hAnsi="宋体"/>
                <w:sz w:val="24"/>
              </w:rPr>
              <w:t xml:space="preserve">            </w:t>
            </w:r>
            <w:r>
              <w:rPr>
                <w:rFonts w:hint="eastAsia" w:ascii="宋体" w:hAnsi="宋体"/>
                <w:sz w:val="24"/>
              </w:rPr>
              <w:object>
                <v:shape id="_x0000_i1049" o:spt="75" type="#_x0000_t75" style="height:10pt;width:9pt;" o:ole="t" filled="f" o:preferrelative="t" stroked="f" coordsize="21600,21600">
                  <v:path/>
                  <v:fill on="f" focussize="0,0"/>
                  <v:stroke on="f"/>
                  <v:imagedata r:id="rId46" o:title=""/>
                  <o:lock v:ext="edit" grouping="f" rotation="f" text="f" aspectratio="t"/>
                  <w10:wrap type="none"/>
                  <w10:anchorlock/>
                </v:shape>
                <o:OLEObject Type="Embed" ProgID="Equation.3" ShapeID="_x0000_i1049" DrawAspect="Content" ObjectID="_1468075730" r:id="rId45">
                  <o:LockedField>false</o:LockedField>
                </o:OLEObject>
              </w:object>
            </w:r>
            <w:r>
              <w:rPr>
                <w:rFonts w:hint="eastAsia" w:ascii="宋体" w:hAnsi="宋体"/>
                <w:sz w:val="24"/>
              </w:rPr>
              <w:t xml:space="preserve"> ——预测点距声源的距离(m)；</w:t>
            </w:r>
          </w:p>
          <w:p>
            <w:pPr>
              <w:adjustRightInd w:val="0"/>
              <w:snapToGrid w:val="0"/>
              <w:spacing w:line="360" w:lineRule="auto"/>
              <w:rPr>
                <w:rFonts w:hint="eastAsia" w:ascii="宋体" w:hAnsi="宋体"/>
                <w:sz w:val="24"/>
              </w:rPr>
            </w:pPr>
            <w:r>
              <w:rPr>
                <w:rFonts w:hint="eastAsia" w:ascii="宋体" w:hAnsi="宋体"/>
                <w:sz w:val="24"/>
              </w:rPr>
              <w:t xml:space="preserve">            </w:t>
            </w:r>
            <w:r>
              <w:rPr>
                <w:rFonts w:hint="eastAsia" w:ascii="宋体" w:hAnsi="宋体"/>
                <w:sz w:val="24"/>
              </w:rPr>
              <w:object>
                <v:shape id="_x0000_i1050" o:spt="75" type="#_x0000_t75" style="height:18pt;width:11pt;" o:ole="t" filled="f" o:preferrelative="t" stroked="f" coordsize="21600,21600">
                  <v:path/>
                  <v:fill on="f" focussize="0,0"/>
                  <v:stroke on="f"/>
                  <v:imagedata r:id="rId48" o:title=""/>
                  <o:lock v:ext="edit" grouping="f" rotation="f" text="f" aspectratio="t"/>
                  <w10:wrap type="none"/>
                  <w10:anchorlock/>
                </v:shape>
                <o:OLEObject Type="Embed" ProgID="Equation.3" ShapeID="_x0000_i1050" DrawAspect="Content" ObjectID="_1468075731" r:id="rId47">
                  <o:LockedField>false</o:LockedField>
                </o:OLEObject>
              </w:object>
            </w:r>
            <w:r>
              <w:rPr>
                <w:rFonts w:hint="eastAsia" w:ascii="宋体" w:hAnsi="宋体"/>
                <w:sz w:val="24"/>
              </w:rPr>
              <w:t>——参考位置距声源的距离(m)；</w:t>
            </w:r>
          </w:p>
          <w:p>
            <w:pPr>
              <w:adjustRightInd w:val="0"/>
              <w:snapToGrid w:val="0"/>
              <w:spacing w:line="360" w:lineRule="auto"/>
              <w:rPr>
                <w:rFonts w:hint="eastAsia" w:ascii="宋体" w:hAnsi="宋体"/>
                <w:sz w:val="24"/>
              </w:rPr>
            </w:pPr>
            <w:r>
              <w:rPr>
                <w:rFonts w:hint="eastAsia" w:ascii="宋体" w:hAnsi="宋体"/>
                <w:sz w:val="24"/>
              </w:rPr>
              <w:t xml:space="preserve">           </w:t>
            </w:r>
            <w:r>
              <w:rPr>
                <w:rFonts w:hint="eastAsia" w:ascii="宋体" w:hAnsi="宋体"/>
                <w:sz w:val="24"/>
              </w:rPr>
              <w:object>
                <v:shape id="_x0000_i1051" o:spt="75" type="#_x0000_t75" style="height:13pt;width:18pt;" o:ole="t" filled="f" o:preferrelative="t" stroked="f" coordsize="21600,21600">
                  <v:path/>
                  <v:fill on="f" focussize="0,0"/>
                  <v:stroke on="f"/>
                  <v:imagedata r:id="rId50" o:title=""/>
                  <o:lock v:ext="edit" grouping="f" rotation="f" text="f" aspectratio="t"/>
                  <w10:wrap type="none"/>
                  <w10:anchorlock/>
                </v:shape>
                <o:OLEObject Type="Embed" ProgID="Equation.3" ShapeID="_x0000_i1051" DrawAspect="Content" ObjectID="_1468075732" r:id="rId49">
                  <o:LockedField>false</o:LockedField>
                </o:OLEObject>
              </w:object>
            </w:r>
            <w:r>
              <w:rPr>
                <w:rFonts w:hint="eastAsia" w:ascii="宋体" w:hAnsi="宋体"/>
                <w:sz w:val="24"/>
              </w:rPr>
              <w:t>——各种因素引起的衰减量(dB)。</w:t>
            </w:r>
          </w:p>
          <w:p>
            <w:pPr>
              <w:adjustRightInd w:val="0"/>
              <w:snapToGrid w:val="0"/>
              <w:spacing w:line="360" w:lineRule="auto"/>
              <w:rPr>
                <w:rFonts w:hint="eastAsia" w:ascii="宋体" w:hAnsi="宋体"/>
                <w:sz w:val="24"/>
              </w:rPr>
            </w:pPr>
            <w:r>
              <w:rPr>
                <w:rFonts w:hint="eastAsia" w:ascii="宋体" w:hAnsi="宋体"/>
                <w:sz w:val="24"/>
              </w:rPr>
              <w:drawing>
                <wp:anchor distT="0" distB="0" distL="114300" distR="114300" simplePos="0" relativeHeight="251669504" behindDoc="0" locked="0" layoutInCell="1" allowOverlap="1">
                  <wp:simplePos x="0" y="0"/>
                  <wp:positionH relativeFrom="column">
                    <wp:posOffset>1737360</wp:posOffset>
                  </wp:positionH>
                  <wp:positionV relativeFrom="paragraph">
                    <wp:posOffset>38100</wp:posOffset>
                  </wp:positionV>
                  <wp:extent cx="1979930" cy="591185"/>
                  <wp:effectExtent l="0" t="0" r="0" b="18415"/>
                  <wp:wrapNone/>
                  <wp:docPr id="2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4"/>
                          <pic:cNvPicPr>
                            <a:picLocks noChangeAspect="1"/>
                          </pic:cNvPicPr>
                        </pic:nvPicPr>
                        <pic:blipFill>
                          <a:blip r:embed="rId51"/>
                          <a:stretch>
                            <a:fillRect/>
                          </a:stretch>
                        </pic:blipFill>
                        <pic:spPr>
                          <a:xfrm>
                            <a:off x="0" y="0"/>
                            <a:ext cx="1979930" cy="591185"/>
                          </a:xfrm>
                          <a:prstGeom prst="rect">
                            <a:avLst/>
                          </a:prstGeom>
                          <a:noFill/>
                          <a:ln w="9525">
                            <a:noFill/>
                          </a:ln>
                        </pic:spPr>
                      </pic:pic>
                    </a:graphicData>
                  </a:graphic>
                </wp:anchor>
              </w:drawing>
            </w:r>
            <w:r>
              <w:rPr>
                <w:rFonts w:hint="eastAsia" w:ascii="宋体" w:hAnsi="宋体"/>
                <w:sz w:val="24"/>
              </w:rPr>
              <w:t xml:space="preserve">   噪声叠加公式：</w:t>
            </w:r>
          </w:p>
          <w:p>
            <w:pPr>
              <w:rPr>
                <w:rFonts w:hint="eastAsia" w:ascii="宋体" w:hAnsi="宋体"/>
              </w:rPr>
            </w:pPr>
          </w:p>
          <w:p>
            <w:pPr>
              <w:rPr>
                <w:rFonts w:hint="eastAsia" w:ascii="宋体" w:hAnsi="宋体"/>
              </w:rPr>
            </w:pPr>
          </w:p>
          <w:p>
            <w:pPr>
              <w:adjustRightInd w:val="0"/>
              <w:snapToGrid w:val="0"/>
              <w:spacing w:line="360" w:lineRule="auto"/>
              <w:rPr>
                <w:rFonts w:hint="eastAsia" w:ascii="宋体" w:hAnsi="宋体"/>
                <w:sz w:val="24"/>
              </w:rPr>
            </w:pPr>
            <w:r>
              <w:rPr>
                <w:rFonts w:hint="eastAsia" w:ascii="宋体" w:hAnsi="宋体"/>
              </w:rPr>
              <w:t xml:space="preserve">     </w:t>
            </w:r>
            <w:r>
              <w:rPr>
                <w:rFonts w:hint="eastAsia" w:ascii="宋体" w:hAnsi="宋体"/>
                <w:sz w:val="24"/>
              </w:rPr>
              <w:t>式中：L——某点噪声总叠加值，dB(A)；</w:t>
            </w:r>
          </w:p>
          <w:p>
            <w:pPr>
              <w:adjustRightInd w:val="0"/>
              <w:snapToGrid w:val="0"/>
              <w:spacing w:line="360" w:lineRule="auto"/>
              <w:rPr>
                <w:rFonts w:hint="eastAsia" w:ascii="宋体" w:hAnsi="宋体"/>
                <w:sz w:val="24"/>
              </w:rPr>
            </w:pPr>
            <w:r>
              <w:rPr>
                <w:rFonts w:hint="eastAsia" w:ascii="宋体" w:hAnsi="宋体"/>
                <w:sz w:val="24"/>
              </w:rPr>
              <w:t xml:space="preserve">           Li — 第i个声源的噪声值，dB(A)；</w:t>
            </w:r>
          </w:p>
          <w:p>
            <w:pPr>
              <w:adjustRightInd w:val="0"/>
              <w:snapToGrid w:val="0"/>
              <w:spacing w:line="360" w:lineRule="auto"/>
              <w:rPr>
                <w:rFonts w:hint="eastAsia" w:ascii="宋体" w:hAnsi="宋体"/>
                <w:sz w:val="24"/>
              </w:rPr>
            </w:pPr>
            <w:r>
              <w:rPr>
                <w:rFonts w:hint="eastAsia" w:ascii="宋体" w:hAnsi="宋体"/>
                <w:sz w:val="24"/>
              </w:rPr>
              <w:t xml:space="preserve">           n — 噪声源个数。</w:t>
            </w:r>
          </w:p>
          <w:p>
            <w:pPr>
              <w:adjustRightInd w:val="0"/>
              <w:snapToGrid w:val="0"/>
              <w:spacing w:line="360" w:lineRule="auto"/>
              <w:rPr>
                <w:rFonts w:hint="eastAsia" w:ascii="宋体" w:hAnsi="宋体"/>
                <w:sz w:val="24"/>
              </w:rPr>
            </w:pPr>
            <w:r>
              <w:rPr>
                <w:rFonts w:hint="eastAsia" w:ascii="宋体" w:hAnsi="宋体"/>
                <w:sz w:val="24"/>
              </w:rPr>
              <w:t xml:space="preserve">   通过安装本环评提出的各种减噪措施后，厂区内产生的噪声值如下表所示：</w:t>
            </w:r>
          </w:p>
          <w:p>
            <w:pPr>
              <w:snapToGrid w:val="0"/>
              <w:spacing w:line="360" w:lineRule="auto"/>
              <w:ind w:firstLine="480" w:firstLineChars="200"/>
              <w:rPr>
                <w:sz w:val="24"/>
              </w:rPr>
            </w:pPr>
            <w:r>
              <w:rPr>
                <w:sz w:val="24"/>
              </w:rPr>
              <w:t>项目运营期主要设备噪声源强</w:t>
            </w:r>
            <w:r>
              <w:rPr>
                <w:rFonts w:hint="eastAsia"/>
                <w:sz w:val="24"/>
              </w:rPr>
              <w:t>及治理措施</w:t>
            </w:r>
            <w:r>
              <w:rPr>
                <w:sz w:val="24"/>
              </w:rPr>
              <w:t>见</w:t>
            </w:r>
            <w:r>
              <w:rPr>
                <w:rFonts w:hint="eastAsia"/>
                <w:sz w:val="24"/>
              </w:rPr>
              <w:t>下</w:t>
            </w:r>
            <w:r>
              <w:rPr>
                <w:sz w:val="24"/>
              </w:rPr>
              <w:t>表</w:t>
            </w:r>
            <w:r>
              <w:rPr>
                <w:rFonts w:hint="eastAsia"/>
                <w:sz w:val="24"/>
              </w:rPr>
              <w:t>7-</w:t>
            </w:r>
            <w:r>
              <w:rPr>
                <w:rFonts w:hint="eastAsia"/>
                <w:sz w:val="24"/>
                <w:lang w:val="en-US" w:eastAsia="zh-CN"/>
              </w:rPr>
              <w:t>17</w:t>
            </w:r>
            <w:r>
              <w:rPr>
                <w:sz w:val="24"/>
              </w:rPr>
              <w:t>。</w:t>
            </w:r>
          </w:p>
          <w:p>
            <w:pPr>
              <w:keepNext w:val="0"/>
              <w:keepLines w:val="0"/>
              <w:pageBreakBefore w:val="0"/>
              <w:widowControl w:val="0"/>
              <w:kinsoku/>
              <w:wordWrap/>
              <w:overflowPunct/>
              <w:topLinePunct w:val="0"/>
              <w:autoSpaceDE/>
              <w:autoSpaceDN/>
              <w:bidi w:val="0"/>
              <w:adjustRightInd/>
              <w:snapToGrid/>
              <w:spacing w:line="360" w:lineRule="auto"/>
              <w:ind w:firstLine="371" w:firstLineChars="176"/>
              <w:jc w:val="center"/>
              <w:textAlignment w:val="auto"/>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 xml:space="preserve">表7-17  项目设备噪声一览表  </w:t>
            </w:r>
          </w:p>
          <w:tbl>
            <w:tblPr>
              <w:tblStyle w:val="69"/>
              <w:tblW w:w="8656" w:type="dxa"/>
              <w:jc w:val="center"/>
              <w:tblInd w:w="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08"/>
              <w:gridCol w:w="1390"/>
              <w:gridCol w:w="1279"/>
              <w:gridCol w:w="2117"/>
              <w:gridCol w:w="16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339" w:hRule="atLeast"/>
                <w:jc w:val="center"/>
              </w:trPr>
              <w:tc>
                <w:tcPr>
                  <w:tcW w:w="2208" w:type="dxa"/>
                  <w:tcBorders>
                    <w:top w:val="single" w:color="auto" w:sz="8" w:space="0"/>
                    <w:left w:val="single" w:color="auto" w:sz="4" w:space="0"/>
                    <w:bottom w:val="single" w:color="auto" w:sz="6" w:space="0"/>
                  </w:tcBorders>
                  <w:noWrap w:val="0"/>
                  <w:vAlign w:val="center"/>
                </w:tcPr>
                <w:p>
                  <w:pPr>
                    <w:pStyle w:val="30"/>
                    <w:jc w:val="center"/>
                    <w:rPr>
                      <w:rFonts w:ascii="Times New Roman" w:hAnsi="Times New Roman"/>
                      <w:b/>
                      <w:bCs/>
                      <w:lang w:val="en-US" w:eastAsia="zh-CN"/>
                    </w:rPr>
                  </w:pPr>
                  <w:r>
                    <w:rPr>
                      <w:rFonts w:ascii="Times New Roman" w:hAnsi="Times New Roman"/>
                      <w:b/>
                      <w:bCs/>
                      <w:lang w:val="en-US" w:eastAsia="zh-CN"/>
                    </w:rPr>
                    <w:t>名称</w:t>
                  </w:r>
                </w:p>
              </w:tc>
              <w:tc>
                <w:tcPr>
                  <w:tcW w:w="1390" w:type="dxa"/>
                  <w:tcBorders>
                    <w:top w:val="single" w:color="auto" w:sz="8" w:space="0"/>
                    <w:bottom w:val="single" w:color="auto" w:sz="6" w:space="0"/>
                    <w:right w:val="single" w:color="auto" w:sz="4" w:space="0"/>
                  </w:tcBorders>
                  <w:noWrap w:val="0"/>
                  <w:vAlign w:val="center"/>
                </w:tcPr>
                <w:p>
                  <w:pPr>
                    <w:pStyle w:val="30"/>
                    <w:jc w:val="center"/>
                    <w:rPr>
                      <w:rFonts w:ascii="Times New Roman" w:hAnsi="Times New Roman"/>
                      <w:b/>
                      <w:bCs/>
                      <w:lang w:val="en-US" w:eastAsia="zh-CN"/>
                    </w:rPr>
                  </w:pPr>
                  <w:r>
                    <w:rPr>
                      <w:rFonts w:ascii="Times New Roman" w:hAnsi="Times New Roman"/>
                      <w:b/>
                      <w:bCs/>
                      <w:lang w:val="en-US" w:eastAsia="zh-CN"/>
                    </w:rPr>
                    <w:t>数量（台/套）</w:t>
                  </w:r>
                </w:p>
              </w:tc>
              <w:tc>
                <w:tcPr>
                  <w:tcW w:w="1279" w:type="dxa"/>
                  <w:tcBorders>
                    <w:top w:val="single" w:color="auto" w:sz="8" w:space="0"/>
                    <w:left w:val="single" w:color="auto" w:sz="4" w:space="0"/>
                    <w:bottom w:val="single" w:color="auto" w:sz="6" w:space="0"/>
                  </w:tcBorders>
                  <w:noWrap w:val="0"/>
                  <w:vAlign w:val="center"/>
                </w:tcPr>
                <w:p>
                  <w:pPr>
                    <w:pStyle w:val="30"/>
                    <w:jc w:val="center"/>
                    <w:rPr>
                      <w:rFonts w:ascii="Times New Roman" w:hAnsi="Times New Roman"/>
                      <w:b/>
                      <w:bCs/>
                      <w:lang w:val="en-US" w:eastAsia="zh-CN"/>
                    </w:rPr>
                  </w:pPr>
                  <w:r>
                    <w:rPr>
                      <w:rFonts w:ascii="Times New Roman" w:hAnsi="Times New Roman"/>
                      <w:b/>
                      <w:bCs/>
                      <w:lang w:val="en-US" w:eastAsia="zh-CN"/>
                    </w:rPr>
                    <w:t>噪声源强[dB（A）]</w:t>
                  </w:r>
                </w:p>
              </w:tc>
              <w:tc>
                <w:tcPr>
                  <w:tcW w:w="2117" w:type="dxa"/>
                  <w:tcBorders>
                    <w:top w:val="single" w:color="auto" w:sz="8" w:space="0"/>
                    <w:bottom w:val="single" w:color="auto" w:sz="6" w:space="0"/>
                    <w:right w:val="single" w:color="auto" w:sz="8" w:space="0"/>
                  </w:tcBorders>
                  <w:noWrap w:val="0"/>
                  <w:vAlign w:val="top"/>
                </w:tcPr>
                <w:p>
                  <w:pPr>
                    <w:pStyle w:val="30"/>
                    <w:jc w:val="center"/>
                    <w:rPr>
                      <w:rFonts w:ascii="Times New Roman" w:hAnsi="Times New Roman"/>
                      <w:b/>
                      <w:bCs/>
                      <w:lang w:val="en-US" w:eastAsia="zh-CN"/>
                    </w:rPr>
                  </w:pPr>
                  <w:r>
                    <w:rPr>
                      <w:rFonts w:hint="eastAsia" w:ascii="Times New Roman" w:hAnsi="Times New Roman"/>
                      <w:b/>
                      <w:bCs/>
                      <w:lang w:val="en-US" w:eastAsia="zh-CN"/>
                    </w:rPr>
                    <w:t>治理措施</w:t>
                  </w:r>
                </w:p>
              </w:tc>
              <w:tc>
                <w:tcPr>
                  <w:tcW w:w="1662" w:type="dxa"/>
                  <w:tcBorders>
                    <w:top w:val="single" w:color="auto" w:sz="8" w:space="0"/>
                    <w:bottom w:val="single" w:color="auto" w:sz="6" w:space="0"/>
                    <w:right w:val="single" w:color="auto" w:sz="8" w:space="0"/>
                  </w:tcBorders>
                  <w:noWrap w:val="0"/>
                  <w:vAlign w:val="top"/>
                </w:tcPr>
                <w:p>
                  <w:pPr>
                    <w:pStyle w:val="30"/>
                    <w:jc w:val="center"/>
                    <w:rPr>
                      <w:rFonts w:hint="eastAsia" w:ascii="Times New Roman" w:hAnsi="Times New Roman"/>
                      <w:b/>
                      <w:bCs/>
                      <w:lang w:val="en-US" w:eastAsia="zh-CN"/>
                    </w:rPr>
                  </w:pPr>
                  <w:r>
                    <w:rPr>
                      <w:rFonts w:hint="eastAsia" w:hAnsi="宋体"/>
                    </w:rPr>
                    <w:t>治理后声压级dB（A）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9" w:hRule="atLeast"/>
                <w:jc w:val="center"/>
              </w:trPr>
              <w:tc>
                <w:tcPr>
                  <w:tcW w:w="2208" w:type="dxa"/>
                  <w:tcBorders>
                    <w:top w:val="single" w:color="auto" w:sz="6" w:space="0"/>
                    <w:left w:val="single" w:color="auto" w:sz="4" w:space="0"/>
                    <w:bottom w:val="single" w:color="auto" w:sz="6" w:space="0"/>
                  </w:tcBorders>
                  <w:noWrap w:val="0"/>
                  <w:vAlign w:val="center"/>
                </w:tcPr>
                <w:p>
                  <w:pPr>
                    <w:jc w:val="center"/>
                    <w:rPr>
                      <w:rFonts w:hint="eastAsia"/>
                      <w:kern w:val="0"/>
                      <w:szCs w:val="21"/>
                    </w:rPr>
                  </w:pPr>
                  <w:r>
                    <w:rPr>
                      <w:rFonts w:hint="eastAsia"/>
                      <w:kern w:val="0"/>
                      <w:szCs w:val="21"/>
                    </w:rPr>
                    <w:t>单层多面热压机</w:t>
                  </w:r>
                </w:p>
              </w:tc>
              <w:tc>
                <w:tcPr>
                  <w:tcW w:w="1390" w:type="dxa"/>
                  <w:tcBorders>
                    <w:top w:val="single" w:color="auto" w:sz="6" w:space="0"/>
                    <w:bottom w:val="single" w:color="auto" w:sz="6" w:space="0"/>
                    <w:right w:val="single" w:color="auto" w:sz="4" w:space="0"/>
                  </w:tcBorders>
                  <w:noWrap w:val="0"/>
                  <w:vAlign w:val="center"/>
                </w:tcPr>
                <w:p>
                  <w:pPr>
                    <w:widowControl/>
                    <w:jc w:val="center"/>
                    <w:rPr>
                      <w:bCs/>
                      <w:kern w:val="0"/>
                      <w:szCs w:val="21"/>
                    </w:rPr>
                  </w:pPr>
                  <w:r>
                    <w:rPr>
                      <w:bCs/>
                      <w:kern w:val="0"/>
                      <w:szCs w:val="21"/>
                    </w:rPr>
                    <w:t>1</w:t>
                  </w:r>
                </w:p>
              </w:tc>
              <w:tc>
                <w:tcPr>
                  <w:tcW w:w="1279" w:type="dxa"/>
                  <w:tcBorders>
                    <w:top w:val="single" w:color="auto" w:sz="6" w:space="0"/>
                    <w:left w:val="single" w:color="auto" w:sz="4" w:space="0"/>
                    <w:bottom w:val="single" w:color="auto" w:sz="6" w:space="0"/>
                  </w:tcBorders>
                  <w:noWrap w:val="0"/>
                  <w:vAlign w:val="center"/>
                </w:tcPr>
                <w:p>
                  <w:pPr>
                    <w:jc w:val="center"/>
                    <w:rPr>
                      <w:kern w:val="0"/>
                      <w:szCs w:val="21"/>
                    </w:rPr>
                  </w:pPr>
                  <w:r>
                    <w:rPr>
                      <w:rFonts w:hint="eastAsia"/>
                      <w:kern w:val="0"/>
                      <w:szCs w:val="21"/>
                    </w:rPr>
                    <w:t>80</w:t>
                  </w:r>
                </w:p>
              </w:tc>
              <w:tc>
                <w:tcPr>
                  <w:tcW w:w="2117" w:type="dxa"/>
                  <w:tcBorders>
                    <w:top w:val="single" w:color="auto" w:sz="6" w:space="0"/>
                    <w:bottom w:val="single" w:color="auto" w:sz="6" w:space="0"/>
                    <w:right w:val="single" w:color="auto" w:sz="8" w:space="0"/>
                  </w:tcBorders>
                  <w:noWrap w:val="0"/>
                  <w:vAlign w:val="top"/>
                </w:tcPr>
                <w:p>
                  <w:pPr>
                    <w:widowControl/>
                    <w:jc w:val="center"/>
                    <w:rPr>
                      <w:kern w:val="0"/>
                      <w:szCs w:val="21"/>
                    </w:rPr>
                  </w:pPr>
                  <w:r>
                    <w:rPr>
                      <w:rFonts w:hint="eastAsia"/>
                      <w:kern w:val="0"/>
                      <w:szCs w:val="21"/>
                    </w:rPr>
                    <w:t>厂房隔声、设备减振</w:t>
                  </w:r>
                </w:p>
              </w:tc>
              <w:tc>
                <w:tcPr>
                  <w:tcW w:w="1662" w:type="dxa"/>
                  <w:tcBorders>
                    <w:top w:val="single" w:color="auto" w:sz="6" w:space="0"/>
                    <w:bottom w:val="single" w:color="auto" w:sz="6" w:space="0"/>
                    <w:right w:val="single" w:color="auto" w:sz="8" w:space="0"/>
                  </w:tcBorders>
                  <w:noWrap w:val="0"/>
                  <w:vAlign w:val="top"/>
                </w:tcPr>
                <w:p>
                  <w:pPr>
                    <w:widowControl/>
                    <w:jc w:val="center"/>
                    <w:rPr>
                      <w:rFonts w:hint="eastAsia"/>
                      <w:kern w:val="0"/>
                      <w:szCs w:val="21"/>
                    </w:rPr>
                  </w:pPr>
                  <w:r>
                    <w:rPr>
                      <w:rFonts w:hint="eastAsia"/>
                      <w:kern w:val="0"/>
                      <w:szCs w:val="21"/>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5" w:hRule="atLeast"/>
                <w:jc w:val="center"/>
              </w:trPr>
              <w:tc>
                <w:tcPr>
                  <w:tcW w:w="2208" w:type="dxa"/>
                  <w:tcBorders>
                    <w:top w:val="single" w:color="auto" w:sz="6" w:space="0"/>
                    <w:left w:val="single" w:color="auto" w:sz="4" w:space="0"/>
                    <w:bottom w:val="single" w:color="auto" w:sz="6" w:space="0"/>
                  </w:tcBorders>
                  <w:noWrap w:val="0"/>
                  <w:vAlign w:val="center"/>
                </w:tcPr>
                <w:p>
                  <w:pPr>
                    <w:jc w:val="center"/>
                    <w:rPr>
                      <w:kern w:val="0"/>
                      <w:szCs w:val="21"/>
                    </w:rPr>
                  </w:pPr>
                  <w:r>
                    <w:rPr>
                      <w:rFonts w:hint="eastAsia"/>
                      <w:kern w:val="0"/>
                      <w:szCs w:val="21"/>
                    </w:rPr>
                    <w:t>天然气导热油炉</w:t>
                  </w:r>
                </w:p>
              </w:tc>
              <w:tc>
                <w:tcPr>
                  <w:tcW w:w="1390" w:type="dxa"/>
                  <w:tcBorders>
                    <w:top w:val="single" w:color="auto" w:sz="6" w:space="0"/>
                    <w:bottom w:val="single" w:color="auto" w:sz="6" w:space="0"/>
                    <w:right w:val="single" w:color="auto" w:sz="4" w:space="0"/>
                  </w:tcBorders>
                  <w:noWrap w:val="0"/>
                  <w:vAlign w:val="center"/>
                </w:tcPr>
                <w:p>
                  <w:pPr>
                    <w:widowControl/>
                    <w:jc w:val="center"/>
                    <w:rPr>
                      <w:kern w:val="0"/>
                      <w:szCs w:val="21"/>
                    </w:rPr>
                  </w:pPr>
                  <w:r>
                    <w:rPr>
                      <w:rFonts w:hint="eastAsia"/>
                      <w:kern w:val="0"/>
                      <w:szCs w:val="21"/>
                    </w:rPr>
                    <w:t>2</w:t>
                  </w:r>
                </w:p>
              </w:tc>
              <w:tc>
                <w:tcPr>
                  <w:tcW w:w="1279" w:type="dxa"/>
                  <w:tcBorders>
                    <w:top w:val="single" w:color="auto" w:sz="6" w:space="0"/>
                    <w:left w:val="single" w:color="auto" w:sz="4" w:space="0"/>
                    <w:bottom w:val="single" w:color="auto" w:sz="6" w:space="0"/>
                  </w:tcBorders>
                  <w:noWrap w:val="0"/>
                  <w:vAlign w:val="center"/>
                </w:tcPr>
                <w:p>
                  <w:pPr>
                    <w:jc w:val="center"/>
                    <w:rPr>
                      <w:kern w:val="0"/>
                      <w:szCs w:val="21"/>
                    </w:rPr>
                  </w:pPr>
                  <w:r>
                    <w:rPr>
                      <w:kern w:val="0"/>
                      <w:szCs w:val="21"/>
                    </w:rPr>
                    <w:t>65</w:t>
                  </w:r>
                </w:p>
              </w:tc>
              <w:tc>
                <w:tcPr>
                  <w:tcW w:w="2117" w:type="dxa"/>
                  <w:tcBorders>
                    <w:top w:val="single" w:color="auto" w:sz="6" w:space="0"/>
                    <w:bottom w:val="single" w:color="auto" w:sz="6" w:space="0"/>
                    <w:right w:val="single" w:color="auto" w:sz="8" w:space="0"/>
                  </w:tcBorders>
                  <w:noWrap w:val="0"/>
                  <w:vAlign w:val="top"/>
                </w:tcPr>
                <w:p>
                  <w:pPr>
                    <w:jc w:val="center"/>
                  </w:pPr>
                  <w:r>
                    <w:rPr>
                      <w:rFonts w:hint="eastAsia"/>
                      <w:kern w:val="0"/>
                      <w:szCs w:val="21"/>
                    </w:rPr>
                    <w:t>厂房隔声、设备减振</w:t>
                  </w:r>
                </w:p>
              </w:tc>
              <w:tc>
                <w:tcPr>
                  <w:tcW w:w="1662" w:type="dxa"/>
                  <w:tcBorders>
                    <w:top w:val="single" w:color="auto" w:sz="6" w:space="0"/>
                    <w:bottom w:val="single" w:color="auto" w:sz="6" w:space="0"/>
                    <w:right w:val="single" w:color="auto" w:sz="8" w:space="0"/>
                  </w:tcBorders>
                  <w:noWrap w:val="0"/>
                  <w:vAlign w:val="top"/>
                </w:tcPr>
                <w:p>
                  <w:pPr>
                    <w:jc w:val="center"/>
                    <w:rPr>
                      <w:rFonts w:hint="eastAsia"/>
                      <w:kern w:val="0"/>
                      <w:szCs w:val="21"/>
                    </w:rPr>
                  </w:pPr>
                  <w:r>
                    <w:rPr>
                      <w:rFonts w:hint="eastAsia"/>
                      <w:kern w:val="0"/>
                      <w:szCs w:val="21"/>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6" w:hRule="atLeast"/>
                <w:jc w:val="center"/>
              </w:trPr>
              <w:tc>
                <w:tcPr>
                  <w:tcW w:w="2208" w:type="dxa"/>
                  <w:tcBorders>
                    <w:top w:val="single" w:color="auto" w:sz="6" w:space="0"/>
                    <w:left w:val="single" w:color="auto" w:sz="4" w:space="0"/>
                    <w:bottom w:val="single" w:color="auto" w:sz="6" w:space="0"/>
                  </w:tcBorders>
                  <w:noWrap w:val="0"/>
                  <w:vAlign w:val="center"/>
                </w:tcPr>
                <w:p>
                  <w:pPr>
                    <w:jc w:val="center"/>
                    <w:rPr>
                      <w:kern w:val="0"/>
                      <w:szCs w:val="21"/>
                    </w:rPr>
                  </w:pPr>
                  <w:r>
                    <w:rPr>
                      <w:rFonts w:hint="eastAsia"/>
                      <w:kern w:val="0"/>
                      <w:szCs w:val="21"/>
                    </w:rPr>
                    <w:t>多层单面热压机</w:t>
                  </w:r>
                </w:p>
              </w:tc>
              <w:tc>
                <w:tcPr>
                  <w:tcW w:w="1390" w:type="dxa"/>
                  <w:tcBorders>
                    <w:top w:val="single" w:color="auto" w:sz="6" w:space="0"/>
                    <w:bottom w:val="single" w:color="auto" w:sz="6" w:space="0"/>
                    <w:right w:val="single" w:color="auto" w:sz="4" w:space="0"/>
                  </w:tcBorders>
                  <w:noWrap w:val="0"/>
                  <w:vAlign w:val="center"/>
                </w:tcPr>
                <w:p>
                  <w:pPr>
                    <w:widowControl/>
                    <w:jc w:val="center"/>
                    <w:rPr>
                      <w:kern w:val="0"/>
                      <w:szCs w:val="21"/>
                    </w:rPr>
                  </w:pPr>
                  <w:r>
                    <w:rPr>
                      <w:kern w:val="0"/>
                      <w:szCs w:val="21"/>
                    </w:rPr>
                    <w:t>1</w:t>
                  </w:r>
                </w:p>
              </w:tc>
              <w:tc>
                <w:tcPr>
                  <w:tcW w:w="1279" w:type="dxa"/>
                  <w:tcBorders>
                    <w:top w:val="single" w:color="auto" w:sz="6" w:space="0"/>
                    <w:left w:val="single" w:color="auto" w:sz="4" w:space="0"/>
                    <w:bottom w:val="single" w:color="auto" w:sz="6" w:space="0"/>
                  </w:tcBorders>
                  <w:noWrap w:val="0"/>
                  <w:vAlign w:val="center"/>
                </w:tcPr>
                <w:p>
                  <w:pPr>
                    <w:jc w:val="center"/>
                    <w:rPr>
                      <w:kern w:val="0"/>
                      <w:szCs w:val="21"/>
                    </w:rPr>
                  </w:pPr>
                  <w:r>
                    <w:rPr>
                      <w:kern w:val="0"/>
                      <w:szCs w:val="21"/>
                    </w:rPr>
                    <w:t>70</w:t>
                  </w:r>
                </w:p>
              </w:tc>
              <w:tc>
                <w:tcPr>
                  <w:tcW w:w="2117" w:type="dxa"/>
                  <w:tcBorders>
                    <w:top w:val="single" w:color="auto" w:sz="6" w:space="0"/>
                    <w:bottom w:val="single" w:color="auto" w:sz="6" w:space="0"/>
                    <w:right w:val="single" w:color="auto" w:sz="8" w:space="0"/>
                  </w:tcBorders>
                  <w:noWrap w:val="0"/>
                  <w:vAlign w:val="center"/>
                </w:tcPr>
                <w:p>
                  <w:pPr>
                    <w:widowControl/>
                    <w:jc w:val="center"/>
                    <w:rPr>
                      <w:kern w:val="0"/>
                      <w:szCs w:val="21"/>
                    </w:rPr>
                  </w:pPr>
                  <w:r>
                    <w:rPr>
                      <w:rFonts w:hint="eastAsia"/>
                      <w:kern w:val="0"/>
                      <w:szCs w:val="21"/>
                    </w:rPr>
                    <w:t>厂房隔声、设备减振</w:t>
                  </w:r>
                </w:p>
              </w:tc>
              <w:tc>
                <w:tcPr>
                  <w:tcW w:w="1662" w:type="dxa"/>
                  <w:tcBorders>
                    <w:top w:val="single" w:color="auto" w:sz="6" w:space="0"/>
                    <w:bottom w:val="single" w:color="auto" w:sz="6" w:space="0"/>
                    <w:right w:val="single" w:color="auto" w:sz="8" w:space="0"/>
                  </w:tcBorders>
                  <w:noWrap w:val="0"/>
                  <w:vAlign w:val="center"/>
                </w:tcPr>
                <w:p>
                  <w:pPr>
                    <w:jc w:val="center"/>
                    <w:rPr>
                      <w:rFonts w:hint="eastAsia"/>
                      <w:kern w:val="0"/>
                      <w:szCs w:val="21"/>
                    </w:rPr>
                  </w:pPr>
                  <w:r>
                    <w:rPr>
                      <w:rFonts w:hint="eastAsia"/>
                      <w:kern w:val="0"/>
                      <w:szCs w:val="21"/>
                    </w:rPr>
                    <w:t>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6" w:hRule="atLeast"/>
                <w:jc w:val="center"/>
              </w:trPr>
              <w:tc>
                <w:tcPr>
                  <w:tcW w:w="6994" w:type="dxa"/>
                  <w:gridSpan w:val="4"/>
                  <w:tcBorders>
                    <w:top w:val="single" w:color="auto" w:sz="6" w:space="0"/>
                    <w:left w:val="single" w:color="auto" w:sz="4" w:space="0"/>
                    <w:bottom w:val="single" w:color="auto" w:sz="8" w:space="0"/>
                    <w:right w:val="single" w:color="auto" w:sz="8" w:space="0"/>
                  </w:tcBorders>
                  <w:noWrap w:val="0"/>
                  <w:vAlign w:val="center"/>
                </w:tcPr>
                <w:p>
                  <w:pPr>
                    <w:rPr>
                      <w:rFonts w:hint="eastAsia"/>
                      <w:kern w:val="0"/>
                      <w:szCs w:val="21"/>
                    </w:rPr>
                  </w:pPr>
                  <w:r>
                    <w:rPr>
                      <w:rFonts w:hint="eastAsia" w:ascii="宋体" w:hAnsi="宋体"/>
                      <w:szCs w:val="21"/>
                    </w:rPr>
                    <w:t>叠加后厂界边缘外噪声值dB（A）</w:t>
                  </w:r>
                </w:p>
              </w:tc>
              <w:tc>
                <w:tcPr>
                  <w:tcW w:w="1662" w:type="dxa"/>
                  <w:tcBorders>
                    <w:top w:val="single" w:color="auto" w:sz="6" w:space="0"/>
                    <w:bottom w:val="single" w:color="auto" w:sz="8" w:space="0"/>
                    <w:right w:val="single" w:color="auto" w:sz="8" w:space="0"/>
                  </w:tcBorders>
                  <w:noWrap w:val="0"/>
                  <w:vAlign w:val="top"/>
                </w:tcPr>
                <w:p>
                  <w:pPr>
                    <w:jc w:val="center"/>
                    <w:rPr>
                      <w:rFonts w:hint="eastAsia"/>
                      <w:kern w:val="0"/>
                      <w:szCs w:val="21"/>
                    </w:rPr>
                  </w:pPr>
                  <w:r>
                    <w:rPr>
                      <w:rFonts w:hint="eastAsia"/>
                      <w:kern w:val="0"/>
                      <w:szCs w:val="21"/>
                    </w:rPr>
                    <w:t>75.66</w:t>
                  </w:r>
                </w:p>
              </w:tc>
            </w:tr>
          </w:tbl>
          <w:p>
            <w:pPr>
              <w:spacing w:line="360" w:lineRule="auto"/>
              <w:rPr>
                <w:rFonts w:hint="eastAsia" w:ascii="宋体" w:hAnsi="宋体"/>
                <w:sz w:val="24"/>
              </w:rPr>
            </w:pPr>
            <w:r>
              <w:rPr>
                <w:rFonts w:hint="eastAsia" w:ascii="宋体" w:hAnsi="宋体"/>
                <w:sz w:val="24"/>
              </w:rPr>
              <w:t>（2）运营期噪声影响评价</w:t>
            </w:r>
          </w:p>
          <w:p>
            <w:pPr>
              <w:spacing w:line="360" w:lineRule="auto"/>
              <w:rPr>
                <w:rFonts w:hint="eastAsia" w:ascii="宋体" w:hAnsi="宋体"/>
                <w:sz w:val="24"/>
              </w:rPr>
            </w:pPr>
            <w:r>
              <w:rPr>
                <w:rFonts w:hint="eastAsia" w:ascii="宋体" w:hAnsi="宋体"/>
                <w:sz w:val="24"/>
              </w:rPr>
              <w:t xml:space="preserve">    项目噪声预测结果见下表：</w:t>
            </w:r>
          </w:p>
          <w:p>
            <w:pPr>
              <w:jc w:val="center"/>
              <w:rPr>
                <w:rFonts w:hint="eastAsia" w:ascii="宋体" w:hAnsi="宋体"/>
                <w:b/>
                <w:bCs/>
                <w:sz w:val="24"/>
              </w:rPr>
            </w:pPr>
            <w:r>
              <w:rPr>
                <w:rFonts w:hint="eastAsia" w:ascii="宋体" w:hAnsi="宋体"/>
                <w:b/>
                <w:bCs/>
              </w:rPr>
              <w:t xml:space="preserve">         </w:t>
            </w:r>
            <w:r>
              <w:rPr>
                <w:rFonts w:hint="eastAsia" w:ascii="宋体" w:hAnsi="宋体"/>
                <w:b/>
                <w:bCs/>
                <w:sz w:val="24"/>
              </w:rPr>
              <w:t xml:space="preserve"> </w:t>
            </w:r>
            <w:r>
              <w:rPr>
                <w:rFonts w:hint="eastAsia" w:ascii="Times New Roman" w:hAnsi="Times New Roman" w:cs="Times New Roman"/>
                <w:b/>
                <w:bCs/>
                <w:sz w:val="21"/>
                <w:szCs w:val="21"/>
                <w:lang w:val="en-US" w:eastAsia="zh-CN"/>
              </w:rPr>
              <w:t xml:space="preserve"> 表7-18  设备运行噪声预测结果表         单位：dB(A)</w:t>
            </w:r>
          </w:p>
          <w:tbl>
            <w:tblPr>
              <w:tblStyle w:val="7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853"/>
              <w:gridCol w:w="923"/>
              <w:gridCol w:w="1016"/>
              <w:gridCol w:w="877"/>
              <w:gridCol w:w="934"/>
              <w:gridCol w:w="958"/>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18" w:type="dxa"/>
                  <w:gridSpan w:val="2"/>
                  <w:vMerge w:val="restart"/>
                  <w:noWrap w:val="0"/>
                  <w:vAlign w:val="center"/>
                </w:tcPr>
                <w:p>
                  <w:pPr>
                    <w:jc w:val="center"/>
                    <w:rPr>
                      <w:vertAlign w:val="baseline"/>
                    </w:rPr>
                  </w:pPr>
                  <w:r>
                    <w:rPr>
                      <w:szCs w:val="21"/>
                    </w:rPr>
                    <w:t>噪声源强值</w:t>
                  </w:r>
                </w:p>
              </w:tc>
              <w:tc>
                <w:tcPr>
                  <w:tcW w:w="4708" w:type="dxa"/>
                  <w:gridSpan w:val="5"/>
                  <w:noWrap w:val="0"/>
                  <w:vAlign w:val="center"/>
                </w:tcPr>
                <w:p>
                  <w:pPr>
                    <w:jc w:val="center"/>
                    <w:rPr>
                      <w:vertAlign w:val="baseline"/>
                    </w:rPr>
                  </w:pPr>
                  <w:r>
                    <w:rPr>
                      <w:szCs w:val="21"/>
                    </w:rPr>
                    <w:t>预 测 距 离 （米）</w:t>
                  </w:r>
                </w:p>
              </w:tc>
              <w:tc>
                <w:tcPr>
                  <w:tcW w:w="2496" w:type="dxa"/>
                  <w:noWrap w:val="0"/>
                  <w:vAlign w:val="center"/>
                </w:tcPr>
                <w:p>
                  <w:pPr>
                    <w:jc w:val="center"/>
                    <w:rPr>
                      <w:vertAlign w:val="baseline"/>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18" w:type="dxa"/>
                  <w:gridSpan w:val="2"/>
                  <w:vMerge w:val="continue"/>
                  <w:noWrap w:val="0"/>
                  <w:vAlign w:val="center"/>
                </w:tcPr>
                <w:p>
                  <w:pPr>
                    <w:jc w:val="center"/>
                    <w:rPr>
                      <w:vertAlign w:val="baseline"/>
                    </w:rPr>
                  </w:pPr>
                </w:p>
              </w:tc>
              <w:tc>
                <w:tcPr>
                  <w:tcW w:w="923" w:type="dxa"/>
                  <w:noWrap w:val="0"/>
                  <w:vAlign w:val="center"/>
                </w:tcPr>
                <w:p>
                  <w:pPr>
                    <w:jc w:val="center"/>
                    <w:rPr>
                      <w:rFonts w:hint="default" w:eastAsia="宋体"/>
                      <w:vertAlign w:val="baseline"/>
                      <w:lang w:val="en-US" w:eastAsia="zh-CN"/>
                    </w:rPr>
                  </w:pPr>
                  <w:r>
                    <w:rPr>
                      <w:rFonts w:hint="eastAsia"/>
                      <w:vertAlign w:val="baseline"/>
                      <w:lang w:val="en-US" w:eastAsia="zh-CN"/>
                    </w:rPr>
                    <w:t>10</w:t>
                  </w:r>
                </w:p>
              </w:tc>
              <w:tc>
                <w:tcPr>
                  <w:tcW w:w="1016" w:type="dxa"/>
                  <w:noWrap w:val="0"/>
                  <w:vAlign w:val="center"/>
                </w:tcPr>
                <w:p>
                  <w:pPr>
                    <w:jc w:val="center"/>
                    <w:rPr>
                      <w:rFonts w:hint="default" w:eastAsia="宋体"/>
                      <w:vertAlign w:val="baseline"/>
                      <w:lang w:val="en-US" w:eastAsia="zh-CN"/>
                    </w:rPr>
                  </w:pPr>
                  <w:r>
                    <w:rPr>
                      <w:rFonts w:hint="eastAsia"/>
                      <w:vertAlign w:val="baseline"/>
                      <w:lang w:val="en-US" w:eastAsia="zh-CN"/>
                    </w:rPr>
                    <w:t>20</w:t>
                  </w:r>
                </w:p>
              </w:tc>
              <w:tc>
                <w:tcPr>
                  <w:tcW w:w="877" w:type="dxa"/>
                  <w:noWrap w:val="0"/>
                  <w:vAlign w:val="center"/>
                </w:tcPr>
                <w:p>
                  <w:pPr>
                    <w:jc w:val="center"/>
                    <w:rPr>
                      <w:rFonts w:hint="default" w:eastAsia="宋体"/>
                      <w:vertAlign w:val="baseline"/>
                      <w:lang w:val="en-US" w:eastAsia="zh-CN"/>
                    </w:rPr>
                  </w:pPr>
                  <w:r>
                    <w:rPr>
                      <w:rFonts w:hint="eastAsia"/>
                      <w:vertAlign w:val="baseline"/>
                      <w:lang w:val="en-US" w:eastAsia="zh-CN"/>
                    </w:rPr>
                    <w:t>30</w:t>
                  </w:r>
                </w:p>
              </w:tc>
              <w:tc>
                <w:tcPr>
                  <w:tcW w:w="934" w:type="dxa"/>
                  <w:noWrap w:val="0"/>
                  <w:vAlign w:val="center"/>
                </w:tcPr>
                <w:p>
                  <w:pPr>
                    <w:jc w:val="center"/>
                    <w:rPr>
                      <w:rFonts w:hint="default" w:eastAsia="宋体"/>
                      <w:vertAlign w:val="baseline"/>
                      <w:lang w:val="en-US" w:eastAsia="zh-CN"/>
                    </w:rPr>
                  </w:pPr>
                  <w:r>
                    <w:rPr>
                      <w:rFonts w:hint="eastAsia"/>
                      <w:vertAlign w:val="baseline"/>
                      <w:lang w:val="en-US" w:eastAsia="zh-CN"/>
                    </w:rPr>
                    <w:t>40</w:t>
                  </w:r>
                </w:p>
              </w:tc>
              <w:tc>
                <w:tcPr>
                  <w:tcW w:w="958" w:type="dxa"/>
                  <w:noWrap w:val="0"/>
                  <w:vAlign w:val="center"/>
                </w:tcPr>
                <w:p>
                  <w:pPr>
                    <w:jc w:val="center"/>
                    <w:rPr>
                      <w:rFonts w:hint="default" w:eastAsia="宋体"/>
                      <w:vertAlign w:val="baseline"/>
                      <w:lang w:val="en-US" w:eastAsia="zh-CN"/>
                    </w:rPr>
                  </w:pPr>
                  <w:r>
                    <w:rPr>
                      <w:rFonts w:hint="eastAsia"/>
                      <w:vertAlign w:val="baseline"/>
                      <w:lang w:val="en-US" w:eastAsia="zh-CN"/>
                    </w:rPr>
                    <w:t>50</w:t>
                  </w:r>
                </w:p>
              </w:tc>
              <w:tc>
                <w:tcPr>
                  <w:tcW w:w="2496" w:type="dxa"/>
                  <w:vMerge w:val="restart"/>
                  <w:noWrap w:val="0"/>
                  <w:vAlign w:val="center"/>
                </w:tcPr>
                <w:p>
                  <w:pPr>
                    <w:jc w:val="center"/>
                    <w:rPr>
                      <w:vertAlign w:val="baseline"/>
                    </w:rPr>
                  </w:pPr>
                  <w:r>
                    <w:rPr>
                      <w:szCs w:val="21"/>
                    </w:rPr>
                    <w:t>以最强噪声级值预测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65" w:type="dxa"/>
                  <w:noWrap w:val="0"/>
                  <w:vAlign w:val="center"/>
                </w:tcPr>
                <w:p>
                  <w:pPr>
                    <w:jc w:val="center"/>
                    <w:rPr>
                      <w:vertAlign w:val="baseline"/>
                    </w:rPr>
                  </w:pPr>
                  <w:r>
                    <w:rPr>
                      <w:szCs w:val="21"/>
                    </w:rPr>
                    <w:t>结  果</w:t>
                  </w:r>
                </w:p>
              </w:tc>
              <w:tc>
                <w:tcPr>
                  <w:tcW w:w="853" w:type="dxa"/>
                  <w:noWrap w:val="0"/>
                  <w:vAlign w:val="center"/>
                </w:tcPr>
                <w:p>
                  <w:pPr>
                    <w:jc w:val="center"/>
                    <w:rPr>
                      <w:vertAlign w:val="baseline"/>
                    </w:rPr>
                  </w:pPr>
                  <w:r>
                    <w:rPr>
                      <w:rFonts w:hint="eastAsia"/>
                      <w:szCs w:val="21"/>
                    </w:rPr>
                    <w:t>75.66</w:t>
                  </w:r>
                </w:p>
              </w:tc>
              <w:tc>
                <w:tcPr>
                  <w:tcW w:w="923" w:type="dxa"/>
                  <w:noWrap w:val="0"/>
                  <w:vAlign w:val="center"/>
                </w:tcPr>
                <w:p>
                  <w:pPr>
                    <w:jc w:val="center"/>
                    <w:rPr>
                      <w:vertAlign w:val="baseline"/>
                    </w:rPr>
                  </w:pPr>
                  <w:r>
                    <w:rPr>
                      <w:szCs w:val="21"/>
                    </w:rPr>
                    <w:t>55.66</w:t>
                  </w:r>
                </w:p>
              </w:tc>
              <w:tc>
                <w:tcPr>
                  <w:tcW w:w="1016" w:type="dxa"/>
                  <w:noWrap w:val="0"/>
                  <w:vAlign w:val="center"/>
                </w:tcPr>
                <w:p>
                  <w:pPr>
                    <w:jc w:val="center"/>
                    <w:rPr>
                      <w:vertAlign w:val="baseline"/>
                    </w:rPr>
                  </w:pPr>
                  <w:r>
                    <w:rPr>
                      <w:szCs w:val="21"/>
                    </w:rPr>
                    <w:t>49.64</w:t>
                  </w:r>
                </w:p>
              </w:tc>
              <w:tc>
                <w:tcPr>
                  <w:tcW w:w="877" w:type="dxa"/>
                  <w:noWrap w:val="0"/>
                  <w:vAlign w:val="center"/>
                </w:tcPr>
                <w:p>
                  <w:pPr>
                    <w:jc w:val="center"/>
                    <w:rPr>
                      <w:vertAlign w:val="baseline"/>
                    </w:rPr>
                  </w:pPr>
                  <w:r>
                    <w:rPr>
                      <w:szCs w:val="21"/>
                    </w:rPr>
                    <w:t>46.12</w:t>
                  </w:r>
                </w:p>
              </w:tc>
              <w:tc>
                <w:tcPr>
                  <w:tcW w:w="934" w:type="dxa"/>
                  <w:noWrap w:val="0"/>
                  <w:vAlign w:val="center"/>
                </w:tcPr>
                <w:p>
                  <w:pPr>
                    <w:jc w:val="center"/>
                    <w:rPr>
                      <w:vertAlign w:val="baseline"/>
                    </w:rPr>
                  </w:pPr>
                  <w:r>
                    <w:rPr>
                      <w:rFonts w:hint="eastAsia"/>
                      <w:szCs w:val="21"/>
                    </w:rPr>
                    <w:t>43.62</w:t>
                  </w:r>
                </w:p>
              </w:tc>
              <w:tc>
                <w:tcPr>
                  <w:tcW w:w="958" w:type="dxa"/>
                  <w:noWrap w:val="0"/>
                  <w:vAlign w:val="center"/>
                </w:tcPr>
                <w:p>
                  <w:pPr>
                    <w:jc w:val="center"/>
                    <w:rPr>
                      <w:rFonts w:hint="default" w:eastAsia="宋体"/>
                      <w:vertAlign w:val="baseline"/>
                      <w:lang w:val="en-US" w:eastAsia="zh-CN"/>
                    </w:rPr>
                  </w:pPr>
                  <w:r>
                    <w:rPr>
                      <w:rFonts w:hint="eastAsia"/>
                      <w:szCs w:val="21"/>
                    </w:rPr>
                    <w:t>41.68</w:t>
                  </w:r>
                </w:p>
              </w:tc>
              <w:tc>
                <w:tcPr>
                  <w:tcW w:w="2496" w:type="dxa"/>
                  <w:vMerge w:val="continue"/>
                  <w:noWrap w:val="0"/>
                  <w:vAlign w:val="center"/>
                </w:tcPr>
                <w:p>
                  <w:pPr>
                    <w:rPr>
                      <w:vertAlign w:val="baseline"/>
                    </w:rPr>
                  </w:pPr>
                </w:p>
              </w:tc>
            </w:tr>
          </w:tbl>
          <w:p>
            <w:pPr>
              <w:spacing w:line="360" w:lineRule="auto"/>
              <w:ind w:firstLine="482"/>
              <w:rPr>
                <w:rFonts w:hint="eastAsia" w:ascii="宋体" w:hAnsi="宋体"/>
                <w:sz w:val="24"/>
              </w:rPr>
            </w:pPr>
            <w:r>
              <w:rPr>
                <w:rFonts w:hint="eastAsia" w:ascii="宋体" w:hAnsi="宋体"/>
                <w:sz w:val="24"/>
              </w:rPr>
              <w:t>项目根据场内各产噪设备的布设预测各厂界噪声及敏感点的噪声。</w:t>
            </w:r>
          </w:p>
          <w:p>
            <w:pPr>
              <w:jc w:val="center"/>
              <w:rPr>
                <w:rFonts w:hint="eastAsia" w:ascii="宋体" w:hAnsi="宋体"/>
                <w:b/>
                <w:bCs/>
                <w:sz w:val="24"/>
              </w:rPr>
            </w:pPr>
            <w:r>
              <w:rPr>
                <w:rFonts w:hint="eastAsia" w:ascii="宋体" w:hAnsi="宋体"/>
                <w:b/>
                <w:bCs/>
              </w:rPr>
              <w:t xml:space="preserve">    </w:t>
            </w:r>
            <w:r>
              <w:rPr>
                <w:rFonts w:hint="eastAsia" w:ascii="Times New Roman" w:hAnsi="Times New Roman" w:cs="Times New Roman"/>
                <w:b/>
                <w:bCs/>
                <w:sz w:val="21"/>
                <w:szCs w:val="21"/>
                <w:lang w:val="en-US" w:eastAsia="zh-CN"/>
              </w:rPr>
              <w:t xml:space="preserve">  表7-19  各厂界到声源的距离及预测值  </w:t>
            </w:r>
            <w:r>
              <w:rPr>
                <w:rFonts w:hint="eastAsia" w:ascii="宋体" w:hAnsi="宋体"/>
                <w:b/>
                <w:bCs/>
                <w:sz w:val="24"/>
              </w:rPr>
              <w:t xml:space="preserve">       </w:t>
            </w:r>
          </w:p>
          <w:tbl>
            <w:tblPr>
              <w:tblStyle w:val="69"/>
              <w:tblW w:w="8603" w:type="dxa"/>
              <w:jc w:val="center"/>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1275"/>
              <w:gridCol w:w="1115"/>
              <w:gridCol w:w="1071"/>
              <w:gridCol w:w="1029"/>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834" w:type="dxa"/>
                  <w:noWrap w:val="0"/>
                  <w:vAlign w:val="center"/>
                </w:tcPr>
                <w:p>
                  <w:pPr>
                    <w:jc w:val="center"/>
                    <w:rPr>
                      <w:b/>
                      <w:bCs/>
                      <w:szCs w:val="21"/>
                    </w:rPr>
                  </w:pPr>
                  <w:r>
                    <w:rPr>
                      <w:rFonts w:hAnsi="宋体"/>
                      <w:szCs w:val="21"/>
                    </w:rPr>
                    <w:t>预测点</w:t>
                  </w:r>
                </w:p>
              </w:tc>
              <w:tc>
                <w:tcPr>
                  <w:tcW w:w="1275" w:type="dxa"/>
                  <w:noWrap w:val="0"/>
                  <w:vAlign w:val="center"/>
                </w:tcPr>
                <w:p>
                  <w:pPr>
                    <w:jc w:val="center"/>
                    <w:rPr>
                      <w:bCs/>
                      <w:szCs w:val="21"/>
                    </w:rPr>
                  </w:pPr>
                  <w:r>
                    <w:rPr>
                      <w:rFonts w:hAnsi="宋体"/>
                      <w:szCs w:val="21"/>
                    </w:rPr>
                    <w:t>东厂界</w:t>
                  </w:r>
                </w:p>
              </w:tc>
              <w:tc>
                <w:tcPr>
                  <w:tcW w:w="1115" w:type="dxa"/>
                  <w:noWrap w:val="0"/>
                  <w:vAlign w:val="center"/>
                </w:tcPr>
                <w:p>
                  <w:pPr>
                    <w:jc w:val="center"/>
                    <w:rPr>
                      <w:bCs/>
                      <w:szCs w:val="21"/>
                    </w:rPr>
                  </w:pPr>
                  <w:r>
                    <w:rPr>
                      <w:rFonts w:hAnsi="宋体"/>
                      <w:szCs w:val="21"/>
                    </w:rPr>
                    <w:t>南厂界</w:t>
                  </w:r>
                </w:p>
              </w:tc>
              <w:tc>
                <w:tcPr>
                  <w:tcW w:w="1071" w:type="dxa"/>
                  <w:noWrap w:val="0"/>
                  <w:vAlign w:val="center"/>
                </w:tcPr>
                <w:p>
                  <w:pPr>
                    <w:jc w:val="center"/>
                    <w:rPr>
                      <w:bCs/>
                      <w:szCs w:val="21"/>
                    </w:rPr>
                  </w:pPr>
                  <w:r>
                    <w:rPr>
                      <w:rFonts w:hAnsi="宋体"/>
                      <w:szCs w:val="21"/>
                    </w:rPr>
                    <w:t>西厂界</w:t>
                  </w:r>
                </w:p>
              </w:tc>
              <w:tc>
                <w:tcPr>
                  <w:tcW w:w="1029" w:type="dxa"/>
                  <w:noWrap w:val="0"/>
                  <w:vAlign w:val="center"/>
                </w:tcPr>
                <w:p>
                  <w:pPr>
                    <w:jc w:val="center"/>
                    <w:rPr>
                      <w:bCs/>
                      <w:szCs w:val="21"/>
                    </w:rPr>
                  </w:pPr>
                  <w:r>
                    <w:rPr>
                      <w:rFonts w:hAnsi="宋体"/>
                      <w:szCs w:val="21"/>
                    </w:rPr>
                    <w:t>北厂界</w:t>
                  </w:r>
                </w:p>
              </w:tc>
              <w:tc>
                <w:tcPr>
                  <w:tcW w:w="1279" w:type="dxa"/>
                  <w:noWrap w:val="0"/>
                  <w:vAlign w:val="center"/>
                </w:tcPr>
                <w:p>
                  <w:pPr>
                    <w:jc w:val="center"/>
                    <w:rPr>
                      <w:rFonts w:hint="eastAsia" w:hAnsi="宋体" w:eastAsia="宋体"/>
                      <w:szCs w:val="21"/>
                      <w:lang w:val="en-US" w:eastAsia="zh-CN"/>
                    </w:rPr>
                  </w:pPr>
                  <w:r>
                    <w:rPr>
                      <w:rFonts w:hint="eastAsia" w:hAnsi="宋体"/>
                      <w:szCs w:val="21"/>
                      <w:lang w:val="en-US" w:eastAsia="zh-CN"/>
                    </w:rPr>
                    <w:t>东南面住户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2834" w:type="dxa"/>
                  <w:noWrap w:val="0"/>
                  <w:vAlign w:val="center"/>
                </w:tcPr>
                <w:p>
                  <w:pPr>
                    <w:jc w:val="center"/>
                    <w:rPr>
                      <w:szCs w:val="21"/>
                    </w:rPr>
                  </w:pPr>
                  <w:r>
                    <w:rPr>
                      <w:rFonts w:hAnsi="宋体"/>
                      <w:szCs w:val="21"/>
                    </w:rPr>
                    <w:t>与噪声源距离（</w:t>
                  </w:r>
                  <w:r>
                    <w:rPr>
                      <w:szCs w:val="21"/>
                    </w:rPr>
                    <w:t>m</w:t>
                  </w:r>
                  <w:r>
                    <w:rPr>
                      <w:rFonts w:hAnsi="宋体"/>
                      <w:szCs w:val="21"/>
                    </w:rPr>
                    <w:t>）</w:t>
                  </w:r>
                </w:p>
              </w:tc>
              <w:tc>
                <w:tcPr>
                  <w:tcW w:w="1275" w:type="dxa"/>
                  <w:noWrap w:val="0"/>
                  <w:vAlign w:val="center"/>
                </w:tcPr>
                <w:p>
                  <w:pPr>
                    <w:jc w:val="center"/>
                    <w:rPr>
                      <w:rFonts w:hint="eastAsia" w:eastAsia="宋体"/>
                      <w:szCs w:val="21"/>
                      <w:lang w:eastAsia="zh-CN"/>
                    </w:rPr>
                  </w:pPr>
                  <w:r>
                    <w:rPr>
                      <w:rFonts w:hint="eastAsia"/>
                      <w:szCs w:val="21"/>
                    </w:rPr>
                    <w:t>2</w:t>
                  </w:r>
                  <w:r>
                    <w:rPr>
                      <w:rFonts w:hint="eastAsia"/>
                      <w:szCs w:val="21"/>
                      <w:lang w:val="en-US" w:eastAsia="zh-CN"/>
                    </w:rPr>
                    <w:t>0</w:t>
                  </w:r>
                </w:p>
              </w:tc>
              <w:tc>
                <w:tcPr>
                  <w:tcW w:w="1115" w:type="dxa"/>
                  <w:noWrap w:val="0"/>
                  <w:vAlign w:val="center"/>
                </w:tcPr>
                <w:p>
                  <w:pPr>
                    <w:jc w:val="center"/>
                    <w:rPr>
                      <w:rFonts w:hint="default" w:eastAsia="宋体"/>
                      <w:szCs w:val="21"/>
                      <w:lang w:val="en-US" w:eastAsia="zh-CN"/>
                    </w:rPr>
                  </w:pPr>
                  <w:r>
                    <w:rPr>
                      <w:rFonts w:hint="eastAsia"/>
                      <w:szCs w:val="21"/>
                      <w:lang w:val="en-US" w:eastAsia="zh-CN"/>
                    </w:rPr>
                    <w:t>70</w:t>
                  </w:r>
                </w:p>
              </w:tc>
              <w:tc>
                <w:tcPr>
                  <w:tcW w:w="1071" w:type="dxa"/>
                  <w:noWrap w:val="0"/>
                  <w:vAlign w:val="center"/>
                </w:tcPr>
                <w:p>
                  <w:pPr>
                    <w:jc w:val="center"/>
                    <w:rPr>
                      <w:rFonts w:hint="default" w:eastAsia="宋体"/>
                      <w:szCs w:val="21"/>
                      <w:lang w:val="en-US" w:eastAsia="zh-CN"/>
                    </w:rPr>
                  </w:pPr>
                  <w:r>
                    <w:rPr>
                      <w:rFonts w:hint="eastAsia"/>
                      <w:szCs w:val="21"/>
                      <w:lang w:val="en-US" w:eastAsia="zh-CN"/>
                    </w:rPr>
                    <w:t>20</w:t>
                  </w:r>
                </w:p>
              </w:tc>
              <w:tc>
                <w:tcPr>
                  <w:tcW w:w="1029" w:type="dxa"/>
                  <w:noWrap w:val="0"/>
                  <w:vAlign w:val="center"/>
                </w:tcPr>
                <w:p>
                  <w:pPr>
                    <w:jc w:val="center"/>
                    <w:rPr>
                      <w:rFonts w:hint="default" w:eastAsia="宋体"/>
                      <w:szCs w:val="21"/>
                      <w:lang w:val="en-US" w:eastAsia="zh-CN"/>
                    </w:rPr>
                  </w:pPr>
                  <w:r>
                    <w:rPr>
                      <w:rFonts w:hint="eastAsia"/>
                      <w:szCs w:val="21"/>
                      <w:lang w:val="en-US" w:eastAsia="zh-CN"/>
                    </w:rPr>
                    <w:t>40</w:t>
                  </w:r>
                </w:p>
              </w:tc>
              <w:tc>
                <w:tcPr>
                  <w:tcW w:w="1279" w:type="dxa"/>
                  <w:noWrap w:val="0"/>
                  <w:vAlign w:val="center"/>
                </w:tcPr>
                <w:p>
                  <w:pPr>
                    <w:jc w:val="center"/>
                    <w:rPr>
                      <w:rFonts w:hint="default" w:eastAsia="宋体"/>
                      <w:szCs w:val="21"/>
                      <w:lang w:val="en-US" w:eastAsia="zh-CN"/>
                    </w:rPr>
                  </w:pPr>
                  <w:r>
                    <w:rPr>
                      <w:rFonts w:hint="eastAsia"/>
                      <w:szCs w:val="21"/>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834" w:type="dxa"/>
                  <w:noWrap w:val="0"/>
                  <w:vAlign w:val="center"/>
                </w:tcPr>
                <w:p>
                  <w:pPr>
                    <w:jc w:val="center"/>
                    <w:rPr>
                      <w:b/>
                      <w:bCs/>
                      <w:szCs w:val="21"/>
                    </w:rPr>
                  </w:pPr>
                  <w:r>
                    <w:rPr>
                      <w:rFonts w:hAnsi="宋体"/>
                      <w:szCs w:val="21"/>
                    </w:rPr>
                    <w:t>预测值</w:t>
                  </w:r>
                  <w:r>
                    <w:rPr>
                      <w:rFonts w:hint="eastAsia" w:hAnsi="宋体"/>
                      <w:szCs w:val="21"/>
                    </w:rPr>
                    <w:t>dB</w:t>
                  </w:r>
                  <w:r>
                    <w:rPr>
                      <w:rFonts w:hAnsi="宋体"/>
                      <w:szCs w:val="21"/>
                    </w:rPr>
                    <w:t>（</w:t>
                  </w:r>
                  <w:r>
                    <w:rPr>
                      <w:rFonts w:hint="eastAsia" w:hAnsi="宋体"/>
                      <w:szCs w:val="21"/>
                    </w:rPr>
                    <w:t>A</w:t>
                  </w:r>
                  <w:r>
                    <w:rPr>
                      <w:rFonts w:hAnsi="宋体"/>
                      <w:szCs w:val="21"/>
                    </w:rPr>
                    <w:t>）</w:t>
                  </w:r>
                </w:p>
              </w:tc>
              <w:tc>
                <w:tcPr>
                  <w:tcW w:w="1275" w:type="dxa"/>
                  <w:noWrap w:val="0"/>
                  <w:vAlign w:val="center"/>
                </w:tcPr>
                <w:p>
                  <w:pPr>
                    <w:jc w:val="center"/>
                    <w:rPr>
                      <w:rFonts w:hint="default" w:eastAsia="宋体"/>
                      <w:bCs/>
                      <w:szCs w:val="21"/>
                      <w:lang w:val="en-US" w:eastAsia="zh-CN"/>
                    </w:rPr>
                  </w:pPr>
                  <w:r>
                    <w:rPr>
                      <w:rFonts w:hint="eastAsia"/>
                      <w:bCs/>
                      <w:szCs w:val="21"/>
                      <w:lang w:val="en-US" w:eastAsia="zh-CN"/>
                    </w:rPr>
                    <w:t>49.64</w:t>
                  </w:r>
                </w:p>
              </w:tc>
              <w:tc>
                <w:tcPr>
                  <w:tcW w:w="1115" w:type="dxa"/>
                  <w:noWrap w:val="0"/>
                  <w:vAlign w:val="center"/>
                </w:tcPr>
                <w:p>
                  <w:pPr>
                    <w:jc w:val="center"/>
                    <w:rPr>
                      <w:rFonts w:hint="default" w:eastAsia="宋体"/>
                      <w:bCs/>
                      <w:szCs w:val="21"/>
                      <w:lang w:val="en-US" w:eastAsia="zh-CN"/>
                    </w:rPr>
                  </w:pPr>
                  <w:r>
                    <w:rPr>
                      <w:rFonts w:hint="eastAsia"/>
                      <w:bCs/>
                      <w:szCs w:val="21"/>
                      <w:lang w:val="en-US" w:eastAsia="zh-CN"/>
                    </w:rPr>
                    <w:t>38.76</w:t>
                  </w:r>
                </w:p>
              </w:tc>
              <w:tc>
                <w:tcPr>
                  <w:tcW w:w="1071" w:type="dxa"/>
                  <w:noWrap w:val="0"/>
                  <w:vAlign w:val="center"/>
                </w:tcPr>
                <w:p>
                  <w:pPr>
                    <w:jc w:val="center"/>
                    <w:rPr>
                      <w:rFonts w:hint="default" w:eastAsia="宋体"/>
                      <w:bCs/>
                      <w:szCs w:val="21"/>
                      <w:lang w:val="en-US" w:eastAsia="zh-CN"/>
                    </w:rPr>
                  </w:pPr>
                  <w:r>
                    <w:rPr>
                      <w:rFonts w:hint="eastAsia"/>
                      <w:bCs/>
                      <w:szCs w:val="21"/>
                      <w:lang w:val="en-US" w:eastAsia="zh-CN"/>
                    </w:rPr>
                    <w:t>49.64</w:t>
                  </w:r>
                </w:p>
              </w:tc>
              <w:tc>
                <w:tcPr>
                  <w:tcW w:w="1029" w:type="dxa"/>
                  <w:noWrap w:val="0"/>
                  <w:vAlign w:val="center"/>
                </w:tcPr>
                <w:p>
                  <w:pPr>
                    <w:jc w:val="center"/>
                    <w:rPr>
                      <w:rFonts w:hint="default" w:eastAsia="宋体"/>
                      <w:bCs/>
                      <w:szCs w:val="21"/>
                      <w:lang w:val="en-US" w:eastAsia="zh-CN"/>
                    </w:rPr>
                  </w:pPr>
                  <w:r>
                    <w:rPr>
                      <w:rFonts w:hint="eastAsia"/>
                      <w:bCs/>
                      <w:szCs w:val="21"/>
                      <w:lang w:val="en-US" w:eastAsia="zh-CN"/>
                    </w:rPr>
                    <w:t>43.62</w:t>
                  </w:r>
                </w:p>
              </w:tc>
              <w:tc>
                <w:tcPr>
                  <w:tcW w:w="1279" w:type="dxa"/>
                  <w:noWrap w:val="0"/>
                  <w:vAlign w:val="center"/>
                </w:tcPr>
                <w:p>
                  <w:pPr>
                    <w:jc w:val="center"/>
                    <w:rPr>
                      <w:rFonts w:hint="default" w:eastAsia="宋体"/>
                      <w:bCs/>
                      <w:szCs w:val="21"/>
                      <w:lang w:val="en-US" w:eastAsia="zh-CN"/>
                    </w:rPr>
                  </w:pPr>
                  <w:r>
                    <w:rPr>
                      <w:rFonts w:hint="eastAsia"/>
                      <w:bCs/>
                      <w:szCs w:val="21"/>
                      <w:lang w:val="en-US" w:eastAsia="zh-CN"/>
                    </w:rPr>
                    <w:t>34.83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2834" w:type="dxa"/>
                  <w:noWrap w:val="0"/>
                  <w:vAlign w:val="center"/>
                </w:tcPr>
                <w:p>
                  <w:pPr>
                    <w:jc w:val="center"/>
                    <w:rPr>
                      <w:szCs w:val="21"/>
                    </w:rPr>
                  </w:pPr>
                  <w:r>
                    <w:rPr>
                      <w:rFonts w:hint="eastAsia" w:hAnsi="宋体"/>
                      <w:szCs w:val="21"/>
                    </w:rPr>
                    <w:t>执行标准dB</w:t>
                  </w:r>
                  <w:r>
                    <w:rPr>
                      <w:rFonts w:hAnsi="宋体"/>
                      <w:szCs w:val="21"/>
                    </w:rPr>
                    <w:t>（</w:t>
                  </w:r>
                  <w:r>
                    <w:rPr>
                      <w:rFonts w:hint="eastAsia" w:hAnsi="宋体"/>
                      <w:szCs w:val="21"/>
                    </w:rPr>
                    <w:t>A</w:t>
                  </w:r>
                  <w:r>
                    <w:rPr>
                      <w:rFonts w:hAnsi="宋体"/>
                      <w:szCs w:val="21"/>
                    </w:rPr>
                    <w:t>）</w:t>
                  </w:r>
                </w:p>
              </w:tc>
              <w:tc>
                <w:tcPr>
                  <w:tcW w:w="5769" w:type="dxa"/>
                  <w:gridSpan w:val="5"/>
                  <w:noWrap w:val="0"/>
                  <w:vAlign w:val="center"/>
                </w:tcPr>
                <w:p>
                  <w:pPr>
                    <w:jc w:val="center"/>
                    <w:rPr>
                      <w:rFonts w:hint="eastAsia" w:hAnsi="宋体" w:eastAsia="宋体"/>
                      <w:bCs/>
                      <w:szCs w:val="21"/>
                      <w:lang w:eastAsia="zh-CN"/>
                    </w:rPr>
                  </w:pPr>
                  <w:r>
                    <w:rPr>
                      <w:rFonts w:hAnsi="宋体"/>
                      <w:bCs/>
                      <w:szCs w:val="21"/>
                    </w:rPr>
                    <w:t>昼间：</w:t>
                  </w:r>
                  <w:r>
                    <w:rPr>
                      <w:rFonts w:ascii="宋体" w:hAnsi="宋体"/>
                      <w:bCs/>
                      <w:szCs w:val="21"/>
                    </w:rPr>
                    <w:t>≤</w:t>
                  </w:r>
                  <w:r>
                    <w:rPr>
                      <w:bCs/>
                      <w:szCs w:val="21"/>
                    </w:rPr>
                    <w:t xml:space="preserve"> 6</w:t>
                  </w:r>
                  <w:r>
                    <w:rPr>
                      <w:rFonts w:hint="eastAsia"/>
                      <w:bCs/>
                      <w:szCs w:val="21"/>
                      <w:lang w:val="en-US" w:eastAsia="zh-CN"/>
                    </w:rPr>
                    <w:t>0</w:t>
                  </w:r>
                  <w:r>
                    <w:rPr>
                      <w:rFonts w:hint="eastAsia"/>
                      <w:bCs/>
                      <w:szCs w:val="21"/>
                    </w:rPr>
                    <w:t xml:space="preserve">     </w:t>
                  </w:r>
                  <w:r>
                    <w:rPr>
                      <w:rFonts w:hAnsi="宋体"/>
                      <w:bCs/>
                      <w:szCs w:val="21"/>
                    </w:rPr>
                    <w:t>夜间：</w:t>
                  </w:r>
                  <w:r>
                    <w:rPr>
                      <w:rFonts w:ascii="宋体" w:hAnsi="宋体"/>
                      <w:bCs/>
                      <w:szCs w:val="21"/>
                    </w:rPr>
                    <w:t>≤</w:t>
                  </w:r>
                  <w:r>
                    <w:rPr>
                      <w:bCs/>
                      <w:szCs w:val="21"/>
                    </w:rPr>
                    <w:t>5</w:t>
                  </w:r>
                  <w:r>
                    <w:rPr>
                      <w:rFonts w:hint="eastAsia"/>
                      <w:bCs/>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2834" w:type="dxa"/>
                  <w:noWrap w:val="0"/>
                  <w:vAlign w:val="center"/>
                </w:tcPr>
                <w:p>
                  <w:pPr>
                    <w:jc w:val="center"/>
                    <w:rPr>
                      <w:rFonts w:hAnsi="宋体"/>
                      <w:szCs w:val="21"/>
                    </w:rPr>
                  </w:pPr>
                  <w:r>
                    <w:rPr>
                      <w:rFonts w:hint="eastAsia" w:hAnsi="宋体"/>
                      <w:szCs w:val="21"/>
                    </w:rPr>
                    <w:t>达标情况</w:t>
                  </w:r>
                </w:p>
              </w:tc>
              <w:tc>
                <w:tcPr>
                  <w:tcW w:w="1275" w:type="dxa"/>
                  <w:noWrap w:val="0"/>
                  <w:vAlign w:val="center"/>
                </w:tcPr>
                <w:p>
                  <w:pPr>
                    <w:jc w:val="center"/>
                    <w:rPr>
                      <w:rFonts w:hAnsi="宋体"/>
                      <w:bCs/>
                      <w:szCs w:val="21"/>
                    </w:rPr>
                  </w:pPr>
                  <w:r>
                    <w:rPr>
                      <w:rFonts w:hint="eastAsia" w:hAnsi="宋体"/>
                      <w:bCs/>
                      <w:szCs w:val="21"/>
                    </w:rPr>
                    <w:t>达标</w:t>
                  </w:r>
                </w:p>
              </w:tc>
              <w:tc>
                <w:tcPr>
                  <w:tcW w:w="1115" w:type="dxa"/>
                  <w:noWrap w:val="0"/>
                  <w:vAlign w:val="center"/>
                </w:tcPr>
                <w:p>
                  <w:pPr>
                    <w:jc w:val="center"/>
                    <w:rPr>
                      <w:rFonts w:hAnsi="宋体"/>
                      <w:bCs/>
                      <w:szCs w:val="21"/>
                    </w:rPr>
                  </w:pPr>
                  <w:r>
                    <w:rPr>
                      <w:rFonts w:hint="eastAsia" w:hAnsi="宋体"/>
                      <w:bCs/>
                      <w:szCs w:val="21"/>
                    </w:rPr>
                    <w:t>达标</w:t>
                  </w:r>
                </w:p>
              </w:tc>
              <w:tc>
                <w:tcPr>
                  <w:tcW w:w="1071" w:type="dxa"/>
                  <w:noWrap w:val="0"/>
                  <w:vAlign w:val="center"/>
                </w:tcPr>
                <w:p>
                  <w:pPr>
                    <w:jc w:val="center"/>
                    <w:rPr>
                      <w:rFonts w:hAnsi="宋体"/>
                      <w:bCs/>
                      <w:szCs w:val="21"/>
                    </w:rPr>
                  </w:pPr>
                  <w:r>
                    <w:rPr>
                      <w:rFonts w:hint="eastAsia" w:hAnsi="宋体"/>
                      <w:bCs/>
                      <w:szCs w:val="21"/>
                    </w:rPr>
                    <w:t>达标</w:t>
                  </w:r>
                </w:p>
              </w:tc>
              <w:tc>
                <w:tcPr>
                  <w:tcW w:w="1029" w:type="dxa"/>
                  <w:noWrap w:val="0"/>
                  <w:vAlign w:val="center"/>
                </w:tcPr>
                <w:p>
                  <w:pPr>
                    <w:jc w:val="center"/>
                    <w:rPr>
                      <w:rFonts w:hAnsi="宋体"/>
                      <w:bCs/>
                      <w:szCs w:val="21"/>
                    </w:rPr>
                  </w:pPr>
                  <w:r>
                    <w:rPr>
                      <w:rFonts w:hint="eastAsia" w:hAnsi="宋体"/>
                      <w:bCs/>
                      <w:szCs w:val="21"/>
                    </w:rPr>
                    <w:t>达标</w:t>
                  </w:r>
                </w:p>
              </w:tc>
              <w:tc>
                <w:tcPr>
                  <w:tcW w:w="1279" w:type="dxa"/>
                  <w:noWrap w:val="0"/>
                  <w:vAlign w:val="center"/>
                </w:tcPr>
                <w:p>
                  <w:pPr>
                    <w:jc w:val="center"/>
                    <w:rPr>
                      <w:rFonts w:hint="eastAsia" w:hAnsi="宋体"/>
                      <w:bCs/>
                      <w:szCs w:val="21"/>
                    </w:rPr>
                  </w:pPr>
                  <w:r>
                    <w:rPr>
                      <w:rFonts w:hint="eastAsia" w:hAnsi="宋体"/>
                      <w:bCs/>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8603" w:type="dxa"/>
                  <w:gridSpan w:val="6"/>
                  <w:noWrap w:val="0"/>
                  <w:vAlign w:val="center"/>
                </w:tcPr>
                <w:p>
                  <w:pPr>
                    <w:rPr>
                      <w:rFonts w:hint="eastAsia" w:hAnsi="宋体"/>
                      <w:szCs w:val="21"/>
                    </w:rPr>
                  </w:pPr>
                  <w:r>
                    <w:rPr>
                      <w:rFonts w:hint="eastAsia" w:hAnsi="宋体"/>
                      <w:szCs w:val="21"/>
                    </w:rPr>
                    <w:t>备注：项目建设产生的噪声在厂界处均满足《工业企业厂界环境噪声排放标准》（GB</w:t>
                  </w:r>
                  <w:r>
                    <w:rPr>
                      <w:rFonts w:hint="eastAsia" w:hAnsi="宋体"/>
                      <w:szCs w:val="21"/>
                      <w:lang w:val="en-US" w:eastAsia="zh-CN"/>
                    </w:rPr>
                    <w:t>12348</w:t>
                  </w:r>
                  <w:r>
                    <w:rPr>
                      <w:rFonts w:hint="eastAsia" w:hAnsi="宋体"/>
                      <w:szCs w:val="21"/>
                    </w:rPr>
                    <w:t>—2008）中</w:t>
                  </w:r>
                  <w:r>
                    <w:rPr>
                      <w:rFonts w:hint="eastAsia" w:hAnsi="宋体"/>
                      <w:szCs w:val="21"/>
                      <w:lang w:val="en-US" w:eastAsia="zh-CN"/>
                    </w:rPr>
                    <w:t>2</w:t>
                  </w:r>
                  <w:r>
                    <w:rPr>
                      <w:rFonts w:hint="eastAsia" w:hAnsi="宋体"/>
                      <w:szCs w:val="21"/>
                    </w:rPr>
                    <w:t>类标准。</w:t>
                  </w:r>
                </w:p>
              </w:tc>
            </w:tr>
          </w:tbl>
          <w:p>
            <w:pPr>
              <w:spacing w:line="360" w:lineRule="auto"/>
              <w:ind w:firstLine="480" w:firstLineChars="200"/>
              <w:rPr>
                <w:rFonts w:hint="eastAsia" w:ascii="宋体" w:hAnsi="宋体"/>
                <w:sz w:val="24"/>
              </w:rPr>
            </w:pPr>
            <w:r>
              <w:rPr>
                <w:rFonts w:hint="eastAsia" w:ascii="宋体" w:hAnsi="宋体"/>
                <w:sz w:val="24"/>
              </w:rPr>
              <w:t>由上表可知，项目设备运行噪声在场界处的预测值满足《工业企业厂界环境噪声排放标准》（GB12348—2008）中</w:t>
            </w:r>
            <w:r>
              <w:rPr>
                <w:rFonts w:hint="eastAsia" w:ascii="宋体" w:hAnsi="宋体"/>
                <w:sz w:val="24"/>
                <w:lang w:val="en-US" w:eastAsia="zh-CN"/>
              </w:rPr>
              <w:t>2</w:t>
            </w:r>
            <w:r>
              <w:rPr>
                <w:rFonts w:hint="eastAsia" w:ascii="宋体" w:hAnsi="宋体"/>
                <w:sz w:val="24"/>
              </w:rPr>
              <w:t>类标准限值，不会对周围声环境造成较大影响。</w:t>
            </w:r>
          </w:p>
          <w:p>
            <w:pPr>
              <w:spacing w:line="360" w:lineRule="auto"/>
              <w:ind w:firstLine="482" w:firstLineChars="200"/>
              <w:rPr>
                <w:b/>
                <w:bCs/>
                <w:sz w:val="24"/>
              </w:rPr>
            </w:pPr>
            <w:r>
              <w:rPr>
                <w:b/>
                <w:bCs/>
                <w:sz w:val="24"/>
              </w:rPr>
              <w:t>（四）固体废弃物的环境影响分析</w:t>
            </w:r>
          </w:p>
          <w:p>
            <w:pPr>
              <w:spacing w:line="360" w:lineRule="auto"/>
              <w:ind w:firstLine="480" w:firstLineChars="200"/>
              <w:rPr>
                <w:rFonts w:hint="eastAsia"/>
                <w:sz w:val="24"/>
              </w:rPr>
            </w:pPr>
            <w:r>
              <w:rPr>
                <w:rFonts w:hint="eastAsia"/>
                <w:sz w:val="24"/>
              </w:rPr>
              <w:t>本项目运营期间产生的固废主要为运营过程中产生的废品、生活垃圾、过期导热油。</w:t>
            </w:r>
          </w:p>
          <w:p>
            <w:pPr>
              <w:spacing w:line="360" w:lineRule="auto"/>
              <w:ind w:firstLine="480" w:firstLineChars="200"/>
              <w:rPr>
                <w:rFonts w:hint="eastAsia"/>
                <w:sz w:val="24"/>
              </w:rPr>
            </w:pPr>
            <w:r>
              <w:rPr>
                <w:rFonts w:hint="eastAsia"/>
                <w:sz w:val="24"/>
              </w:rPr>
              <w:t>（1）废品</w:t>
            </w:r>
          </w:p>
          <w:p>
            <w:pPr>
              <w:spacing w:line="360" w:lineRule="auto"/>
              <w:ind w:firstLine="480" w:firstLineChars="200"/>
              <w:rPr>
                <w:rFonts w:hint="eastAsia"/>
                <w:sz w:val="24"/>
              </w:rPr>
            </w:pPr>
            <w:r>
              <w:rPr>
                <w:rFonts w:hint="eastAsia"/>
                <w:sz w:val="24"/>
              </w:rPr>
              <w:t>此废品主要分为在采购过程中，因无法避免地会采购一些有瑕疵或者不合格的人造板或浸渍纸而产生的废品和在本项目加工过程中产生的极少废品。本项目废品率为0.3%。根据《国家危险废物名录》（2016年）查证，此类固废均不属于危险固废。经建设单位介绍，此类固废均不长期堆放，废品木材产生后即刻返回原料厂家处理，废品浸渍纸作为一般固废交由环卫部门处理。</w:t>
            </w:r>
          </w:p>
          <w:p>
            <w:pPr>
              <w:spacing w:line="360" w:lineRule="auto"/>
              <w:ind w:firstLine="480" w:firstLineChars="200"/>
              <w:rPr>
                <w:rFonts w:hint="eastAsia"/>
                <w:sz w:val="24"/>
              </w:rPr>
            </w:pPr>
            <w:r>
              <w:rPr>
                <w:rFonts w:hint="eastAsia"/>
                <w:sz w:val="24"/>
              </w:rPr>
              <w:t>（2）生活垃圾</w:t>
            </w:r>
          </w:p>
          <w:p>
            <w:pPr>
              <w:spacing w:line="360" w:lineRule="auto"/>
              <w:ind w:firstLine="480" w:firstLineChars="200"/>
              <w:rPr>
                <w:rFonts w:hint="eastAsia"/>
                <w:sz w:val="24"/>
                <w:szCs w:val="28"/>
              </w:rPr>
            </w:pPr>
            <w:r>
              <w:rPr>
                <w:rFonts w:hint="eastAsia"/>
                <w:sz w:val="24"/>
                <w:lang w:val="en-GB"/>
              </w:rPr>
              <w:t>项目员工共</w:t>
            </w:r>
            <w:r>
              <w:rPr>
                <w:sz w:val="24"/>
              </w:rPr>
              <w:t>10</w:t>
            </w:r>
            <w:r>
              <w:rPr>
                <w:rFonts w:hint="eastAsia"/>
                <w:sz w:val="24"/>
                <w:lang w:val="en-GB"/>
              </w:rPr>
              <w:t>人，按人均垃圾产生量以</w:t>
            </w:r>
            <w:r>
              <w:rPr>
                <w:sz w:val="24"/>
                <w:lang w:val="en-GB"/>
              </w:rPr>
              <w:t>0.5kg/d</w:t>
            </w:r>
            <w:r>
              <w:rPr>
                <w:rFonts w:hint="eastAsia"/>
                <w:sz w:val="24"/>
                <w:lang w:val="en-GB"/>
              </w:rPr>
              <w:t>计算，则垃圾产生量为</w:t>
            </w:r>
            <w:r>
              <w:rPr>
                <w:sz w:val="24"/>
              </w:rPr>
              <w:t>5</w:t>
            </w:r>
            <w:r>
              <w:rPr>
                <w:sz w:val="24"/>
                <w:lang w:val="en-GB"/>
              </w:rPr>
              <w:t>kg/d</w:t>
            </w:r>
            <w:r>
              <w:rPr>
                <w:rFonts w:hint="eastAsia"/>
                <w:sz w:val="24"/>
                <w:lang w:val="en-GB"/>
              </w:rPr>
              <w:t>，故该项目营运期产生的生活垃圾</w:t>
            </w:r>
            <w:r>
              <w:rPr>
                <w:sz w:val="24"/>
              </w:rPr>
              <w:t>1.5</w:t>
            </w:r>
            <w:r>
              <w:rPr>
                <w:sz w:val="24"/>
                <w:lang w:val="en-GB"/>
              </w:rPr>
              <w:t>t/a</w:t>
            </w:r>
            <w:r>
              <w:rPr>
                <w:sz w:val="24"/>
                <w:szCs w:val="28"/>
              </w:rPr>
              <w:t>。</w:t>
            </w:r>
          </w:p>
          <w:p>
            <w:pPr>
              <w:spacing w:line="360" w:lineRule="auto"/>
              <w:ind w:firstLine="480" w:firstLineChars="200"/>
              <w:rPr>
                <w:rFonts w:hint="eastAsia"/>
                <w:sz w:val="24"/>
                <w:szCs w:val="28"/>
              </w:rPr>
            </w:pPr>
            <w:r>
              <w:rPr>
                <w:rFonts w:hint="eastAsia"/>
                <w:sz w:val="24"/>
                <w:szCs w:val="28"/>
              </w:rPr>
              <w:t>生活垃圾经垃圾桶</w:t>
            </w:r>
            <w:r>
              <w:rPr>
                <w:sz w:val="24"/>
                <w:szCs w:val="28"/>
              </w:rPr>
              <w:t>收集后交由当地环卫部门处理</w:t>
            </w:r>
            <w:r>
              <w:rPr>
                <w:rFonts w:hint="eastAsia"/>
                <w:sz w:val="24"/>
                <w:szCs w:val="28"/>
              </w:rPr>
              <w:t>。</w:t>
            </w:r>
          </w:p>
          <w:p>
            <w:pPr>
              <w:spacing w:line="360" w:lineRule="auto"/>
              <w:ind w:firstLine="480" w:firstLineChars="200"/>
              <w:rPr>
                <w:rFonts w:hint="eastAsia"/>
                <w:sz w:val="24"/>
                <w:szCs w:val="28"/>
              </w:rPr>
            </w:pPr>
            <w:r>
              <w:rPr>
                <w:rFonts w:hint="eastAsia"/>
                <w:sz w:val="24"/>
                <w:szCs w:val="28"/>
              </w:rPr>
              <w:t>（3）过期导热油</w:t>
            </w:r>
          </w:p>
          <w:p>
            <w:pPr>
              <w:spacing w:line="360" w:lineRule="auto"/>
              <w:ind w:firstLine="480" w:firstLineChars="200"/>
              <w:rPr>
                <w:rFonts w:hint="eastAsia"/>
                <w:sz w:val="24"/>
                <w:szCs w:val="28"/>
              </w:rPr>
            </w:pPr>
            <w:r>
              <w:rPr>
                <w:rFonts w:hint="eastAsia"/>
                <w:sz w:val="24"/>
                <w:szCs w:val="28"/>
              </w:rPr>
              <w:t>项目所用导热油寿命长达5年，每次使用导热油500L，并且导热油过期后会更换，换下的导热油属于危险废物，</w:t>
            </w:r>
            <w:r>
              <w:rPr>
                <w:color w:val="000000"/>
                <w:sz w:val="24"/>
              </w:rPr>
              <w:t>项目危险废物须严格遵守《中华人民共和国固体废物污染环境防治法》、《危险废物转移联单管理办法》及GB18597-2001《危险废物贮存污染控制标准》的相关规定，建立专门的危险废物贮存设施，危险废物要做到防风、防晒、防雨；贮存设施基础必须防渗，防渗层为2mm厚高密度聚乙烯，贮存设施外应设置警示标志，危险废物在贮存设施内分类堆放等，项目危险废物最终交由具有危险废物处置资质的单位处置</w:t>
            </w:r>
            <w:r>
              <w:rPr>
                <w:rFonts w:hint="eastAsia"/>
                <w:sz w:val="24"/>
                <w:szCs w:val="28"/>
              </w:rPr>
              <w:t>。</w:t>
            </w:r>
          </w:p>
          <w:p>
            <w:pPr>
              <w:spacing w:line="360" w:lineRule="auto"/>
              <w:ind w:firstLine="480" w:firstLineChars="200"/>
              <w:rPr>
                <w:rFonts w:hint="eastAsia" w:eastAsia="宋体"/>
                <w:sz w:val="24"/>
                <w:szCs w:val="28"/>
                <w:lang w:eastAsia="zh-CN"/>
              </w:rPr>
            </w:pPr>
            <w:r>
              <w:rPr>
                <w:rFonts w:hint="eastAsia"/>
                <w:sz w:val="24"/>
                <w:szCs w:val="28"/>
                <w:lang w:eastAsia="zh-CN"/>
              </w:rPr>
              <w:t>（</w:t>
            </w:r>
            <w:r>
              <w:rPr>
                <w:rFonts w:hint="eastAsia"/>
                <w:sz w:val="24"/>
                <w:szCs w:val="28"/>
                <w:lang w:val="en-US" w:eastAsia="zh-CN"/>
              </w:rPr>
              <w:t>4</w:t>
            </w:r>
            <w:r>
              <w:rPr>
                <w:rFonts w:hint="eastAsia"/>
                <w:sz w:val="24"/>
                <w:szCs w:val="28"/>
                <w:lang w:eastAsia="zh-CN"/>
              </w:rPr>
              <w:t>）废活性炭</w:t>
            </w:r>
          </w:p>
          <w:p>
            <w:pPr>
              <w:spacing w:line="360" w:lineRule="auto"/>
              <w:ind w:firstLine="480" w:firstLineChars="200"/>
              <w:rPr>
                <w:rFonts w:hint="eastAsia" w:eastAsia="宋体"/>
                <w:sz w:val="24"/>
                <w:szCs w:val="28"/>
                <w:lang w:eastAsia="zh-CN"/>
              </w:rPr>
            </w:pPr>
            <w:r>
              <w:rPr>
                <w:rFonts w:hint="eastAsia"/>
                <w:sz w:val="24"/>
                <w:szCs w:val="28"/>
                <w:lang w:eastAsia="zh-CN"/>
              </w:rPr>
              <w:t>项目使用活性炭对非甲烷总烃进行吸附处理，年用量约</w:t>
            </w:r>
            <w:r>
              <w:rPr>
                <w:rFonts w:hint="eastAsia"/>
                <w:sz w:val="24"/>
                <w:szCs w:val="28"/>
                <w:lang w:val="en-US" w:eastAsia="zh-CN"/>
              </w:rPr>
              <w:t>11kg。根据《国家危险废物名录》，废活性炭是危险废物，</w:t>
            </w:r>
            <w:r>
              <w:rPr>
                <w:rFonts w:hint="eastAsia"/>
                <w:sz w:val="24"/>
                <w:szCs w:val="28"/>
                <w:lang w:eastAsia="zh-CN"/>
              </w:rPr>
              <w:t>属危险类别</w:t>
            </w:r>
            <w:r>
              <w:rPr>
                <w:rFonts w:hint="eastAsia"/>
                <w:sz w:val="24"/>
                <w:szCs w:val="28"/>
              </w:rPr>
              <w:t>HW</w:t>
            </w:r>
            <w:r>
              <w:rPr>
                <w:rFonts w:hint="eastAsia"/>
                <w:sz w:val="24"/>
                <w:szCs w:val="28"/>
                <w:lang w:val="en-US" w:eastAsia="zh-CN"/>
              </w:rPr>
              <w:t>4</w:t>
            </w:r>
            <w:r>
              <w:rPr>
                <w:rFonts w:hint="eastAsia"/>
                <w:sz w:val="24"/>
                <w:szCs w:val="28"/>
              </w:rPr>
              <w:t>9</w:t>
            </w:r>
            <w:r>
              <w:rPr>
                <w:rFonts w:hint="eastAsia"/>
                <w:sz w:val="24"/>
                <w:szCs w:val="28"/>
                <w:lang w:eastAsia="zh-CN"/>
              </w:rPr>
              <w:t>，危废代码为</w:t>
            </w:r>
            <w:r>
              <w:rPr>
                <w:rFonts w:hint="eastAsia"/>
                <w:color w:val="auto"/>
                <w:sz w:val="24"/>
                <w:szCs w:val="28"/>
                <w:lang w:eastAsia="zh-CN"/>
              </w:rPr>
              <w:t>“900-041-49含有或沾染毒性、感染性危险废物的废弃包装物、容器、过滤吸附介质”</w:t>
            </w:r>
            <w:r>
              <w:rPr>
                <w:rFonts w:hint="eastAsia"/>
                <w:sz w:val="24"/>
                <w:szCs w:val="28"/>
                <w:lang w:eastAsia="zh-CN"/>
              </w:rPr>
              <w:t>。</w:t>
            </w:r>
            <w:r>
              <w:rPr>
                <w:color w:val="000000"/>
                <w:sz w:val="24"/>
              </w:rPr>
              <w:t>项目危险废物最终交由具有危险废物处置资质的单位处置</w:t>
            </w:r>
            <w:r>
              <w:rPr>
                <w:rFonts w:hint="eastAsia"/>
                <w:sz w:val="24"/>
                <w:szCs w:val="28"/>
              </w:rPr>
              <w:t>。</w:t>
            </w:r>
          </w:p>
          <w:p>
            <w:pPr>
              <w:spacing w:line="360" w:lineRule="auto"/>
              <w:ind w:firstLine="480" w:firstLineChars="200"/>
              <w:rPr>
                <w:rFonts w:hint="eastAsia"/>
                <w:sz w:val="24"/>
                <w:szCs w:val="28"/>
              </w:rPr>
            </w:pPr>
            <w:r>
              <w:rPr>
                <w:rFonts w:hint="eastAsia"/>
                <w:sz w:val="24"/>
                <w:szCs w:val="28"/>
              </w:rPr>
              <w:t>综上所述，本项目采取相应环保措施后，产生的固体废弃物得到妥当处置，对周围环境影响较小。</w:t>
            </w:r>
          </w:p>
          <w:p>
            <w:pPr>
              <w:spacing w:line="360" w:lineRule="auto"/>
              <w:ind w:firstLine="482" w:firstLineChars="200"/>
              <w:rPr>
                <w:rFonts w:hint="eastAsia" w:eastAsia="宋体"/>
                <w:b/>
                <w:sz w:val="24"/>
                <w:lang w:eastAsia="zh-CN"/>
              </w:rPr>
            </w:pPr>
            <w:r>
              <w:rPr>
                <w:rFonts w:hint="eastAsia"/>
                <w:b/>
                <w:sz w:val="24"/>
                <w:lang w:eastAsia="zh-CN"/>
              </w:rPr>
              <w:t>（五）土壤环境影响分析</w:t>
            </w:r>
          </w:p>
          <w:p>
            <w:pPr>
              <w:spacing w:line="360" w:lineRule="auto"/>
              <w:ind w:firstLine="480" w:firstLineChars="200"/>
              <w:rPr>
                <w:rFonts w:hint="eastAsia" w:ascii="宋体" w:hAnsi="宋体" w:cs="宋体"/>
                <w:sz w:val="24"/>
              </w:rPr>
            </w:pPr>
            <w:r>
              <w:rPr>
                <w:rFonts w:hint="eastAsia" w:ascii="宋体" w:hAnsi="宋体" w:cs="宋体"/>
                <w:sz w:val="24"/>
              </w:rPr>
              <w:t xml:space="preserve">根据《环境影响评价技术导则 </w:t>
            </w:r>
            <w:r>
              <w:rPr>
                <w:rFonts w:hint="eastAsia" w:ascii="宋体" w:hAnsi="宋体" w:cs="宋体"/>
                <w:sz w:val="24"/>
                <w:lang w:val="en-US" w:eastAsia="zh-CN"/>
              </w:rPr>
              <w:t xml:space="preserve"> </w:t>
            </w:r>
            <w:r>
              <w:rPr>
                <w:rFonts w:hint="eastAsia" w:ascii="宋体" w:hAnsi="宋体" w:cs="宋体"/>
                <w:sz w:val="24"/>
              </w:rPr>
              <w:t>土壤环境》（HJ964-2018），项目属于污染类项目。</w:t>
            </w:r>
          </w:p>
          <w:p>
            <w:pPr>
              <w:spacing w:line="360" w:lineRule="auto"/>
              <w:ind w:firstLine="480" w:firstLineChars="200"/>
              <w:rPr>
                <w:rFonts w:hint="eastAsia" w:ascii="宋体" w:hAnsi="宋体" w:cs="宋体"/>
                <w:sz w:val="24"/>
              </w:rPr>
            </w:pPr>
            <w:r>
              <w:rPr>
                <w:rFonts w:hint="eastAsia" w:ascii="宋体" w:hAnsi="宋体" w:cs="宋体"/>
                <w:sz w:val="24"/>
              </w:rPr>
              <w:t>（1）项目类型</w:t>
            </w:r>
          </w:p>
          <w:p>
            <w:pPr>
              <w:spacing w:line="360" w:lineRule="auto"/>
              <w:ind w:firstLine="480" w:firstLineChars="200"/>
              <w:rPr>
                <w:rFonts w:hint="eastAsia" w:ascii="宋体" w:hAnsi="宋体" w:cs="宋体"/>
                <w:sz w:val="24"/>
              </w:rPr>
            </w:pPr>
            <w:r>
              <w:rPr>
                <w:rFonts w:hint="eastAsia" w:ascii="宋体" w:hAnsi="宋体" w:cs="宋体"/>
                <w:sz w:val="24"/>
              </w:rPr>
              <w:t>项目租用土地</w:t>
            </w:r>
            <w:r>
              <w:rPr>
                <w:rFonts w:hint="default" w:ascii="Times New Roman" w:hAnsi="Times New Roman" w:cs="Times New Roman"/>
                <w:sz w:val="24"/>
                <w:lang w:val="en-US" w:eastAsia="zh-CN"/>
              </w:rPr>
              <w:t>1423.24m</w:t>
            </w:r>
            <w:r>
              <w:rPr>
                <w:rFonts w:hint="default" w:ascii="Times New Roman" w:hAnsi="Times New Roman" w:cs="Times New Roman"/>
                <w:sz w:val="24"/>
                <w:vertAlign w:val="superscript"/>
                <w:lang w:val="en-US" w:eastAsia="zh-CN"/>
              </w:rPr>
              <w:t>2</w:t>
            </w:r>
            <w:r>
              <w:rPr>
                <w:rFonts w:hint="default" w:ascii="Times New Roman" w:hAnsi="Times New Roman" w:cs="Times New Roman"/>
                <w:sz w:val="24"/>
              </w:rPr>
              <w:t>，面积小于5hm</w:t>
            </w:r>
            <w:r>
              <w:rPr>
                <w:rFonts w:hint="default" w:ascii="Times New Roman" w:hAnsi="Times New Roman" w:cs="Times New Roman"/>
                <w:sz w:val="24"/>
                <w:vertAlign w:val="superscript"/>
              </w:rPr>
              <w:t>2</w:t>
            </w:r>
            <w:r>
              <w:rPr>
                <w:rFonts w:hint="default" w:ascii="Times New Roman" w:hAnsi="Times New Roman" w:cs="Times New Roman"/>
                <w:sz w:val="24"/>
              </w:rPr>
              <w:t>(75亩)</w:t>
            </w:r>
            <w:r>
              <w:rPr>
                <w:rFonts w:hint="eastAsia" w:ascii="宋体" w:hAnsi="宋体" w:cs="宋体"/>
                <w:sz w:val="24"/>
              </w:rPr>
              <w:t>，属于小型项目。</w:t>
            </w:r>
          </w:p>
          <w:p>
            <w:pPr>
              <w:spacing w:line="360" w:lineRule="auto"/>
              <w:ind w:firstLine="480" w:firstLineChars="200"/>
              <w:rPr>
                <w:rFonts w:hint="eastAsia" w:ascii="宋体" w:hAnsi="宋体" w:cs="宋体"/>
                <w:sz w:val="24"/>
              </w:rPr>
            </w:pPr>
            <w:r>
              <w:rPr>
                <w:rFonts w:hint="eastAsia" w:ascii="宋体" w:hAnsi="宋体" w:cs="宋体"/>
                <w:sz w:val="24"/>
              </w:rPr>
              <w:t>（2）土壤环境敏感程度</w:t>
            </w:r>
          </w:p>
          <w:p>
            <w:pPr>
              <w:spacing w:line="360" w:lineRule="auto"/>
              <w:ind w:firstLine="480" w:firstLineChars="200"/>
              <w:rPr>
                <w:rFonts w:hint="eastAsia" w:ascii="宋体" w:hAnsi="宋体" w:cs="宋体"/>
                <w:sz w:val="24"/>
              </w:rPr>
            </w:pPr>
            <w:r>
              <w:rPr>
                <w:rFonts w:hint="eastAsia" w:ascii="宋体" w:hAnsi="宋体" w:cs="宋体"/>
                <w:sz w:val="24"/>
              </w:rPr>
              <w:t>由于项目属于小型项目，因此土壤评价的调查范围为项目周边0.05km，根据项目外环境关系图，项目北面50m范围内有绿化带、老乐井路，东面50m范围内为河滩涂地，今后将打造为河堤，南面为原</w:t>
            </w:r>
            <w:r>
              <w:rPr>
                <w:rFonts w:hint="eastAsia" w:hAnsi="宋体"/>
                <w:bCs/>
                <w:sz w:val="24"/>
              </w:rPr>
              <w:t>乐山市鑫瑞纺织有限公司</w:t>
            </w:r>
            <w:r>
              <w:rPr>
                <w:rFonts w:hint="eastAsia" w:ascii="宋体" w:hAnsi="宋体" w:cs="宋体"/>
                <w:sz w:val="24"/>
              </w:rPr>
              <w:t>的杂货仓库，西面50m范围为</w:t>
            </w:r>
            <w:r>
              <w:rPr>
                <w:rFonts w:hint="eastAsia" w:ascii="宋体" w:hAnsi="宋体" w:cs="宋体"/>
                <w:sz w:val="24"/>
                <w:lang w:eastAsia="zh-CN"/>
              </w:rPr>
              <w:t>乐山佳利来纺织厂</w:t>
            </w:r>
            <w:r>
              <w:rPr>
                <w:rFonts w:hint="eastAsia" w:ascii="宋体" w:hAnsi="宋体" w:cs="宋体"/>
                <w:sz w:val="24"/>
              </w:rPr>
              <w:t>，因此项目周边土壤环境敏感程度为不敏感。</w:t>
            </w:r>
          </w:p>
          <w:p>
            <w:pPr>
              <w:spacing w:line="360" w:lineRule="auto"/>
              <w:ind w:firstLine="480" w:firstLineChars="200"/>
              <w:rPr>
                <w:rFonts w:hint="eastAsia" w:ascii="宋体" w:hAnsi="宋体" w:cs="宋体"/>
                <w:sz w:val="24"/>
              </w:rPr>
            </w:pPr>
            <w:r>
              <w:rPr>
                <w:rFonts w:hint="eastAsia" w:ascii="宋体" w:hAnsi="宋体" w:cs="宋体"/>
                <w:sz w:val="24"/>
              </w:rPr>
              <w:t>（3）项目土壤环境影响评价类型</w:t>
            </w:r>
          </w:p>
          <w:p>
            <w:pPr>
              <w:spacing w:line="360" w:lineRule="auto"/>
              <w:ind w:firstLine="480" w:firstLineChars="200"/>
              <w:rPr>
                <w:rFonts w:hint="eastAsia" w:ascii="宋体" w:hAnsi="宋体" w:cs="宋体"/>
                <w:sz w:val="24"/>
              </w:rPr>
            </w:pPr>
            <w:r>
              <w:rPr>
                <w:rFonts w:hint="eastAsia" w:ascii="宋体" w:hAnsi="宋体" w:cs="宋体"/>
                <w:sz w:val="24"/>
              </w:rPr>
              <w:t>对照土壤环境影响评价类别表，项目属于其他用品制造，本项目不涉及化学处理工艺，不涉及电镀等，因此，项目为Ⅲ类项目。</w:t>
            </w:r>
          </w:p>
          <w:p>
            <w:pPr>
              <w:spacing w:line="360" w:lineRule="auto"/>
              <w:ind w:firstLine="480" w:firstLineChars="200"/>
              <w:rPr>
                <w:rFonts w:hint="eastAsia" w:ascii="宋体" w:hAnsi="宋体" w:cs="宋体"/>
                <w:sz w:val="24"/>
              </w:rPr>
            </w:pPr>
            <w:r>
              <w:rPr>
                <w:rFonts w:hint="eastAsia" w:ascii="宋体" w:hAnsi="宋体" w:cs="宋体"/>
                <w:sz w:val="24"/>
              </w:rPr>
              <w:t>（4）判定</w:t>
            </w:r>
          </w:p>
          <w:p>
            <w:pPr>
              <w:spacing w:line="360" w:lineRule="auto"/>
              <w:ind w:firstLine="480" w:firstLineChars="200"/>
              <w:rPr>
                <w:rFonts w:hint="eastAsia" w:ascii="宋体" w:hAnsi="宋体" w:cs="宋体"/>
                <w:sz w:val="24"/>
                <w:lang w:eastAsia="zh-CN"/>
              </w:rPr>
            </w:pPr>
            <w:r>
              <w:rPr>
                <w:rFonts w:hint="eastAsia" w:ascii="宋体" w:hAnsi="宋体" w:cs="宋体"/>
                <w:sz w:val="24"/>
              </w:rPr>
              <w:t>依据</w:t>
            </w:r>
            <w:r>
              <w:rPr>
                <w:rFonts w:hint="eastAsia" w:ascii="宋体" w:hAnsi="宋体" w:cs="宋体"/>
                <w:sz w:val="24"/>
                <w:lang w:eastAsia="zh-CN"/>
              </w:rPr>
              <w:t>土壤环境影响评价项目类别、占地规模与敏感程度划分评价工作等级，见下表。</w:t>
            </w:r>
          </w:p>
          <w:p>
            <w:pPr>
              <w:jc w:val="center"/>
              <w:rPr>
                <w:rFonts w:hint="eastAsia" w:ascii="宋体" w:hAnsi="宋体" w:eastAsia="宋体" w:cs="宋体"/>
                <w:sz w:val="24"/>
                <w:lang w:val="en-US" w:eastAsia="zh-CN"/>
              </w:rPr>
            </w:pPr>
            <w:r>
              <w:rPr>
                <w:rFonts w:hint="eastAsia" w:ascii="Times New Roman" w:hAnsi="Times New Roman" w:cs="Times New Roman"/>
                <w:b/>
                <w:bCs/>
                <w:sz w:val="21"/>
                <w:szCs w:val="21"/>
                <w:lang w:val="en-US" w:eastAsia="zh-CN"/>
              </w:rPr>
              <w:t>表7-20污染影响类型评价工作等级划分表</w:t>
            </w:r>
          </w:p>
          <w:tbl>
            <w:tblPr>
              <w:tblStyle w:val="70"/>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2"/>
              <w:gridCol w:w="791"/>
              <w:gridCol w:w="750"/>
              <w:gridCol w:w="750"/>
              <w:gridCol w:w="763"/>
              <w:gridCol w:w="737"/>
              <w:gridCol w:w="750"/>
              <w:gridCol w:w="736"/>
              <w:gridCol w:w="764"/>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372"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szCs w:val="21"/>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492760</wp:posOffset>
                            </wp:positionH>
                            <wp:positionV relativeFrom="paragraph">
                              <wp:posOffset>-3175</wp:posOffset>
                            </wp:positionV>
                            <wp:extent cx="944880" cy="570865"/>
                            <wp:effectExtent l="2540" t="3810" r="5080" b="15875"/>
                            <wp:wrapNone/>
                            <wp:docPr id="24" name="直接连接符 24"/>
                            <wp:cNvGraphicFramePr/>
                            <a:graphic xmlns:a="http://schemas.openxmlformats.org/drawingml/2006/main">
                              <a:graphicData uri="http://schemas.microsoft.com/office/word/2010/wordprocessingShape">
                                <wps:wsp>
                                  <wps:cNvSpPr/>
                                  <wps:spPr>
                                    <a:xfrm flipH="1" flipV="1">
                                      <a:off x="0" y="0"/>
                                      <a:ext cx="944880" cy="57086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38.8pt;margin-top:-0.25pt;height:44.95pt;width:74.4pt;z-index:251671552;mso-width-relative:page;mso-height-relative:page;" filled="f" stroked="t" coordsize="21600,21600" o:gfxdata="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jrF9&#10;1wAAAAcBAAAPAAAAAAAAAAEAIAAAACIAAABkcnMvZG93bnJldi54bWxQSwECFAAUAAAACACHTuJA&#10;RW0I7+kBAACwAwAADgAAAAAAAAABACAAAAAmAQAAZHJzL2Uyb0RvYy54bWxQSwUGAAAAAAYABgBZ&#10;AQAAgQUAAAAA&#10;">
                            <v:fill on="f" focussize="0,0"/>
                            <v:stroke weight="0.5pt" color="#000000" joinstyle="round"/>
                            <v:imagedata o:title=""/>
                            <o:lock v:ext="edit" aspectratio="f"/>
                          </v:line>
                        </w:pict>
                      </mc:Fallback>
                    </mc:AlternateContent>
                  </w:r>
                  <w:r>
                    <w:rPr>
                      <w:rFonts w:hint="eastAsia" w:eastAsia="宋体"/>
                      <w:szCs w:val="21"/>
                      <w:lang w:val="en-US" w:eastAsia="zh-CN"/>
                    </w:rPr>
                    <w:t xml:space="preserve">          占地规模</w:t>
                  </w:r>
                </w:p>
                <w:p>
                  <w:pPr>
                    <w:ind w:firstLine="210" w:firstLineChars="100"/>
                    <w:jc w:val="both"/>
                    <w:rPr>
                      <w:rFonts w:hint="eastAsia" w:eastAsia="宋体"/>
                      <w:szCs w:val="21"/>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-85725</wp:posOffset>
                            </wp:positionH>
                            <wp:positionV relativeFrom="paragraph">
                              <wp:posOffset>128270</wp:posOffset>
                            </wp:positionV>
                            <wp:extent cx="1531620" cy="250190"/>
                            <wp:effectExtent l="635" t="4445" r="10795" b="12065"/>
                            <wp:wrapNone/>
                            <wp:docPr id="25" name="直接连接符 25"/>
                            <wp:cNvGraphicFramePr/>
                            <a:graphic xmlns:a="http://schemas.openxmlformats.org/drawingml/2006/main">
                              <a:graphicData uri="http://schemas.microsoft.com/office/word/2010/wordprocessingShape">
                                <wps:wsp>
                                  <wps:cNvSpPr/>
                                  <wps:spPr>
                                    <a:xfrm flipH="1" flipV="1">
                                      <a:off x="0" y="0"/>
                                      <a:ext cx="1531620" cy="25019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6.75pt;margin-top:10.1pt;height:19.7pt;width:120.6pt;z-index:251672576;mso-width-relative:page;mso-height-relative:page;" filled="f" stroked="t" coordsize="21600,21600" o:gfxdata="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cQrZ2QAAAAkBAAAPAAAAAAAAAAEAIAAAACIAAABkcnMvZG93bnJldi54bWxQSwECFAAUAAAA&#10;CACHTuJAQZJRge0BAACxAwAADgAAAAAAAAABACAAAAAoAQAAZHJzL2Uyb0RvYy54bWxQSwUGAAAA&#10;AAYABgBZAQAAhwUAAAAA&#10;">
                            <v:fill on="f" focussize="0,0"/>
                            <v:stroke weight="0.5pt" color="#000000" joinstyle="round"/>
                            <v:imagedata o:title=""/>
                            <o:lock v:ext="edit" aspectratio="f"/>
                          </v:line>
                        </w:pict>
                      </mc:Fallback>
                    </mc:AlternateContent>
                  </w:r>
                  <w:r>
                    <w:rPr>
                      <w:rFonts w:hint="eastAsia" w:eastAsia="宋体"/>
                      <w:szCs w:val="21"/>
                      <w:lang w:val="en-US" w:eastAsia="zh-CN"/>
                    </w:rPr>
                    <w:t>评价工作等级</w:t>
                  </w:r>
                </w:p>
                <w:p>
                  <w:pPr>
                    <w:jc w:val="left"/>
                    <w:rPr>
                      <w:rFonts w:hint="default" w:eastAsia="宋体"/>
                      <w:szCs w:val="21"/>
                      <w:lang w:val="en-US" w:eastAsia="zh-CN"/>
                    </w:rPr>
                  </w:pPr>
                  <w:r>
                    <w:rPr>
                      <w:rFonts w:hint="eastAsia" w:eastAsia="宋体"/>
                      <w:szCs w:val="21"/>
                      <w:lang w:val="en-US" w:eastAsia="zh-CN"/>
                    </w:rPr>
                    <w:t>敏感程度</w:t>
                  </w:r>
                </w:p>
              </w:tc>
              <w:tc>
                <w:tcPr>
                  <w:tcW w:w="2291" w:type="dxa"/>
                  <w:gridSpan w:val="3"/>
                  <w:noWrap w:val="0"/>
                  <w:vAlign w:val="center"/>
                </w:tcPr>
                <w:p>
                  <w:pPr>
                    <w:jc w:val="center"/>
                    <w:rPr>
                      <w:rFonts w:hint="eastAsia" w:eastAsia="宋体"/>
                      <w:szCs w:val="21"/>
                      <w:lang w:eastAsia="zh-CN"/>
                    </w:rPr>
                  </w:pPr>
                  <w:r>
                    <w:rPr>
                      <w:rFonts w:hint="eastAsia" w:eastAsia="宋体"/>
                      <w:szCs w:val="21"/>
                      <w:lang w:eastAsia="zh-CN"/>
                    </w:rPr>
                    <w:t>Ⅰ类</w:t>
                  </w:r>
                </w:p>
              </w:tc>
              <w:tc>
                <w:tcPr>
                  <w:tcW w:w="2250" w:type="dxa"/>
                  <w:gridSpan w:val="3"/>
                  <w:noWrap w:val="0"/>
                  <w:vAlign w:val="center"/>
                </w:tcPr>
                <w:p>
                  <w:pPr>
                    <w:jc w:val="center"/>
                    <w:rPr>
                      <w:rFonts w:hint="eastAsia" w:eastAsia="宋体"/>
                      <w:szCs w:val="21"/>
                      <w:lang w:eastAsia="zh-CN"/>
                    </w:rPr>
                  </w:pPr>
                  <w:r>
                    <w:rPr>
                      <w:rFonts w:hint="eastAsia" w:eastAsia="宋体"/>
                      <w:szCs w:val="21"/>
                      <w:lang w:eastAsia="zh-CN"/>
                    </w:rPr>
                    <w:t>Ⅱ类</w:t>
                  </w:r>
                </w:p>
              </w:tc>
              <w:tc>
                <w:tcPr>
                  <w:tcW w:w="2194" w:type="dxa"/>
                  <w:gridSpan w:val="3"/>
                  <w:noWrap w:val="0"/>
                  <w:vAlign w:val="center"/>
                </w:tcPr>
                <w:p>
                  <w:pPr>
                    <w:jc w:val="center"/>
                    <w:rPr>
                      <w:rFonts w:hint="eastAsia" w:eastAsia="宋体"/>
                      <w:szCs w:val="21"/>
                      <w:lang w:eastAsia="zh-CN"/>
                    </w:rPr>
                  </w:pPr>
                  <w:r>
                    <w:rPr>
                      <w:rFonts w:hint="eastAsia" w:eastAsia="宋体"/>
                      <w:szCs w:val="21"/>
                      <w:lang w:eastAsia="zh-CN"/>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2372" w:type="dxa"/>
                  <w:vMerge w:val="continue"/>
                  <w:noWrap w:val="0"/>
                  <w:vAlign w:val="center"/>
                </w:tcPr>
                <w:p>
                  <w:pPr>
                    <w:jc w:val="center"/>
                    <w:rPr>
                      <w:rFonts w:hint="eastAsia" w:eastAsia="宋体"/>
                      <w:szCs w:val="21"/>
                      <w:lang w:eastAsia="zh-CN"/>
                    </w:rPr>
                  </w:pPr>
                </w:p>
              </w:tc>
              <w:tc>
                <w:tcPr>
                  <w:tcW w:w="791" w:type="dxa"/>
                  <w:noWrap w:val="0"/>
                  <w:vAlign w:val="center"/>
                </w:tcPr>
                <w:p>
                  <w:pPr>
                    <w:jc w:val="center"/>
                    <w:rPr>
                      <w:rFonts w:hint="eastAsia" w:eastAsia="宋体"/>
                      <w:szCs w:val="21"/>
                      <w:lang w:eastAsia="zh-CN"/>
                    </w:rPr>
                  </w:pPr>
                  <w:r>
                    <w:rPr>
                      <w:rFonts w:hint="eastAsia" w:eastAsia="宋体"/>
                      <w:szCs w:val="21"/>
                      <w:lang w:eastAsia="zh-CN"/>
                    </w:rPr>
                    <w:t>大</w:t>
                  </w:r>
                </w:p>
              </w:tc>
              <w:tc>
                <w:tcPr>
                  <w:tcW w:w="750" w:type="dxa"/>
                  <w:noWrap w:val="0"/>
                  <w:vAlign w:val="center"/>
                </w:tcPr>
                <w:p>
                  <w:pPr>
                    <w:jc w:val="center"/>
                    <w:rPr>
                      <w:rFonts w:hint="eastAsia" w:eastAsia="宋体"/>
                      <w:szCs w:val="21"/>
                      <w:lang w:eastAsia="zh-CN"/>
                    </w:rPr>
                  </w:pPr>
                  <w:r>
                    <w:rPr>
                      <w:rFonts w:hint="eastAsia" w:eastAsia="宋体"/>
                      <w:szCs w:val="21"/>
                      <w:lang w:eastAsia="zh-CN"/>
                    </w:rPr>
                    <w:t>中</w:t>
                  </w:r>
                </w:p>
              </w:tc>
              <w:tc>
                <w:tcPr>
                  <w:tcW w:w="750" w:type="dxa"/>
                  <w:noWrap w:val="0"/>
                  <w:vAlign w:val="center"/>
                </w:tcPr>
                <w:p>
                  <w:pPr>
                    <w:jc w:val="center"/>
                    <w:rPr>
                      <w:rFonts w:hint="eastAsia" w:eastAsia="宋体"/>
                      <w:szCs w:val="21"/>
                      <w:lang w:eastAsia="zh-CN"/>
                    </w:rPr>
                  </w:pPr>
                  <w:r>
                    <w:rPr>
                      <w:rFonts w:hint="eastAsia" w:eastAsia="宋体"/>
                      <w:szCs w:val="21"/>
                      <w:lang w:eastAsia="zh-CN"/>
                    </w:rPr>
                    <w:t>小</w:t>
                  </w:r>
                </w:p>
              </w:tc>
              <w:tc>
                <w:tcPr>
                  <w:tcW w:w="763" w:type="dxa"/>
                  <w:noWrap w:val="0"/>
                  <w:vAlign w:val="center"/>
                </w:tcPr>
                <w:p>
                  <w:pPr>
                    <w:jc w:val="center"/>
                    <w:rPr>
                      <w:rFonts w:hint="eastAsia" w:eastAsia="宋体"/>
                      <w:szCs w:val="21"/>
                      <w:lang w:eastAsia="zh-CN"/>
                    </w:rPr>
                  </w:pPr>
                  <w:r>
                    <w:rPr>
                      <w:rFonts w:hint="eastAsia" w:eastAsia="宋体"/>
                      <w:szCs w:val="21"/>
                      <w:lang w:eastAsia="zh-CN"/>
                    </w:rPr>
                    <w:t>大</w:t>
                  </w:r>
                </w:p>
              </w:tc>
              <w:tc>
                <w:tcPr>
                  <w:tcW w:w="737" w:type="dxa"/>
                  <w:noWrap w:val="0"/>
                  <w:vAlign w:val="center"/>
                </w:tcPr>
                <w:p>
                  <w:pPr>
                    <w:jc w:val="center"/>
                    <w:rPr>
                      <w:rFonts w:hint="eastAsia" w:eastAsia="宋体"/>
                      <w:szCs w:val="21"/>
                      <w:lang w:eastAsia="zh-CN"/>
                    </w:rPr>
                  </w:pPr>
                  <w:r>
                    <w:rPr>
                      <w:rFonts w:hint="eastAsia" w:eastAsia="宋体"/>
                      <w:szCs w:val="21"/>
                      <w:lang w:eastAsia="zh-CN"/>
                    </w:rPr>
                    <w:t>中</w:t>
                  </w:r>
                </w:p>
              </w:tc>
              <w:tc>
                <w:tcPr>
                  <w:tcW w:w="750" w:type="dxa"/>
                  <w:noWrap w:val="0"/>
                  <w:vAlign w:val="center"/>
                </w:tcPr>
                <w:p>
                  <w:pPr>
                    <w:jc w:val="center"/>
                    <w:rPr>
                      <w:rFonts w:hint="eastAsia" w:eastAsia="宋体"/>
                      <w:szCs w:val="21"/>
                      <w:lang w:eastAsia="zh-CN"/>
                    </w:rPr>
                  </w:pPr>
                  <w:r>
                    <w:rPr>
                      <w:rFonts w:hint="eastAsia" w:eastAsia="宋体"/>
                      <w:szCs w:val="21"/>
                      <w:lang w:eastAsia="zh-CN"/>
                    </w:rPr>
                    <w:t>小</w:t>
                  </w:r>
                </w:p>
              </w:tc>
              <w:tc>
                <w:tcPr>
                  <w:tcW w:w="736" w:type="dxa"/>
                  <w:noWrap w:val="0"/>
                  <w:vAlign w:val="center"/>
                </w:tcPr>
                <w:p>
                  <w:pPr>
                    <w:jc w:val="center"/>
                    <w:rPr>
                      <w:rFonts w:hint="eastAsia" w:eastAsia="宋体"/>
                      <w:szCs w:val="21"/>
                      <w:lang w:eastAsia="zh-CN"/>
                    </w:rPr>
                  </w:pPr>
                  <w:r>
                    <w:rPr>
                      <w:rFonts w:hint="eastAsia" w:eastAsia="宋体"/>
                      <w:szCs w:val="21"/>
                      <w:lang w:eastAsia="zh-CN"/>
                    </w:rPr>
                    <w:t>大</w:t>
                  </w:r>
                </w:p>
              </w:tc>
              <w:tc>
                <w:tcPr>
                  <w:tcW w:w="764" w:type="dxa"/>
                  <w:noWrap w:val="0"/>
                  <w:vAlign w:val="center"/>
                </w:tcPr>
                <w:p>
                  <w:pPr>
                    <w:jc w:val="center"/>
                    <w:rPr>
                      <w:rFonts w:hint="eastAsia" w:eastAsia="宋体"/>
                      <w:szCs w:val="21"/>
                      <w:lang w:eastAsia="zh-CN"/>
                    </w:rPr>
                  </w:pPr>
                  <w:r>
                    <w:rPr>
                      <w:rFonts w:hint="eastAsia" w:eastAsia="宋体"/>
                      <w:szCs w:val="21"/>
                      <w:lang w:eastAsia="zh-CN"/>
                    </w:rPr>
                    <w:t>中</w:t>
                  </w:r>
                </w:p>
              </w:tc>
              <w:tc>
                <w:tcPr>
                  <w:tcW w:w="694" w:type="dxa"/>
                  <w:noWrap w:val="0"/>
                  <w:vAlign w:val="center"/>
                </w:tcPr>
                <w:p>
                  <w:pPr>
                    <w:jc w:val="center"/>
                    <w:rPr>
                      <w:rFonts w:hint="eastAsia" w:eastAsia="宋体"/>
                      <w:szCs w:val="21"/>
                      <w:lang w:eastAsia="zh-CN"/>
                    </w:rPr>
                  </w:pPr>
                  <w:r>
                    <w:rPr>
                      <w:rFonts w:hint="eastAsia" w:eastAsia="宋体"/>
                      <w:szCs w:val="21"/>
                      <w:lang w:eastAsia="zh-CN"/>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2" w:type="dxa"/>
                  <w:noWrap w:val="0"/>
                  <w:vAlign w:val="center"/>
                </w:tcPr>
                <w:p>
                  <w:pPr>
                    <w:jc w:val="center"/>
                    <w:rPr>
                      <w:rFonts w:hint="eastAsia" w:eastAsia="宋体"/>
                      <w:szCs w:val="21"/>
                      <w:lang w:eastAsia="zh-CN"/>
                    </w:rPr>
                  </w:pPr>
                  <w:r>
                    <w:rPr>
                      <w:rFonts w:hint="eastAsia" w:eastAsia="宋体"/>
                      <w:szCs w:val="21"/>
                      <w:lang w:eastAsia="zh-CN"/>
                    </w:rPr>
                    <w:t>敏感</w:t>
                  </w:r>
                </w:p>
              </w:tc>
              <w:tc>
                <w:tcPr>
                  <w:tcW w:w="791" w:type="dxa"/>
                  <w:noWrap w:val="0"/>
                  <w:vAlign w:val="center"/>
                </w:tcPr>
                <w:p>
                  <w:pPr>
                    <w:jc w:val="center"/>
                    <w:rPr>
                      <w:rFonts w:hint="eastAsia" w:eastAsia="宋体"/>
                      <w:szCs w:val="21"/>
                      <w:lang w:eastAsia="zh-CN"/>
                    </w:rPr>
                  </w:pPr>
                  <w:r>
                    <w:rPr>
                      <w:rFonts w:hint="eastAsia" w:eastAsia="宋体"/>
                      <w:szCs w:val="21"/>
                      <w:lang w:eastAsia="zh-CN"/>
                    </w:rPr>
                    <w:t>一级</w:t>
                  </w:r>
                </w:p>
              </w:tc>
              <w:tc>
                <w:tcPr>
                  <w:tcW w:w="750" w:type="dxa"/>
                  <w:noWrap w:val="0"/>
                  <w:vAlign w:val="center"/>
                </w:tcPr>
                <w:p>
                  <w:pPr>
                    <w:jc w:val="center"/>
                    <w:rPr>
                      <w:rFonts w:hint="eastAsia" w:eastAsia="宋体"/>
                      <w:szCs w:val="21"/>
                      <w:lang w:eastAsia="zh-CN"/>
                    </w:rPr>
                  </w:pPr>
                  <w:r>
                    <w:rPr>
                      <w:rFonts w:hint="eastAsia" w:eastAsia="宋体"/>
                      <w:szCs w:val="21"/>
                      <w:lang w:eastAsia="zh-CN"/>
                    </w:rPr>
                    <w:t>一级</w:t>
                  </w:r>
                </w:p>
              </w:tc>
              <w:tc>
                <w:tcPr>
                  <w:tcW w:w="750" w:type="dxa"/>
                  <w:noWrap w:val="0"/>
                  <w:vAlign w:val="center"/>
                </w:tcPr>
                <w:p>
                  <w:pPr>
                    <w:jc w:val="center"/>
                    <w:rPr>
                      <w:rFonts w:hint="eastAsia" w:eastAsia="宋体"/>
                      <w:szCs w:val="21"/>
                      <w:lang w:eastAsia="zh-CN"/>
                    </w:rPr>
                  </w:pPr>
                  <w:r>
                    <w:rPr>
                      <w:rFonts w:hint="eastAsia" w:eastAsia="宋体"/>
                      <w:szCs w:val="21"/>
                      <w:lang w:eastAsia="zh-CN"/>
                    </w:rPr>
                    <w:t>一级</w:t>
                  </w:r>
                </w:p>
              </w:tc>
              <w:tc>
                <w:tcPr>
                  <w:tcW w:w="763" w:type="dxa"/>
                  <w:noWrap w:val="0"/>
                  <w:vAlign w:val="center"/>
                </w:tcPr>
                <w:p>
                  <w:pPr>
                    <w:jc w:val="center"/>
                    <w:rPr>
                      <w:rFonts w:hint="eastAsia" w:eastAsia="宋体"/>
                      <w:szCs w:val="21"/>
                      <w:lang w:eastAsia="zh-CN"/>
                    </w:rPr>
                  </w:pPr>
                  <w:r>
                    <w:rPr>
                      <w:rFonts w:hint="eastAsia" w:eastAsia="宋体"/>
                      <w:szCs w:val="21"/>
                      <w:lang w:eastAsia="zh-CN"/>
                    </w:rPr>
                    <w:t>二级</w:t>
                  </w:r>
                </w:p>
              </w:tc>
              <w:tc>
                <w:tcPr>
                  <w:tcW w:w="737" w:type="dxa"/>
                  <w:noWrap w:val="0"/>
                  <w:vAlign w:val="center"/>
                </w:tcPr>
                <w:p>
                  <w:pPr>
                    <w:jc w:val="center"/>
                    <w:rPr>
                      <w:rFonts w:hint="eastAsia" w:eastAsia="宋体"/>
                      <w:szCs w:val="21"/>
                      <w:lang w:eastAsia="zh-CN"/>
                    </w:rPr>
                  </w:pPr>
                  <w:r>
                    <w:rPr>
                      <w:rFonts w:hint="eastAsia" w:eastAsia="宋体"/>
                      <w:szCs w:val="21"/>
                      <w:lang w:eastAsia="zh-CN"/>
                    </w:rPr>
                    <w:t>二级</w:t>
                  </w:r>
                </w:p>
              </w:tc>
              <w:tc>
                <w:tcPr>
                  <w:tcW w:w="750" w:type="dxa"/>
                  <w:noWrap w:val="0"/>
                  <w:vAlign w:val="center"/>
                </w:tcPr>
                <w:p>
                  <w:pPr>
                    <w:jc w:val="center"/>
                    <w:rPr>
                      <w:rFonts w:hint="eastAsia" w:eastAsia="宋体"/>
                      <w:szCs w:val="21"/>
                      <w:lang w:eastAsia="zh-CN"/>
                    </w:rPr>
                  </w:pPr>
                  <w:r>
                    <w:rPr>
                      <w:rFonts w:hint="eastAsia" w:eastAsia="宋体"/>
                      <w:szCs w:val="21"/>
                      <w:lang w:eastAsia="zh-CN"/>
                    </w:rPr>
                    <w:t>二级</w:t>
                  </w:r>
                </w:p>
              </w:tc>
              <w:tc>
                <w:tcPr>
                  <w:tcW w:w="736" w:type="dxa"/>
                  <w:noWrap w:val="0"/>
                  <w:vAlign w:val="center"/>
                </w:tcPr>
                <w:p>
                  <w:pPr>
                    <w:jc w:val="center"/>
                    <w:rPr>
                      <w:rFonts w:hint="eastAsia" w:eastAsia="宋体"/>
                      <w:szCs w:val="21"/>
                      <w:lang w:eastAsia="zh-CN"/>
                    </w:rPr>
                  </w:pPr>
                  <w:r>
                    <w:rPr>
                      <w:rFonts w:hint="eastAsia" w:eastAsia="宋体"/>
                      <w:szCs w:val="21"/>
                      <w:lang w:eastAsia="zh-CN"/>
                    </w:rPr>
                    <w:t>三级</w:t>
                  </w:r>
                </w:p>
              </w:tc>
              <w:tc>
                <w:tcPr>
                  <w:tcW w:w="764" w:type="dxa"/>
                  <w:noWrap w:val="0"/>
                  <w:vAlign w:val="center"/>
                </w:tcPr>
                <w:p>
                  <w:pPr>
                    <w:jc w:val="center"/>
                    <w:rPr>
                      <w:rFonts w:hint="eastAsia" w:eastAsia="宋体"/>
                      <w:szCs w:val="21"/>
                      <w:lang w:eastAsia="zh-CN"/>
                    </w:rPr>
                  </w:pPr>
                  <w:r>
                    <w:rPr>
                      <w:rFonts w:hint="eastAsia" w:eastAsia="宋体"/>
                      <w:szCs w:val="21"/>
                      <w:lang w:eastAsia="zh-CN"/>
                    </w:rPr>
                    <w:t>三级</w:t>
                  </w:r>
                </w:p>
              </w:tc>
              <w:tc>
                <w:tcPr>
                  <w:tcW w:w="694" w:type="dxa"/>
                  <w:noWrap w:val="0"/>
                  <w:vAlign w:val="center"/>
                </w:tcPr>
                <w:p>
                  <w:pPr>
                    <w:jc w:val="center"/>
                    <w:rPr>
                      <w:rFonts w:hint="eastAsia" w:eastAsia="宋体"/>
                      <w:szCs w:val="21"/>
                      <w:lang w:eastAsia="zh-CN"/>
                    </w:rPr>
                  </w:pPr>
                  <w:r>
                    <w:rPr>
                      <w:rFonts w:hint="eastAsia" w:eastAsia="宋体"/>
                      <w:szCs w:val="21"/>
                      <w:lang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2" w:type="dxa"/>
                  <w:noWrap w:val="0"/>
                  <w:vAlign w:val="center"/>
                </w:tcPr>
                <w:p>
                  <w:pPr>
                    <w:jc w:val="center"/>
                    <w:rPr>
                      <w:rFonts w:hint="eastAsia" w:eastAsia="宋体"/>
                      <w:szCs w:val="21"/>
                      <w:lang w:eastAsia="zh-CN"/>
                    </w:rPr>
                  </w:pPr>
                  <w:r>
                    <w:rPr>
                      <w:rFonts w:hint="eastAsia" w:eastAsia="宋体"/>
                      <w:szCs w:val="21"/>
                      <w:lang w:eastAsia="zh-CN"/>
                    </w:rPr>
                    <w:t>较敏感</w:t>
                  </w:r>
                </w:p>
              </w:tc>
              <w:tc>
                <w:tcPr>
                  <w:tcW w:w="791" w:type="dxa"/>
                  <w:noWrap w:val="0"/>
                  <w:vAlign w:val="center"/>
                </w:tcPr>
                <w:p>
                  <w:pPr>
                    <w:jc w:val="center"/>
                    <w:rPr>
                      <w:rFonts w:hint="eastAsia" w:eastAsia="宋体"/>
                      <w:szCs w:val="21"/>
                      <w:lang w:eastAsia="zh-CN"/>
                    </w:rPr>
                  </w:pPr>
                  <w:r>
                    <w:rPr>
                      <w:rFonts w:hint="eastAsia" w:eastAsia="宋体"/>
                      <w:szCs w:val="21"/>
                      <w:lang w:eastAsia="zh-CN"/>
                    </w:rPr>
                    <w:t>一级</w:t>
                  </w:r>
                </w:p>
              </w:tc>
              <w:tc>
                <w:tcPr>
                  <w:tcW w:w="750" w:type="dxa"/>
                  <w:noWrap w:val="0"/>
                  <w:vAlign w:val="center"/>
                </w:tcPr>
                <w:p>
                  <w:pPr>
                    <w:jc w:val="center"/>
                    <w:rPr>
                      <w:rFonts w:hint="eastAsia" w:eastAsia="宋体"/>
                      <w:szCs w:val="21"/>
                      <w:lang w:eastAsia="zh-CN"/>
                    </w:rPr>
                  </w:pPr>
                  <w:r>
                    <w:rPr>
                      <w:rFonts w:hint="eastAsia" w:eastAsia="宋体"/>
                      <w:szCs w:val="21"/>
                      <w:lang w:eastAsia="zh-CN"/>
                    </w:rPr>
                    <w:t>一级</w:t>
                  </w:r>
                </w:p>
              </w:tc>
              <w:tc>
                <w:tcPr>
                  <w:tcW w:w="750" w:type="dxa"/>
                  <w:noWrap w:val="0"/>
                  <w:vAlign w:val="center"/>
                </w:tcPr>
                <w:p>
                  <w:pPr>
                    <w:jc w:val="center"/>
                    <w:rPr>
                      <w:rFonts w:hint="eastAsia" w:eastAsia="宋体"/>
                      <w:szCs w:val="21"/>
                      <w:lang w:eastAsia="zh-CN"/>
                    </w:rPr>
                  </w:pPr>
                  <w:r>
                    <w:rPr>
                      <w:rFonts w:hint="eastAsia" w:eastAsia="宋体"/>
                      <w:szCs w:val="21"/>
                      <w:lang w:eastAsia="zh-CN"/>
                    </w:rPr>
                    <w:t>二级</w:t>
                  </w:r>
                </w:p>
              </w:tc>
              <w:tc>
                <w:tcPr>
                  <w:tcW w:w="763" w:type="dxa"/>
                  <w:noWrap w:val="0"/>
                  <w:vAlign w:val="center"/>
                </w:tcPr>
                <w:p>
                  <w:pPr>
                    <w:jc w:val="center"/>
                    <w:rPr>
                      <w:rFonts w:hint="eastAsia" w:eastAsia="宋体"/>
                      <w:szCs w:val="21"/>
                      <w:lang w:eastAsia="zh-CN"/>
                    </w:rPr>
                  </w:pPr>
                  <w:r>
                    <w:rPr>
                      <w:rFonts w:hint="eastAsia" w:eastAsia="宋体"/>
                      <w:szCs w:val="21"/>
                      <w:lang w:eastAsia="zh-CN"/>
                    </w:rPr>
                    <w:t>二级</w:t>
                  </w:r>
                </w:p>
              </w:tc>
              <w:tc>
                <w:tcPr>
                  <w:tcW w:w="737" w:type="dxa"/>
                  <w:noWrap w:val="0"/>
                  <w:vAlign w:val="center"/>
                </w:tcPr>
                <w:p>
                  <w:pPr>
                    <w:jc w:val="center"/>
                    <w:rPr>
                      <w:rFonts w:hint="eastAsia" w:eastAsia="宋体"/>
                      <w:szCs w:val="21"/>
                      <w:lang w:eastAsia="zh-CN"/>
                    </w:rPr>
                  </w:pPr>
                  <w:r>
                    <w:rPr>
                      <w:rFonts w:hint="eastAsia" w:eastAsia="宋体"/>
                      <w:szCs w:val="21"/>
                      <w:lang w:eastAsia="zh-CN"/>
                    </w:rPr>
                    <w:t>二级</w:t>
                  </w:r>
                </w:p>
              </w:tc>
              <w:tc>
                <w:tcPr>
                  <w:tcW w:w="750" w:type="dxa"/>
                  <w:noWrap w:val="0"/>
                  <w:vAlign w:val="center"/>
                </w:tcPr>
                <w:p>
                  <w:pPr>
                    <w:jc w:val="center"/>
                    <w:rPr>
                      <w:rFonts w:hint="eastAsia" w:eastAsia="宋体"/>
                      <w:szCs w:val="21"/>
                      <w:lang w:eastAsia="zh-CN"/>
                    </w:rPr>
                  </w:pPr>
                  <w:r>
                    <w:rPr>
                      <w:rFonts w:hint="eastAsia" w:eastAsia="宋体"/>
                      <w:szCs w:val="21"/>
                      <w:lang w:eastAsia="zh-CN"/>
                    </w:rPr>
                    <w:t>三级</w:t>
                  </w:r>
                </w:p>
              </w:tc>
              <w:tc>
                <w:tcPr>
                  <w:tcW w:w="736" w:type="dxa"/>
                  <w:noWrap w:val="0"/>
                  <w:vAlign w:val="center"/>
                </w:tcPr>
                <w:p>
                  <w:pPr>
                    <w:jc w:val="center"/>
                    <w:rPr>
                      <w:rFonts w:hint="eastAsia" w:eastAsia="宋体"/>
                      <w:szCs w:val="21"/>
                      <w:lang w:eastAsia="zh-CN"/>
                    </w:rPr>
                  </w:pPr>
                  <w:r>
                    <w:rPr>
                      <w:rFonts w:hint="eastAsia" w:eastAsia="宋体"/>
                      <w:szCs w:val="21"/>
                      <w:lang w:eastAsia="zh-CN"/>
                    </w:rPr>
                    <w:t>三级</w:t>
                  </w:r>
                </w:p>
              </w:tc>
              <w:tc>
                <w:tcPr>
                  <w:tcW w:w="764" w:type="dxa"/>
                  <w:noWrap w:val="0"/>
                  <w:vAlign w:val="center"/>
                </w:tcPr>
                <w:p>
                  <w:pPr>
                    <w:jc w:val="center"/>
                    <w:rPr>
                      <w:rFonts w:hint="eastAsia" w:eastAsia="宋体"/>
                      <w:szCs w:val="21"/>
                      <w:lang w:eastAsia="zh-CN"/>
                    </w:rPr>
                  </w:pPr>
                  <w:r>
                    <w:rPr>
                      <w:rFonts w:hint="eastAsia" w:eastAsia="宋体"/>
                      <w:szCs w:val="21"/>
                      <w:lang w:eastAsia="zh-CN"/>
                    </w:rPr>
                    <w:t>三级</w:t>
                  </w:r>
                </w:p>
              </w:tc>
              <w:tc>
                <w:tcPr>
                  <w:tcW w:w="694" w:type="dxa"/>
                  <w:noWrap w:val="0"/>
                  <w:vAlign w:val="center"/>
                </w:tcPr>
                <w:p>
                  <w:pPr>
                    <w:jc w:val="center"/>
                    <w:rPr>
                      <w:rFonts w:hint="eastAsia" w:eastAsia="宋体"/>
                      <w:szCs w:val="21"/>
                      <w:lang w:eastAsia="zh-CN"/>
                    </w:rPr>
                  </w:pPr>
                  <w:r>
                    <w:rPr>
                      <w:rFonts w:hint="eastAsia" w:eastAsia="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2" w:type="dxa"/>
                  <w:noWrap w:val="0"/>
                  <w:vAlign w:val="center"/>
                </w:tcPr>
                <w:p>
                  <w:pPr>
                    <w:jc w:val="center"/>
                    <w:rPr>
                      <w:rFonts w:hint="eastAsia" w:eastAsia="宋体"/>
                      <w:szCs w:val="21"/>
                      <w:lang w:eastAsia="zh-CN"/>
                    </w:rPr>
                  </w:pPr>
                  <w:r>
                    <w:rPr>
                      <w:rFonts w:hint="eastAsia" w:eastAsia="宋体"/>
                      <w:szCs w:val="21"/>
                      <w:lang w:eastAsia="zh-CN"/>
                    </w:rPr>
                    <w:t>不敏感</w:t>
                  </w:r>
                </w:p>
              </w:tc>
              <w:tc>
                <w:tcPr>
                  <w:tcW w:w="791" w:type="dxa"/>
                  <w:noWrap w:val="0"/>
                  <w:vAlign w:val="center"/>
                </w:tcPr>
                <w:p>
                  <w:pPr>
                    <w:jc w:val="center"/>
                    <w:rPr>
                      <w:rFonts w:hint="eastAsia" w:eastAsia="宋体"/>
                      <w:szCs w:val="21"/>
                      <w:lang w:eastAsia="zh-CN"/>
                    </w:rPr>
                  </w:pPr>
                  <w:r>
                    <w:rPr>
                      <w:rFonts w:hint="eastAsia" w:eastAsia="宋体"/>
                      <w:szCs w:val="21"/>
                      <w:lang w:eastAsia="zh-CN"/>
                    </w:rPr>
                    <w:t>一级</w:t>
                  </w:r>
                </w:p>
              </w:tc>
              <w:tc>
                <w:tcPr>
                  <w:tcW w:w="750" w:type="dxa"/>
                  <w:noWrap w:val="0"/>
                  <w:vAlign w:val="center"/>
                </w:tcPr>
                <w:p>
                  <w:pPr>
                    <w:jc w:val="center"/>
                    <w:rPr>
                      <w:rFonts w:hint="eastAsia" w:eastAsia="宋体"/>
                      <w:szCs w:val="21"/>
                      <w:lang w:eastAsia="zh-CN"/>
                    </w:rPr>
                  </w:pPr>
                  <w:r>
                    <w:rPr>
                      <w:rFonts w:hint="eastAsia" w:eastAsia="宋体"/>
                      <w:szCs w:val="21"/>
                      <w:lang w:eastAsia="zh-CN"/>
                    </w:rPr>
                    <w:t>二级</w:t>
                  </w:r>
                </w:p>
              </w:tc>
              <w:tc>
                <w:tcPr>
                  <w:tcW w:w="750" w:type="dxa"/>
                  <w:noWrap w:val="0"/>
                  <w:vAlign w:val="center"/>
                </w:tcPr>
                <w:p>
                  <w:pPr>
                    <w:jc w:val="center"/>
                    <w:rPr>
                      <w:rFonts w:hint="eastAsia" w:eastAsia="宋体"/>
                      <w:szCs w:val="21"/>
                      <w:lang w:eastAsia="zh-CN"/>
                    </w:rPr>
                  </w:pPr>
                  <w:r>
                    <w:rPr>
                      <w:rFonts w:hint="eastAsia" w:eastAsia="宋体"/>
                      <w:szCs w:val="21"/>
                      <w:lang w:eastAsia="zh-CN"/>
                    </w:rPr>
                    <w:t>二级</w:t>
                  </w:r>
                </w:p>
              </w:tc>
              <w:tc>
                <w:tcPr>
                  <w:tcW w:w="763" w:type="dxa"/>
                  <w:noWrap w:val="0"/>
                  <w:vAlign w:val="center"/>
                </w:tcPr>
                <w:p>
                  <w:pPr>
                    <w:jc w:val="center"/>
                    <w:rPr>
                      <w:rFonts w:hint="eastAsia" w:eastAsia="宋体"/>
                      <w:szCs w:val="21"/>
                      <w:lang w:eastAsia="zh-CN"/>
                    </w:rPr>
                  </w:pPr>
                  <w:r>
                    <w:rPr>
                      <w:rFonts w:hint="eastAsia" w:eastAsia="宋体"/>
                      <w:szCs w:val="21"/>
                      <w:lang w:eastAsia="zh-CN"/>
                    </w:rPr>
                    <w:t>二级</w:t>
                  </w:r>
                </w:p>
              </w:tc>
              <w:tc>
                <w:tcPr>
                  <w:tcW w:w="737" w:type="dxa"/>
                  <w:noWrap w:val="0"/>
                  <w:vAlign w:val="center"/>
                </w:tcPr>
                <w:p>
                  <w:pPr>
                    <w:jc w:val="center"/>
                    <w:rPr>
                      <w:rFonts w:hint="eastAsia" w:eastAsia="宋体"/>
                      <w:szCs w:val="21"/>
                      <w:lang w:eastAsia="zh-CN"/>
                    </w:rPr>
                  </w:pPr>
                  <w:r>
                    <w:rPr>
                      <w:rFonts w:hint="eastAsia" w:eastAsia="宋体"/>
                      <w:szCs w:val="21"/>
                      <w:lang w:eastAsia="zh-CN"/>
                    </w:rPr>
                    <w:t>三级</w:t>
                  </w:r>
                </w:p>
              </w:tc>
              <w:tc>
                <w:tcPr>
                  <w:tcW w:w="750" w:type="dxa"/>
                  <w:noWrap w:val="0"/>
                  <w:vAlign w:val="center"/>
                </w:tcPr>
                <w:p>
                  <w:pPr>
                    <w:jc w:val="center"/>
                    <w:rPr>
                      <w:rFonts w:hint="eastAsia" w:eastAsia="宋体"/>
                      <w:szCs w:val="21"/>
                      <w:lang w:eastAsia="zh-CN"/>
                    </w:rPr>
                  </w:pPr>
                  <w:r>
                    <w:rPr>
                      <w:rFonts w:hint="eastAsia" w:eastAsia="宋体"/>
                      <w:szCs w:val="21"/>
                      <w:lang w:eastAsia="zh-CN"/>
                    </w:rPr>
                    <w:t>三级</w:t>
                  </w:r>
                </w:p>
              </w:tc>
              <w:tc>
                <w:tcPr>
                  <w:tcW w:w="736" w:type="dxa"/>
                  <w:noWrap w:val="0"/>
                  <w:vAlign w:val="center"/>
                </w:tcPr>
                <w:p>
                  <w:pPr>
                    <w:jc w:val="center"/>
                    <w:rPr>
                      <w:rFonts w:hint="eastAsia" w:eastAsia="宋体"/>
                      <w:szCs w:val="21"/>
                      <w:lang w:eastAsia="zh-CN"/>
                    </w:rPr>
                  </w:pPr>
                  <w:r>
                    <w:rPr>
                      <w:rFonts w:hint="eastAsia" w:eastAsia="宋体"/>
                      <w:szCs w:val="21"/>
                      <w:lang w:eastAsia="zh-CN"/>
                    </w:rPr>
                    <w:t>三级</w:t>
                  </w:r>
                </w:p>
              </w:tc>
              <w:tc>
                <w:tcPr>
                  <w:tcW w:w="764" w:type="dxa"/>
                  <w:noWrap w:val="0"/>
                  <w:vAlign w:val="center"/>
                </w:tcPr>
                <w:p>
                  <w:pPr>
                    <w:jc w:val="center"/>
                    <w:rPr>
                      <w:rFonts w:hint="eastAsia" w:eastAsia="宋体"/>
                      <w:szCs w:val="21"/>
                      <w:lang w:eastAsia="zh-CN"/>
                    </w:rPr>
                  </w:pPr>
                  <w:r>
                    <w:rPr>
                      <w:rFonts w:hint="eastAsia" w:eastAsia="宋体"/>
                      <w:szCs w:val="21"/>
                      <w:lang w:eastAsia="zh-CN"/>
                    </w:rPr>
                    <w:t>—</w:t>
                  </w:r>
                </w:p>
              </w:tc>
              <w:tc>
                <w:tcPr>
                  <w:tcW w:w="694" w:type="dxa"/>
                  <w:noWrap w:val="0"/>
                  <w:vAlign w:val="center"/>
                </w:tcPr>
                <w:p>
                  <w:pPr>
                    <w:jc w:val="center"/>
                    <w:rPr>
                      <w:rFonts w:hint="eastAsia" w:eastAsia="宋体"/>
                      <w:szCs w:val="21"/>
                      <w:lang w:eastAsia="zh-CN"/>
                    </w:rPr>
                  </w:pPr>
                  <w:r>
                    <w:rPr>
                      <w:rFonts w:hint="eastAsia" w:eastAsia="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7" w:type="dxa"/>
                  <w:gridSpan w:val="10"/>
                  <w:noWrap w:val="0"/>
                  <w:vAlign w:val="center"/>
                </w:tcPr>
                <w:p>
                  <w:pPr>
                    <w:jc w:val="center"/>
                    <w:rPr>
                      <w:rFonts w:hint="eastAsia" w:eastAsia="宋体"/>
                      <w:szCs w:val="21"/>
                      <w:lang w:eastAsia="zh-CN"/>
                    </w:rPr>
                  </w:pPr>
                  <w:r>
                    <w:rPr>
                      <w:rFonts w:hint="eastAsia" w:eastAsia="宋体"/>
                      <w:szCs w:val="21"/>
                      <w:lang w:eastAsia="zh-CN"/>
                    </w:rPr>
                    <w:t>注：“—”表示可不开展土壤环境影响评价工作</w:t>
                  </w:r>
                </w:p>
              </w:tc>
            </w:tr>
          </w:tbl>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综上，项目无需开展土壤环境影响评价工作。</w:t>
            </w:r>
          </w:p>
          <w:p>
            <w:pPr>
              <w:spacing w:line="360" w:lineRule="auto"/>
              <w:ind w:firstLine="482" w:firstLineChars="200"/>
              <w:rPr>
                <w:rFonts w:hint="eastAsia"/>
                <w:b/>
                <w:sz w:val="24"/>
              </w:rPr>
            </w:pPr>
            <w:r>
              <w:rPr>
                <w:rFonts w:hint="eastAsia"/>
                <w:b/>
                <w:sz w:val="24"/>
              </w:rPr>
              <w:t>（</w:t>
            </w:r>
            <w:r>
              <w:rPr>
                <w:rFonts w:hint="eastAsia"/>
                <w:b/>
                <w:sz w:val="24"/>
                <w:lang w:eastAsia="zh-CN"/>
              </w:rPr>
              <w:t>六</w:t>
            </w:r>
            <w:r>
              <w:rPr>
                <w:rFonts w:hint="eastAsia"/>
                <w:b/>
                <w:sz w:val="24"/>
              </w:rPr>
              <w:t>）风险分析</w:t>
            </w:r>
          </w:p>
          <w:p>
            <w:pPr>
              <w:spacing w:line="360" w:lineRule="auto"/>
              <w:ind w:firstLine="480" w:firstLineChars="200"/>
              <w:rPr>
                <w:rFonts w:hint="eastAsia" w:ascii="宋体" w:hAnsi="宋体" w:cs="宋体"/>
                <w:sz w:val="24"/>
              </w:rPr>
            </w:pPr>
            <w:r>
              <w:rPr>
                <w:rFonts w:hint="eastAsia" w:ascii="宋体" w:hAnsi="宋体" w:cs="宋体"/>
                <w:sz w:val="24"/>
              </w:rPr>
              <w:t>环境风险评价的目的是分析和预测建设项目存在的潜在危险、有害因素，建设项目建设和运行期间可能发生的突发事件或事故（一般不包括人为破坏及自然灾害），引起有毒有害、易燃易爆等物质泄露，或突发事件产生的新的有毒有害物质，所造成的对人身安全与环境的影响和损害程度，提出合理可行的防范、应急与减缓措施，以使建设项目事故率、损失和环境影响达到可接受水平。</w:t>
            </w:r>
          </w:p>
          <w:p>
            <w:pPr>
              <w:spacing w:line="360" w:lineRule="auto"/>
              <w:ind w:firstLine="482" w:firstLineChars="200"/>
              <w:rPr>
                <w:rFonts w:hint="eastAsia" w:ascii="宋体" w:hAnsi="宋体" w:cs="宋体"/>
                <w:b/>
                <w:sz w:val="24"/>
              </w:rPr>
            </w:pPr>
            <w:r>
              <w:rPr>
                <w:rFonts w:hint="eastAsia" w:ascii="宋体" w:hAnsi="宋体" w:cs="宋体"/>
                <w:b/>
                <w:sz w:val="24"/>
              </w:rPr>
              <w:t>(1)风险识别</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物质风险识别</w:t>
            </w:r>
          </w:p>
          <w:p>
            <w:pPr>
              <w:spacing w:line="360" w:lineRule="auto"/>
              <w:ind w:firstLine="480" w:firstLineChars="200"/>
              <w:rPr>
                <w:rFonts w:hint="eastAsia" w:ascii="宋体" w:hAnsi="宋体"/>
                <w:sz w:val="24"/>
              </w:rPr>
            </w:pPr>
            <w:r>
              <w:rPr>
                <w:rFonts w:hint="eastAsia" w:ascii="宋体" w:hAnsi="宋体"/>
                <w:sz w:val="24"/>
              </w:rPr>
              <w:t>项目使用的原辅料为成品人造板、成品三聚氰胺浸渍纸。本项目原辅料中虽含有脲醛树脂胶、酚醛树脂胶等化学物质，但此类物质经过固化后，性质比较稳定，不会游离毒性。只是在热压过程中，此类物质会挥发少量有机废气。只要完善环保设施，严格按照《四川省固定污染源大气挥发性有机物排放标准》的相关规定，不会对周围环境产生明显影响。</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风险类型识别</w:t>
            </w:r>
          </w:p>
          <w:p>
            <w:pPr>
              <w:pStyle w:val="106"/>
              <w:numPr>
                <w:ilvl w:val="0"/>
                <w:numId w:val="7"/>
              </w:numPr>
              <w:spacing w:line="360" w:lineRule="auto"/>
              <w:ind w:firstLine="480"/>
              <w:jc w:val="left"/>
              <w:rPr>
                <w:rFonts w:hint="eastAsia" w:ascii="宋体" w:hAnsi="宋体"/>
              </w:rPr>
            </w:pPr>
            <w:r>
              <w:rPr>
                <w:rFonts w:hint="eastAsia" w:ascii="宋体" w:hAnsi="宋体"/>
              </w:rPr>
              <w:t>生产过程中若设备发生故障，则不能达到本项目的工艺设计，设备发生故障主要是</w:t>
            </w:r>
            <w:r>
              <w:rPr>
                <w:rFonts w:hint="eastAsia" w:ascii="宋体" w:hAnsi="宋体" w:eastAsia="宋体"/>
              </w:rPr>
              <w:t>输送设备、包装设备等以及相关配电设备，出现故障可能会产生火灾或停电，导致厂区环保设施无法运营，因而污染物无法得到有效治理而对周边环境造成影响。</w:t>
            </w:r>
          </w:p>
          <w:p>
            <w:pPr>
              <w:pStyle w:val="106"/>
              <w:numPr>
                <w:ilvl w:val="0"/>
                <w:numId w:val="7"/>
              </w:numPr>
              <w:spacing w:line="360" w:lineRule="auto"/>
              <w:ind w:firstLine="480"/>
              <w:jc w:val="left"/>
              <w:rPr>
                <w:rFonts w:hint="eastAsia" w:ascii="宋体" w:hAnsi="宋体"/>
              </w:rPr>
            </w:pPr>
            <w:r>
              <w:rPr>
                <w:rFonts w:hint="eastAsia" w:ascii="宋体" w:hAnsi="宋体" w:eastAsia="宋体"/>
              </w:rPr>
              <w:t>厂房及库房内存放有易燃的板材、浸渍纸等，若未按照消防安全相关要求设置消防器材等，发生火灾后产生的污染物对周边大气环境造成影响。</w:t>
            </w:r>
          </w:p>
          <w:p>
            <w:pPr>
              <w:pStyle w:val="106"/>
              <w:numPr>
                <w:ilvl w:val="0"/>
                <w:numId w:val="7"/>
              </w:numPr>
              <w:spacing w:line="360" w:lineRule="auto"/>
              <w:ind w:firstLine="480"/>
              <w:jc w:val="left"/>
              <w:rPr>
                <w:rFonts w:hint="eastAsia" w:ascii="宋体" w:hAnsi="宋体"/>
              </w:rPr>
            </w:pPr>
            <w:r>
              <w:rPr>
                <w:rFonts w:hint="eastAsia" w:ascii="宋体" w:hAnsi="宋体" w:eastAsia="宋体"/>
              </w:rPr>
              <w:t>作业人员的安全意识不足，如在作业场所抽烟等也容易造成安全事故。</w:t>
            </w:r>
          </w:p>
          <w:p>
            <w:pPr>
              <w:spacing w:line="360" w:lineRule="auto"/>
              <w:ind w:firstLine="480" w:firstLineChars="200"/>
              <w:rPr>
                <w:rFonts w:hint="eastAsia" w:ascii="宋体" w:hAnsi="宋体" w:cs="宋体"/>
                <w:sz w:val="24"/>
              </w:rPr>
            </w:pPr>
            <w:r>
              <w:rPr>
                <w:rFonts w:hint="eastAsia" w:ascii="宋体" w:hAnsi="宋体" w:cs="宋体"/>
                <w:sz w:val="24"/>
              </w:rPr>
              <w:t>③危险化学品重大危险源辨识</w:t>
            </w:r>
          </w:p>
          <w:p>
            <w:pPr>
              <w:spacing w:line="360" w:lineRule="auto"/>
              <w:ind w:firstLine="480" w:firstLineChars="200"/>
              <w:rPr>
                <w:rFonts w:hint="eastAsia" w:ascii="宋体" w:hAnsi="宋体" w:cs="宋体"/>
                <w:sz w:val="24"/>
              </w:rPr>
            </w:pPr>
            <w:r>
              <w:rPr>
                <w:rFonts w:hint="eastAsia" w:ascii="宋体" w:hAnsi="宋体" w:cs="宋体"/>
                <w:sz w:val="24"/>
              </w:rPr>
              <w:t xml:space="preserve">根据本项目所使用的危险物质及其与《危险化学品重大危险源辨识》（GB18218-2009）中规定的生产场所及储存区临界量，本项目无属于重大危险源辨识范围的物质，因此本项目不构成危险化学品重大危险源。 </w:t>
            </w:r>
          </w:p>
          <w:p>
            <w:pPr>
              <w:spacing w:line="360" w:lineRule="auto"/>
              <w:ind w:firstLine="480" w:firstLineChars="200"/>
              <w:rPr>
                <w:rFonts w:hint="eastAsia" w:ascii="宋体" w:hAnsi="宋体" w:cs="宋体"/>
                <w:sz w:val="24"/>
              </w:rPr>
            </w:pPr>
            <w:r>
              <w:rPr>
                <w:rFonts w:hint="eastAsia" w:ascii="宋体" w:hAnsi="宋体" w:cs="宋体"/>
                <w:sz w:val="24"/>
              </w:rPr>
              <w:t>④风险评价等级</w:t>
            </w:r>
          </w:p>
          <w:p>
            <w:pPr>
              <w:spacing w:line="360" w:lineRule="auto"/>
              <w:ind w:firstLine="480" w:firstLineChars="200"/>
              <w:rPr>
                <w:rFonts w:hint="eastAsia"/>
                <w:kern w:val="0"/>
                <w:sz w:val="24"/>
              </w:rPr>
            </w:pPr>
            <w:r>
              <w:rPr>
                <w:rFonts w:hint="eastAsia"/>
                <w:kern w:val="0"/>
                <w:sz w:val="24"/>
              </w:rPr>
              <w:t>根据</w:t>
            </w:r>
            <w:r>
              <w:rPr>
                <w:rFonts w:hint="eastAsia" w:ascii="宋体" w:hAnsi="宋体" w:cs="宋体"/>
                <w:sz w:val="24"/>
              </w:rPr>
              <w:t>《建设项目环境风险评价技术导则》</w:t>
            </w:r>
            <w:r>
              <w:rPr>
                <w:rFonts w:hint="default" w:ascii="Times New Roman" w:hAnsi="Times New Roman" w:cs="Times New Roman"/>
                <w:sz w:val="24"/>
              </w:rPr>
              <w:t>（HJ169-2018）</w:t>
            </w:r>
            <w:r>
              <w:rPr>
                <w:rFonts w:hint="eastAsia" w:ascii="宋体" w:hAnsi="宋体" w:cs="宋体"/>
                <w:sz w:val="24"/>
              </w:rPr>
              <w:t>，应计算风险</w:t>
            </w:r>
            <w:r>
              <w:rPr>
                <w:rFonts w:hint="eastAsia"/>
                <w:kern w:val="0"/>
                <w:sz w:val="24"/>
              </w:rPr>
              <w:t>物质在厂界内的存在量与其在附录B中临界量的比值 Q：</w:t>
            </w:r>
          </w:p>
          <w:p>
            <w:pPr>
              <w:spacing w:line="360" w:lineRule="auto"/>
              <w:ind w:firstLine="480" w:firstLineChars="200"/>
              <w:rPr>
                <w:rFonts w:hint="eastAsia"/>
                <w:kern w:val="0"/>
                <w:sz w:val="24"/>
              </w:rPr>
            </w:pPr>
            <w:r>
              <w:rPr>
                <w:rFonts w:hint="eastAsia"/>
                <w:kern w:val="0"/>
                <w:sz w:val="24"/>
              </w:rPr>
              <w:t>（1）当企业只涉及一种风险物质时，该物质的数量与其临界量比值，即为 Q；</w:t>
            </w:r>
          </w:p>
          <w:p>
            <w:pPr>
              <w:spacing w:line="360" w:lineRule="auto"/>
              <w:ind w:firstLine="480" w:firstLineChars="200"/>
              <w:rPr>
                <w:rFonts w:hint="eastAsia"/>
                <w:kern w:val="0"/>
                <w:sz w:val="24"/>
              </w:rPr>
            </w:pPr>
            <w:r>
              <w:rPr>
                <w:rFonts w:hint="eastAsia"/>
                <w:kern w:val="0"/>
                <w:sz w:val="24"/>
              </w:rPr>
              <w:t>（2）当企业存在多种风险物质时，则按下式计算物质数量与其临界量比值（Q）：</w:t>
            </w:r>
          </w:p>
          <w:p>
            <w:pPr>
              <w:jc w:val="center"/>
              <w:rPr>
                <w:rFonts w:hint="eastAsia"/>
              </w:rPr>
            </w:pPr>
            <w:r>
              <w:rPr>
                <w:rFonts w:hint="eastAsia"/>
              </w:rPr>
              <w:drawing>
                <wp:inline distT="0" distB="0" distL="114300" distR="114300">
                  <wp:extent cx="1695450" cy="438150"/>
                  <wp:effectExtent l="0" t="0" r="0" b="0"/>
                  <wp:docPr id="2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8"/>
                          <pic:cNvPicPr>
                            <a:picLocks noChangeAspect="1"/>
                          </pic:cNvPicPr>
                        </pic:nvPicPr>
                        <pic:blipFill>
                          <a:blip r:embed="rId52"/>
                          <a:stretch>
                            <a:fillRect/>
                          </a:stretch>
                        </pic:blipFill>
                        <pic:spPr>
                          <a:xfrm>
                            <a:off x="0" y="0"/>
                            <a:ext cx="1695450" cy="438150"/>
                          </a:xfrm>
                          <a:prstGeom prst="rect">
                            <a:avLst/>
                          </a:prstGeom>
                          <a:noFill/>
                          <a:ln w="9525">
                            <a:noFill/>
                          </a:ln>
                        </pic:spPr>
                      </pic:pic>
                    </a:graphicData>
                  </a:graphic>
                </wp:inline>
              </w:drawing>
            </w:r>
          </w:p>
          <w:p>
            <w:pPr>
              <w:spacing w:line="360" w:lineRule="auto"/>
              <w:ind w:firstLine="480" w:firstLineChars="200"/>
              <w:rPr>
                <w:rFonts w:hint="eastAsia"/>
                <w:kern w:val="0"/>
                <w:sz w:val="24"/>
              </w:rPr>
            </w:pPr>
            <w:r>
              <w:rPr>
                <w:rFonts w:hint="eastAsia"/>
                <w:kern w:val="0"/>
                <w:sz w:val="24"/>
              </w:rPr>
              <w:t>式中：w 1 , w 2 , ..., w n ——每种风险物质的存在量，t；</w:t>
            </w:r>
          </w:p>
          <w:p>
            <w:pPr>
              <w:spacing w:line="360" w:lineRule="auto"/>
              <w:ind w:firstLine="480" w:firstLineChars="200"/>
              <w:rPr>
                <w:rFonts w:hint="eastAsia"/>
                <w:kern w:val="0"/>
                <w:sz w:val="24"/>
              </w:rPr>
            </w:pPr>
            <w:r>
              <w:rPr>
                <w:rFonts w:hint="eastAsia"/>
                <w:kern w:val="0"/>
                <w:sz w:val="24"/>
              </w:rPr>
              <w:t>W 1 , W 2 , ..., W n ——每种风险物质的临界量，t。</w:t>
            </w:r>
          </w:p>
          <w:p>
            <w:pPr>
              <w:spacing w:line="360" w:lineRule="auto"/>
              <w:ind w:firstLine="480" w:firstLineChars="200"/>
              <w:rPr>
                <w:rFonts w:hint="eastAsia"/>
                <w:kern w:val="0"/>
                <w:sz w:val="24"/>
              </w:rPr>
            </w:pPr>
            <w:r>
              <w:rPr>
                <w:rFonts w:hint="eastAsia"/>
                <w:kern w:val="0"/>
                <w:sz w:val="24"/>
              </w:rPr>
              <w:t>当Q＜1时，该项目环境风险趋势为Ⅰ。</w:t>
            </w:r>
          </w:p>
          <w:p>
            <w:pPr>
              <w:jc w:val="center"/>
              <w:rPr>
                <w:rFonts w:hint="eastAsia" w:ascii="黑体" w:hAnsi="黑体" w:eastAsia="黑体" w:cs="黑体"/>
              </w:rPr>
            </w:pPr>
            <w:r>
              <w:rPr>
                <w:rFonts w:hint="eastAsia" w:ascii="黑体" w:hAnsi="黑体" w:eastAsia="黑体" w:cs="黑体"/>
              </w:rPr>
              <w:t>表7-11  涉及的主要环境风险物质汇总表</w:t>
            </w:r>
          </w:p>
          <w:tbl>
            <w:tblPr>
              <w:tblStyle w:val="69"/>
              <w:tblW w:w="87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769"/>
              <w:gridCol w:w="1264"/>
              <w:gridCol w:w="893"/>
              <w:gridCol w:w="1252"/>
              <w:gridCol w:w="863"/>
              <w:gridCol w:w="127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466" w:type="dxa"/>
                  <w:noWrap w:val="0"/>
                  <w:vAlign w:val="center"/>
                </w:tcPr>
                <w:p>
                  <w:pPr>
                    <w:jc w:val="center"/>
                    <w:rPr>
                      <w:rFonts w:eastAsia="黑体"/>
                      <w:kern w:val="0"/>
                      <w:szCs w:val="21"/>
                    </w:rPr>
                  </w:pPr>
                  <w:r>
                    <w:rPr>
                      <w:rFonts w:eastAsia="黑体"/>
                      <w:kern w:val="0"/>
                      <w:szCs w:val="21"/>
                    </w:rPr>
                    <w:t>序号</w:t>
                  </w:r>
                </w:p>
              </w:tc>
              <w:tc>
                <w:tcPr>
                  <w:tcW w:w="1769" w:type="dxa"/>
                  <w:noWrap w:val="0"/>
                  <w:vAlign w:val="center"/>
                </w:tcPr>
                <w:p>
                  <w:pPr>
                    <w:jc w:val="center"/>
                    <w:rPr>
                      <w:rFonts w:eastAsia="黑体"/>
                      <w:kern w:val="0"/>
                      <w:szCs w:val="21"/>
                    </w:rPr>
                  </w:pPr>
                  <w:r>
                    <w:rPr>
                      <w:rFonts w:eastAsia="黑体"/>
                      <w:kern w:val="0"/>
                      <w:szCs w:val="21"/>
                    </w:rPr>
                    <w:t>物质名称</w:t>
                  </w:r>
                </w:p>
              </w:tc>
              <w:tc>
                <w:tcPr>
                  <w:tcW w:w="1264" w:type="dxa"/>
                  <w:noWrap w:val="0"/>
                  <w:vAlign w:val="center"/>
                </w:tcPr>
                <w:p>
                  <w:pPr>
                    <w:jc w:val="center"/>
                    <w:rPr>
                      <w:rFonts w:eastAsia="黑体"/>
                      <w:kern w:val="0"/>
                      <w:szCs w:val="21"/>
                    </w:rPr>
                  </w:pPr>
                  <w:r>
                    <w:rPr>
                      <w:rFonts w:eastAsia="黑体"/>
                      <w:kern w:val="0"/>
                      <w:szCs w:val="21"/>
                    </w:rPr>
                    <w:t>CAS号</w:t>
                  </w:r>
                </w:p>
              </w:tc>
              <w:tc>
                <w:tcPr>
                  <w:tcW w:w="893" w:type="dxa"/>
                  <w:noWrap w:val="0"/>
                  <w:vAlign w:val="center"/>
                </w:tcPr>
                <w:p>
                  <w:pPr>
                    <w:jc w:val="center"/>
                    <w:rPr>
                      <w:rFonts w:eastAsia="黑体"/>
                      <w:kern w:val="0"/>
                      <w:szCs w:val="21"/>
                    </w:rPr>
                  </w:pPr>
                  <w:r>
                    <w:rPr>
                      <w:rFonts w:eastAsia="黑体"/>
                      <w:kern w:val="0"/>
                      <w:szCs w:val="21"/>
                    </w:rPr>
                    <w:t>临界量</w:t>
                  </w:r>
                </w:p>
                <w:p>
                  <w:pPr>
                    <w:jc w:val="center"/>
                    <w:rPr>
                      <w:rFonts w:eastAsia="黑体"/>
                      <w:kern w:val="0"/>
                      <w:szCs w:val="21"/>
                    </w:rPr>
                  </w:pPr>
                  <w:r>
                    <w:rPr>
                      <w:rFonts w:eastAsia="黑体"/>
                      <w:kern w:val="0"/>
                      <w:szCs w:val="21"/>
                    </w:rPr>
                    <w:t>（吨）</w:t>
                  </w:r>
                </w:p>
              </w:tc>
              <w:tc>
                <w:tcPr>
                  <w:tcW w:w="1252" w:type="dxa"/>
                  <w:noWrap w:val="0"/>
                  <w:vAlign w:val="center"/>
                </w:tcPr>
                <w:p>
                  <w:pPr>
                    <w:jc w:val="center"/>
                    <w:rPr>
                      <w:rFonts w:eastAsia="黑体"/>
                      <w:kern w:val="0"/>
                      <w:szCs w:val="21"/>
                    </w:rPr>
                  </w:pPr>
                  <w:r>
                    <w:rPr>
                      <w:rFonts w:eastAsia="黑体"/>
                      <w:kern w:val="0"/>
                      <w:szCs w:val="21"/>
                    </w:rPr>
                    <w:t>厂界内最大存在量</w:t>
                  </w:r>
                </w:p>
                <w:p>
                  <w:pPr>
                    <w:jc w:val="center"/>
                    <w:rPr>
                      <w:rFonts w:eastAsia="黑体"/>
                      <w:kern w:val="0"/>
                      <w:szCs w:val="21"/>
                    </w:rPr>
                  </w:pPr>
                  <w:r>
                    <w:rPr>
                      <w:rFonts w:eastAsia="黑体"/>
                      <w:kern w:val="0"/>
                      <w:szCs w:val="21"/>
                    </w:rPr>
                    <w:t>（吨）</w:t>
                  </w:r>
                </w:p>
              </w:tc>
              <w:tc>
                <w:tcPr>
                  <w:tcW w:w="863" w:type="dxa"/>
                  <w:noWrap w:val="0"/>
                  <w:vAlign w:val="center"/>
                </w:tcPr>
                <w:p>
                  <w:pPr>
                    <w:jc w:val="center"/>
                    <w:rPr>
                      <w:rFonts w:eastAsia="黑体"/>
                      <w:kern w:val="0"/>
                      <w:szCs w:val="21"/>
                    </w:rPr>
                  </w:pPr>
                  <w:r>
                    <w:rPr>
                      <w:rFonts w:eastAsia="黑体"/>
                      <w:kern w:val="0"/>
                      <w:szCs w:val="21"/>
                    </w:rPr>
                    <w:t>是否超</w:t>
                  </w:r>
                </w:p>
                <w:p>
                  <w:pPr>
                    <w:jc w:val="center"/>
                    <w:rPr>
                      <w:rFonts w:eastAsia="黑体"/>
                      <w:kern w:val="0"/>
                      <w:szCs w:val="21"/>
                    </w:rPr>
                  </w:pPr>
                  <w:r>
                    <w:rPr>
                      <w:rFonts w:eastAsia="黑体"/>
                      <w:kern w:val="0"/>
                      <w:szCs w:val="21"/>
                    </w:rPr>
                    <w:t>临界量</w:t>
                  </w:r>
                </w:p>
              </w:tc>
              <w:tc>
                <w:tcPr>
                  <w:tcW w:w="1277" w:type="dxa"/>
                  <w:noWrap w:val="0"/>
                  <w:vAlign w:val="center"/>
                </w:tcPr>
                <w:p>
                  <w:pPr>
                    <w:jc w:val="center"/>
                    <w:rPr>
                      <w:rFonts w:eastAsia="黑体"/>
                      <w:kern w:val="0"/>
                      <w:szCs w:val="21"/>
                    </w:rPr>
                  </w:pPr>
                  <w:r>
                    <w:rPr>
                      <w:rFonts w:eastAsia="黑体"/>
                      <w:kern w:val="0"/>
                      <w:szCs w:val="21"/>
                    </w:rPr>
                    <w:t>最大存在总量与临界量的比值（Q）</w:t>
                  </w:r>
                </w:p>
              </w:tc>
              <w:tc>
                <w:tcPr>
                  <w:tcW w:w="993" w:type="dxa"/>
                  <w:noWrap w:val="0"/>
                  <w:vAlign w:val="center"/>
                </w:tcPr>
                <w:p>
                  <w:pPr>
                    <w:jc w:val="center"/>
                    <w:rPr>
                      <w:rFonts w:eastAsia="黑体"/>
                      <w:kern w:val="0"/>
                      <w:szCs w:val="21"/>
                    </w:rPr>
                  </w:pPr>
                  <w:r>
                    <w:rPr>
                      <w:rFonts w:eastAsia="黑体"/>
                      <w:kern w:val="0"/>
                      <w:szCs w:val="21"/>
                    </w:rPr>
                    <w:t>是否为</w:t>
                  </w:r>
                </w:p>
                <w:p>
                  <w:pPr>
                    <w:jc w:val="center"/>
                    <w:rPr>
                      <w:rFonts w:eastAsia="黑体"/>
                      <w:kern w:val="0"/>
                      <w:szCs w:val="21"/>
                    </w:rPr>
                  </w:pPr>
                  <w:r>
                    <w:rPr>
                      <w:rFonts w:eastAsia="黑体"/>
                      <w:kern w:val="0"/>
                      <w:szCs w:val="21"/>
                    </w:rPr>
                    <w:t>环境风</w:t>
                  </w:r>
                </w:p>
                <w:p>
                  <w:pPr>
                    <w:jc w:val="center"/>
                    <w:rPr>
                      <w:rFonts w:eastAsia="黑体"/>
                      <w:kern w:val="0"/>
                      <w:szCs w:val="21"/>
                    </w:rPr>
                  </w:pPr>
                  <w:r>
                    <w:rPr>
                      <w:rFonts w:eastAsia="黑体"/>
                      <w:kern w:val="0"/>
                      <w:szCs w:val="21"/>
                    </w:rPr>
                    <w:t>险物质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466" w:type="dxa"/>
                  <w:noWrap w:val="0"/>
                  <w:vAlign w:val="center"/>
                </w:tcPr>
                <w:p>
                  <w:pPr>
                    <w:jc w:val="center"/>
                    <w:rPr>
                      <w:kern w:val="0"/>
                      <w:szCs w:val="21"/>
                    </w:rPr>
                  </w:pPr>
                  <w:r>
                    <w:rPr>
                      <w:kern w:val="0"/>
                      <w:szCs w:val="21"/>
                    </w:rPr>
                    <w:t>1</w:t>
                  </w:r>
                </w:p>
              </w:tc>
              <w:tc>
                <w:tcPr>
                  <w:tcW w:w="1769" w:type="dxa"/>
                  <w:noWrap w:val="0"/>
                  <w:vAlign w:val="center"/>
                </w:tcPr>
                <w:p>
                  <w:pPr>
                    <w:jc w:val="center"/>
                    <w:rPr>
                      <w:rFonts w:hint="eastAsia" w:eastAsia="Calibri"/>
                    </w:rPr>
                  </w:pPr>
                  <w:r>
                    <w:rPr>
                      <w:rFonts w:hint="eastAsia"/>
                    </w:rPr>
                    <w:t>导热油</w:t>
                  </w:r>
                </w:p>
              </w:tc>
              <w:tc>
                <w:tcPr>
                  <w:tcW w:w="1264" w:type="dxa"/>
                  <w:noWrap w:val="0"/>
                  <w:vAlign w:val="center"/>
                </w:tcPr>
                <w:p>
                  <w:pPr>
                    <w:jc w:val="center"/>
                    <w:rPr>
                      <w:rFonts w:hint="eastAsia" w:eastAsia="宋体"/>
                      <w:kern w:val="0"/>
                      <w:szCs w:val="21"/>
                      <w:lang w:eastAsia="zh-CN"/>
                    </w:rPr>
                  </w:pPr>
                  <w:r>
                    <w:rPr>
                      <w:rFonts w:hint="eastAsia" w:eastAsia="宋体"/>
                      <w:kern w:val="0"/>
                      <w:szCs w:val="21"/>
                      <w:lang w:val="en-US" w:eastAsia="zh-CN"/>
                    </w:rPr>
                    <w:t>/</w:t>
                  </w:r>
                </w:p>
              </w:tc>
              <w:tc>
                <w:tcPr>
                  <w:tcW w:w="893" w:type="dxa"/>
                  <w:noWrap w:val="0"/>
                  <w:vAlign w:val="center"/>
                </w:tcPr>
                <w:p>
                  <w:pPr>
                    <w:jc w:val="center"/>
                    <w:rPr>
                      <w:rFonts w:eastAsia="Calibri"/>
                      <w:kern w:val="0"/>
                      <w:szCs w:val="21"/>
                    </w:rPr>
                  </w:pPr>
                  <w:r>
                    <w:rPr>
                      <w:rFonts w:hint="eastAsia"/>
                      <w:kern w:val="0"/>
                      <w:szCs w:val="21"/>
                    </w:rPr>
                    <w:t>2500</w:t>
                  </w:r>
                </w:p>
              </w:tc>
              <w:tc>
                <w:tcPr>
                  <w:tcW w:w="1252" w:type="dxa"/>
                  <w:noWrap w:val="0"/>
                  <w:vAlign w:val="center"/>
                </w:tcPr>
                <w:p>
                  <w:pPr>
                    <w:jc w:val="center"/>
                    <w:rPr>
                      <w:rFonts w:eastAsia="Calibri"/>
                      <w:kern w:val="0"/>
                      <w:szCs w:val="21"/>
                    </w:rPr>
                  </w:pPr>
                  <w:r>
                    <w:rPr>
                      <w:rFonts w:hint="eastAsia"/>
                      <w:kern w:val="0"/>
                      <w:szCs w:val="21"/>
                    </w:rPr>
                    <w:t>0.5</w:t>
                  </w:r>
                </w:p>
              </w:tc>
              <w:tc>
                <w:tcPr>
                  <w:tcW w:w="863" w:type="dxa"/>
                  <w:noWrap w:val="0"/>
                  <w:vAlign w:val="center"/>
                </w:tcPr>
                <w:p>
                  <w:pPr>
                    <w:jc w:val="center"/>
                    <w:rPr>
                      <w:kern w:val="0"/>
                      <w:szCs w:val="21"/>
                    </w:rPr>
                  </w:pPr>
                  <w:r>
                    <w:rPr>
                      <w:rFonts w:eastAsia="黑体"/>
                      <w:kern w:val="0"/>
                      <w:szCs w:val="21"/>
                    </w:rPr>
                    <w:t>否</w:t>
                  </w:r>
                </w:p>
              </w:tc>
              <w:tc>
                <w:tcPr>
                  <w:tcW w:w="1277" w:type="dxa"/>
                  <w:noWrap w:val="0"/>
                  <w:vAlign w:val="center"/>
                </w:tcPr>
                <w:p>
                  <w:pPr>
                    <w:jc w:val="center"/>
                    <w:rPr>
                      <w:rFonts w:hint="eastAsia" w:eastAsia="Calibri"/>
                      <w:kern w:val="0"/>
                      <w:szCs w:val="21"/>
                    </w:rPr>
                  </w:pPr>
                  <w:r>
                    <w:rPr>
                      <w:rFonts w:hint="eastAsia"/>
                      <w:kern w:val="0"/>
                      <w:szCs w:val="21"/>
                    </w:rPr>
                    <w:t>0.0002</w:t>
                  </w:r>
                </w:p>
              </w:tc>
              <w:tc>
                <w:tcPr>
                  <w:tcW w:w="993" w:type="dxa"/>
                  <w:noWrap w:val="0"/>
                  <w:vAlign w:val="center"/>
                </w:tcPr>
                <w:p>
                  <w:pPr>
                    <w:jc w:val="center"/>
                    <w:rPr>
                      <w:kern w:val="0"/>
                      <w:szCs w:val="21"/>
                    </w:rPr>
                  </w:pPr>
                  <w:r>
                    <w:rPr>
                      <w:kern w:val="0"/>
                      <w:szCs w:val="21"/>
                    </w:rPr>
                    <w:t>是</w:t>
                  </w:r>
                </w:p>
              </w:tc>
            </w:tr>
          </w:tbl>
          <w:p>
            <w:pPr>
              <w:pStyle w:val="33"/>
              <w:tabs>
                <w:tab w:val="left" w:pos="3300"/>
              </w:tabs>
              <w:ind w:firstLine="482"/>
            </w:pPr>
            <w:r>
              <w:rPr>
                <w:rFonts w:hint="eastAsia"/>
                <w:b/>
              </w:rPr>
              <w:t>根据《建设项目环境风险评价技术导则》（HJ169-2018），环境风险趋势为Ⅰ，评价工作等级为简要分析，主要是定性分析</w:t>
            </w:r>
            <w:r>
              <w:rPr>
                <w:rFonts w:hint="eastAsia"/>
              </w:rPr>
              <w:t>。</w:t>
            </w:r>
          </w:p>
          <w:p>
            <w:pPr>
              <w:spacing w:line="360" w:lineRule="auto"/>
              <w:ind w:firstLine="482" w:firstLineChars="200"/>
              <w:rPr>
                <w:rFonts w:hint="eastAsia" w:ascii="宋体" w:hAnsi="宋体" w:cs="宋体"/>
                <w:b/>
                <w:sz w:val="24"/>
              </w:rPr>
            </w:pPr>
            <w:r>
              <w:rPr>
                <w:rFonts w:hint="eastAsia" w:ascii="宋体" w:hAnsi="宋体" w:cs="宋体"/>
                <w:b/>
                <w:sz w:val="24"/>
              </w:rPr>
              <w:t>(2)风险防范措施</w:t>
            </w:r>
          </w:p>
          <w:p>
            <w:pPr>
              <w:pStyle w:val="33"/>
              <w:tabs>
                <w:tab w:val="left" w:pos="3300"/>
              </w:tabs>
              <w:rPr>
                <w:rFonts w:hint="eastAsia"/>
              </w:rPr>
            </w:pPr>
            <w:r>
              <w:rPr>
                <w:rFonts w:ascii="Times New Roman" w:hAnsi="Times New Roman"/>
              </w:rPr>
              <w:t>1</w:t>
            </w:r>
            <w:r>
              <w:rPr>
                <w:rFonts w:ascii="Times New Roman"/>
              </w:rPr>
              <w:t>）设备故障事故及</w:t>
            </w:r>
            <w:r>
              <w:rPr>
                <w:rFonts w:hint="eastAsia"/>
              </w:rPr>
              <w:t>检修</w:t>
            </w:r>
          </w:p>
          <w:p>
            <w:pPr>
              <w:pStyle w:val="33"/>
              <w:tabs>
                <w:tab w:val="left" w:pos="3300"/>
              </w:tabs>
              <w:rPr>
                <w:rFonts w:hint="eastAsia"/>
              </w:rPr>
            </w:pPr>
            <w:r>
              <w:rPr>
                <w:rFonts w:hint="eastAsia"/>
              </w:rPr>
              <w:t>①为使在事故状态下仪表等设备正常运转，必须选择质量优良、事故率低、便于维修的产品。关键设备应有备用，易损部件也要有备用，在事故出现时做到及时更换。</w:t>
            </w:r>
          </w:p>
          <w:p>
            <w:pPr>
              <w:pStyle w:val="33"/>
              <w:tabs>
                <w:tab w:val="left" w:pos="3300"/>
              </w:tabs>
              <w:rPr>
                <w:rFonts w:hint="eastAsia"/>
              </w:rPr>
            </w:pPr>
            <w:r>
              <w:rPr>
                <w:rFonts w:hint="eastAsia"/>
              </w:rPr>
              <w:t>②加强事故苗头控制，做到定期巡检，调节、保养、维修，及时发现可能引起事故的异常运行苗头，消除事故隐患。</w:t>
            </w:r>
          </w:p>
          <w:p>
            <w:pPr>
              <w:pStyle w:val="33"/>
              <w:tabs>
                <w:tab w:val="left" w:pos="3300"/>
              </w:tabs>
              <w:rPr>
                <w:rFonts w:hint="eastAsia"/>
              </w:rPr>
            </w:pPr>
            <w:r>
              <w:rPr>
                <w:rFonts w:hint="eastAsia"/>
              </w:rPr>
              <w:t>③严格控制处理单元的水量、水质、停留时间、负荷强度等，确保处理效果的稳定性，定期采样检测，使设备处理最佳工况，发现不正常现象，应立即采取预防措施。</w:t>
            </w:r>
          </w:p>
          <w:p>
            <w:pPr>
              <w:pStyle w:val="33"/>
              <w:tabs>
                <w:tab w:val="left" w:pos="3300"/>
              </w:tabs>
              <w:rPr>
                <w:rFonts w:hint="eastAsia"/>
              </w:rPr>
            </w:pPr>
            <w:r>
              <w:rPr>
                <w:rFonts w:hint="eastAsia"/>
              </w:rPr>
              <w:t>④加强运行管理和进出水的监测工作，未经处理达标的污水严禁外排。</w:t>
            </w:r>
          </w:p>
          <w:p>
            <w:pPr>
              <w:pStyle w:val="33"/>
              <w:tabs>
                <w:tab w:val="left" w:pos="3300"/>
              </w:tabs>
              <w:rPr>
                <w:rFonts w:hint="eastAsia"/>
              </w:rPr>
            </w:pPr>
            <w:r>
              <w:t>2</w:t>
            </w:r>
            <w:r>
              <w:rPr>
                <w:rFonts w:hint="eastAsia"/>
              </w:rPr>
              <w:t>）停电</w:t>
            </w:r>
          </w:p>
          <w:p>
            <w:pPr>
              <w:pStyle w:val="33"/>
              <w:tabs>
                <w:tab w:val="left" w:pos="3300"/>
              </w:tabs>
              <w:rPr>
                <w:rFonts w:hint="eastAsia"/>
              </w:rPr>
            </w:pPr>
            <w:r>
              <w:rPr>
                <w:rFonts w:hint="eastAsia"/>
              </w:rPr>
              <w:t>为避免停电造成的设施停运，环评要求各设施引入双电源供电，在其中一路停电时可及时切换使用另外一路电源，以防止设施停运。</w:t>
            </w:r>
          </w:p>
          <w:p>
            <w:pPr>
              <w:spacing w:line="360" w:lineRule="auto"/>
              <w:ind w:firstLine="480" w:firstLineChars="200"/>
              <w:rPr>
                <w:sz w:val="24"/>
              </w:rPr>
            </w:pPr>
            <w:r>
              <w:rPr>
                <w:sz w:val="24"/>
              </w:rPr>
              <w:t>3</w:t>
            </w:r>
            <w:r>
              <w:rPr>
                <w:rFonts w:hint="eastAsia"/>
                <w:sz w:val="24"/>
              </w:rPr>
              <w:t>）</w:t>
            </w:r>
            <w:r>
              <w:rPr>
                <w:sz w:val="24"/>
              </w:rPr>
              <w:t>环境风险防范措施</w:t>
            </w:r>
          </w:p>
          <w:p>
            <w:pPr>
              <w:spacing w:line="360" w:lineRule="auto"/>
              <w:ind w:firstLine="480" w:firstLineChars="200"/>
              <w:rPr>
                <w:rFonts w:ascii="宋体" w:hAnsi="宋体"/>
                <w:sz w:val="24"/>
              </w:rPr>
            </w:pPr>
            <w:r>
              <w:rPr>
                <w:rFonts w:ascii="宋体" w:hAnsi="宋体"/>
                <w:sz w:val="24"/>
              </w:rPr>
              <w:t>“安全第一，预防为主”是我国的安全生产方针，加强预防工作，从管理入手，把风险事故的发生和影响降到可能的最低限度，认真执行环境保护“三同时”原则，要求设计时认真执行我国现行的安全、消防标准、规范。</w:t>
            </w:r>
          </w:p>
          <w:p>
            <w:pPr>
              <w:spacing w:line="360" w:lineRule="auto"/>
              <w:ind w:firstLine="480" w:firstLineChars="200"/>
              <w:rPr>
                <w:rFonts w:ascii="宋体" w:hAnsi="宋体"/>
                <w:sz w:val="24"/>
              </w:rPr>
            </w:pPr>
            <w:r>
              <w:rPr>
                <w:rFonts w:ascii="宋体" w:hAnsi="宋体"/>
                <w:sz w:val="24"/>
              </w:rPr>
              <w:t>经现场查勘，本项目已经采取了以下主要预防措施：</w:t>
            </w:r>
          </w:p>
          <w:p>
            <w:pPr>
              <w:spacing w:line="360" w:lineRule="auto"/>
              <w:ind w:firstLine="480" w:firstLineChars="200"/>
              <w:rPr>
                <w:rFonts w:ascii="宋体" w:hAnsi="宋体"/>
                <w:sz w:val="24"/>
              </w:rPr>
            </w:pPr>
            <w:r>
              <w:rPr>
                <w:rFonts w:ascii="宋体" w:hAnsi="宋体"/>
                <w:sz w:val="24"/>
              </w:rPr>
              <w:t>①项目</w:t>
            </w:r>
            <w:r>
              <w:rPr>
                <w:rFonts w:hint="eastAsia" w:ascii="宋体" w:hAnsi="宋体"/>
                <w:sz w:val="24"/>
              </w:rPr>
              <w:t>所租用厂房原有消防栓</w:t>
            </w:r>
            <w:r>
              <w:rPr>
                <w:rFonts w:hAnsi="宋体"/>
                <w:sz w:val="24"/>
              </w:rPr>
              <w:t>。</w:t>
            </w:r>
          </w:p>
          <w:p>
            <w:pPr>
              <w:spacing w:line="360" w:lineRule="auto"/>
              <w:ind w:firstLine="480" w:firstLineChars="200"/>
              <w:rPr>
                <w:rFonts w:hint="eastAsia" w:ascii="宋体" w:hAnsi="宋体"/>
                <w:sz w:val="24"/>
              </w:rPr>
            </w:pPr>
            <w:r>
              <w:rPr>
                <w:rFonts w:ascii="宋体" w:hAnsi="宋体"/>
                <w:sz w:val="24"/>
              </w:rPr>
              <w:t>②仓库以及生产车间内设泡沫灭火器、干粉灭火器。</w:t>
            </w:r>
          </w:p>
          <w:p>
            <w:pPr>
              <w:spacing w:line="360" w:lineRule="auto"/>
              <w:ind w:firstLine="480" w:firstLineChars="200"/>
              <w:rPr>
                <w:rFonts w:hint="eastAsia" w:ascii="宋体" w:hAnsi="宋体"/>
                <w:sz w:val="24"/>
              </w:rPr>
            </w:pPr>
            <w:r>
              <w:rPr>
                <w:rFonts w:hint="eastAsia" w:ascii="宋体" w:hAnsi="宋体"/>
                <w:sz w:val="24"/>
              </w:rPr>
              <w:t>③加强管理制度，提高员工的安全意识，设置厂内禁止吸烟的标示板。</w:t>
            </w:r>
          </w:p>
          <w:p>
            <w:pPr>
              <w:spacing w:line="360" w:lineRule="auto"/>
              <w:ind w:firstLine="482" w:firstLineChars="200"/>
              <w:rPr>
                <w:rFonts w:ascii="宋体" w:hAnsi="宋体"/>
                <w:b/>
                <w:sz w:val="24"/>
              </w:rPr>
            </w:pPr>
            <w:r>
              <w:rPr>
                <w:rFonts w:ascii="宋体" w:hAnsi="宋体"/>
                <w:b/>
                <w:sz w:val="24"/>
              </w:rPr>
              <w:t>环评要求建设单位进一步加强预防措：</w:t>
            </w:r>
          </w:p>
          <w:p>
            <w:pPr>
              <w:spacing w:line="360" w:lineRule="auto"/>
              <w:ind w:firstLine="480" w:firstLineChars="200"/>
              <w:rPr>
                <w:rFonts w:ascii="宋体" w:hAnsi="宋体"/>
                <w:sz w:val="24"/>
              </w:rPr>
            </w:pPr>
            <w:r>
              <w:rPr>
                <w:rFonts w:ascii="宋体" w:hAnsi="宋体"/>
                <w:sz w:val="24"/>
              </w:rPr>
              <w:t>①火灾预警措施：</w:t>
            </w:r>
          </w:p>
          <w:p>
            <w:pPr>
              <w:spacing w:line="360" w:lineRule="auto"/>
              <w:ind w:firstLine="480" w:firstLineChars="200"/>
              <w:rPr>
                <w:rFonts w:ascii="宋体" w:hAnsi="宋体"/>
                <w:sz w:val="24"/>
              </w:rPr>
            </w:pPr>
            <w:r>
              <w:rPr>
                <w:rFonts w:ascii="宋体" w:hAnsi="宋体"/>
                <w:sz w:val="24"/>
              </w:rPr>
              <w:t>按照《火灾自动报警系统设</w:t>
            </w:r>
            <w:r>
              <w:rPr>
                <w:rFonts w:hAnsi="宋体"/>
                <w:sz w:val="24"/>
              </w:rPr>
              <w:t>计规范》（</w:t>
            </w:r>
            <w:r>
              <w:rPr>
                <w:sz w:val="24"/>
              </w:rPr>
              <w:t>GB50116-98</w:t>
            </w:r>
            <w:r>
              <w:rPr>
                <w:rFonts w:hAnsi="宋体"/>
                <w:sz w:val="24"/>
              </w:rPr>
              <w:t>）的要求，环评要求本项目设置火灾自动报警及消防联动系统。</w:t>
            </w:r>
          </w:p>
          <w:p>
            <w:pPr>
              <w:spacing w:line="360" w:lineRule="auto"/>
              <w:ind w:firstLine="480" w:firstLineChars="200"/>
              <w:rPr>
                <w:rFonts w:ascii="宋体" w:hAnsi="宋体"/>
                <w:sz w:val="24"/>
              </w:rPr>
            </w:pPr>
            <w:r>
              <w:rPr>
                <w:rFonts w:ascii="宋体" w:hAnsi="宋体"/>
                <w:sz w:val="24"/>
              </w:rPr>
              <w:t>②配备必要的救灾防毒器具及防护用品。</w:t>
            </w:r>
          </w:p>
          <w:p>
            <w:pPr>
              <w:spacing w:line="360" w:lineRule="auto"/>
              <w:ind w:firstLine="480" w:firstLineChars="200"/>
              <w:rPr>
                <w:sz w:val="24"/>
              </w:rPr>
            </w:pPr>
            <w:r>
              <w:rPr>
                <w:sz w:val="24"/>
              </w:rPr>
              <w:t>4</w:t>
            </w:r>
            <w:r>
              <w:rPr>
                <w:rFonts w:hint="eastAsia"/>
                <w:sz w:val="24"/>
              </w:rPr>
              <w:t>）</w:t>
            </w:r>
            <w:r>
              <w:rPr>
                <w:sz w:val="24"/>
              </w:rPr>
              <w:t>火灾应急处理：</w:t>
            </w:r>
          </w:p>
          <w:p>
            <w:pPr>
              <w:spacing w:line="360" w:lineRule="auto"/>
              <w:ind w:firstLine="480" w:firstLineChars="200"/>
              <w:rPr>
                <w:sz w:val="24"/>
              </w:rPr>
            </w:pPr>
            <w:r>
              <w:rPr>
                <w:rFonts w:ascii="宋体" w:hAnsi="宋体"/>
                <w:sz w:val="24"/>
              </w:rPr>
              <w:t>①一旦出现火灾事故，应立即启动消防应急预案，火灾初起阶段可用灭火器灭火，用消防桶提水等力争在火灾初起阶段</w:t>
            </w:r>
            <w:r>
              <w:rPr>
                <w:rFonts w:hAnsi="宋体"/>
                <w:sz w:val="24"/>
              </w:rPr>
              <w:t>，将火扑灭。</w:t>
            </w:r>
          </w:p>
          <w:p>
            <w:pPr>
              <w:spacing w:line="360" w:lineRule="auto"/>
              <w:ind w:firstLine="480" w:firstLineChars="200"/>
              <w:rPr>
                <w:rFonts w:ascii="宋体" w:hAnsi="宋体"/>
                <w:sz w:val="24"/>
              </w:rPr>
            </w:pPr>
            <w:r>
              <w:rPr>
                <w:rFonts w:hAnsi="宋体"/>
                <w:sz w:val="24"/>
              </w:rPr>
              <w:t>若事态严重，难以控制和处理，应在自救的同时拨打</w:t>
            </w:r>
            <w:r>
              <w:rPr>
                <w:sz w:val="24"/>
              </w:rPr>
              <w:t>119</w:t>
            </w:r>
            <w:r>
              <w:rPr>
                <w:rFonts w:hAnsi="宋体"/>
                <w:sz w:val="24"/>
              </w:rPr>
              <w:t>求助。由</w:t>
            </w:r>
            <w:r>
              <w:rPr>
                <w:rFonts w:ascii="宋体" w:hAnsi="宋体"/>
                <w:sz w:val="24"/>
              </w:rPr>
              <w:t>电工负责切断电源，防止事态扩大。</w:t>
            </w:r>
          </w:p>
          <w:p>
            <w:pPr>
              <w:spacing w:line="360" w:lineRule="auto"/>
              <w:ind w:firstLine="480" w:firstLineChars="200"/>
              <w:rPr>
                <w:rFonts w:ascii="宋体" w:hAnsi="宋体"/>
                <w:sz w:val="24"/>
              </w:rPr>
            </w:pPr>
            <w:r>
              <w:rPr>
                <w:rFonts w:ascii="宋体" w:hAnsi="宋体"/>
                <w:sz w:val="24"/>
              </w:rPr>
              <w:t>②在组织扑救的同时，组织人员清理、疏散现场人员和易燃易爆、可燃材料。疏通事故发生现场的道路，保持消防通道的畅通，保证消防车辆通行及救援工作顺利进行。消防车由消防机构统一指挥，火场根据需要调动义务消防队及其他人员。在急救过程中，遇有威胁人身安全情况时，应首先确保人身安全，迅速疏散人群至安全地带，以减少不必要的伤亡。设立警戒线，禁止无关人员进入危险区域;组织脱离危险区域场所后，若火灾现场有伤员，首先应迅速使伤员脱离火灾现场，置于通风良好的地方，清除口鼻分泌物和碳粒，保持呼吸道通畅，有条件者给予导管吸氧，判断是否有一氧化碳中毒的可能性；其次是及时送往医疗中心进一步处理，途中要严密观察，防止因窒息而死亡。</w:t>
            </w:r>
          </w:p>
          <w:p>
            <w:pPr>
              <w:pStyle w:val="33"/>
              <w:tabs>
                <w:tab w:val="left" w:pos="3300"/>
              </w:tabs>
              <w:ind w:firstLine="556" w:firstLineChars="232"/>
              <w:rPr>
                <w:rFonts w:ascii="Times New Roman" w:hAnsi="Times New Roman"/>
              </w:rPr>
            </w:pPr>
            <w:r>
              <w:rPr>
                <w:rFonts w:ascii="Times New Roman" w:hAnsi="Times New Roman"/>
              </w:rPr>
              <w:t>5</w:t>
            </w:r>
            <w:r>
              <w:rPr>
                <w:rFonts w:hint="eastAsia" w:ascii="Times New Roman"/>
              </w:rPr>
              <w:t>）</w:t>
            </w:r>
            <w:r>
              <w:rPr>
                <w:rFonts w:ascii="Times New Roman"/>
              </w:rPr>
              <w:t>应急预案</w:t>
            </w:r>
          </w:p>
          <w:p>
            <w:pPr>
              <w:spacing w:line="360" w:lineRule="auto"/>
              <w:ind w:firstLine="480" w:firstLineChars="200"/>
              <w:rPr>
                <w:rFonts w:hint="eastAsia"/>
                <w:bCs/>
                <w:sz w:val="24"/>
              </w:rPr>
            </w:pPr>
            <w:r>
              <w:rPr>
                <w:rFonts w:hint="eastAsia"/>
                <w:bCs/>
                <w:sz w:val="24"/>
              </w:rPr>
              <w:t>无论预防工作如何周密，风险事故总是难以根本杜绝，制定风险事故应急预案的目的是迅速而有效地将事故损失减至最小，制定应急预案原则如下：</w:t>
            </w:r>
          </w:p>
          <w:p>
            <w:pPr>
              <w:spacing w:line="360" w:lineRule="auto"/>
              <w:ind w:firstLine="480" w:firstLineChars="200"/>
              <w:rPr>
                <w:rFonts w:hint="eastAsia"/>
                <w:bCs/>
                <w:sz w:val="24"/>
              </w:rPr>
            </w:pPr>
            <w:r>
              <w:rPr>
                <w:rFonts w:hint="eastAsia"/>
                <w:bCs/>
                <w:sz w:val="24"/>
              </w:rPr>
              <w:t>①确定救援组织、队伍和联络方式。</w:t>
            </w:r>
          </w:p>
          <w:p>
            <w:pPr>
              <w:spacing w:line="360" w:lineRule="auto"/>
              <w:ind w:firstLine="480" w:firstLineChars="200"/>
              <w:rPr>
                <w:rFonts w:hint="eastAsia"/>
                <w:bCs/>
                <w:sz w:val="24"/>
              </w:rPr>
            </w:pPr>
            <w:r>
              <w:rPr>
                <w:rFonts w:hint="eastAsia"/>
                <w:bCs/>
                <w:sz w:val="24"/>
              </w:rPr>
              <w:t>②制定事故类型、队伍和联络方式。</w:t>
            </w:r>
          </w:p>
          <w:p>
            <w:pPr>
              <w:spacing w:line="360" w:lineRule="auto"/>
              <w:ind w:firstLine="480" w:firstLineChars="200"/>
              <w:rPr>
                <w:rFonts w:hint="eastAsia"/>
                <w:bCs/>
                <w:sz w:val="24"/>
              </w:rPr>
            </w:pPr>
            <w:r>
              <w:rPr>
                <w:rFonts w:hint="eastAsia"/>
                <w:bCs/>
                <w:sz w:val="24"/>
              </w:rPr>
              <w:t>③配备必要的救灾防毒器具及防护用品。</w:t>
            </w:r>
          </w:p>
          <w:p>
            <w:pPr>
              <w:spacing w:line="360" w:lineRule="auto"/>
              <w:ind w:firstLine="480" w:firstLineChars="200"/>
              <w:rPr>
                <w:rFonts w:hint="eastAsia"/>
                <w:bCs/>
                <w:sz w:val="24"/>
              </w:rPr>
            </w:pPr>
            <w:r>
              <w:rPr>
                <w:rFonts w:hint="eastAsia"/>
                <w:bCs/>
                <w:sz w:val="24"/>
              </w:rPr>
              <w:t>④岗位培训和演习，设置事故应急学习手册及报告、记录和评估。</w:t>
            </w:r>
          </w:p>
          <w:p>
            <w:pPr>
              <w:spacing w:line="360" w:lineRule="auto"/>
              <w:ind w:firstLine="480" w:firstLineChars="200"/>
              <w:rPr>
                <w:rFonts w:hint="eastAsia"/>
                <w:bCs/>
                <w:sz w:val="24"/>
              </w:rPr>
            </w:pPr>
            <w:r>
              <w:rPr>
                <w:rFonts w:hint="eastAsia"/>
                <w:bCs/>
                <w:sz w:val="24"/>
              </w:rPr>
              <w:t>⑤制定区域防灾救援方案，与当地政府、消防、环保和医疗救助部门加强联系，以便风险事故发生时及时得到救援。</w:t>
            </w:r>
          </w:p>
          <w:p>
            <w:pPr>
              <w:spacing w:line="360" w:lineRule="auto"/>
              <w:ind w:firstLine="480" w:firstLineChars="200"/>
              <w:rPr>
                <w:rFonts w:hint="eastAsia"/>
                <w:bCs/>
                <w:sz w:val="24"/>
              </w:rPr>
            </w:pPr>
            <w:r>
              <w:rPr>
                <w:rFonts w:hint="eastAsia"/>
                <w:bCs/>
                <w:sz w:val="24"/>
              </w:rPr>
              <w:t>⑥当出现非正常工作时，应及时上报维修，必要时要停产检修，及时通知周围农户。确保污染事故发生时，对周围环境的影响降到最小程度。并承担相应的污染事故责任。</w:t>
            </w:r>
          </w:p>
          <w:p>
            <w:pPr>
              <w:pStyle w:val="33"/>
              <w:tabs>
                <w:tab w:val="left" w:pos="3300"/>
              </w:tabs>
              <w:rPr>
                <w:rFonts w:hint="eastAsia"/>
              </w:rPr>
            </w:pPr>
            <w:r>
              <w:rPr>
                <w:rFonts w:hint="eastAsia"/>
              </w:rPr>
              <w:t>一般</w:t>
            </w:r>
            <w:r>
              <w:t>应急预案如下表所示：</w:t>
            </w:r>
          </w:p>
          <w:p>
            <w:pPr>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表7-22  一般应急预案内容</w:t>
            </w:r>
          </w:p>
          <w:tbl>
            <w:tblPr>
              <w:tblStyle w:val="69"/>
              <w:tblW w:w="897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541"/>
              <w:gridCol w:w="66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8" w:type="dxa"/>
                  <w:noWrap w:val="0"/>
                  <w:vAlign w:val="center"/>
                </w:tcPr>
                <w:p>
                  <w:pPr>
                    <w:jc w:val="center"/>
                    <w:rPr>
                      <w:b/>
                      <w:szCs w:val="21"/>
                    </w:rPr>
                  </w:pPr>
                  <w:r>
                    <w:rPr>
                      <w:b/>
                      <w:szCs w:val="21"/>
                    </w:rPr>
                    <w:t>序号</w:t>
                  </w:r>
                </w:p>
              </w:tc>
              <w:tc>
                <w:tcPr>
                  <w:tcW w:w="1541" w:type="dxa"/>
                  <w:noWrap w:val="0"/>
                  <w:vAlign w:val="center"/>
                </w:tcPr>
                <w:p>
                  <w:pPr>
                    <w:jc w:val="center"/>
                    <w:rPr>
                      <w:b/>
                      <w:szCs w:val="21"/>
                    </w:rPr>
                  </w:pPr>
                  <w:r>
                    <w:rPr>
                      <w:b/>
                      <w:szCs w:val="21"/>
                    </w:rPr>
                    <w:t>项目</w:t>
                  </w:r>
                </w:p>
              </w:tc>
              <w:tc>
                <w:tcPr>
                  <w:tcW w:w="6684" w:type="dxa"/>
                  <w:noWrap w:val="0"/>
                  <w:vAlign w:val="center"/>
                </w:tcPr>
                <w:p>
                  <w:pPr>
                    <w:jc w:val="center"/>
                    <w:rPr>
                      <w:b/>
                      <w:szCs w:val="21"/>
                    </w:rPr>
                  </w:pPr>
                  <w:r>
                    <w:rPr>
                      <w:b/>
                      <w:szCs w:val="21"/>
                    </w:rPr>
                    <w:t>内容及要求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8" w:type="dxa"/>
                  <w:noWrap w:val="0"/>
                  <w:vAlign w:val="center"/>
                </w:tcPr>
                <w:p>
                  <w:pPr>
                    <w:jc w:val="center"/>
                    <w:rPr>
                      <w:szCs w:val="21"/>
                    </w:rPr>
                  </w:pPr>
                  <w:r>
                    <w:rPr>
                      <w:szCs w:val="21"/>
                    </w:rPr>
                    <w:t>1</w:t>
                  </w:r>
                </w:p>
              </w:tc>
              <w:tc>
                <w:tcPr>
                  <w:tcW w:w="1541" w:type="dxa"/>
                  <w:noWrap w:val="0"/>
                  <w:vAlign w:val="center"/>
                </w:tcPr>
                <w:p>
                  <w:pPr>
                    <w:rPr>
                      <w:szCs w:val="21"/>
                    </w:rPr>
                  </w:pPr>
                  <w:r>
                    <w:rPr>
                      <w:szCs w:val="21"/>
                    </w:rPr>
                    <w:t>危险源情况</w:t>
                  </w:r>
                </w:p>
              </w:tc>
              <w:tc>
                <w:tcPr>
                  <w:tcW w:w="6684" w:type="dxa"/>
                  <w:noWrap w:val="0"/>
                  <w:vAlign w:val="center"/>
                </w:tcPr>
                <w:p>
                  <w:pPr>
                    <w:rPr>
                      <w:szCs w:val="21"/>
                    </w:rPr>
                  </w:pPr>
                  <w:r>
                    <w:rPr>
                      <w:szCs w:val="21"/>
                    </w:rPr>
                    <w:t>详细说明危险源类型、数量、分布及其对环境的风险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8" w:type="dxa"/>
                  <w:noWrap w:val="0"/>
                  <w:vAlign w:val="center"/>
                </w:tcPr>
                <w:p>
                  <w:pPr>
                    <w:jc w:val="center"/>
                    <w:rPr>
                      <w:szCs w:val="21"/>
                    </w:rPr>
                  </w:pPr>
                  <w:r>
                    <w:rPr>
                      <w:szCs w:val="21"/>
                    </w:rPr>
                    <w:t>2</w:t>
                  </w:r>
                </w:p>
              </w:tc>
              <w:tc>
                <w:tcPr>
                  <w:tcW w:w="1541" w:type="dxa"/>
                  <w:noWrap w:val="0"/>
                  <w:vAlign w:val="center"/>
                </w:tcPr>
                <w:p>
                  <w:pPr>
                    <w:rPr>
                      <w:szCs w:val="21"/>
                    </w:rPr>
                  </w:pPr>
                  <w:r>
                    <w:rPr>
                      <w:szCs w:val="21"/>
                    </w:rPr>
                    <w:t>应急计划区</w:t>
                  </w:r>
                </w:p>
              </w:tc>
              <w:tc>
                <w:tcPr>
                  <w:tcW w:w="6684" w:type="dxa"/>
                  <w:noWrap w:val="0"/>
                  <w:vAlign w:val="center"/>
                </w:tcPr>
                <w:p>
                  <w:pPr>
                    <w:rPr>
                      <w:szCs w:val="21"/>
                    </w:rPr>
                  </w:pPr>
                  <w:r>
                    <w:rPr>
                      <w:szCs w:val="21"/>
                    </w:rPr>
                    <w:t>装置区、仓储区、临近地区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8" w:type="dxa"/>
                  <w:noWrap w:val="0"/>
                  <w:vAlign w:val="center"/>
                </w:tcPr>
                <w:p>
                  <w:pPr>
                    <w:jc w:val="center"/>
                    <w:rPr>
                      <w:szCs w:val="21"/>
                    </w:rPr>
                  </w:pPr>
                  <w:r>
                    <w:rPr>
                      <w:szCs w:val="21"/>
                    </w:rPr>
                    <w:t>3</w:t>
                  </w:r>
                </w:p>
              </w:tc>
              <w:tc>
                <w:tcPr>
                  <w:tcW w:w="1541" w:type="dxa"/>
                  <w:noWrap w:val="0"/>
                  <w:vAlign w:val="center"/>
                </w:tcPr>
                <w:p>
                  <w:pPr>
                    <w:rPr>
                      <w:szCs w:val="21"/>
                    </w:rPr>
                  </w:pPr>
                  <w:r>
                    <w:rPr>
                      <w:szCs w:val="21"/>
                    </w:rPr>
                    <w:t>应急组织</w:t>
                  </w:r>
                </w:p>
              </w:tc>
              <w:tc>
                <w:tcPr>
                  <w:tcW w:w="6684" w:type="dxa"/>
                  <w:noWrap w:val="0"/>
                  <w:vAlign w:val="center"/>
                </w:tcPr>
                <w:p>
                  <w:pPr>
                    <w:rPr>
                      <w:szCs w:val="21"/>
                    </w:rPr>
                  </w:pPr>
                  <w:r>
                    <w:rPr>
                      <w:szCs w:val="21"/>
                    </w:rPr>
                    <w:t>物流中心：成立应急指挥小组，由公司最高领导层担任小组长，负责现场全面指挥，专业救援队伍负责事故控制、救援和善后处理。</w:t>
                  </w:r>
                </w:p>
                <w:p>
                  <w:pPr>
                    <w:ind w:left="1050" w:hanging="1050" w:hangingChars="500"/>
                    <w:rPr>
                      <w:szCs w:val="21"/>
                    </w:rPr>
                  </w:pPr>
                  <w:r>
                    <w:rPr>
                      <w:szCs w:val="21"/>
                    </w:rPr>
                    <w:t>临近地区：地区指挥部负责企业附近地区全面指挥，救援，管制和疏散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8" w:type="dxa"/>
                  <w:noWrap w:val="0"/>
                  <w:vAlign w:val="center"/>
                </w:tcPr>
                <w:p>
                  <w:pPr>
                    <w:jc w:val="center"/>
                    <w:rPr>
                      <w:szCs w:val="21"/>
                    </w:rPr>
                  </w:pPr>
                  <w:r>
                    <w:rPr>
                      <w:szCs w:val="21"/>
                    </w:rPr>
                    <w:t>4</w:t>
                  </w:r>
                </w:p>
              </w:tc>
              <w:tc>
                <w:tcPr>
                  <w:tcW w:w="1541" w:type="dxa"/>
                  <w:noWrap w:val="0"/>
                  <w:vAlign w:val="center"/>
                </w:tcPr>
                <w:p>
                  <w:pPr>
                    <w:rPr>
                      <w:szCs w:val="21"/>
                    </w:rPr>
                  </w:pPr>
                  <w:r>
                    <w:rPr>
                      <w:szCs w:val="21"/>
                    </w:rPr>
                    <w:t>应急状态分类应急响应程序</w:t>
                  </w:r>
                </w:p>
              </w:tc>
              <w:tc>
                <w:tcPr>
                  <w:tcW w:w="6684" w:type="dxa"/>
                  <w:noWrap w:val="0"/>
                  <w:vAlign w:val="center"/>
                </w:tcPr>
                <w:p>
                  <w:pPr>
                    <w:rPr>
                      <w:szCs w:val="21"/>
                    </w:rPr>
                  </w:pPr>
                  <w:r>
                    <w:rPr>
                      <w:szCs w:val="21"/>
                    </w:rPr>
                    <w:t>规定环境风险事故的级别及相应的应急状态分类，以此制定相应的应急响应程序。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8" w:type="dxa"/>
                  <w:noWrap w:val="0"/>
                  <w:vAlign w:val="center"/>
                </w:tcPr>
                <w:p>
                  <w:pPr>
                    <w:jc w:val="center"/>
                    <w:rPr>
                      <w:szCs w:val="21"/>
                    </w:rPr>
                  </w:pPr>
                  <w:r>
                    <w:rPr>
                      <w:szCs w:val="21"/>
                    </w:rPr>
                    <w:t>5</w:t>
                  </w:r>
                </w:p>
              </w:tc>
              <w:tc>
                <w:tcPr>
                  <w:tcW w:w="1541" w:type="dxa"/>
                  <w:noWrap w:val="0"/>
                  <w:vAlign w:val="center"/>
                </w:tcPr>
                <w:p>
                  <w:pPr>
                    <w:rPr>
                      <w:szCs w:val="21"/>
                    </w:rPr>
                  </w:pPr>
                  <w:r>
                    <w:rPr>
                      <w:szCs w:val="21"/>
                    </w:rPr>
                    <w:t>应急设施</w:t>
                  </w:r>
                </w:p>
                <w:p>
                  <w:pPr>
                    <w:rPr>
                      <w:szCs w:val="21"/>
                    </w:rPr>
                  </w:pPr>
                  <w:r>
                    <w:rPr>
                      <w:szCs w:val="21"/>
                    </w:rPr>
                    <w:t>设备与材料</w:t>
                  </w:r>
                </w:p>
              </w:tc>
              <w:tc>
                <w:tcPr>
                  <w:tcW w:w="6684" w:type="dxa"/>
                  <w:noWrap w:val="0"/>
                  <w:vAlign w:val="center"/>
                </w:tcPr>
                <w:p>
                  <w:pPr>
                    <w:rPr>
                      <w:szCs w:val="21"/>
                    </w:rPr>
                  </w:pPr>
                  <w:r>
                    <w:rPr>
                      <w:szCs w:val="21"/>
                    </w:rPr>
                    <w:t>办公区和库房：防火设备与材料，主要为消防器材、消防服等；消防水池。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8" w:type="dxa"/>
                  <w:noWrap w:val="0"/>
                  <w:vAlign w:val="center"/>
                </w:tcPr>
                <w:p>
                  <w:pPr>
                    <w:jc w:val="center"/>
                    <w:rPr>
                      <w:szCs w:val="21"/>
                    </w:rPr>
                  </w:pPr>
                  <w:r>
                    <w:rPr>
                      <w:szCs w:val="21"/>
                    </w:rPr>
                    <w:t>6</w:t>
                  </w:r>
                </w:p>
              </w:tc>
              <w:tc>
                <w:tcPr>
                  <w:tcW w:w="1541" w:type="dxa"/>
                  <w:noWrap w:val="0"/>
                  <w:vAlign w:val="center"/>
                </w:tcPr>
                <w:p>
                  <w:pPr>
                    <w:rPr>
                      <w:szCs w:val="21"/>
                    </w:rPr>
                  </w:pPr>
                  <w:r>
                    <w:rPr>
                      <w:szCs w:val="21"/>
                    </w:rPr>
                    <w:t>应急通讯</w:t>
                  </w:r>
                </w:p>
                <w:p>
                  <w:pPr>
                    <w:rPr>
                      <w:szCs w:val="21"/>
                    </w:rPr>
                  </w:pPr>
                  <w:r>
                    <w:rPr>
                      <w:szCs w:val="21"/>
                    </w:rPr>
                    <w:t>通告与交通</w:t>
                  </w:r>
                </w:p>
              </w:tc>
              <w:tc>
                <w:tcPr>
                  <w:tcW w:w="6684" w:type="dxa"/>
                  <w:noWrap w:val="0"/>
                  <w:vAlign w:val="center"/>
                </w:tcPr>
                <w:p>
                  <w:pPr>
                    <w:rPr>
                      <w:szCs w:val="21"/>
                    </w:rPr>
                  </w:pPr>
                  <w:r>
                    <w:rPr>
                      <w:szCs w:val="21"/>
                    </w:rPr>
                    <w:t>规定应急状态下的通讯、通告方式和交通保障、管理等事项。可充分利用现代化的通信设施，如手机、固定电话、广播、电视等。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8" w:type="dxa"/>
                  <w:noWrap w:val="0"/>
                  <w:vAlign w:val="center"/>
                </w:tcPr>
                <w:p>
                  <w:pPr>
                    <w:jc w:val="center"/>
                    <w:rPr>
                      <w:szCs w:val="21"/>
                    </w:rPr>
                  </w:pPr>
                  <w:r>
                    <w:rPr>
                      <w:szCs w:val="21"/>
                    </w:rPr>
                    <w:t>7</w:t>
                  </w:r>
                </w:p>
              </w:tc>
              <w:tc>
                <w:tcPr>
                  <w:tcW w:w="1541" w:type="dxa"/>
                  <w:noWrap w:val="0"/>
                  <w:vAlign w:val="center"/>
                </w:tcPr>
                <w:p>
                  <w:pPr>
                    <w:rPr>
                      <w:szCs w:val="21"/>
                    </w:rPr>
                  </w:pPr>
                  <w:r>
                    <w:rPr>
                      <w:szCs w:val="21"/>
                    </w:rPr>
                    <w:t>应急环境监测及事故后评价</w:t>
                  </w:r>
                </w:p>
              </w:tc>
              <w:tc>
                <w:tcPr>
                  <w:tcW w:w="6684" w:type="dxa"/>
                  <w:noWrap w:val="0"/>
                  <w:vAlign w:val="center"/>
                </w:tcPr>
                <w:p>
                  <w:pPr>
                    <w:rPr>
                      <w:szCs w:val="21"/>
                    </w:rPr>
                  </w:pPr>
                  <w:r>
                    <w:rPr>
                      <w:szCs w:val="21"/>
                    </w:rPr>
                    <w:t>由专业人员对环境分析事故现场进行应急监测，对事故性质、严重程度均所造成的环境危害后果进行评估，吸取经验教训避免再次发生事故，为指挥部门提供决策依据。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8" w:type="dxa"/>
                  <w:noWrap w:val="0"/>
                  <w:vAlign w:val="center"/>
                </w:tcPr>
                <w:p>
                  <w:pPr>
                    <w:jc w:val="center"/>
                    <w:rPr>
                      <w:szCs w:val="21"/>
                    </w:rPr>
                  </w:pPr>
                  <w:r>
                    <w:rPr>
                      <w:szCs w:val="21"/>
                    </w:rPr>
                    <w:t>8</w:t>
                  </w:r>
                </w:p>
              </w:tc>
              <w:tc>
                <w:tcPr>
                  <w:tcW w:w="1541" w:type="dxa"/>
                  <w:noWrap w:val="0"/>
                  <w:vAlign w:val="center"/>
                </w:tcPr>
                <w:p>
                  <w:pPr>
                    <w:rPr>
                      <w:szCs w:val="21"/>
                    </w:rPr>
                  </w:pPr>
                  <w:r>
                    <w:rPr>
                      <w:szCs w:val="21"/>
                    </w:rPr>
                    <w:t>应急防护措施</w:t>
                  </w:r>
                </w:p>
              </w:tc>
              <w:tc>
                <w:tcPr>
                  <w:tcW w:w="6684" w:type="dxa"/>
                  <w:noWrap w:val="0"/>
                  <w:vAlign w:val="center"/>
                </w:tcPr>
                <w:p>
                  <w:pPr>
                    <w:pStyle w:val="23"/>
                    <w:spacing w:after="0"/>
                    <w:rPr>
                      <w:szCs w:val="21"/>
                    </w:rPr>
                  </w:pPr>
                  <w:r>
                    <w:rPr>
                      <w:sz w:val="21"/>
                      <w:szCs w:val="21"/>
                    </w:rPr>
                    <w:t>事故现场：控制事故发展，防止扩大、蔓延及连锁反应；</w:t>
                  </w:r>
                  <w:r>
                    <w:rPr>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8" w:type="dxa"/>
                  <w:noWrap w:val="0"/>
                  <w:vAlign w:val="center"/>
                </w:tcPr>
                <w:p>
                  <w:pPr>
                    <w:jc w:val="center"/>
                    <w:rPr>
                      <w:szCs w:val="21"/>
                    </w:rPr>
                  </w:pPr>
                  <w:r>
                    <w:rPr>
                      <w:szCs w:val="21"/>
                    </w:rPr>
                    <w:t>9</w:t>
                  </w:r>
                </w:p>
              </w:tc>
              <w:tc>
                <w:tcPr>
                  <w:tcW w:w="1541" w:type="dxa"/>
                  <w:noWrap w:val="0"/>
                  <w:vAlign w:val="center"/>
                </w:tcPr>
                <w:p>
                  <w:pPr>
                    <w:rPr>
                      <w:szCs w:val="21"/>
                    </w:rPr>
                  </w:pPr>
                  <w:r>
                    <w:rPr>
                      <w:szCs w:val="21"/>
                    </w:rPr>
                    <w:t>应急剂量控制</w:t>
                  </w:r>
                </w:p>
                <w:p>
                  <w:pPr>
                    <w:rPr>
                      <w:szCs w:val="21"/>
                    </w:rPr>
                  </w:pPr>
                  <w:r>
                    <w:rPr>
                      <w:szCs w:val="21"/>
                    </w:rPr>
                    <w:t>撤离组织计划</w:t>
                  </w:r>
                </w:p>
                <w:p>
                  <w:pPr>
                    <w:rPr>
                      <w:szCs w:val="21"/>
                    </w:rPr>
                  </w:pPr>
                  <w:r>
                    <w:rPr>
                      <w:szCs w:val="21"/>
                    </w:rPr>
                    <w:t>医疗救护与保护公众健康</w:t>
                  </w:r>
                </w:p>
              </w:tc>
              <w:tc>
                <w:tcPr>
                  <w:tcW w:w="6684" w:type="dxa"/>
                  <w:noWrap w:val="0"/>
                  <w:vAlign w:val="center"/>
                </w:tcPr>
                <w:p>
                  <w:pPr>
                    <w:rPr>
                      <w:szCs w:val="21"/>
                    </w:rPr>
                  </w:pPr>
                  <w:r>
                    <w:rPr>
                      <w:szCs w:val="21"/>
                    </w:rPr>
                    <w:t>事故现场：事故处理人员制定毒物的应急剂量、现场及临近装置人员的撤离组织计划和紧急救护方案；</w:t>
                  </w:r>
                </w:p>
                <w:p>
                  <w:pPr>
                    <w:rPr>
                      <w:szCs w:val="21"/>
                    </w:rPr>
                  </w:pPr>
                  <w:r>
                    <w:rPr>
                      <w:szCs w:val="21"/>
                    </w:rPr>
                    <w:t>临近地区：制定受事故影响的临近地区内人员的烧伤程度、公众的疏散组织计划和紧急救护方案。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8" w:type="dxa"/>
                  <w:noWrap w:val="0"/>
                  <w:vAlign w:val="center"/>
                </w:tcPr>
                <w:p>
                  <w:pPr>
                    <w:jc w:val="center"/>
                    <w:rPr>
                      <w:szCs w:val="21"/>
                    </w:rPr>
                  </w:pPr>
                  <w:r>
                    <w:rPr>
                      <w:szCs w:val="21"/>
                    </w:rPr>
                    <w:t>10</w:t>
                  </w:r>
                </w:p>
              </w:tc>
              <w:tc>
                <w:tcPr>
                  <w:tcW w:w="1541" w:type="dxa"/>
                  <w:noWrap w:val="0"/>
                  <w:vAlign w:val="center"/>
                </w:tcPr>
                <w:p>
                  <w:pPr>
                    <w:rPr>
                      <w:szCs w:val="21"/>
                    </w:rPr>
                  </w:pPr>
                  <w:r>
                    <w:rPr>
                      <w:szCs w:val="21"/>
                    </w:rPr>
                    <w:t>应急状态中止</w:t>
                  </w:r>
                </w:p>
                <w:p>
                  <w:pPr>
                    <w:rPr>
                      <w:szCs w:val="21"/>
                    </w:rPr>
                  </w:pPr>
                  <w:r>
                    <w:rPr>
                      <w:szCs w:val="21"/>
                    </w:rPr>
                    <w:t>恢复措施</w:t>
                  </w:r>
                </w:p>
              </w:tc>
              <w:tc>
                <w:tcPr>
                  <w:tcW w:w="6684" w:type="dxa"/>
                  <w:noWrap w:val="0"/>
                  <w:vAlign w:val="center"/>
                </w:tcPr>
                <w:p>
                  <w:pPr>
                    <w:rPr>
                      <w:szCs w:val="21"/>
                    </w:rPr>
                  </w:pPr>
                  <w:r>
                    <w:rPr>
                      <w:szCs w:val="21"/>
                    </w:rPr>
                    <w:t>事故现场：规定应急状态终止秩序；事故现场善后处理，回复生产措施；</w:t>
                  </w:r>
                </w:p>
                <w:p>
                  <w:pPr>
                    <w:rPr>
                      <w:szCs w:val="21"/>
                    </w:rPr>
                  </w:pPr>
                  <w:r>
                    <w:rPr>
                      <w:szCs w:val="21"/>
                    </w:rPr>
                    <w:t>临近地区：解除事故警戒，公众返回和善后回复措施。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8" w:type="dxa"/>
                  <w:noWrap w:val="0"/>
                  <w:vAlign w:val="center"/>
                </w:tcPr>
                <w:p>
                  <w:pPr>
                    <w:jc w:val="center"/>
                    <w:rPr>
                      <w:szCs w:val="21"/>
                    </w:rPr>
                  </w:pPr>
                  <w:r>
                    <w:rPr>
                      <w:szCs w:val="21"/>
                    </w:rPr>
                    <w:t>11</w:t>
                  </w:r>
                </w:p>
              </w:tc>
              <w:tc>
                <w:tcPr>
                  <w:tcW w:w="1541" w:type="dxa"/>
                  <w:noWrap w:val="0"/>
                  <w:vAlign w:val="center"/>
                </w:tcPr>
                <w:p>
                  <w:pPr>
                    <w:rPr>
                      <w:szCs w:val="21"/>
                    </w:rPr>
                  </w:pPr>
                  <w:r>
                    <w:rPr>
                      <w:szCs w:val="21"/>
                    </w:rPr>
                    <w:t>人员培训</w:t>
                  </w:r>
                </w:p>
                <w:p>
                  <w:pPr>
                    <w:rPr>
                      <w:szCs w:val="21"/>
                    </w:rPr>
                  </w:pPr>
                  <w:r>
                    <w:rPr>
                      <w:szCs w:val="21"/>
                    </w:rPr>
                    <w:t>与演习</w:t>
                  </w:r>
                </w:p>
              </w:tc>
              <w:tc>
                <w:tcPr>
                  <w:tcW w:w="6684" w:type="dxa"/>
                  <w:noWrap w:val="0"/>
                  <w:vAlign w:val="center"/>
                </w:tcPr>
                <w:p>
                  <w:pPr>
                    <w:rPr>
                      <w:szCs w:val="21"/>
                    </w:rPr>
                  </w:pPr>
                  <w:r>
                    <w:rPr>
                      <w:szCs w:val="21"/>
                    </w:rPr>
                    <w:t>应急计划制定后，平时安排事故出路人员进行相关知识培训并进行事故应急处理演习；对工厂工人进行安全卫生教育。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8" w:type="dxa"/>
                  <w:noWrap w:val="0"/>
                  <w:vAlign w:val="center"/>
                </w:tcPr>
                <w:p>
                  <w:pPr>
                    <w:jc w:val="center"/>
                    <w:rPr>
                      <w:szCs w:val="21"/>
                    </w:rPr>
                  </w:pPr>
                  <w:r>
                    <w:rPr>
                      <w:szCs w:val="21"/>
                    </w:rPr>
                    <w:t>12</w:t>
                  </w:r>
                </w:p>
              </w:tc>
              <w:tc>
                <w:tcPr>
                  <w:tcW w:w="1541" w:type="dxa"/>
                  <w:noWrap w:val="0"/>
                  <w:vAlign w:val="center"/>
                </w:tcPr>
                <w:p>
                  <w:pPr>
                    <w:rPr>
                      <w:szCs w:val="21"/>
                    </w:rPr>
                  </w:pPr>
                  <w:r>
                    <w:rPr>
                      <w:szCs w:val="21"/>
                    </w:rPr>
                    <w:t>公众教育</w:t>
                  </w:r>
                </w:p>
                <w:p>
                  <w:pPr>
                    <w:rPr>
                      <w:szCs w:val="21"/>
                    </w:rPr>
                  </w:pPr>
                  <w:r>
                    <w:rPr>
                      <w:szCs w:val="21"/>
                    </w:rPr>
                    <w:t>信息发布</w:t>
                  </w:r>
                </w:p>
              </w:tc>
              <w:tc>
                <w:tcPr>
                  <w:tcW w:w="6684" w:type="dxa"/>
                  <w:noWrap w:val="0"/>
                  <w:vAlign w:val="center"/>
                </w:tcPr>
                <w:p>
                  <w:pPr>
                    <w:rPr>
                      <w:szCs w:val="21"/>
                    </w:rPr>
                  </w:pPr>
                  <w:r>
                    <w:rPr>
                      <w:szCs w:val="21"/>
                    </w:rPr>
                    <w:t>对工厂临近地区公众开展环境风险事故预防教育、应急知识培训并定期发布相关信息。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8" w:type="dxa"/>
                  <w:noWrap w:val="0"/>
                  <w:vAlign w:val="center"/>
                </w:tcPr>
                <w:p>
                  <w:pPr>
                    <w:jc w:val="center"/>
                    <w:rPr>
                      <w:szCs w:val="21"/>
                    </w:rPr>
                  </w:pPr>
                  <w:r>
                    <w:rPr>
                      <w:szCs w:val="21"/>
                    </w:rPr>
                    <w:t>13</w:t>
                  </w:r>
                </w:p>
              </w:tc>
              <w:tc>
                <w:tcPr>
                  <w:tcW w:w="1541" w:type="dxa"/>
                  <w:noWrap w:val="0"/>
                  <w:vAlign w:val="center"/>
                </w:tcPr>
                <w:p>
                  <w:pPr>
                    <w:rPr>
                      <w:szCs w:val="21"/>
                    </w:rPr>
                  </w:pPr>
                  <w:r>
                    <w:rPr>
                      <w:szCs w:val="21"/>
                    </w:rPr>
                    <w:t>记录和报告</w:t>
                  </w:r>
                </w:p>
              </w:tc>
              <w:tc>
                <w:tcPr>
                  <w:tcW w:w="6684" w:type="dxa"/>
                  <w:noWrap w:val="0"/>
                  <w:vAlign w:val="center"/>
                </w:tcPr>
                <w:p>
                  <w:pPr>
                    <w:rPr>
                      <w:szCs w:val="21"/>
                    </w:rPr>
                  </w:pPr>
                  <w:r>
                    <w:rPr>
                      <w:szCs w:val="21"/>
                    </w:rPr>
                    <w:t>设应急事故专门记录，建立档案和报告制度，设专门部门负责管理。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8" w:type="dxa"/>
                  <w:noWrap w:val="0"/>
                  <w:vAlign w:val="center"/>
                </w:tcPr>
                <w:p>
                  <w:pPr>
                    <w:jc w:val="center"/>
                    <w:rPr>
                      <w:szCs w:val="21"/>
                    </w:rPr>
                  </w:pPr>
                  <w:r>
                    <w:rPr>
                      <w:szCs w:val="21"/>
                    </w:rPr>
                    <w:t>14</w:t>
                  </w:r>
                </w:p>
              </w:tc>
              <w:tc>
                <w:tcPr>
                  <w:tcW w:w="1541" w:type="dxa"/>
                  <w:noWrap w:val="0"/>
                  <w:vAlign w:val="center"/>
                </w:tcPr>
                <w:p>
                  <w:pPr>
                    <w:rPr>
                      <w:szCs w:val="21"/>
                    </w:rPr>
                  </w:pPr>
                  <w:r>
                    <w:rPr>
                      <w:szCs w:val="21"/>
                    </w:rPr>
                    <w:t>附件</w:t>
                  </w:r>
                </w:p>
              </w:tc>
              <w:tc>
                <w:tcPr>
                  <w:tcW w:w="6684" w:type="dxa"/>
                  <w:noWrap w:val="0"/>
                  <w:vAlign w:val="center"/>
                </w:tcPr>
                <w:p>
                  <w:pPr>
                    <w:rPr>
                      <w:szCs w:val="21"/>
                    </w:rPr>
                  </w:pPr>
                  <w:r>
                    <w:rPr>
                      <w:szCs w:val="21"/>
                    </w:rPr>
                    <w:t>准备并形成环境风险事故应急处理有关的附件材料。</w:t>
                  </w:r>
                </w:p>
              </w:tc>
            </w:tr>
          </w:tbl>
          <w:p>
            <w:pPr>
              <w:pStyle w:val="33"/>
              <w:tabs>
                <w:tab w:val="left" w:pos="3300"/>
              </w:tabs>
              <w:ind w:firstLine="482"/>
              <w:rPr>
                <w:rFonts w:hint="eastAsia"/>
                <w:b w:val="0"/>
                <w:bCs/>
              </w:rPr>
            </w:pPr>
            <w:r>
              <w:rPr>
                <w:rFonts w:ascii="Times New Roman" w:hAnsi="Times New Roman"/>
                <w:b w:val="0"/>
                <w:bCs/>
              </w:rPr>
              <w:t>6</w:t>
            </w:r>
            <w:r>
              <w:rPr>
                <w:rFonts w:hint="eastAsia" w:ascii="Times New Roman"/>
                <w:b w:val="0"/>
                <w:bCs/>
              </w:rPr>
              <w:t>）</w:t>
            </w:r>
            <w:r>
              <w:rPr>
                <w:rFonts w:hint="eastAsia"/>
                <w:b w:val="0"/>
                <w:bCs/>
              </w:rPr>
              <w:t>风险评价结论</w:t>
            </w:r>
          </w:p>
          <w:p>
            <w:pPr>
              <w:spacing w:line="360" w:lineRule="auto"/>
              <w:ind w:firstLine="480" w:firstLineChars="200"/>
              <w:rPr>
                <w:bCs/>
                <w:sz w:val="24"/>
              </w:rPr>
            </w:pPr>
            <w:r>
              <w:rPr>
                <w:bCs/>
                <w:sz w:val="24"/>
              </w:rPr>
              <w:t>本项目原辅材料成分符合国家要求，生产过程中不产生有毒有害物质，无高压、易燃易爆、辐射等有害作业。采取相应的风险事故防范措施，制定相应的环境风险应急预案，项目的风险性影响因素是可以降低到最低水平的，并能减少或避免风险事故的发生。</w:t>
            </w:r>
          </w:p>
          <w:p>
            <w:pPr>
              <w:spacing w:line="360" w:lineRule="auto"/>
              <w:ind w:firstLine="482" w:firstLineChars="200"/>
              <w:rPr>
                <w:rFonts w:hint="eastAsia"/>
                <w:b/>
                <w:bCs/>
                <w:sz w:val="24"/>
              </w:rPr>
            </w:pPr>
            <w:r>
              <w:rPr>
                <w:rFonts w:hint="eastAsia"/>
                <w:b/>
                <w:bCs/>
                <w:sz w:val="24"/>
              </w:rPr>
              <w:t>总的来说，项目的风险措施是可行的，</w:t>
            </w:r>
            <w:r>
              <w:rPr>
                <w:b/>
                <w:bCs/>
                <w:sz w:val="24"/>
              </w:rPr>
              <w:t>环境风险</w:t>
            </w:r>
            <w:r>
              <w:rPr>
                <w:rFonts w:hint="eastAsia"/>
                <w:b/>
                <w:bCs/>
                <w:sz w:val="24"/>
              </w:rPr>
              <w:t>值</w:t>
            </w:r>
            <w:r>
              <w:rPr>
                <w:b/>
                <w:bCs/>
                <w:sz w:val="24"/>
              </w:rPr>
              <w:t>在可接受水平范围内。</w:t>
            </w:r>
          </w:p>
          <w:p>
            <w:pPr>
              <w:spacing w:line="360" w:lineRule="auto"/>
              <w:ind w:firstLine="482" w:firstLineChars="200"/>
              <w:rPr>
                <w:rFonts w:hint="eastAsia" w:ascii="宋体" w:hAnsi="宋体" w:cs="宋体"/>
                <w:b/>
                <w:sz w:val="24"/>
              </w:rPr>
            </w:pPr>
            <w:r>
              <w:rPr>
                <w:rFonts w:hint="eastAsia" w:ascii="宋体" w:hAnsi="宋体" w:cs="宋体"/>
                <w:b/>
                <w:sz w:val="24"/>
              </w:rPr>
              <w:t>（六）环境管理与监测计划</w:t>
            </w:r>
          </w:p>
          <w:p>
            <w:pPr>
              <w:spacing w:line="360" w:lineRule="auto"/>
              <w:ind w:firstLine="482" w:firstLineChars="200"/>
              <w:outlineLvl w:val="1"/>
              <w:rPr>
                <w:rFonts w:hint="eastAsia" w:ascii="宋体" w:hAnsi="宋体" w:cs="宋体"/>
                <w:b/>
                <w:sz w:val="24"/>
              </w:rPr>
            </w:pPr>
            <w:bookmarkStart w:id="18" w:name="_Toc483491339"/>
            <w:r>
              <w:rPr>
                <w:rFonts w:hint="eastAsia" w:ascii="宋体" w:hAnsi="宋体" w:cs="宋体"/>
                <w:b/>
                <w:sz w:val="24"/>
              </w:rPr>
              <w:t>（1）环境管理</w:t>
            </w:r>
            <w:bookmarkEnd w:id="18"/>
          </w:p>
          <w:p>
            <w:pPr>
              <w:spacing w:line="360" w:lineRule="auto"/>
              <w:ind w:firstLine="480" w:firstLineChars="200"/>
              <w:rPr>
                <w:rFonts w:hint="eastAsia" w:ascii="宋体" w:hAnsi="宋体" w:cs="宋体"/>
                <w:sz w:val="24"/>
              </w:rPr>
            </w:pPr>
            <w:r>
              <w:rPr>
                <w:rFonts w:hint="eastAsia" w:ascii="宋体" w:hAnsi="宋体" w:cs="宋体"/>
                <w:sz w:val="24"/>
              </w:rPr>
              <w:t>环境管理是企业管理中的重要组成部分，加大环境监督、管理力度，是实现环境效益、社会效益、经济效益协调发展和坚持走可持续发展道路的重要措施。因此制定严格的环境管理和环境监测计划，确保建设项目在工程施工和运行期间各项环保治理措施能得到认真落实，做到最大限度的减少污染。</w:t>
            </w:r>
          </w:p>
          <w:p>
            <w:pPr>
              <w:spacing w:line="360" w:lineRule="auto"/>
              <w:ind w:firstLine="472" w:firstLineChars="196"/>
              <w:rPr>
                <w:rFonts w:hint="eastAsia" w:ascii="宋体" w:hAnsi="宋体" w:cs="宋体"/>
                <w:b/>
                <w:sz w:val="24"/>
              </w:rPr>
            </w:pPr>
            <w:r>
              <w:rPr>
                <w:rFonts w:hint="eastAsia" w:ascii="宋体" w:hAnsi="宋体" w:cs="宋体"/>
                <w:b/>
                <w:sz w:val="24"/>
              </w:rPr>
              <w:t>1）环境管理机构设置的目的</w:t>
            </w:r>
          </w:p>
          <w:p>
            <w:pPr>
              <w:tabs>
                <w:tab w:val="left" w:pos="360"/>
              </w:tabs>
              <w:spacing w:line="360" w:lineRule="auto"/>
              <w:ind w:firstLine="480" w:firstLineChars="200"/>
              <w:rPr>
                <w:rStyle w:val="340"/>
                <w:rFonts w:hint="default" w:cs="宋体"/>
                <w:color w:val="auto"/>
              </w:rPr>
            </w:pPr>
            <w:r>
              <w:rPr>
                <w:rStyle w:val="340"/>
                <w:rFonts w:hint="default" w:cs="宋体"/>
                <w:color w:val="auto"/>
              </w:rPr>
              <w:t>环境管理机构的设置，是为了贯彻执行中华人民共和国环境保护法的有关法律、法规，全面落实《国务院关于环境保护若干问题的决定》的有关规定，对项目“三废”排放实行监控，确保建设项目经济、环境和社会效益协调发展；协调地方环保部门工作，为企业的生产管理和环境管理提供保证，针对本项目的具体情况，为加强严格管理，企业应设置环境管理机构，并尽相应的职责。</w:t>
            </w:r>
          </w:p>
          <w:p>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2）环境管理机构的设置</w:t>
            </w:r>
          </w:p>
          <w:p>
            <w:pPr>
              <w:tabs>
                <w:tab w:val="left" w:pos="360"/>
              </w:tabs>
              <w:adjustRightInd w:val="0"/>
              <w:snapToGrid w:val="0"/>
              <w:spacing w:line="360" w:lineRule="auto"/>
              <w:ind w:firstLine="480" w:firstLineChars="200"/>
              <w:rPr>
                <w:rFonts w:hint="eastAsia" w:ascii="宋体" w:hAnsi="宋体" w:cs="宋体"/>
                <w:sz w:val="24"/>
              </w:rPr>
            </w:pPr>
            <w:r>
              <w:rPr>
                <w:rFonts w:hint="eastAsia" w:ascii="宋体" w:hAnsi="宋体" w:cs="宋体"/>
                <w:sz w:val="24"/>
              </w:rPr>
              <w:t>a、机构组成</w:t>
            </w:r>
          </w:p>
          <w:p>
            <w:pPr>
              <w:tabs>
                <w:tab w:val="left" w:pos="360"/>
              </w:tabs>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根据本工程的实际情况，在建设施工阶段，工程指挥部应设专人负责环境保护事宜。工程投入运营后，环境管理机构由后勤管理部门负责，下设环境管理小组对该项目环境管理和环境监控负责，并受项目主管单位及环保局的监督指导。</w:t>
            </w:r>
          </w:p>
          <w:p>
            <w:pPr>
              <w:tabs>
                <w:tab w:val="left" w:pos="360"/>
              </w:tabs>
              <w:adjustRightInd w:val="0"/>
              <w:snapToGrid w:val="0"/>
              <w:spacing w:line="360" w:lineRule="auto"/>
              <w:ind w:firstLine="480" w:firstLineChars="200"/>
              <w:rPr>
                <w:rFonts w:hint="eastAsia" w:ascii="宋体" w:hAnsi="宋体" w:cs="宋体"/>
                <w:sz w:val="24"/>
              </w:rPr>
            </w:pPr>
            <w:r>
              <w:rPr>
                <w:rFonts w:hint="eastAsia" w:ascii="宋体" w:hAnsi="宋体" w:cs="宋体"/>
                <w:sz w:val="24"/>
              </w:rPr>
              <w:t>b、环保机构定员</w:t>
            </w:r>
          </w:p>
          <w:p>
            <w:pPr>
              <w:tabs>
                <w:tab w:val="left" w:pos="360"/>
              </w:tabs>
              <w:adjustRightInd w:val="0"/>
              <w:snapToGrid w:val="0"/>
              <w:spacing w:line="360" w:lineRule="auto"/>
              <w:ind w:firstLine="480" w:firstLineChars="200"/>
              <w:rPr>
                <w:rStyle w:val="340"/>
                <w:rFonts w:hint="default" w:cs="宋体"/>
                <w:color w:val="auto"/>
              </w:rPr>
            </w:pPr>
            <w:r>
              <w:rPr>
                <w:rFonts w:hint="eastAsia" w:ascii="宋体" w:hAnsi="宋体" w:cs="宋体"/>
                <w:sz w:val="24"/>
              </w:rPr>
              <w:t>施工期在建设工程指挥部设1～2名环境管理人员。运营期应在后勤管理部门下设专门的环保机构，并设专职的环保管理人员1名，垃圾处置人员1名。</w:t>
            </w:r>
          </w:p>
          <w:p>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3)环境管理机构的职责</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为加强企业的环境保护管理工作，发挥环保人员的作用，明确其环境管理的主要职责为：</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a、及时了解国家与地方的环保法规，相关标准及环境监测要求，并贯彻执行国家、地方环境保护法规和标准。</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b、制定明确的环境方针，包括对污染预防的承诺、对有关环境法律、法规及其应遵守的规定和承诺。</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c、定期组织污染源调查，弄清污染状况，建立污染档案。并优化污染防治措施。按照上级环保部门的规范建立本企业有关“三废”排放量、排放浓度、噪声情况、固体废物综合利用、污染控制效果等情况的档案，并按有关规定编制各种报告与报表，负责向上级领导及环保部门呈报。</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d、加强废水、废气、噪声等治理设施监督管理，确保项目废水不外排，废气达标排放，场界噪声达标。</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e、搞好环境保护宣传和职工环境意识教育及技术培训等工作。</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f、检查环境管理工作中的问题和不足，对发现的问题和不足，提出改进意见。协同当地环保部门处理与改扩建工程有关的环境问题，维护好公众的利益。</w:t>
            </w:r>
          </w:p>
          <w:p>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4)营运期环境管理计划</w:t>
            </w:r>
          </w:p>
          <w:p>
            <w:pPr>
              <w:adjustRightInd w:val="0"/>
              <w:snapToGrid w:val="0"/>
              <w:spacing w:line="360" w:lineRule="auto"/>
              <w:ind w:firstLine="480" w:firstLineChars="200"/>
              <w:rPr>
                <w:rFonts w:hint="eastAsia" w:ascii="宋体" w:hAnsi="宋体" w:cs="宋体"/>
                <w:sz w:val="24"/>
              </w:rPr>
            </w:pPr>
            <w:bookmarkStart w:id="19" w:name="_Toc472602714"/>
            <w:r>
              <w:rPr>
                <w:rFonts w:hint="eastAsia" w:ascii="宋体" w:hAnsi="宋体" w:cs="宋体"/>
                <w:sz w:val="24"/>
              </w:rPr>
              <w:t>项目运营期的环境管理工作主要为：</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a、制定项目的环境保护管理制度和明确的符合本项目特点的环境保护方针，承诺对污染问题预防的态度，并遵守执行国家、地方的有关法律法规。</w:t>
            </w:r>
          </w:p>
          <w:p>
            <w:pPr>
              <w:spacing w:line="360" w:lineRule="auto"/>
              <w:ind w:firstLine="480" w:firstLineChars="200"/>
              <w:rPr>
                <w:rFonts w:hint="eastAsia" w:ascii="宋体" w:hAnsi="宋体" w:cs="宋体"/>
                <w:sz w:val="24"/>
              </w:rPr>
            </w:pPr>
            <w:r>
              <w:rPr>
                <w:rFonts w:hint="eastAsia" w:ascii="宋体" w:hAnsi="宋体" w:cs="宋体"/>
                <w:sz w:val="24"/>
              </w:rPr>
              <w:t>b、根据制定的环境保护方针，确认环境保护目标。</w:t>
            </w:r>
          </w:p>
          <w:p>
            <w:pPr>
              <w:spacing w:line="360" w:lineRule="auto"/>
              <w:ind w:firstLine="480" w:firstLineChars="200"/>
              <w:rPr>
                <w:rFonts w:hint="eastAsia" w:ascii="宋体" w:hAnsi="宋体" w:cs="宋体"/>
                <w:sz w:val="24"/>
              </w:rPr>
            </w:pPr>
            <w:r>
              <w:rPr>
                <w:rFonts w:hint="eastAsia" w:ascii="宋体" w:hAnsi="宋体" w:cs="宋体"/>
                <w:sz w:val="24"/>
              </w:rPr>
              <w:t>c、建立健全的木材加工及家具生产过程中污染源档案、环境保护设施的处理工艺流程和设备档案，切实掌握环保设施的运行状况，保证其安全正常运行，掌握其在运行过程中潜在的不利因素，及时提出改进措施和建议。</w:t>
            </w:r>
          </w:p>
          <w:p>
            <w:pPr>
              <w:spacing w:line="360" w:lineRule="auto"/>
              <w:ind w:firstLine="480" w:firstLineChars="200"/>
              <w:rPr>
                <w:rFonts w:hint="eastAsia" w:ascii="宋体" w:hAnsi="宋体" w:cs="宋体"/>
                <w:sz w:val="24"/>
              </w:rPr>
            </w:pPr>
            <w:r>
              <w:rPr>
                <w:rFonts w:hint="eastAsia" w:ascii="宋体" w:hAnsi="宋体" w:cs="宋体"/>
                <w:sz w:val="24"/>
              </w:rPr>
              <w:t>d、制定环境保护管理的规章制度，做好环境保护宣传工作，以及职工环境保护意识教育和技术培训等工作。环保负责人员应定期对环保设施进行检查和维护，保证高效、正常运行。</w:t>
            </w:r>
          </w:p>
          <w:p>
            <w:pPr>
              <w:spacing w:line="360" w:lineRule="auto"/>
              <w:ind w:firstLine="480" w:firstLineChars="200"/>
              <w:rPr>
                <w:rFonts w:hint="eastAsia" w:ascii="宋体" w:hAnsi="宋体" w:cs="宋体"/>
                <w:sz w:val="24"/>
              </w:rPr>
            </w:pPr>
            <w:r>
              <w:rPr>
                <w:rFonts w:hint="eastAsia" w:ascii="宋体" w:hAnsi="宋体" w:cs="宋体"/>
                <w:sz w:val="24"/>
              </w:rPr>
              <w:t>e、为了掌握木材加工及家具生产运行过程中的环保工作情况，了解管理体系中可能存在的问题，厂区应每年进行一次内部评审，检查环境保护管理工作的问题和不足，及时提出改进意见。</w:t>
            </w:r>
          </w:p>
          <w:p>
            <w:pPr>
              <w:spacing w:line="360" w:lineRule="auto"/>
              <w:ind w:firstLine="480" w:firstLineChars="200"/>
              <w:rPr>
                <w:rFonts w:hint="eastAsia" w:ascii="宋体" w:hAnsi="宋体" w:cs="宋体"/>
                <w:sz w:val="24"/>
              </w:rPr>
            </w:pPr>
            <w:r>
              <w:rPr>
                <w:rFonts w:hint="eastAsia" w:ascii="宋体" w:hAnsi="宋体" w:cs="宋体"/>
                <w:sz w:val="24"/>
              </w:rPr>
              <w:t>f、每月统计环境保护的有关数据报表，建立逐月环保状况档案，如污染物排放、环保设施运行状况的完整记录。按照公司环保管理和监测计划，配合环境监测部门对厂区内各污水、废气污染源进行监测。</w:t>
            </w:r>
          </w:p>
          <w:p>
            <w:pPr>
              <w:adjustRightInd w:val="0"/>
              <w:snapToGrid w:val="0"/>
              <w:spacing w:line="360" w:lineRule="auto"/>
              <w:ind w:firstLine="482" w:firstLineChars="200"/>
              <w:outlineLvl w:val="1"/>
              <w:rPr>
                <w:rFonts w:hint="eastAsia" w:ascii="宋体" w:hAnsi="宋体" w:cs="宋体"/>
                <w:b/>
                <w:sz w:val="24"/>
              </w:rPr>
            </w:pPr>
            <w:bookmarkStart w:id="20" w:name="_Toc483491340"/>
            <w:r>
              <w:rPr>
                <w:rFonts w:hint="eastAsia" w:ascii="宋体" w:hAnsi="宋体" w:cs="宋体"/>
                <w:b/>
                <w:sz w:val="24"/>
              </w:rPr>
              <w:t>(2)环境监测</w:t>
            </w:r>
            <w:bookmarkEnd w:id="19"/>
            <w:bookmarkEnd w:id="20"/>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中华人民共和国环境保护法》明确规定，环境影响评价应对建设项目“提出跟踪监测的方法和制度”。监测的目的在于检查污染源排放的有害物质是否符合国家现行的排放标准；评价污染物的净化、处理装置的性能和使用情况，污染防治措施的效益，为环境管理和评价提供科学依据。</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为检查落实国家和地方的各项环保法规、标准的执行情况，建议项目业本项目环境监测工作采用环保部门与企业自己监测相结合的方式。建设单位设置环保工作管理机构，并配备专(兼)职环保管理人员1～3人，并按要求定期进行采样监测和协助当地环保管理部门及监测机构的例行监测工作。</w:t>
            </w:r>
          </w:p>
          <w:p>
            <w:pPr>
              <w:spacing w:line="360" w:lineRule="auto"/>
              <w:ind w:firstLine="482" w:firstLineChars="200"/>
              <w:rPr>
                <w:rFonts w:hint="eastAsia" w:ascii="宋体" w:hAnsi="宋体" w:cs="宋体"/>
                <w:b/>
                <w:sz w:val="24"/>
              </w:rPr>
            </w:pPr>
            <w:r>
              <w:rPr>
                <w:rFonts w:hint="eastAsia" w:ascii="宋体" w:hAnsi="宋体" w:cs="宋体"/>
                <w:b/>
                <w:sz w:val="24"/>
              </w:rPr>
              <w:t>1)环境监测的主要任务</w:t>
            </w:r>
          </w:p>
          <w:p>
            <w:pPr>
              <w:spacing w:line="360" w:lineRule="auto"/>
              <w:ind w:firstLine="480" w:firstLineChars="200"/>
              <w:rPr>
                <w:rFonts w:hint="eastAsia" w:ascii="宋体" w:hAnsi="宋体" w:cs="宋体"/>
                <w:sz w:val="24"/>
              </w:rPr>
            </w:pPr>
            <w:r>
              <w:rPr>
                <w:rFonts w:hint="eastAsia" w:ascii="宋体" w:hAnsi="宋体" w:cs="宋体"/>
                <w:sz w:val="24"/>
              </w:rPr>
              <w:t>项目环境监测以项目污染源源强排放监测为重点，环境监测的主要任务是：</w:t>
            </w:r>
          </w:p>
          <w:p>
            <w:pPr>
              <w:spacing w:line="360" w:lineRule="auto"/>
              <w:ind w:firstLine="480" w:firstLineChars="200"/>
              <w:rPr>
                <w:rFonts w:hint="eastAsia" w:ascii="宋体" w:hAnsi="宋体" w:cs="宋体"/>
                <w:sz w:val="24"/>
              </w:rPr>
            </w:pPr>
            <w:r>
              <w:rPr>
                <w:rFonts w:hint="eastAsia" w:ascii="宋体" w:hAnsi="宋体" w:cs="宋体"/>
                <w:sz w:val="24"/>
              </w:rPr>
              <w:t>a、规范设置定点取样口和采样监测平台，附近地面醒目处设置环保图形标志牌，标明排污口尺寸、高度、污染物种类等。</w:t>
            </w:r>
          </w:p>
          <w:p>
            <w:pPr>
              <w:spacing w:line="360" w:lineRule="auto"/>
              <w:ind w:firstLine="480" w:firstLineChars="200"/>
              <w:rPr>
                <w:rFonts w:hint="eastAsia" w:ascii="宋体" w:hAnsi="宋体" w:cs="宋体"/>
                <w:sz w:val="24"/>
              </w:rPr>
            </w:pPr>
            <w:r>
              <w:rPr>
                <w:rFonts w:hint="eastAsia" w:ascii="宋体" w:hAnsi="宋体" w:cs="宋体"/>
                <w:sz w:val="24"/>
              </w:rPr>
              <w:t>b、定期对废气处理装置的废气排放口进行监测；</w:t>
            </w:r>
          </w:p>
          <w:p>
            <w:pPr>
              <w:spacing w:line="360" w:lineRule="auto"/>
              <w:ind w:firstLine="480" w:firstLineChars="200"/>
              <w:rPr>
                <w:rFonts w:hint="eastAsia" w:ascii="宋体" w:hAnsi="宋体" w:cs="宋体"/>
                <w:sz w:val="24"/>
              </w:rPr>
            </w:pPr>
            <w:r>
              <w:rPr>
                <w:rFonts w:hint="eastAsia" w:ascii="宋体" w:hAnsi="宋体" w:cs="宋体"/>
                <w:sz w:val="24"/>
              </w:rPr>
              <w:t>c、定期对场界噪声、主要噪声源进行监测；</w:t>
            </w:r>
          </w:p>
          <w:p>
            <w:pPr>
              <w:spacing w:line="360" w:lineRule="auto"/>
              <w:ind w:firstLine="480" w:firstLineChars="200"/>
              <w:rPr>
                <w:rFonts w:hint="eastAsia" w:ascii="宋体" w:hAnsi="宋体" w:cs="宋体"/>
                <w:sz w:val="24"/>
              </w:rPr>
            </w:pPr>
            <w:r>
              <w:rPr>
                <w:rFonts w:hint="eastAsia" w:ascii="宋体" w:hAnsi="宋体" w:cs="宋体"/>
                <w:sz w:val="24"/>
              </w:rPr>
              <w:t>d、对环保治理设施的运行情况进行监测，以便及时对设施的设计和处理效</w:t>
            </w:r>
            <w:r>
              <w:rPr>
                <w:rFonts w:hint="eastAsia" w:ascii="宋体" w:hAnsi="宋体" w:cs="宋体"/>
                <w:sz w:val="24"/>
              </w:rPr>
              <w:br w:type="textWrapping"/>
            </w:r>
            <w:r>
              <w:rPr>
                <w:rFonts w:hint="eastAsia" w:ascii="宋体" w:hAnsi="宋体" w:cs="宋体"/>
                <w:sz w:val="24"/>
              </w:rPr>
              <w:t>果进行比较；发现问题及时报告有关部门；</w:t>
            </w:r>
          </w:p>
          <w:p>
            <w:pPr>
              <w:spacing w:line="360" w:lineRule="auto"/>
              <w:ind w:firstLine="480" w:firstLineChars="200"/>
              <w:rPr>
                <w:rFonts w:hint="eastAsia" w:ascii="宋体" w:hAnsi="宋体" w:cs="宋体"/>
                <w:sz w:val="24"/>
              </w:rPr>
            </w:pPr>
            <w:r>
              <w:rPr>
                <w:rFonts w:hint="eastAsia" w:ascii="宋体" w:hAnsi="宋体" w:cs="宋体"/>
                <w:sz w:val="24"/>
              </w:rPr>
              <w:t>e、当发生污染事故时，进行应急监测，为采取处理措施提供第一手资料；</w:t>
            </w:r>
          </w:p>
          <w:p>
            <w:pPr>
              <w:spacing w:line="360" w:lineRule="auto"/>
              <w:ind w:firstLine="480" w:firstLineChars="200"/>
              <w:rPr>
                <w:rFonts w:hint="eastAsia" w:ascii="宋体" w:hAnsi="宋体" w:cs="宋体"/>
                <w:sz w:val="24"/>
              </w:rPr>
            </w:pPr>
            <w:r>
              <w:rPr>
                <w:rFonts w:hint="eastAsia" w:ascii="宋体" w:hAnsi="宋体" w:cs="宋体"/>
                <w:sz w:val="24"/>
              </w:rPr>
              <w:t>f、编制环境监测季报或年报，及时上报县、市环保主管部门。</w:t>
            </w:r>
          </w:p>
          <w:p>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2)环境监测计划</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本项目排放的主要污染物是：废气、动力设备产生的噪声、固废等。</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为切实控制本工程治理设施的有效地运行和“达标排放”，落实排污总量控制制度，根据《建设项目环境保护管理条例》第八条的规定，本环评对拟建项目实施环境监测建议建设项目营运期环境监控主要目的是为了项目建成后的环境监测，防止污染事故发生，为环境管理提供依据。</w:t>
            </w:r>
          </w:p>
          <w:p>
            <w:pPr>
              <w:adjustRightInd w:val="0"/>
              <w:snapToGrid w:val="0"/>
              <w:spacing w:line="360" w:lineRule="auto"/>
              <w:ind w:firstLine="480" w:firstLineChars="200"/>
              <w:rPr>
                <w:rFonts w:hint="eastAsia" w:ascii="宋体" w:hAnsi="宋体" w:cs="宋体"/>
                <w:sz w:val="24"/>
              </w:rPr>
            </w:pPr>
            <w:bookmarkStart w:id="21" w:name="_Toc472602715"/>
            <w:r>
              <w:rPr>
                <w:rFonts w:hint="eastAsia" w:ascii="宋体" w:hAnsi="宋体" w:cs="宋体"/>
                <w:sz w:val="24"/>
              </w:rPr>
              <w:t>项目运行期间应对周边环境、主要污染物及污染治理设施定时进行监测。本项目监测可委托当地环境监测部门承担。</w:t>
            </w:r>
          </w:p>
          <w:p>
            <w:pPr>
              <w:adjustRightInd w:val="0"/>
              <w:snapToGrid w:val="0"/>
              <w:spacing w:line="360" w:lineRule="auto"/>
              <w:ind w:firstLine="482"/>
              <w:rPr>
                <w:rFonts w:hint="eastAsia" w:ascii="宋体" w:hAnsi="宋体" w:cs="宋体"/>
                <w:b/>
                <w:sz w:val="24"/>
              </w:rPr>
            </w:pPr>
            <w:r>
              <w:rPr>
                <w:rFonts w:hint="eastAsia" w:ascii="宋体" w:hAnsi="宋体" w:cs="宋体"/>
                <w:b/>
                <w:sz w:val="24"/>
              </w:rPr>
              <w:t>a、大气环境监测</w:t>
            </w:r>
          </w:p>
          <w:p>
            <w:pPr>
              <w:adjustRightInd w:val="0"/>
              <w:snapToGrid w:val="0"/>
              <w:spacing w:line="360" w:lineRule="auto"/>
              <w:ind w:firstLine="482"/>
              <w:rPr>
                <w:rFonts w:hint="eastAsia" w:ascii="宋体" w:hAnsi="宋体" w:cs="宋体"/>
                <w:sz w:val="24"/>
              </w:rPr>
            </w:pPr>
            <w:r>
              <w:rPr>
                <w:rFonts w:hint="eastAsia" w:ascii="宋体" w:hAnsi="宋体" w:cs="宋体"/>
                <w:sz w:val="24"/>
              </w:rPr>
              <w:t>监测项目：非甲烷总烃</w:t>
            </w:r>
          </w:p>
          <w:p>
            <w:pPr>
              <w:adjustRightInd w:val="0"/>
              <w:snapToGrid w:val="0"/>
              <w:spacing w:line="360" w:lineRule="auto"/>
              <w:ind w:firstLine="482"/>
              <w:rPr>
                <w:rFonts w:hint="eastAsia" w:ascii="宋体" w:hAnsi="宋体" w:cs="宋体"/>
                <w:sz w:val="24"/>
              </w:rPr>
            </w:pPr>
            <w:r>
              <w:rPr>
                <w:rFonts w:hint="eastAsia" w:ascii="宋体" w:hAnsi="宋体" w:cs="宋体"/>
                <w:sz w:val="24"/>
              </w:rPr>
              <w:t xml:space="preserve">监测点：热压工序排气筒； </w:t>
            </w:r>
          </w:p>
          <w:p>
            <w:pPr>
              <w:adjustRightInd w:val="0"/>
              <w:snapToGrid w:val="0"/>
              <w:spacing w:line="360" w:lineRule="auto"/>
              <w:ind w:firstLine="482"/>
              <w:rPr>
                <w:rFonts w:hint="eastAsia" w:ascii="宋体" w:hAnsi="宋体" w:cs="宋体"/>
                <w:sz w:val="24"/>
              </w:rPr>
            </w:pPr>
            <w:r>
              <w:rPr>
                <w:rFonts w:hint="eastAsia" w:ascii="宋体" w:hAnsi="宋体" w:cs="宋体"/>
                <w:sz w:val="24"/>
              </w:rPr>
              <w:t>监测频率：正常生产状况下， 每年监测一次。</w:t>
            </w:r>
          </w:p>
          <w:p>
            <w:pPr>
              <w:adjustRightInd w:val="0"/>
              <w:snapToGrid w:val="0"/>
              <w:spacing w:line="360" w:lineRule="auto"/>
              <w:ind w:firstLine="482"/>
              <w:rPr>
                <w:rFonts w:hint="eastAsia" w:ascii="宋体" w:hAnsi="宋体" w:cs="宋体"/>
                <w:b/>
                <w:sz w:val="24"/>
              </w:rPr>
            </w:pPr>
            <w:r>
              <w:rPr>
                <w:rFonts w:hint="eastAsia" w:ascii="宋体" w:hAnsi="宋体" w:cs="宋体"/>
                <w:b/>
                <w:sz w:val="24"/>
              </w:rPr>
              <w:t>b、声环境监测</w:t>
            </w:r>
          </w:p>
          <w:p>
            <w:pPr>
              <w:adjustRightInd w:val="0"/>
              <w:snapToGrid w:val="0"/>
              <w:spacing w:line="360" w:lineRule="auto"/>
              <w:ind w:firstLine="482"/>
              <w:rPr>
                <w:rFonts w:hint="eastAsia" w:ascii="宋体" w:hAnsi="宋体" w:cs="宋体"/>
                <w:sz w:val="24"/>
              </w:rPr>
            </w:pPr>
            <w:r>
              <w:rPr>
                <w:rFonts w:hint="eastAsia" w:ascii="宋体" w:hAnsi="宋体" w:cs="宋体"/>
                <w:sz w:val="24"/>
              </w:rPr>
              <w:t>监测项目：主要对场界噪声的监测。</w:t>
            </w:r>
          </w:p>
          <w:p>
            <w:pPr>
              <w:adjustRightInd w:val="0"/>
              <w:snapToGrid w:val="0"/>
              <w:spacing w:line="360" w:lineRule="auto"/>
              <w:ind w:firstLine="482"/>
              <w:rPr>
                <w:rFonts w:hint="eastAsia" w:ascii="宋体" w:hAnsi="宋体" w:cs="宋体"/>
                <w:sz w:val="24"/>
              </w:rPr>
            </w:pPr>
            <w:r>
              <w:rPr>
                <w:rFonts w:hint="eastAsia" w:ascii="宋体" w:hAnsi="宋体" w:cs="宋体"/>
                <w:sz w:val="24"/>
              </w:rPr>
              <w:t>监测点：厂区界四周各设一个监测点。</w:t>
            </w:r>
          </w:p>
          <w:p>
            <w:pPr>
              <w:adjustRightInd w:val="0"/>
              <w:snapToGrid w:val="0"/>
              <w:spacing w:line="360" w:lineRule="auto"/>
              <w:ind w:firstLine="482"/>
              <w:rPr>
                <w:rFonts w:hint="eastAsia" w:ascii="宋体" w:hAnsi="宋体" w:cs="宋体"/>
                <w:sz w:val="24"/>
              </w:rPr>
            </w:pPr>
            <w:r>
              <w:rPr>
                <w:rFonts w:hint="eastAsia" w:ascii="宋体" w:hAnsi="宋体" w:cs="宋体"/>
                <w:sz w:val="24"/>
              </w:rPr>
              <w:t>监测频率：每年监测一次。</w:t>
            </w:r>
          </w:p>
          <w:p>
            <w:pPr>
              <w:adjustRightInd w:val="0"/>
              <w:snapToGrid w:val="0"/>
              <w:spacing w:line="360" w:lineRule="auto"/>
              <w:ind w:firstLine="482" w:firstLineChars="200"/>
              <w:outlineLvl w:val="1"/>
              <w:rPr>
                <w:rFonts w:hint="eastAsia" w:ascii="宋体" w:hAnsi="宋体" w:cs="宋体"/>
                <w:b/>
                <w:sz w:val="24"/>
              </w:rPr>
            </w:pPr>
            <w:bookmarkStart w:id="22" w:name="_Toc483491341"/>
            <w:r>
              <w:rPr>
                <w:rFonts w:hint="eastAsia" w:ascii="宋体" w:hAnsi="宋体" w:cs="宋体"/>
                <w:b/>
                <w:sz w:val="24"/>
              </w:rPr>
              <w:t>3)环境监测管理</w:t>
            </w:r>
            <w:bookmarkEnd w:id="21"/>
            <w:bookmarkEnd w:id="22"/>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a、 加强管理，定期对设备和治污设施进行检修和维护。</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b、监测人员应经过培训后方可上岗或在当地环境监测部门技术人员的指导下进行监测工作，以保证监测数据的有效性。</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c、提供的监测数据应当具有代表性、完整性、准确性、可比性和可验证性。</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e、 建立原始记录、监测分析以及实验数据的档案库。</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f、取得的各种数据应有专人保管，原始记录应当至少保存一年以上，监测数据及实验分析数据应当长期保存。</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g、 数据必须经核实及技术负责人签字后方可保存或上报。</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h、做好各项环保设施的规划与建设，确保污染物达标排放。</w:t>
            </w:r>
          </w:p>
          <w:p>
            <w:pPr>
              <w:adjustRightInd w:val="0"/>
              <w:snapToGrid w:val="0"/>
              <w:spacing w:line="360" w:lineRule="auto"/>
              <w:ind w:firstLine="482" w:firstLineChars="200"/>
              <w:outlineLvl w:val="1"/>
              <w:rPr>
                <w:rFonts w:hint="eastAsia" w:ascii="宋体" w:hAnsi="宋体" w:cs="宋体"/>
                <w:b/>
                <w:sz w:val="24"/>
              </w:rPr>
            </w:pPr>
            <w:bookmarkStart w:id="23" w:name="_Toc483491342"/>
            <w:bookmarkStart w:id="24" w:name="_Toc472602716"/>
            <w:r>
              <w:rPr>
                <w:rFonts w:hint="eastAsia" w:ascii="宋体" w:hAnsi="宋体" w:cs="宋体"/>
                <w:b/>
                <w:sz w:val="24"/>
              </w:rPr>
              <w:t>4)环保设施竣工验收监测建议</w:t>
            </w:r>
            <w:bookmarkEnd w:id="23"/>
            <w:bookmarkEnd w:id="24"/>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根据《建设项目环境保护管理条例》规定，建设项目需要配套建设的环保设施，必须与主体工程同时设计、同时施工、同时投产使用。项目竣工后，项目业主应严格遵循《建设项目竣工环境保护验收管理办法》的相关要求自组进行环保设施竣工验收，需要试生产的，在试生产后3个月内提出申请。竣工验收重点是验收国家有排放标准的项目，同时，应将事故防范措施和应急监测设施作为验收内容，具体方案由验收单位确定。本环评建议项目竣工环保验收主要内容如下表。</w:t>
            </w:r>
          </w:p>
          <w:p>
            <w:pPr>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表7-23 项目竣工环保验收主要内容</w:t>
            </w:r>
          </w:p>
          <w:tbl>
            <w:tblPr>
              <w:tblStyle w:val="69"/>
              <w:tblW w:w="8886"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00"/>
              <w:gridCol w:w="2613"/>
              <w:gridCol w:w="2013"/>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2338" w:type="dxa"/>
                  <w:gridSpan w:val="2"/>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bookmarkStart w:id="25" w:name="_Toc134367928"/>
                  <w:bookmarkStart w:id="26" w:name="_Toc134434667"/>
                  <w:bookmarkStart w:id="27" w:name="_Toc134369179"/>
                  <w:bookmarkStart w:id="28" w:name="_Toc136328231"/>
                  <w:bookmarkStart w:id="29" w:name="_Toc134369105"/>
                  <w:r>
                    <w:rPr>
                      <w:rFonts w:hint="eastAsia" w:ascii="宋体" w:hAnsi="宋体" w:eastAsia="宋体" w:cs="宋体"/>
                      <w:szCs w:val="21"/>
                      <w:lang w:val="en-US" w:eastAsia="zh-CN"/>
                    </w:rPr>
                    <w:t>验收项目</w:t>
                  </w:r>
                </w:p>
              </w:tc>
              <w:tc>
                <w:tcPr>
                  <w:tcW w:w="2613" w:type="dxa"/>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验收内容</w:t>
                  </w:r>
                </w:p>
              </w:tc>
              <w:tc>
                <w:tcPr>
                  <w:tcW w:w="2013" w:type="dxa"/>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验收指标</w:t>
                  </w:r>
                </w:p>
              </w:tc>
              <w:tc>
                <w:tcPr>
                  <w:tcW w:w="1922" w:type="dxa"/>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trPr>
              <w:tc>
                <w:tcPr>
                  <w:tcW w:w="638" w:type="dxa"/>
                  <w:vMerge w:val="restart"/>
                  <w:noWrap w:val="0"/>
                  <w:vAlign w:val="center"/>
                </w:tcPr>
                <w:p>
                  <w:pPr>
                    <w:pStyle w:val="87"/>
                    <w:adjustRightInd w:val="0"/>
                    <w:snapToGrid w:val="0"/>
                    <w:spacing w:line="240" w:lineRule="auto"/>
                    <w:ind w:left="0" w:firstLine="0" w:firstLineChars="0"/>
                    <w:jc w:val="both"/>
                    <w:rPr>
                      <w:rFonts w:hint="eastAsia" w:ascii="宋体" w:hAnsi="宋体" w:eastAsia="宋体" w:cs="宋体"/>
                      <w:szCs w:val="21"/>
                      <w:lang w:val="en-US" w:eastAsia="zh-CN"/>
                    </w:rPr>
                  </w:pPr>
                  <w:r>
                    <w:rPr>
                      <w:rFonts w:hint="eastAsia" w:ascii="宋体" w:hAnsi="宋体" w:eastAsia="宋体" w:cs="宋体"/>
                      <w:szCs w:val="21"/>
                      <w:lang w:val="en-US" w:eastAsia="zh-CN"/>
                    </w:rPr>
                    <w:t>废气</w:t>
                  </w:r>
                </w:p>
              </w:tc>
              <w:tc>
                <w:tcPr>
                  <w:tcW w:w="1700" w:type="dxa"/>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热压过程中板材释放有机废气</w:t>
                  </w:r>
                </w:p>
              </w:tc>
              <w:tc>
                <w:tcPr>
                  <w:tcW w:w="2613" w:type="dxa"/>
                  <w:noWrap w:val="0"/>
                  <w:vAlign w:val="center"/>
                </w:tcPr>
                <w:p>
                  <w:pPr>
                    <w:pStyle w:val="87"/>
                    <w:adjustRightInd w:val="0"/>
                    <w:snapToGrid w:val="0"/>
                    <w:spacing w:line="240" w:lineRule="auto"/>
                    <w:ind w:left="0"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设置集气罩、排气筒、UV光解设备一套。有机废气集气罩收集后经过一套UV光解设备催化氧化+活性炭处理后由15m高排气筒排放</w:t>
                  </w:r>
                </w:p>
              </w:tc>
              <w:tc>
                <w:tcPr>
                  <w:tcW w:w="2013" w:type="dxa"/>
                  <w:noWrap w:val="0"/>
                  <w:vAlign w:val="center"/>
                </w:tcPr>
                <w:p>
                  <w:pPr>
                    <w:pStyle w:val="87"/>
                    <w:adjustRightInd w:val="0"/>
                    <w:snapToGrid w:val="0"/>
                    <w:spacing w:line="240" w:lineRule="auto"/>
                    <w:ind w:left="0" w:firstLine="0" w:firstLineChars="0"/>
                    <w:rPr>
                      <w:rFonts w:hint="eastAsia" w:ascii="宋体" w:hAnsi="宋体" w:eastAsia="宋体" w:cs="宋体"/>
                      <w:szCs w:val="21"/>
                      <w:vertAlign w:val="subscript"/>
                      <w:lang w:val="en-US" w:eastAsia="zh-CN"/>
                    </w:rPr>
                  </w:pPr>
                  <w:r>
                    <w:rPr>
                      <w:rFonts w:hint="eastAsia" w:ascii="宋体" w:hAnsi="宋体" w:eastAsia="宋体" w:cs="宋体"/>
                      <w:szCs w:val="21"/>
                      <w:lang w:val="en-US" w:eastAsia="zh-CN"/>
                    </w:rPr>
                    <w:t>VOC</w:t>
                  </w:r>
                  <w:r>
                    <w:rPr>
                      <w:rFonts w:hint="eastAsia" w:ascii="宋体" w:hAnsi="宋体" w:eastAsia="宋体" w:cs="宋体"/>
                      <w:szCs w:val="21"/>
                      <w:vertAlign w:val="subscript"/>
                      <w:lang w:val="en-US" w:eastAsia="zh-CN"/>
                    </w:rPr>
                    <w:t>s</w:t>
                  </w:r>
                </w:p>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排放浓度≤80mg/m</w:t>
                  </w:r>
                  <w:r>
                    <w:rPr>
                      <w:rFonts w:hint="eastAsia" w:ascii="宋体" w:hAnsi="宋体" w:eastAsia="宋体" w:cs="宋体"/>
                      <w:szCs w:val="21"/>
                      <w:vertAlign w:val="superscript"/>
                      <w:lang w:val="en-US" w:eastAsia="zh-CN"/>
                    </w:rPr>
                    <w:t>3</w:t>
                  </w:r>
                </w:p>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排放速率≤4.0kg/h</w:t>
                  </w:r>
                </w:p>
              </w:tc>
              <w:tc>
                <w:tcPr>
                  <w:tcW w:w="1922" w:type="dxa"/>
                  <w:noWrap w:val="0"/>
                  <w:vAlign w:val="center"/>
                </w:tcPr>
                <w:p>
                  <w:pPr>
                    <w:pStyle w:val="87"/>
                    <w:tabs>
                      <w:tab w:val="left" w:pos="537"/>
                    </w:tabs>
                    <w:adjustRightInd w:val="0"/>
                    <w:snapToGrid w:val="0"/>
                    <w:spacing w:line="240" w:lineRule="auto"/>
                    <w:ind w:left="0" w:firstLine="0" w:firstLineChars="0"/>
                    <w:rPr>
                      <w:rFonts w:hint="eastAsia" w:ascii="宋体" w:hAnsi="宋体" w:eastAsia="宋体" w:cs="宋体"/>
                      <w:color w:val="FF0000"/>
                      <w:szCs w:val="21"/>
                      <w:lang w:val="en-US" w:eastAsia="zh-CN"/>
                    </w:rPr>
                  </w:pPr>
                  <w:r>
                    <w:rPr>
                      <w:rFonts w:hint="eastAsia" w:ascii="宋体" w:hAnsi="宋体" w:eastAsia="宋体" w:cs="宋体"/>
                      <w:szCs w:val="21"/>
                      <w:lang w:val="en-US" w:eastAsia="zh-CN"/>
                    </w:rPr>
                    <w:t>《四川省固定污染源大气挥发性有机物排放标准标准》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638" w:type="dxa"/>
                  <w:vMerge w:val="continue"/>
                  <w:noWrap w:val="0"/>
                  <w:vAlign w:val="center"/>
                </w:tcPr>
                <w:p>
                  <w:pPr>
                    <w:pStyle w:val="87"/>
                    <w:adjustRightInd w:val="0"/>
                    <w:snapToGrid w:val="0"/>
                    <w:spacing w:line="240" w:lineRule="auto"/>
                    <w:ind w:left="0" w:firstLine="0" w:firstLineChars="0"/>
                    <w:jc w:val="both"/>
                    <w:rPr>
                      <w:rFonts w:hint="eastAsia" w:ascii="宋体" w:hAnsi="宋体" w:eastAsia="宋体" w:cs="宋体"/>
                      <w:szCs w:val="21"/>
                      <w:lang w:val="en-US" w:eastAsia="zh-CN"/>
                    </w:rPr>
                  </w:pPr>
                </w:p>
              </w:tc>
              <w:tc>
                <w:tcPr>
                  <w:tcW w:w="1700" w:type="dxa"/>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导热油炉燃烧产生燃烧废气</w:t>
                  </w:r>
                </w:p>
              </w:tc>
              <w:tc>
                <w:tcPr>
                  <w:tcW w:w="2613" w:type="dxa"/>
                  <w:noWrap w:val="0"/>
                  <w:vAlign w:val="center"/>
                </w:tcPr>
                <w:p>
                  <w:pPr>
                    <w:pStyle w:val="87"/>
                    <w:adjustRightInd w:val="0"/>
                    <w:snapToGrid w:val="0"/>
                    <w:spacing w:line="240" w:lineRule="auto"/>
                    <w:ind w:left="0" w:firstLine="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经8m排气筒排放</w:t>
                  </w:r>
                </w:p>
              </w:tc>
              <w:tc>
                <w:tcPr>
                  <w:tcW w:w="2013" w:type="dxa"/>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颗粒物：20mg/m</w:t>
                  </w:r>
                  <w:r>
                    <w:rPr>
                      <w:rFonts w:hint="eastAsia" w:ascii="宋体" w:hAnsi="宋体" w:eastAsia="宋体" w:cs="宋体"/>
                      <w:szCs w:val="21"/>
                      <w:vertAlign w:val="superscript"/>
                      <w:lang w:val="en-US" w:eastAsia="zh-CN"/>
                    </w:rPr>
                    <w:t>3</w:t>
                  </w:r>
                </w:p>
                <w:p>
                  <w:pPr>
                    <w:pStyle w:val="87"/>
                    <w:adjustRightInd w:val="0"/>
                    <w:snapToGrid w:val="0"/>
                    <w:spacing w:line="240" w:lineRule="auto"/>
                    <w:ind w:left="0" w:firstLine="0" w:firstLineChars="0"/>
                    <w:rPr>
                      <w:rFonts w:hint="default" w:ascii="宋体" w:hAnsi="宋体" w:eastAsia="宋体" w:cs="宋体"/>
                      <w:szCs w:val="21"/>
                      <w:lang w:val="en-US" w:eastAsia="zh-CN"/>
                    </w:rPr>
                  </w:pPr>
                  <w:r>
                    <w:rPr>
                      <w:rFonts w:hint="eastAsia" w:ascii="宋体" w:hAnsi="宋体" w:eastAsia="宋体" w:cs="宋体"/>
                      <w:szCs w:val="21"/>
                      <w:lang w:val="en-US" w:eastAsia="zh-CN"/>
                    </w:rPr>
                    <w:t>SO</w:t>
                  </w:r>
                  <w:r>
                    <w:rPr>
                      <w:rFonts w:hint="eastAsia" w:ascii="宋体" w:hAnsi="宋体" w:eastAsia="宋体" w:cs="宋体"/>
                      <w:szCs w:val="21"/>
                      <w:vertAlign w:val="subscript"/>
                      <w:lang w:val="en-US" w:eastAsia="zh-CN"/>
                    </w:rPr>
                    <w:t>2</w:t>
                  </w:r>
                  <w:r>
                    <w:rPr>
                      <w:rFonts w:hint="eastAsia" w:ascii="宋体" w:hAnsi="宋体" w:eastAsia="宋体" w:cs="宋体"/>
                      <w:szCs w:val="21"/>
                      <w:lang w:val="en-US" w:eastAsia="zh-CN"/>
                    </w:rPr>
                    <w:t>：50mg/m</w:t>
                  </w:r>
                  <w:r>
                    <w:rPr>
                      <w:rFonts w:hint="eastAsia" w:ascii="宋体" w:hAnsi="宋体" w:eastAsia="宋体" w:cs="宋体"/>
                      <w:szCs w:val="21"/>
                      <w:vertAlign w:val="superscript"/>
                      <w:lang w:val="en-US" w:eastAsia="zh-CN"/>
                    </w:rPr>
                    <w:t>3</w:t>
                  </w:r>
                </w:p>
                <w:p>
                  <w:pPr>
                    <w:pStyle w:val="87"/>
                    <w:adjustRightInd w:val="0"/>
                    <w:snapToGrid w:val="0"/>
                    <w:spacing w:line="240" w:lineRule="auto"/>
                    <w:ind w:left="0" w:firstLine="0" w:firstLineChars="0"/>
                    <w:rPr>
                      <w:rFonts w:hint="default" w:ascii="宋体" w:hAnsi="宋体" w:eastAsia="宋体" w:cs="宋体"/>
                      <w:szCs w:val="21"/>
                      <w:lang w:val="en-US" w:eastAsia="zh-CN"/>
                    </w:rPr>
                  </w:pPr>
                  <w:r>
                    <w:rPr>
                      <w:rFonts w:hint="eastAsia" w:ascii="宋体" w:hAnsi="宋体" w:eastAsia="宋体" w:cs="宋体"/>
                      <w:szCs w:val="21"/>
                      <w:lang w:val="en-US" w:eastAsia="zh-CN"/>
                    </w:rPr>
                    <w:t>NO</w:t>
                  </w:r>
                  <w:r>
                    <w:rPr>
                      <w:rFonts w:hint="eastAsia" w:ascii="宋体" w:hAnsi="宋体" w:eastAsia="宋体" w:cs="宋体"/>
                      <w:szCs w:val="21"/>
                      <w:vertAlign w:val="subscript"/>
                      <w:lang w:val="en-US" w:eastAsia="zh-CN"/>
                    </w:rPr>
                    <w:t>2</w:t>
                  </w:r>
                  <w:r>
                    <w:rPr>
                      <w:rFonts w:hint="eastAsia" w:ascii="宋体" w:hAnsi="宋体" w:eastAsia="宋体" w:cs="宋体"/>
                      <w:szCs w:val="21"/>
                      <w:lang w:val="en-US" w:eastAsia="zh-CN"/>
                    </w:rPr>
                    <w:t>：200mg/m</w:t>
                  </w:r>
                  <w:r>
                    <w:rPr>
                      <w:rFonts w:hint="eastAsia" w:ascii="宋体" w:hAnsi="宋体" w:eastAsia="宋体" w:cs="宋体"/>
                      <w:szCs w:val="21"/>
                      <w:vertAlign w:val="superscript"/>
                      <w:lang w:val="en-US" w:eastAsia="zh-CN"/>
                    </w:rPr>
                    <w:t>3</w:t>
                  </w:r>
                </w:p>
              </w:tc>
              <w:tc>
                <w:tcPr>
                  <w:tcW w:w="1922" w:type="dxa"/>
                  <w:noWrap w:val="0"/>
                  <w:vAlign w:val="center"/>
                </w:tcPr>
                <w:p>
                  <w:pPr>
                    <w:pStyle w:val="87"/>
                    <w:tabs>
                      <w:tab w:val="left" w:pos="537"/>
                    </w:tabs>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《锅炉大气污染物排放标准》（GB13271-2014）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638" w:type="dxa"/>
                  <w:noWrap w:val="0"/>
                  <w:vAlign w:val="center"/>
                </w:tcPr>
                <w:p>
                  <w:pPr>
                    <w:pStyle w:val="87"/>
                    <w:adjustRightInd w:val="0"/>
                    <w:snapToGrid w:val="0"/>
                    <w:spacing w:line="240" w:lineRule="auto"/>
                    <w:ind w:left="0" w:firstLine="0" w:firstLineChars="0"/>
                    <w:jc w:val="both"/>
                    <w:rPr>
                      <w:rFonts w:hint="eastAsia" w:ascii="宋体" w:hAnsi="宋体" w:eastAsia="宋体" w:cs="宋体"/>
                      <w:szCs w:val="21"/>
                      <w:lang w:val="en-US" w:eastAsia="zh-CN"/>
                    </w:rPr>
                  </w:pPr>
                  <w:r>
                    <w:rPr>
                      <w:rFonts w:hint="eastAsia" w:ascii="宋体" w:hAnsi="宋体" w:eastAsia="宋体" w:cs="宋体"/>
                      <w:szCs w:val="21"/>
                      <w:lang w:val="en-US" w:eastAsia="zh-CN"/>
                    </w:rPr>
                    <w:t>废水</w:t>
                  </w:r>
                </w:p>
              </w:tc>
              <w:tc>
                <w:tcPr>
                  <w:tcW w:w="1700" w:type="dxa"/>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生活污水</w:t>
                  </w:r>
                </w:p>
              </w:tc>
              <w:tc>
                <w:tcPr>
                  <w:tcW w:w="2613" w:type="dxa"/>
                  <w:noWrap w:val="0"/>
                  <w:vAlign w:val="center"/>
                </w:tcPr>
                <w:p>
                  <w:pPr>
                    <w:pStyle w:val="87"/>
                    <w:adjustRightInd w:val="0"/>
                    <w:snapToGrid w:val="0"/>
                    <w:spacing w:line="240" w:lineRule="auto"/>
                    <w:ind w:left="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经化粪池处理后用于农溉</w:t>
                  </w:r>
                </w:p>
              </w:tc>
              <w:tc>
                <w:tcPr>
                  <w:tcW w:w="2013" w:type="dxa"/>
                  <w:noWrap w:val="0"/>
                  <w:vAlign w:val="center"/>
                </w:tcPr>
                <w:p>
                  <w:pPr>
                    <w:adjustRightInd w:val="0"/>
                    <w:snapToGrid w:val="0"/>
                    <w:jc w:val="center"/>
                    <w:rPr>
                      <w:rFonts w:hint="eastAsia" w:ascii="宋体" w:hAnsi="宋体" w:eastAsia="宋体" w:cs="宋体"/>
                      <w:szCs w:val="21"/>
                      <w:lang w:eastAsia="zh-CN"/>
                    </w:rPr>
                  </w:pPr>
                  <w:r>
                    <w:rPr>
                      <w:rFonts w:hint="eastAsia" w:ascii="宋体" w:hAnsi="宋体" w:cs="宋体"/>
                      <w:szCs w:val="21"/>
                      <w:lang w:val="en-US" w:eastAsia="zh-CN"/>
                    </w:rPr>
                    <w:t>/</w:t>
                  </w:r>
                </w:p>
              </w:tc>
              <w:tc>
                <w:tcPr>
                  <w:tcW w:w="1922" w:type="dxa"/>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8" w:hRule="atLeast"/>
              </w:trPr>
              <w:tc>
                <w:tcPr>
                  <w:tcW w:w="638" w:type="dxa"/>
                  <w:noWrap w:val="0"/>
                  <w:vAlign w:val="center"/>
                </w:tcPr>
                <w:p>
                  <w:pPr>
                    <w:pStyle w:val="87"/>
                    <w:adjustRightInd w:val="0"/>
                    <w:snapToGrid w:val="0"/>
                    <w:spacing w:line="240" w:lineRule="auto"/>
                    <w:ind w:left="0" w:firstLine="0" w:firstLineChars="0"/>
                    <w:jc w:val="both"/>
                    <w:rPr>
                      <w:rFonts w:hint="eastAsia" w:ascii="宋体" w:hAnsi="宋体" w:eastAsia="宋体" w:cs="宋体"/>
                      <w:szCs w:val="21"/>
                      <w:lang w:val="en-US" w:eastAsia="zh-CN"/>
                    </w:rPr>
                  </w:pPr>
                  <w:r>
                    <w:rPr>
                      <w:rFonts w:hint="eastAsia" w:ascii="宋体" w:hAnsi="宋体" w:eastAsia="宋体" w:cs="宋体"/>
                      <w:szCs w:val="21"/>
                      <w:lang w:val="en-US" w:eastAsia="zh-CN"/>
                    </w:rPr>
                    <w:t>噪声</w:t>
                  </w:r>
                </w:p>
              </w:tc>
              <w:tc>
                <w:tcPr>
                  <w:tcW w:w="1700" w:type="dxa"/>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设备噪声</w:t>
                  </w:r>
                </w:p>
              </w:tc>
              <w:tc>
                <w:tcPr>
                  <w:tcW w:w="2613" w:type="dxa"/>
                  <w:noWrap w:val="0"/>
                  <w:vAlign w:val="center"/>
                </w:tcPr>
                <w:p>
                  <w:pPr>
                    <w:pStyle w:val="87"/>
                    <w:adjustRightInd w:val="0"/>
                    <w:snapToGrid w:val="0"/>
                    <w:spacing w:line="240" w:lineRule="auto"/>
                    <w:ind w:left="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设置减振、隔声措施</w:t>
                  </w:r>
                </w:p>
              </w:tc>
              <w:tc>
                <w:tcPr>
                  <w:tcW w:w="2013" w:type="dxa"/>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场界噪声</w:t>
                  </w:r>
                </w:p>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昼间≤60dB</w:t>
                  </w:r>
                </w:p>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夜间≤50dB</w:t>
                  </w:r>
                </w:p>
              </w:tc>
              <w:tc>
                <w:tcPr>
                  <w:tcW w:w="1922" w:type="dxa"/>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《工业企业厂界环境噪声排放标准》（GB12348-2008）</w:t>
                  </w:r>
                </w:p>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2类标准限值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trPr>
              <w:tc>
                <w:tcPr>
                  <w:tcW w:w="638" w:type="dxa"/>
                  <w:vMerge w:val="restart"/>
                  <w:noWrap w:val="0"/>
                  <w:vAlign w:val="center"/>
                </w:tcPr>
                <w:p>
                  <w:pPr>
                    <w:pStyle w:val="87"/>
                    <w:adjustRightInd w:val="0"/>
                    <w:snapToGrid w:val="0"/>
                    <w:spacing w:line="240" w:lineRule="auto"/>
                    <w:ind w:left="0" w:firstLine="0" w:firstLineChars="0"/>
                    <w:jc w:val="both"/>
                    <w:rPr>
                      <w:rFonts w:hint="eastAsia" w:ascii="宋体" w:hAnsi="宋体" w:eastAsia="宋体" w:cs="宋体"/>
                      <w:szCs w:val="21"/>
                      <w:lang w:val="en-US" w:eastAsia="zh-CN"/>
                    </w:rPr>
                  </w:pPr>
                  <w:r>
                    <w:rPr>
                      <w:rFonts w:hint="eastAsia" w:ascii="宋体" w:hAnsi="宋体" w:eastAsia="宋体" w:cs="宋体"/>
                      <w:bCs/>
                      <w:szCs w:val="21"/>
                      <w:lang w:val="en-US" w:eastAsia="zh-CN"/>
                    </w:rPr>
                    <w:t>固废</w:t>
                  </w:r>
                </w:p>
              </w:tc>
              <w:tc>
                <w:tcPr>
                  <w:tcW w:w="1700" w:type="dxa"/>
                  <w:noWrap w:val="0"/>
                  <w:vAlign w:val="center"/>
                </w:tcPr>
                <w:p>
                  <w:pPr>
                    <w:pStyle w:val="87"/>
                    <w:adjustRightInd w:val="0"/>
                    <w:snapToGrid w:val="0"/>
                    <w:spacing w:line="240" w:lineRule="auto"/>
                    <w:ind w:left="420" w:hanging="420"/>
                    <w:rPr>
                      <w:rFonts w:hint="eastAsia" w:ascii="宋体" w:hAnsi="宋体" w:eastAsia="宋体" w:cs="宋体"/>
                      <w:szCs w:val="21"/>
                      <w:lang w:val="en-US" w:eastAsia="zh-CN"/>
                    </w:rPr>
                  </w:pPr>
                  <w:r>
                    <w:rPr>
                      <w:rFonts w:hint="eastAsia" w:ascii="宋体" w:hAnsi="宋体" w:eastAsia="宋体" w:cs="宋体"/>
                      <w:szCs w:val="21"/>
                      <w:lang w:val="en-US" w:eastAsia="zh-CN"/>
                    </w:rPr>
                    <w:t>废品木材</w:t>
                  </w:r>
                </w:p>
              </w:tc>
              <w:tc>
                <w:tcPr>
                  <w:tcW w:w="2613" w:type="dxa"/>
                  <w:noWrap w:val="0"/>
                  <w:vAlign w:val="center"/>
                </w:tcPr>
                <w:p>
                  <w:pPr>
                    <w:pStyle w:val="87"/>
                    <w:adjustRightInd w:val="0"/>
                    <w:snapToGrid w:val="0"/>
                    <w:spacing w:line="240" w:lineRule="auto"/>
                    <w:ind w:left="420" w:hanging="420"/>
                    <w:rPr>
                      <w:rFonts w:hint="eastAsia" w:ascii="宋体" w:hAnsi="宋体" w:eastAsia="宋体" w:cs="宋体"/>
                      <w:szCs w:val="21"/>
                      <w:lang w:val="en-US" w:eastAsia="zh-CN"/>
                    </w:rPr>
                  </w:pPr>
                  <w:r>
                    <w:rPr>
                      <w:rFonts w:hint="eastAsia" w:ascii="宋体" w:hAnsi="宋体" w:eastAsia="宋体" w:cs="宋体"/>
                      <w:szCs w:val="21"/>
                      <w:lang w:val="en-US" w:eastAsia="zh-CN"/>
                    </w:rPr>
                    <w:t>废品不长期堆，交由原</w:t>
                  </w:r>
                </w:p>
                <w:p>
                  <w:pPr>
                    <w:pStyle w:val="87"/>
                    <w:adjustRightInd w:val="0"/>
                    <w:snapToGrid w:val="0"/>
                    <w:spacing w:line="240" w:lineRule="auto"/>
                    <w:ind w:left="420" w:hanging="420"/>
                    <w:rPr>
                      <w:rFonts w:hint="eastAsia" w:ascii="宋体" w:hAnsi="宋体" w:eastAsia="宋体" w:cs="宋体"/>
                      <w:szCs w:val="21"/>
                      <w:lang w:val="en-US" w:eastAsia="zh-CN"/>
                    </w:rPr>
                  </w:pPr>
                  <w:r>
                    <w:rPr>
                      <w:rFonts w:hint="eastAsia" w:ascii="宋体" w:hAnsi="宋体" w:eastAsia="宋体" w:cs="宋体"/>
                      <w:szCs w:val="21"/>
                      <w:lang w:val="en-US" w:eastAsia="zh-CN"/>
                    </w:rPr>
                    <w:t>料厂商处理</w:t>
                  </w:r>
                </w:p>
              </w:tc>
              <w:tc>
                <w:tcPr>
                  <w:tcW w:w="2013" w:type="dxa"/>
                  <w:vMerge w:val="restart"/>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一般固废</w:t>
                  </w:r>
                </w:p>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不得随意堆放污染环境</w:t>
                  </w:r>
                </w:p>
              </w:tc>
              <w:tc>
                <w:tcPr>
                  <w:tcW w:w="1922" w:type="dxa"/>
                  <w:vMerge w:val="restart"/>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《一般工业固体废物贮存、处置场污染控制标准》（GB18599-2001）</w:t>
                  </w:r>
                </w:p>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（2013年修订）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trPr>
              <w:tc>
                <w:tcPr>
                  <w:tcW w:w="638" w:type="dxa"/>
                  <w:vMerge w:val="continue"/>
                  <w:noWrap w:val="0"/>
                  <w:vAlign w:val="center"/>
                </w:tcPr>
                <w:p>
                  <w:pPr>
                    <w:pStyle w:val="87"/>
                    <w:adjustRightInd w:val="0"/>
                    <w:snapToGrid w:val="0"/>
                    <w:spacing w:line="240" w:lineRule="auto"/>
                    <w:ind w:left="0" w:firstLine="0" w:firstLineChars="0"/>
                    <w:jc w:val="both"/>
                    <w:rPr>
                      <w:rFonts w:hint="eastAsia" w:ascii="宋体" w:hAnsi="宋体" w:eastAsia="宋体" w:cs="宋体"/>
                      <w:bCs/>
                      <w:szCs w:val="21"/>
                      <w:lang w:val="en-US" w:eastAsia="zh-CN"/>
                    </w:rPr>
                  </w:pPr>
                </w:p>
              </w:tc>
              <w:tc>
                <w:tcPr>
                  <w:tcW w:w="1700" w:type="dxa"/>
                  <w:noWrap w:val="0"/>
                  <w:vAlign w:val="center"/>
                </w:tcPr>
                <w:p>
                  <w:pPr>
                    <w:pStyle w:val="87"/>
                    <w:adjustRightInd w:val="0"/>
                    <w:snapToGrid w:val="0"/>
                    <w:spacing w:line="240" w:lineRule="auto"/>
                    <w:ind w:left="420" w:hanging="420"/>
                    <w:rPr>
                      <w:rFonts w:hint="eastAsia" w:ascii="宋体" w:hAnsi="宋体" w:eastAsia="宋体" w:cs="宋体"/>
                      <w:szCs w:val="21"/>
                      <w:lang w:val="en-US" w:eastAsia="zh-CN"/>
                    </w:rPr>
                  </w:pPr>
                  <w:r>
                    <w:rPr>
                      <w:rFonts w:hint="eastAsia" w:ascii="宋体" w:hAnsi="宋体" w:eastAsia="宋体" w:cs="宋体"/>
                      <w:szCs w:val="21"/>
                      <w:lang w:val="en-US" w:eastAsia="zh-CN"/>
                    </w:rPr>
                    <w:t>废品浸渍纸</w:t>
                  </w:r>
                </w:p>
              </w:tc>
              <w:tc>
                <w:tcPr>
                  <w:tcW w:w="2613" w:type="dxa"/>
                  <w:noWrap w:val="0"/>
                  <w:vAlign w:val="center"/>
                </w:tcPr>
                <w:p>
                  <w:pPr>
                    <w:pStyle w:val="87"/>
                    <w:adjustRightInd w:val="0"/>
                    <w:snapToGrid w:val="0"/>
                    <w:spacing w:line="240" w:lineRule="auto"/>
                    <w:ind w:left="420" w:hanging="420"/>
                    <w:rPr>
                      <w:rFonts w:hint="eastAsia" w:ascii="宋体" w:hAnsi="宋体" w:eastAsia="宋体" w:cs="宋体"/>
                      <w:szCs w:val="21"/>
                      <w:lang w:val="en-US" w:eastAsia="zh-CN"/>
                    </w:rPr>
                  </w:pPr>
                  <w:r>
                    <w:rPr>
                      <w:rFonts w:hint="eastAsia" w:ascii="宋体" w:hAnsi="宋体" w:eastAsia="宋体" w:cs="宋体"/>
                      <w:szCs w:val="21"/>
                      <w:lang w:val="en-US" w:eastAsia="zh-CN"/>
                    </w:rPr>
                    <w:t>交由环卫部门处理</w:t>
                  </w:r>
                </w:p>
              </w:tc>
              <w:tc>
                <w:tcPr>
                  <w:tcW w:w="2013" w:type="dxa"/>
                  <w:vMerge w:val="continue"/>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p>
              </w:tc>
              <w:tc>
                <w:tcPr>
                  <w:tcW w:w="1922" w:type="dxa"/>
                  <w:vMerge w:val="continue"/>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trPr>
              <w:tc>
                <w:tcPr>
                  <w:tcW w:w="638" w:type="dxa"/>
                  <w:vMerge w:val="continue"/>
                  <w:noWrap w:val="0"/>
                  <w:vAlign w:val="center"/>
                </w:tcPr>
                <w:p>
                  <w:pPr>
                    <w:pStyle w:val="87"/>
                    <w:adjustRightInd w:val="0"/>
                    <w:snapToGrid w:val="0"/>
                    <w:spacing w:line="240" w:lineRule="auto"/>
                    <w:ind w:left="0" w:firstLine="0" w:firstLineChars="0"/>
                    <w:jc w:val="both"/>
                    <w:rPr>
                      <w:rFonts w:hint="eastAsia" w:ascii="宋体" w:hAnsi="宋体" w:eastAsia="宋体" w:cs="宋体"/>
                      <w:szCs w:val="21"/>
                      <w:lang w:val="en-US" w:eastAsia="zh-CN"/>
                    </w:rPr>
                  </w:pPr>
                </w:p>
              </w:tc>
              <w:tc>
                <w:tcPr>
                  <w:tcW w:w="1700" w:type="dxa"/>
                  <w:noWrap w:val="0"/>
                  <w:vAlign w:val="center"/>
                </w:tcPr>
                <w:p>
                  <w:pPr>
                    <w:pStyle w:val="87"/>
                    <w:adjustRightInd w:val="0"/>
                    <w:snapToGrid w:val="0"/>
                    <w:spacing w:line="240" w:lineRule="auto"/>
                    <w:ind w:left="420" w:hanging="420"/>
                    <w:rPr>
                      <w:rFonts w:hint="eastAsia" w:ascii="宋体" w:hAnsi="宋体" w:eastAsia="宋体" w:cs="宋体"/>
                      <w:szCs w:val="21"/>
                      <w:lang w:val="en-US" w:eastAsia="zh-CN"/>
                    </w:rPr>
                  </w:pPr>
                  <w:r>
                    <w:rPr>
                      <w:rFonts w:hint="eastAsia" w:ascii="宋体" w:hAnsi="宋体" w:eastAsia="宋体" w:cs="宋体"/>
                      <w:szCs w:val="21"/>
                      <w:lang w:val="en-US" w:eastAsia="zh-CN"/>
                    </w:rPr>
                    <w:t>生活垃圾</w:t>
                  </w:r>
                </w:p>
              </w:tc>
              <w:tc>
                <w:tcPr>
                  <w:tcW w:w="2613" w:type="dxa"/>
                  <w:noWrap w:val="0"/>
                  <w:vAlign w:val="center"/>
                </w:tcPr>
                <w:p>
                  <w:pPr>
                    <w:pStyle w:val="87"/>
                    <w:adjustRightInd w:val="0"/>
                    <w:snapToGrid w:val="0"/>
                    <w:spacing w:line="240" w:lineRule="auto"/>
                    <w:ind w:left="420" w:hanging="420"/>
                    <w:rPr>
                      <w:rFonts w:hint="eastAsia" w:ascii="宋体" w:hAnsi="宋体" w:eastAsia="宋体" w:cs="宋体"/>
                      <w:szCs w:val="21"/>
                      <w:lang w:val="en-US" w:eastAsia="zh-CN"/>
                    </w:rPr>
                  </w:pPr>
                  <w:r>
                    <w:rPr>
                      <w:rFonts w:hint="eastAsia" w:ascii="宋体" w:hAnsi="宋体" w:eastAsia="宋体" w:cs="宋体"/>
                      <w:szCs w:val="21"/>
                      <w:lang w:val="en-US" w:eastAsia="zh-CN"/>
                    </w:rPr>
                    <w:t>厂内垃圾桶收集后，交</w:t>
                  </w:r>
                </w:p>
                <w:p>
                  <w:pPr>
                    <w:pStyle w:val="87"/>
                    <w:adjustRightInd w:val="0"/>
                    <w:snapToGrid w:val="0"/>
                    <w:spacing w:line="240" w:lineRule="auto"/>
                    <w:ind w:left="420" w:hanging="420"/>
                    <w:rPr>
                      <w:rFonts w:hint="eastAsia" w:ascii="宋体" w:hAnsi="宋体" w:eastAsia="宋体" w:cs="宋体"/>
                      <w:szCs w:val="21"/>
                      <w:lang w:val="en-US" w:eastAsia="zh-CN"/>
                    </w:rPr>
                  </w:pPr>
                  <w:r>
                    <w:rPr>
                      <w:rFonts w:hint="eastAsia" w:ascii="宋体" w:hAnsi="宋体" w:eastAsia="宋体" w:cs="宋体"/>
                      <w:szCs w:val="21"/>
                      <w:lang w:val="en-US" w:eastAsia="zh-CN"/>
                    </w:rPr>
                    <w:t>由当地环卫部门处理</w:t>
                  </w:r>
                </w:p>
              </w:tc>
              <w:tc>
                <w:tcPr>
                  <w:tcW w:w="2013" w:type="dxa"/>
                  <w:vMerge w:val="continue"/>
                  <w:noWrap w:val="0"/>
                  <w:vAlign w:val="center"/>
                </w:tcPr>
                <w:p>
                  <w:pPr>
                    <w:pStyle w:val="87"/>
                    <w:adjustRightInd w:val="0"/>
                    <w:snapToGrid w:val="0"/>
                    <w:spacing w:line="240" w:lineRule="auto"/>
                    <w:ind w:left="0" w:firstLine="0" w:firstLineChars="0"/>
                    <w:jc w:val="both"/>
                    <w:rPr>
                      <w:rFonts w:hint="eastAsia" w:ascii="宋体" w:hAnsi="宋体" w:eastAsia="宋体" w:cs="宋体"/>
                      <w:szCs w:val="21"/>
                      <w:lang w:val="en-US" w:eastAsia="zh-CN"/>
                    </w:rPr>
                  </w:pPr>
                </w:p>
              </w:tc>
              <w:tc>
                <w:tcPr>
                  <w:tcW w:w="1922" w:type="dxa"/>
                  <w:vMerge w:val="continue"/>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638" w:type="dxa"/>
                  <w:vMerge w:val="continue"/>
                  <w:noWrap w:val="0"/>
                  <w:vAlign w:val="center"/>
                </w:tcPr>
                <w:p>
                  <w:pPr>
                    <w:pStyle w:val="87"/>
                    <w:adjustRightInd w:val="0"/>
                    <w:snapToGrid w:val="0"/>
                    <w:spacing w:line="240" w:lineRule="auto"/>
                    <w:ind w:left="0" w:firstLine="0" w:firstLineChars="0"/>
                    <w:jc w:val="both"/>
                    <w:rPr>
                      <w:rFonts w:hint="eastAsia" w:ascii="宋体" w:hAnsi="宋体" w:eastAsia="宋体" w:cs="宋体"/>
                      <w:szCs w:val="21"/>
                      <w:lang w:val="en-US" w:eastAsia="zh-CN"/>
                    </w:rPr>
                  </w:pPr>
                </w:p>
              </w:tc>
              <w:tc>
                <w:tcPr>
                  <w:tcW w:w="1700" w:type="dxa"/>
                  <w:noWrap w:val="0"/>
                  <w:vAlign w:val="center"/>
                </w:tcPr>
                <w:p>
                  <w:pPr>
                    <w:pStyle w:val="87"/>
                    <w:adjustRightInd w:val="0"/>
                    <w:snapToGrid w:val="0"/>
                    <w:spacing w:line="240" w:lineRule="auto"/>
                    <w:ind w:left="420" w:hanging="420"/>
                    <w:rPr>
                      <w:rFonts w:hint="eastAsia" w:ascii="宋体" w:hAnsi="宋体" w:eastAsia="宋体" w:cs="宋体"/>
                      <w:szCs w:val="21"/>
                      <w:lang w:val="en-US" w:eastAsia="zh-CN"/>
                    </w:rPr>
                  </w:pPr>
                  <w:r>
                    <w:rPr>
                      <w:rFonts w:hint="eastAsia" w:ascii="宋体" w:hAnsi="宋体" w:eastAsia="宋体" w:cs="宋体"/>
                      <w:szCs w:val="21"/>
                      <w:lang w:val="en-US" w:eastAsia="zh-CN"/>
                    </w:rPr>
                    <w:t>废导热油</w:t>
                  </w:r>
                </w:p>
              </w:tc>
              <w:tc>
                <w:tcPr>
                  <w:tcW w:w="2613" w:type="dxa"/>
                  <w:vMerge w:val="restart"/>
                  <w:noWrap w:val="0"/>
                  <w:vAlign w:val="center"/>
                </w:tcPr>
                <w:p>
                  <w:pPr>
                    <w:pStyle w:val="87"/>
                    <w:adjustRightInd w:val="0"/>
                    <w:snapToGrid w:val="0"/>
                    <w:spacing w:line="240" w:lineRule="auto"/>
                    <w:ind w:left="420" w:hanging="420"/>
                    <w:rPr>
                      <w:rFonts w:hint="eastAsia" w:ascii="宋体" w:hAnsi="宋体" w:eastAsia="宋体" w:cs="宋体"/>
                      <w:szCs w:val="21"/>
                      <w:lang w:val="en-US" w:eastAsia="zh-CN"/>
                    </w:rPr>
                  </w:pPr>
                  <w:r>
                    <w:rPr>
                      <w:rFonts w:hint="eastAsia" w:ascii="宋体" w:hAnsi="宋体" w:eastAsia="宋体" w:cs="宋体"/>
                      <w:szCs w:val="21"/>
                      <w:lang w:val="en-US" w:eastAsia="zh-CN"/>
                    </w:rPr>
                    <w:t>危废暂存间暂存后定期</w:t>
                  </w:r>
                </w:p>
                <w:p>
                  <w:pPr>
                    <w:pStyle w:val="87"/>
                    <w:adjustRightInd w:val="0"/>
                    <w:snapToGrid w:val="0"/>
                    <w:spacing w:line="240" w:lineRule="auto"/>
                    <w:ind w:left="420" w:hanging="420"/>
                    <w:rPr>
                      <w:rFonts w:hint="eastAsia" w:ascii="宋体" w:hAnsi="宋体" w:eastAsia="宋体" w:cs="宋体"/>
                      <w:szCs w:val="21"/>
                      <w:lang w:val="en-US" w:eastAsia="zh-CN"/>
                    </w:rPr>
                  </w:pPr>
                  <w:r>
                    <w:rPr>
                      <w:rFonts w:hint="eastAsia" w:ascii="宋体" w:hAnsi="宋体" w:eastAsia="宋体" w:cs="宋体"/>
                      <w:szCs w:val="21"/>
                      <w:lang w:val="en-US" w:eastAsia="zh-CN"/>
                    </w:rPr>
                    <w:t>交由资质单位处理</w:t>
                  </w:r>
                </w:p>
              </w:tc>
              <w:tc>
                <w:tcPr>
                  <w:tcW w:w="2013" w:type="dxa"/>
                  <w:vMerge w:val="restart"/>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设立危废暂存点</w:t>
                  </w:r>
                </w:p>
              </w:tc>
              <w:tc>
                <w:tcPr>
                  <w:tcW w:w="1922" w:type="dxa"/>
                  <w:vMerge w:val="restart"/>
                  <w:noWrap w:val="0"/>
                  <w:vAlign w:val="center"/>
                </w:tcPr>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危险废物贮存污染控制标准</w:t>
                  </w:r>
                </w:p>
                <w:p>
                  <w:pPr>
                    <w:pStyle w:val="87"/>
                    <w:adjustRightInd w:val="0"/>
                    <w:snapToGrid w:val="0"/>
                    <w:spacing w:line="240" w:lineRule="auto"/>
                    <w:ind w:left="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（GB18597-2001）（2013年修订）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638" w:type="dxa"/>
                  <w:vMerge w:val="continue"/>
                  <w:noWrap w:val="0"/>
                  <w:vAlign w:val="center"/>
                </w:tcPr>
                <w:p>
                  <w:pPr>
                    <w:pStyle w:val="87"/>
                    <w:adjustRightInd w:val="0"/>
                    <w:snapToGrid w:val="0"/>
                    <w:spacing w:line="240" w:lineRule="auto"/>
                    <w:ind w:left="420" w:hanging="420"/>
                  </w:pPr>
                </w:p>
              </w:tc>
              <w:tc>
                <w:tcPr>
                  <w:tcW w:w="1700" w:type="dxa"/>
                  <w:noWrap w:val="0"/>
                  <w:vAlign w:val="center"/>
                </w:tcPr>
                <w:p>
                  <w:pPr>
                    <w:pStyle w:val="87"/>
                    <w:adjustRightInd w:val="0"/>
                    <w:snapToGrid w:val="0"/>
                    <w:spacing w:line="240" w:lineRule="auto"/>
                    <w:ind w:left="420" w:hanging="420"/>
                    <w:rPr>
                      <w:rFonts w:hint="default" w:ascii="宋体" w:hAnsi="宋体" w:eastAsia="宋体" w:cs="宋体"/>
                      <w:szCs w:val="21"/>
                      <w:lang w:val="en-US" w:eastAsia="zh-CN"/>
                    </w:rPr>
                  </w:pPr>
                  <w:r>
                    <w:rPr>
                      <w:rFonts w:hint="eastAsia" w:ascii="宋体" w:hAnsi="宋体" w:eastAsia="宋体" w:cs="宋体"/>
                      <w:szCs w:val="21"/>
                      <w:lang w:val="en-US" w:eastAsia="zh-CN"/>
                    </w:rPr>
                    <w:t>废活性炭</w:t>
                  </w:r>
                </w:p>
              </w:tc>
              <w:tc>
                <w:tcPr>
                  <w:tcW w:w="2613" w:type="dxa"/>
                  <w:vMerge w:val="continue"/>
                  <w:noWrap w:val="0"/>
                  <w:vAlign w:val="center"/>
                </w:tcPr>
                <w:p>
                  <w:pPr>
                    <w:pStyle w:val="87"/>
                    <w:adjustRightInd w:val="0"/>
                    <w:snapToGrid w:val="0"/>
                    <w:spacing w:line="240" w:lineRule="auto"/>
                    <w:ind w:left="420" w:hanging="420"/>
                    <w:rPr>
                      <w:rFonts w:hint="eastAsia" w:ascii="宋体" w:hAnsi="宋体" w:eastAsia="宋体" w:cs="宋体"/>
                      <w:szCs w:val="21"/>
                      <w:lang w:val="en-US" w:eastAsia="zh-CN"/>
                    </w:rPr>
                  </w:pPr>
                </w:p>
              </w:tc>
              <w:tc>
                <w:tcPr>
                  <w:tcW w:w="2013" w:type="dxa"/>
                  <w:vMerge w:val="continue"/>
                  <w:noWrap w:val="0"/>
                  <w:vAlign w:val="center"/>
                </w:tcPr>
                <w:p>
                  <w:pPr>
                    <w:pStyle w:val="87"/>
                    <w:adjustRightInd w:val="0"/>
                    <w:snapToGrid w:val="0"/>
                    <w:spacing w:line="240" w:lineRule="auto"/>
                    <w:ind w:left="420" w:hanging="420"/>
                    <w:rPr>
                      <w:rFonts w:hint="eastAsia" w:ascii="宋体" w:hAnsi="宋体" w:eastAsia="宋体" w:cs="宋体"/>
                      <w:szCs w:val="21"/>
                      <w:lang w:val="en-US" w:eastAsia="zh-CN"/>
                    </w:rPr>
                  </w:pPr>
                </w:p>
              </w:tc>
              <w:tc>
                <w:tcPr>
                  <w:tcW w:w="1922" w:type="dxa"/>
                  <w:vMerge w:val="continue"/>
                  <w:noWrap w:val="0"/>
                  <w:vAlign w:val="center"/>
                </w:tcPr>
                <w:p>
                  <w:pPr>
                    <w:pStyle w:val="87"/>
                    <w:adjustRightInd w:val="0"/>
                    <w:snapToGrid w:val="0"/>
                    <w:spacing w:line="240" w:lineRule="auto"/>
                    <w:ind w:left="420" w:hanging="420"/>
                    <w:rPr>
                      <w:rFonts w:hint="eastAsia"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886" w:type="dxa"/>
                  <w:gridSpan w:val="5"/>
                  <w:noWrap w:val="0"/>
                  <w:vAlign w:val="center"/>
                </w:tcPr>
                <w:p>
                  <w:pPr>
                    <w:pStyle w:val="87"/>
                    <w:adjustRightInd w:val="0"/>
                    <w:snapToGrid w:val="0"/>
                    <w:spacing w:line="240" w:lineRule="auto"/>
                    <w:ind w:left="0" w:firstLine="0" w:firstLineChars="0"/>
                    <w:jc w:val="both"/>
                    <w:rPr>
                      <w:rFonts w:hint="eastAsia" w:ascii="宋体" w:hAnsi="宋体" w:eastAsia="宋体" w:cs="宋体"/>
                      <w:szCs w:val="21"/>
                      <w:lang w:val="en-US" w:eastAsia="zh-CN"/>
                    </w:rPr>
                  </w:pPr>
                  <w:r>
                    <w:rPr>
                      <w:rFonts w:hint="eastAsia" w:ascii="宋体" w:hAnsi="宋体" w:eastAsia="宋体" w:cs="宋体"/>
                      <w:szCs w:val="21"/>
                      <w:lang w:val="en-US" w:eastAsia="zh-CN"/>
                    </w:rPr>
                    <w:t>按要求提交该项目竣工环境保护验收调查报告</w:t>
                  </w:r>
                </w:p>
              </w:tc>
            </w:tr>
            <w:bookmarkEnd w:id="25"/>
            <w:bookmarkEnd w:id="26"/>
            <w:bookmarkEnd w:id="27"/>
            <w:bookmarkEnd w:id="28"/>
            <w:bookmarkEnd w:id="29"/>
          </w:tbl>
          <w:p>
            <w:pPr>
              <w:tabs>
                <w:tab w:val="left" w:pos="2010"/>
              </w:tabs>
              <w:spacing w:line="360" w:lineRule="auto"/>
              <w:rPr>
                <w:rFonts w:hint="eastAsia" w:ascii="宋体" w:hAnsi="宋体" w:cs="宋体"/>
                <w:b/>
                <w:sz w:val="24"/>
              </w:rPr>
            </w:pPr>
            <w:r>
              <w:rPr>
                <w:rFonts w:hint="eastAsia" w:ascii="宋体" w:hAnsi="宋体" w:cs="宋体"/>
                <w:b/>
                <w:sz w:val="24"/>
              </w:rPr>
              <w:t>四、环保设施与投资估算</w:t>
            </w:r>
          </w:p>
          <w:p>
            <w:pPr>
              <w:spacing w:line="360" w:lineRule="auto"/>
              <w:ind w:firstLine="480" w:firstLineChars="200"/>
              <w:rPr>
                <w:rFonts w:hint="eastAsia"/>
                <w:sz w:val="24"/>
              </w:rPr>
            </w:pPr>
            <w:r>
              <w:rPr>
                <w:sz w:val="24"/>
              </w:rPr>
              <w:t>本工程</w:t>
            </w:r>
            <w:r>
              <w:rPr>
                <w:rFonts w:hint="eastAsia"/>
                <w:sz w:val="24"/>
              </w:rPr>
              <w:t>总投资为</w:t>
            </w:r>
            <w:r>
              <w:rPr>
                <w:rFonts w:hint="eastAsia"/>
                <w:sz w:val="24"/>
                <w:lang w:val="en-US" w:eastAsia="zh-CN"/>
              </w:rPr>
              <w:t>1</w:t>
            </w:r>
            <w:r>
              <w:rPr>
                <w:rFonts w:hint="eastAsia"/>
                <w:sz w:val="24"/>
              </w:rPr>
              <w:t>00.0万元</w:t>
            </w:r>
            <w:r>
              <w:rPr>
                <w:sz w:val="24"/>
              </w:rPr>
              <w:t>，</w:t>
            </w:r>
            <w:r>
              <w:rPr>
                <w:rFonts w:hint="eastAsia"/>
                <w:sz w:val="24"/>
                <w:lang w:eastAsia="zh-CN"/>
              </w:rPr>
              <w:t>环保投资为</w:t>
            </w:r>
            <w:r>
              <w:rPr>
                <w:rFonts w:hint="eastAsia"/>
                <w:sz w:val="24"/>
                <w:lang w:val="en-US" w:eastAsia="zh-CN"/>
              </w:rPr>
              <w:t>20万元，部分环保设施沿用原设施，</w:t>
            </w:r>
            <w:r>
              <w:rPr>
                <w:sz w:val="24"/>
              </w:rPr>
              <w:t>环保投资及其建设内容见下表。</w:t>
            </w:r>
          </w:p>
          <w:p>
            <w:pPr>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表7-24 工程环保设施(措施)及投资估算一览表</w:t>
            </w:r>
          </w:p>
          <w:tbl>
            <w:tblPr>
              <w:tblStyle w:val="69"/>
              <w:tblW w:w="9000" w:type="dxa"/>
              <w:jc w:val="center"/>
              <w:tblInd w:w="-48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8"/>
              <w:gridCol w:w="1067"/>
              <w:gridCol w:w="1312"/>
              <w:gridCol w:w="2108"/>
              <w:gridCol w:w="1767"/>
              <w:gridCol w:w="850"/>
              <w:gridCol w:w="1317"/>
              <w:gridCol w:w="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578" w:type="dxa"/>
                  <w:tcBorders>
                    <w:top w:val="single" w:color="auto" w:sz="8" w:space="0"/>
                    <w:left w:val="single" w:color="auto" w:sz="8" w:space="0"/>
                  </w:tcBorders>
                  <w:noWrap w:val="0"/>
                  <w:vAlign w:val="center"/>
                </w:tcPr>
                <w:p>
                  <w:pPr>
                    <w:jc w:val="center"/>
                    <w:rPr>
                      <w:b/>
                      <w:szCs w:val="21"/>
                    </w:rPr>
                  </w:pPr>
                  <w:bookmarkStart w:id="30" w:name="_Toc9961"/>
                  <w:bookmarkStart w:id="31" w:name="_Toc29447"/>
                  <w:bookmarkStart w:id="32" w:name="_Toc29571"/>
                  <w:r>
                    <w:rPr>
                      <w:b/>
                      <w:szCs w:val="21"/>
                    </w:rPr>
                    <w:t>时段</w:t>
                  </w:r>
                </w:p>
              </w:tc>
              <w:tc>
                <w:tcPr>
                  <w:tcW w:w="1067" w:type="dxa"/>
                  <w:tcBorders>
                    <w:top w:val="single" w:color="auto" w:sz="8" w:space="0"/>
                  </w:tcBorders>
                  <w:noWrap w:val="0"/>
                  <w:vAlign w:val="center"/>
                </w:tcPr>
                <w:p>
                  <w:pPr>
                    <w:jc w:val="center"/>
                    <w:rPr>
                      <w:b/>
                      <w:szCs w:val="21"/>
                    </w:rPr>
                  </w:pPr>
                  <w:r>
                    <w:rPr>
                      <w:b/>
                      <w:szCs w:val="21"/>
                    </w:rPr>
                    <w:t>污染类型</w:t>
                  </w:r>
                </w:p>
              </w:tc>
              <w:tc>
                <w:tcPr>
                  <w:tcW w:w="1312" w:type="dxa"/>
                  <w:tcBorders>
                    <w:top w:val="single" w:color="auto" w:sz="8" w:space="0"/>
                  </w:tcBorders>
                  <w:noWrap w:val="0"/>
                  <w:vAlign w:val="center"/>
                </w:tcPr>
                <w:p>
                  <w:pPr>
                    <w:jc w:val="center"/>
                    <w:rPr>
                      <w:b/>
                      <w:szCs w:val="21"/>
                    </w:rPr>
                  </w:pPr>
                  <w:r>
                    <w:rPr>
                      <w:b/>
                      <w:szCs w:val="21"/>
                    </w:rPr>
                    <w:t>治理项目</w:t>
                  </w:r>
                </w:p>
              </w:tc>
              <w:tc>
                <w:tcPr>
                  <w:tcW w:w="3875" w:type="dxa"/>
                  <w:gridSpan w:val="2"/>
                  <w:tcBorders>
                    <w:top w:val="single" w:color="auto" w:sz="8" w:space="0"/>
                  </w:tcBorders>
                  <w:noWrap w:val="0"/>
                  <w:vAlign w:val="center"/>
                </w:tcPr>
                <w:p>
                  <w:pPr>
                    <w:jc w:val="center"/>
                    <w:rPr>
                      <w:b/>
                      <w:szCs w:val="21"/>
                    </w:rPr>
                  </w:pPr>
                  <w:r>
                    <w:rPr>
                      <w:b/>
                      <w:szCs w:val="21"/>
                    </w:rPr>
                    <w:t>内容</w:t>
                  </w:r>
                </w:p>
              </w:tc>
              <w:tc>
                <w:tcPr>
                  <w:tcW w:w="850" w:type="dxa"/>
                  <w:tcBorders>
                    <w:top w:val="single" w:color="auto" w:sz="8" w:space="0"/>
                    <w:right w:val="single" w:color="auto" w:sz="6" w:space="0"/>
                  </w:tcBorders>
                  <w:noWrap w:val="0"/>
                  <w:vAlign w:val="center"/>
                </w:tcPr>
                <w:p>
                  <w:pPr>
                    <w:jc w:val="center"/>
                    <w:rPr>
                      <w:b/>
                      <w:szCs w:val="21"/>
                    </w:rPr>
                  </w:pPr>
                  <w:r>
                    <w:rPr>
                      <w:b/>
                      <w:szCs w:val="21"/>
                    </w:rPr>
                    <w:t>投资</w:t>
                  </w:r>
                </w:p>
                <w:p>
                  <w:pPr>
                    <w:jc w:val="center"/>
                    <w:rPr>
                      <w:b/>
                      <w:szCs w:val="21"/>
                    </w:rPr>
                  </w:pPr>
                  <w:r>
                    <w:rPr>
                      <w:b/>
                      <w:szCs w:val="21"/>
                    </w:rPr>
                    <w:t>(万元)</w:t>
                  </w:r>
                </w:p>
              </w:tc>
              <w:tc>
                <w:tcPr>
                  <w:tcW w:w="1318" w:type="dxa"/>
                  <w:gridSpan w:val="2"/>
                  <w:tcBorders>
                    <w:top w:val="single" w:color="auto" w:sz="8" w:space="0"/>
                    <w:right w:val="single" w:color="auto" w:sz="6" w:space="0"/>
                  </w:tcBorders>
                  <w:noWrap w:val="0"/>
                  <w:vAlign w:val="center"/>
                </w:tcPr>
                <w:p>
                  <w:pPr>
                    <w:jc w:val="center"/>
                    <w:rPr>
                      <w:rFonts w:hint="eastAsia" w:eastAsia="宋体"/>
                      <w:b/>
                      <w:szCs w:val="21"/>
                      <w:lang w:eastAsia="zh-CN"/>
                    </w:rPr>
                  </w:pPr>
                  <w:r>
                    <w:rPr>
                      <w:rFonts w:hint="eastAsia"/>
                      <w:b/>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5" w:hRule="atLeast"/>
                <w:jc w:val="center"/>
              </w:trPr>
              <w:tc>
                <w:tcPr>
                  <w:tcW w:w="578" w:type="dxa"/>
                  <w:vMerge w:val="restart"/>
                  <w:tcBorders>
                    <w:left w:val="single" w:color="auto" w:sz="8" w:space="0"/>
                  </w:tcBorders>
                  <w:noWrap w:val="0"/>
                  <w:vAlign w:val="center"/>
                </w:tcPr>
                <w:p>
                  <w:pPr>
                    <w:widowControl/>
                    <w:jc w:val="center"/>
                    <w:rPr>
                      <w:szCs w:val="21"/>
                    </w:rPr>
                  </w:pPr>
                  <w:r>
                    <w:rPr>
                      <w:rFonts w:hint="eastAsia"/>
                      <w:szCs w:val="21"/>
                    </w:rPr>
                    <w:t>营运期</w:t>
                  </w:r>
                </w:p>
              </w:tc>
              <w:tc>
                <w:tcPr>
                  <w:tcW w:w="1067" w:type="dxa"/>
                  <w:vMerge w:val="restart"/>
                  <w:noWrap w:val="0"/>
                  <w:vAlign w:val="center"/>
                </w:tcPr>
                <w:p>
                  <w:pPr>
                    <w:widowControl/>
                    <w:jc w:val="center"/>
                    <w:rPr>
                      <w:szCs w:val="21"/>
                    </w:rPr>
                  </w:pPr>
                  <w:r>
                    <w:rPr>
                      <w:szCs w:val="21"/>
                    </w:rPr>
                    <w:t>废气</w:t>
                  </w:r>
                </w:p>
              </w:tc>
              <w:tc>
                <w:tcPr>
                  <w:tcW w:w="1312" w:type="dxa"/>
                  <w:noWrap w:val="0"/>
                  <w:vAlign w:val="center"/>
                </w:tcPr>
                <w:p>
                  <w:pPr>
                    <w:jc w:val="center"/>
                    <w:rPr>
                      <w:szCs w:val="28"/>
                    </w:rPr>
                  </w:pPr>
                  <w:r>
                    <w:rPr>
                      <w:rFonts w:hint="eastAsia"/>
                      <w:szCs w:val="28"/>
                    </w:rPr>
                    <w:t>热压工序有机废气</w:t>
                  </w:r>
                </w:p>
              </w:tc>
              <w:tc>
                <w:tcPr>
                  <w:tcW w:w="3875" w:type="dxa"/>
                  <w:gridSpan w:val="2"/>
                  <w:noWrap w:val="0"/>
                  <w:vAlign w:val="center"/>
                </w:tcPr>
                <w:p>
                  <w:pPr>
                    <w:jc w:val="center"/>
                    <w:rPr>
                      <w:szCs w:val="28"/>
                    </w:rPr>
                  </w:pPr>
                  <w:r>
                    <w:rPr>
                      <w:rFonts w:hint="eastAsia"/>
                      <w:szCs w:val="28"/>
                    </w:rPr>
                    <w:t>有机废气经集气罩收集后通过一套UV光解设施</w:t>
                  </w:r>
                  <w:r>
                    <w:rPr>
                      <w:rFonts w:hint="eastAsia"/>
                      <w:szCs w:val="28"/>
                      <w:lang w:val="en-US" w:eastAsia="zh-CN"/>
                    </w:rPr>
                    <w:t>+活性炭</w:t>
                  </w:r>
                  <w:r>
                    <w:rPr>
                      <w:rFonts w:hint="eastAsia"/>
                      <w:szCs w:val="28"/>
                    </w:rPr>
                    <w:t>处理后由</w:t>
                  </w:r>
                  <w:r>
                    <w:rPr>
                      <w:rFonts w:hint="eastAsia"/>
                      <w:color w:val="auto"/>
                      <w:szCs w:val="28"/>
                      <w:lang w:val="en-US" w:eastAsia="zh-CN"/>
                    </w:rPr>
                    <w:t>15</w:t>
                  </w:r>
                  <w:r>
                    <w:rPr>
                      <w:rFonts w:hint="eastAsia"/>
                      <w:color w:val="auto"/>
                      <w:szCs w:val="28"/>
                    </w:rPr>
                    <w:t>m高排气筒排放。</w:t>
                  </w:r>
                  <w:r>
                    <w:rPr>
                      <w:rFonts w:hint="eastAsia"/>
                      <w:color w:val="auto"/>
                      <w:szCs w:val="21"/>
                    </w:rPr>
                    <w:t>集气罩设置两台，风</w:t>
                  </w:r>
                  <w:r>
                    <w:rPr>
                      <w:rFonts w:hint="eastAsia"/>
                      <w:szCs w:val="21"/>
                    </w:rPr>
                    <w:t>量为2000m</w:t>
                  </w:r>
                  <w:r>
                    <w:rPr>
                      <w:rFonts w:hint="eastAsia"/>
                      <w:szCs w:val="21"/>
                      <w:vertAlign w:val="superscript"/>
                    </w:rPr>
                    <w:t>3</w:t>
                  </w:r>
                  <w:r>
                    <w:rPr>
                      <w:rFonts w:hint="eastAsia"/>
                      <w:szCs w:val="21"/>
                    </w:rPr>
                    <w:t>/h。UV光解设施的处理效率</w:t>
                  </w:r>
                  <w:r>
                    <w:rPr>
                      <w:rFonts w:hint="eastAsia"/>
                      <w:szCs w:val="21"/>
                      <w:lang w:val="en-US" w:eastAsia="zh-CN"/>
                    </w:rPr>
                    <w:t>90</w:t>
                  </w:r>
                  <w:r>
                    <w:rPr>
                      <w:rFonts w:hint="eastAsia"/>
                      <w:szCs w:val="21"/>
                    </w:rPr>
                    <w:t>%。</w:t>
                  </w:r>
                </w:p>
              </w:tc>
              <w:tc>
                <w:tcPr>
                  <w:tcW w:w="850" w:type="dxa"/>
                  <w:tcBorders>
                    <w:right w:val="single" w:color="auto" w:sz="6" w:space="0"/>
                  </w:tcBorders>
                  <w:noWrap w:val="0"/>
                  <w:vAlign w:val="center"/>
                </w:tcPr>
                <w:p>
                  <w:pPr>
                    <w:jc w:val="center"/>
                    <w:rPr>
                      <w:rFonts w:hint="default" w:eastAsia="宋体"/>
                      <w:szCs w:val="21"/>
                      <w:lang w:val="en-US" w:eastAsia="zh-CN"/>
                    </w:rPr>
                  </w:pPr>
                  <w:r>
                    <w:rPr>
                      <w:rFonts w:hint="eastAsia"/>
                      <w:szCs w:val="21"/>
                      <w:lang w:val="en-US" w:eastAsia="zh-CN"/>
                    </w:rPr>
                    <w:t>8.5</w:t>
                  </w:r>
                </w:p>
              </w:tc>
              <w:tc>
                <w:tcPr>
                  <w:tcW w:w="1318" w:type="dxa"/>
                  <w:gridSpan w:val="2"/>
                  <w:tcBorders>
                    <w:right w:val="single" w:color="auto" w:sz="6" w:space="0"/>
                  </w:tcBorders>
                  <w:noWrap w:val="0"/>
                  <w:vAlign w:val="center"/>
                </w:tcPr>
                <w:p>
                  <w:pPr>
                    <w:jc w:val="center"/>
                    <w:rPr>
                      <w:rFonts w:hint="eastAsia"/>
                      <w:szCs w:val="21"/>
                      <w:lang w:val="en-US" w:eastAsia="zh-CN"/>
                    </w:rPr>
                  </w:pPr>
                  <w:r>
                    <w:rPr>
                      <w:rFonts w:hint="eastAsia"/>
                      <w:szCs w:val="21"/>
                      <w:lang w:eastAsia="zh-CN"/>
                    </w:rPr>
                    <w:t>原有</w:t>
                  </w:r>
                  <w:r>
                    <w:rPr>
                      <w:rFonts w:hint="eastAsia"/>
                      <w:szCs w:val="21"/>
                      <w:lang w:val="en-US" w:eastAsia="zh-CN"/>
                    </w:rPr>
                    <w:t>3.5万</w:t>
                  </w:r>
                </w:p>
                <w:p>
                  <w:pPr>
                    <w:jc w:val="center"/>
                    <w:rPr>
                      <w:rFonts w:hint="default" w:eastAsia="宋体"/>
                      <w:szCs w:val="21"/>
                      <w:lang w:val="en-US" w:eastAsia="zh-CN"/>
                    </w:rPr>
                  </w:pPr>
                  <w:r>
                    <w:rPr>
                      <w:rFonts w:hint="eastAsia"/>
                      <w:szCs w:val="21"/>
                      <w:lang w:val="en-US" w:eastAsia="zh-CN"/>
                    </w:rPr>
                    <w:t>新增5万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3" w:hRule="atLeast"/>
                <w:jc w:val="center"/>
              </w:trPr>
              <w:tc>
                <w:tcPr>
                  <w:tcW w:w="578" w:type="dxa"/>
                  <w:vMerge w:val="continue"/>
                  <w:tcBorders>
                    <w:left w:val="single" w:color="auto" w:sz="8" w:space="0"/>
                  </w:tcBorders>
                  <w:noWrap w:val="0"/>
                  <w:vAlign w:val="center"/>
                </w:tcPr>
                <w:p>
                  <w:pPr>
                    <w:widowControl/>
                    <w:jc w:val="center"/>
                    <w:rPr>
                      <w:szCs w:val="21"/>
                    </w:rPr>
                  </w:pPr>
                </w:p>
              </w:tc>
              <w:tc>
                <w:tcPr>
                  <w:tcW w:w="1067" w:type="dxa"/>
                  <w:vMerge w:val="continue"/>
                  <w:noWrap w:val="0"/>
                  <w:vAlign w:val="center"/>
                </w:tcPr>
                <w:p>
                  <w:pPr>
                    <w:widowControl/>
                    <w:jc w:val="center"/>
                    <w:rPr>
                      <w:szCs w:val="21"/>
                    </w:rPr>
                  </w:pPr>
                </w:p>
              </w:tc>
              <w:tc>
                <w:tcPr>
                  <w:tcW w:w="1312" w:type="dxa"/>
                  <w:noWrap w:val="0"/>
                  <w:vAlign w:val="center"/>
                </w:tcPr>
                <w:p>
                  <w:pPr>
                    <w:jc w:val="center"/>
                    <w:rPr>
                      <w:rFonts w:hint="eastAsia"/>
                      <w:szCs w:val="28"/>
                    </w:rPr>
                  </w:pPr>
                  <w:r>
                    <w:rPr>
                      <w:rFonts w:hint="eastAsia"/>
                      <w:szCs w:val="28"/>
                    </w:rPr>
                    <w:t>导热油炉燃烧废气</w:t>
                  </w:r>
                </w:p>
              </w:tc>
              <w:tc>
                <w:tcPr>
                  <w:tcW w:w="3875" w:type="dxa"/>
                  <w:gridSpan w:val="2"/>
                  <w:noWrap w:val="0"/>
                  <w:vAlign w:val="center"/>
                </w:tcPr>
                <w:p>
                  <w:pPr>
                    <w:jc w:val="center"/>
                    <w:rPr>
                      <w:rFonts w:hint="eastAsia"/>
                      <w:szCs w:val="28"/>
                    </w:rPr>
                  </w:pPr>
                  <w:r>
                    <w:rPr>
                      <w:rFonts w:hint="eastAsia"/>
                      <w:szCs w:val="28"/>
                    </w:rPr>
                    <w:t>抽风机引出后</w:t>
                  </w:r>
                  <w:r>
                    <w:rPr>
                      <w:rFonts w:hint="eastAsia"/>
                      <w:szCs w:val="28"/>
                      <w:lang w:eastAsia="zh-CN"/>
                    </w:rPr>
                    <w:t>经</w:t>
                  </w:r>
                  <w:r>
                    <w:rPr>
                      <w:rFonts w:hint="eastAsia"/>
                      <w:color w:val="auto"/>
                      <w:szCs w:val="28"/>
                      <w:lang w:val="en-US" w:eastAsia="zh-CN"/>
                    </w:rPr>
                    <w:t>8m排气筒</w:t>
                  </w:r>
                  <w:r>
                    <w:rPr>
                      <w:rFonts w:hint="eastAsia"/>
                      <w:color w:val="auto"/>
                      <w:szCs w:val="28"/>
                    </w:rPr>
                    <w:t>排放，抽风机设置两套</w:t>
                  </w:r>
                  <w:r>
                    <w:rPr>
                      <w:rFonts w:hint="eastAsia"/>
                      <w:color w:val="auto"/>
                      <w:szCs w:val="21"/>
                    </w:rPr>
                    <w:t>风量</w:t>
                  </w:r>
                  <w:r>
                    <w:rPr>
                      <w:rFonts w:hint="eastAsia"/>
                      <w:szCs w:val="21"/>
                    </w:rPr>
                    <w:t>为2000m</w:t>
                  </w:r>
                  <w:r>
                    <w:rPr>
                      <w:rFonts w:hint="eastAsia"/>
                      <w:szCs w:val="21"/>
                      <w:vertAlign w:val="superscript"/>
                    </w:rPr>
                    <w:t>3</w:t>
                  </w:r>
                  <w:r>
                    <w:rPr>
                      <w:rFonts w:hint="eastAsia"/>
                      <w:szCs w:val="21"/>
                    </w:rPr>
                    <w:t>/h</w:t>
                  </w:r>
                </w:p>
              </w:tc>
              <w:tc>
                <w:tcPr>
                  <w:tcW w:w="850" w:type="dxa"/>
                  <w:tcBorders>
                    <w:right w:val="single" w:color="auto" w:sz="6" w:space="0"/>
                  </w:tcBorders>
                  <w:noWrap w:val="0"/>
                  <w:vAlign w:val="center"/>
                </w:tcPr>
                <w:p>
                  <w:pPr>
                    <w:jc w:val="center"/>
                    <w:rPr>
                      <w:szCs w:val="21"/>
                    </w:rPr>
                  </w:pPr>
                  <w:r>
                    <w:rPr>
                      <w:szCs w:val="21"/>
                    </w:rPr>
                    <w:t>1.5</w:t>
                  </w:r>
                </w:p>
              </w:tc>
              <w:tc>
                <w:tcPr>
                  <w:tcW w:w="1318" w:type="dxa"/>
                  <w:gridSpan w:val="2"/>
                  <w:tcBorders>
                    <w:right w:val="single" w:color="auto" w:sz="6" w:space="0"/>
                  </w:tcBorders>
                  <w:noWrap w:val="0"/>
                  <w:vAlign w:val="center"/>
                </w:tcPr>
                <w:p>
                  <w:pPr>
                    <w:jc w:val="center"/>
                    <w:rPr>
                      <w:rFonts w:hint="eastAsia" w:eastAsia="宋体"/>
                      <w:szCs w:val="21"/>
                      <w:lang w:eastAsia="zh-CN"/>
                    </w:rPr>
                  </w:pPr>
                  <w:r>
                    <w:rPr>
                      <w:rFonts w:hint="eastAsia"/>
                      <w:szCs w:val="21"/>
                      <w:lang w:eastAsia="zh-CN"/>
                    </w:rPr>
                    <w:t>原有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9" w:hRule="atLeast"/>
                <w:jc w:val="center"/>
              </w:trPr>
              <w:tc>
                <w:tcPr>
                  <w:tcW w:w="578" w:type="dxa"/>
                  <w:vMerge w:val="continue"/>
                  <w:tcBorders>
                    <w:left w:val="single" w:color="auto" w:sz="8" w:space="0"/>
                  </w:tcBorders>
                  <w:noWrap w:val="0"/>
                  <w:vAlign w:val="center"/>
                </w:tcPr>
                <w:p>
                  <w:pPr>
                    <w:jc w:val="center"/>
                    <w:rPr>
                      <w:szCs w:val="21"/>
                    </w:rPr>
                  </w:pPr>
                </w:p>
              </w:tc>
              <w:tc>
                <w:tcPr>
                  <w:tcW w:w="1067" w:type="dxa"/>
                  <w:vMerge w:val="restart"/>
                  <w:noWrap w:val="0"/>
                  <w:vAlign w:val="center"/>
                </w:tcPr>
                <w:p>
                  <w:pPr>
                    <w:widowControl/>
                    <w:jc w:val="center"/>
                    <w:rPr>
                      <w:szCs w:val="21"/>
                    </w:rPr>
                  </w:pPr>
                  <w:r>
                    <w:rPr>
                      <w:szCs w:val="21"/>
                    </w:rPr>
                    <w:t>噪声</w:t>
                  </w:r>
                </w:p>
              </w:tc>
              <w:tc>
                <w:tcPr>
                  <w:tcW w:w="1312" w:type="dxa"/>
                  <w:vMerge w:val="restart"/>
                  <w:noWrap w:val="0"/>
                  <w:vAlign w:val="center"/>
                </w:tcPr>
                <w:p>
                  <w:pPr>
                    <w:jc w:val="center"/>
                    <w:rPr>
                      <w:szCs w:val="21"/>
                    </w:rPr>
                  </w:pPr>
                  <w:r>
                    <w:rPr>
                      <w:szCs w:val="21"/>
                    </w:rPr>
                    <w:t>设备噪声</w:t>
                  </w:r>
                </w:p>
              </w:tc>
              <w:tc>
                <w:tcPr>
                  <w:tcW w:w="3875" w:type="dxa"/>
                  <w:gridSpan w:val="2"/>
                  <w:noWrap w:val="0"/>
                  <w:vAlign w:val="center"/>
                </w:tcPr>
                <w:p>
                  <w:pPr>
                    <w:tabs>
                      <w:tab w:val="left" w:pos="615"/>
                    </w:tabs>
                    <w:spacing w:line="0" w:lineRule="atLeast"/>
                    <w:jc w:val="center"/>
                    <w:rPr>
                      <w:szCs w:val="21"/>
                    </w:rPr>
                  </w:pPr>
                  <w:r>
                    <w:rPr>
                      <w:rFonts w:hint="eastAsia"/>
                      <w:szCs w:val="21"/>
                    </w:rPr>
                    <w:t>使用性能优良的低噪设备</w:t>
                  </w:r>
                </w:p>
              </w:tc>
              <w:tc>
                <w:tcPr>
                  <w:tcW w:w="850" w:type="dxa"/>
                  <w:tcBorders>
                    <w:right w:val="single" w:color="auto" w:sz="6" w:space="0"/>
                  </w:tcBorders>
                  <w:noWrap w:val="0"/>
                  <w:vAlign w:val="center"/>
                </w:tcPr>
                <w:p>
                  <w:pPr>
                    <w:jc w:val="center"/>
                    <w:rPr>
                      <w:rFonts w:hint="eastAsia"/>
                      <w:szCs w:val="21"/>
                    </w:rPr>
                  </w:pPr>
                  <w:r>
                    <w:rPr>
                      <w:rFonts w:hint="eastAsia"/>
                      <w:szCs w:val="21"/>
                      <w:lang w:val="en-US" w:eastAsia="zh-CN"/>
                    </w:rPr>
                    <w:t>3</w:t>
                  </w:r>
                  <w:r>
                    <w:rPr>
                      <w:rFonts w:hint="eastAsia"/>
                      <w:szCs w:val="21"/>
                    </w:rPr>
                    <w:t>.0</w:t>
                  </w:r>
                </w:p>
              </w:tc>
              <w:tc>
                <w:tcPr>
                  <w:tcW w:w="1318" w:type="dxa"/>
                  <w:gridSpan w:val="2"/>
                  <w:tcBorders>
                    <w:right w:val="single" w:color="auto" w:sz="6" w:space="0"/>
                  </w:tcBorders>
                  <w:noWrap w:val="0"/>
                  <w:vAlign w:val="center"/>
                </w:tcPr>
                <w:p>
                  <w:pPr>
                    <w:jc w:val="center"/>
                    <w:rPr>
                      <w:rFonts w:hint="eastAsia" w:eastAsia="宋体"/>
                      <w:szCs w:val="21"/>
                      <w:lang w:eastAsia="zh-CN"/>
                    </w:rPr>
                  </w:pPr>
                  <w:r>
                    <w:rPr>
                      <w:rFonts w:hint="eastAsia"/>
                      <w:szCs w:val="21"/>
                      <w:lang w:eastAsia="zh-CN"/>
                    </w:rPr>
                    <w:t>原有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9" w:hRule="atLeast"/>
                <w:jc w:val="center"/>
              </w:trPr>
              <w:tc>
                <w:tcPr>
                  <w:tcW w:w="578" w:type="dxa"/>
                  <w:vMerge w:val="continue"/>
                  <w:tcBorders>
                    <w:left w:val="single" w:color="auto" w:sz="8" w:space="0"/>
                  </w:tcBorders>
                  <w:noWrap w:val="0"/>
                  <w:vAlign w:val="center"/>
                </w:tcPr>
                <w:p>
                  <w:pPr>
                    <w:jc w:val="center"/>
                    <w:rPr>
                      <w:szCs w:val="21"/>
                    </w:rPr>
                  </w:pPr>
                </w:p>
              </w:tc>
              <w:tc>
                <w:tcPr>
                  <w:tcW w:w="1067" w:type="dxa"/>
                  <w:vMerge w:val="continue"/>
                  <w:noWrap w:val="0"/>
                  <w:vAlign w:val="center"/>
                </w:tcPr>
                <w:p>
                  <w:pPr>
                    <w:widowControl/>
                    <w:jc w:val="center"/>
                    <w:rPr>
                      <w:szCs w:val="21"/>
                    </w:rPr>
                  </w:pPr>
                </w:p>
              </w:tc>
              <w:tc>
                <w:tcPr>
                  <w:tcW w:w="1312" w:type="dxa"/>
                  <w:vMerge w:val="continue"/>
                  <w:noWrap w:val="0"/>
                  <w:vAlign w:val="center"/>
                </w:tcPr>
                <w:p>
                  <w:pPr>
                    <w:jc w:val="center"/>
                    <w:rPr>
                      <w:szCs w:val="21"/>
                    </w:rPr>
                  </w:pPr>
                </w:p>
              </w:tc>
              <w:tc>
                <w:tcPr>
                  <w:tcW w:w="3875" w:type="dxa"/>
                  <w:gridSpan w:val="2"/>
                  <w:noWrap w:val="0"/>
                  <w:vAlign w:val="center"/>
                </w:tcPr>
                <w:p>
                  <w:pPr>
                    <w:tabs>
                      <w:tab w:val="left" w:pos="615"/>
                    </w:tabs>
                    <w:spacing w:line="0" w:lineRule="atLeast"/>
                    <w:jc w:val="center"/>
                    <w:rPr>
                      <w:szCs w:val="21"/>
                    </w:rPr>
                  </w:pPr>
                  <w:r>
                    <w:rPr>
                      <w:szCs w:val="21"/>
                    </w:rPr>
                    <w:t>设减振弹性垫、厂房隔声</w:t>
                  </w:r>
                </w:p>
              </w:tc>
              <w:tc>
                <w:tcPr>
                  <w:tcW w:w="850" w:type="dxa"/>
                  <w:tcBorders>
                    <w:right w:val="single" w:color="auto" w:sz="6" w:space="0"/>
                  </w:tcBorders>
                  <w:noWrap w:val="0"/>
                  <w:vAlign w:val="center"/>
                </w:tcPr>
                <w:p>
                  <w:pPr>
                    <w:jc w:val="center"/>
                    <w:rPr>
                      <w:rFonts w:hint="default" w:eastAsia="宋体"/>
                      <w:szCs w:val="21"/>
                      <w:lang w:val="en-US" w:eastAsia="zh-CN"/>
                    </w:rPr>
                  </w:pPr>
                  <w:r>
                    <w:rPr>
                      <w:rFonts w:hint="eastAsia"/>
                      <w:szCs w:val="21"/>
                      <w:lang w:val="en-US" w:eastAsia="zh-CN"/>
                    </w:rPr>
                    <w:t>3.0</w:t>
                  </w:r>
                </w:p>
              </w:tc>
              <w:tc>
                <w:tcPr>
                  <w:tcW w:w="1318" w:type="dxa"/>
                  <w:gridSpan w:val="2"/>
                  <w:tcBorders>
                    <w:right w:val="single" w:color="auto" w:sz="6" w:space="0"/>
                  </w:tcBorders>
                  <w:noWrap w:val="0"/>
                  <w:vAlign w:val="center"/>
                </w:tcPr>
                <w:p>
                  <w:pPr>
                    <w:jc w:val="center"/>
                    <w:rPr>
                      <w:rFonts w:hint="eastAsia" w:eastAsia="宋体"/>
                      <w:szCs w:val="21"/>
                      <w:lang w:eastAsia="zh-CN"/>
                    </w:rPr>
                  </w:pPr>
                  <w:r>
                    <w:rPr>
                      <w:rFonts w:hint="eastAsia"/>
                      <w:szCs w:val="21"/>
                      <w:lang w:eastAsia="zh-CN"/>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6" w:hRule="atLeast"/>
                <w:jc w:val="center"/>
              </w:trPr>
              <w:tc>
                <w:tcPr>
                  <w:tcW w:w="578" w:type="dxa"/>
                  <w:vMerge w:val="continue"/>
                  <w:tcBorders>
                    <w:left w:val="single" w:color="auto" w:sz="8" w:space="0"/>
                  </w:tcBorders>
                  <w:noWrap w:val="0"/>
                  <w:vAlign w:val="center"/>
                </w:tcPr>
                <w:p>
                  <w:pPr>
                    <w:jc w:val="center"/>
                    <w:rPr>
                      <w:szCs w:val="21"/>
                    </w:rPr>
                  </w:pPr>
                </w:p>
              </w:tc>
              <w:tc>
                <w:tcPr>
                  <w:tcW w:w="1067" w:type="dxa"/>
                  <w:vMerge w:val="restart"/>
                  <w:noWrap w:val="0"/>
                  <w:vAlign w:val="center"/>
                </w:tcPr>
                <w:p>
                  <w:pPr>
                    <w:jc w:val="center"/>
                    <w:rPr>
                      <w:szCs w:val="21"/>
                    </w:rPr>
                  </w:pPr>
                  <w:r>
                    <w:rPr>
                      <w:szCs w:val="21"/>
                    </w:rPr>
                    <w:t>固废</w:t>
                  </w:r>
                </w:p>
              </w:tc>
              <w:tc>
                <w:tcPr>
                  <w:tcW w:w="1312" w:type="dxa"/>
                  <w:noWrap w:val="0"/>
                  <w:vAlign w:val="center"/>
                </w:tcPr>
                <w:p>
                  <w:pPr>
                    <w:pStyle w:val="87"/>
                    <w:adjustRightInd w:val="0"/>
                    <w:snapToGrid w:val="0"/>
                    <w:spacing w:line="240" w:lineRule="auto"/>
                    <w:ind w:left="420" w:hanging="420"/>
                    <w:rPr>
                      <w:rFonts w:hint="eastAsia" w:ascii="宋体" w:hAnsi="宋体" w:eastAsia="宋体" w:cs="宋体"/>
                      <w:szCs w:val="21"/>
                      <w:lang w:val="en-US" w:eastAsia="zh-CN"/>
                    </w:rPr>
                  </w:pPr>
                  <w:r>
                    <w:rPr>
                      <w:rFonts w:hint="eastAsia" w:ascii="宋体" w:hAnsi="宋体" w:eastAsia="宋体" w:cs="宋体"/>
                      <w:szCs w:val="21"/>
                      <w:lang w:val="en-US" w:eastAsia="zh-CN"/>
                    </w:rPr>
                    <w:t>废品木材</w:t>
                  </w:r>
                </w:p>
              </w:tc>
              <w:tc>
                <w:tcPr>
                  <w:tcW w:w="3875" w:type="dxa"/>
                  <w:gridSpan w:val="2"/>
                  <w:noWrap w:val="0"/>
                  <w:vAlign w:val="center"/>
                </w:tcPr>
                <w:p>
                  <w:pPr>
                    <w:pStyle w:val="87"/>
                    <w:adjustRightInd w:val="0"/>
                    <w:snapToGrid w:val="0"/>
                    <w:spacing w:line="240" w:lineRule="auto"/>
                    <w:ind w:left="420" w:hanging="420"/>
                    <w:rPr>
                      <w:rFonts w:hint="eastAsia" w:ascii="宋体" w:hAnsi="宋体" w:eastAsia="宋体" w:cs="宋体"/>
                      <w:szCs w:val="21"/>
                      <w:lang w:val="en-US" w:eastAsia="zh-CN"/>
                    </w:rPr>
                  </w:pPr>
                  <w:r>
                    <w:rPr>
                      <w:rFonts w:hint="eastAsia" w:ascii="宋体" w:hAnsi="宋体" w:eastAsia="宋体" w:cs="宋体"/>
                      <w:szCs w:val="21"/>
                      <w:lang w:val="en-US" w:eastAsia="zh-CN"/>
                    </w:rPr>
                    <w:t>废品不长期堆，交由原料厂商处理</w:t>
                  </w:r>
                </w:p>
              </w:tc>
              <w:tc>
                <w:tcPr>
                  <w:tcW w:w="850" w:type="dxa"/>
                  <w:tcBorders>
                    <w:right w:val="single" w:color="auto" w:sz="6" w:space="0"/>
                  </w:tcBorders>
                  <w:noWrap w:val="0"/>
                  <w:vAlign w:val="center"/>
                </w:tcPr>
                <w:p>
                  <w:pPr>
                    <w:jc w:val="center"/>
                    <w:rPr>
                      <w:rFonts w:hint="eastAsia"/>
                      <w:szCs w:val="21"/>
                    </w:rPr>
                  </w:pPr>
                  <w:r>
                    <w:rPr>
                      <w:rFonts w:hint="eastAsia"/>
                      <w:szCs w:val="21"/>
                    </w:rPr>
                    <w:t>1.5</w:t>
                  </w:r>
                </w:p>
              </w:tc>
              <w:tc>
                <w:tcPr>
                  <w:tcW w:w="1318" w:type="dxa"/>
                  <w:gridSpan w:val="2"/>
                  <w:tcBorders>
                    <w:right w:val="single" w:color="auto" w:sz="6" w:space="0"/>
                  </w:tcBorders>
                  <w:noWrap w:val="0"/>
                  <w:vAlign w:val="center"/>
                </w:tcPr>
                <w:p>
                  <w:pPr>
                    <w:jc w:val="center"/>
                    <w:rPr>
                      <w:rFonts w:hint="eastAsia" w:eastAsia="宋体"/>
                      <w:szCs w:val="21"/>
                      <w:lang w:eastAsia="zh-CN"/>
                    </w:rPr>
                  </w:pPr>
                  <w:r>
                    <w:rPr>
                      <w:rFonts w:hint="eastAsia"/>
                      <w:szCs w:val="21"/>
                      <w:lang w:eastAsia="zh-CN"/>
                    </w:rPr>
                    <w:t>原有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8" w:hRule="atLeast"/>
                <w:jc w:val="center"/>
              </w:trPr>
              <w:tc>
                <w:tcPr>
                  <w:tcW w:w="578" w:type="dxa"/>
                  <w:vMerge w:val="continue"/>
                  <w:tcBorders>
                    <w:left w:val="single" w:color="auto" w:sz="8" w:space="0"/>
                  </w:tcBorders>
                  <w:noWrap w:val="0"/>
                  <w:vAlign w:val="center"/>
                </w:tcPr>
                <w:p>
                  <w:pPr>
                    <w:jc w:val="center"/>
                    <w:rPr>
                      <w:szCs w:val="21"/>
                    </w:rPr>
                  </w:pPr>
                </w:p>
              </w:tc>
              <w:tc>
                <w:tcPr>
                  <w:tcW w:w="1067" w:type="dxa"/>
                  <w:vMerge w:val="continue"/>
                  <w:noWrap w:val="0"/>
                  <w:vAlign w:val="center"/>
                </w:tcPr>
                <w:p>
                  <w:pPr>
                    <w:jc w:val="center"/>
                    <w:rPr>
                      <w:szCs w:val="21"/>
                    </w:rPr>
                  </w:pPr>
                </w:p>
              </w:tc>
              <w:tc>
                <w:tcPr>
                  <w:tcW w:w="1312" w:type="dxa"/>
                  <w:tcBorders>
                    <w:top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生活垃圾</w:t>
                  </w:r>
                </w:p>
              </w:tc>
              <w:tc>
                <w:tcPr>
                  <w:tcW w:w="3875" w:type="dxa"/>
                  <w:gridSpan w:val="2"/>
                  <w:tcBorders>
                    <w:top w:val="single" w:color="auto" w:sz="4" w:space="0"/>
                  </w:tcBorders>
                  <w:noWrap w:val="0"/>
                  <w:vAlign w:val="center"/>
                </w:tcPr>
                <w:p>
                  <w:pPr>
                    <w:pStyle w:val="87"/>
                    <w:adjustRightInd w:val="0"/>
                    <w:snapToGrid w:val="0"/>
                    <w:spacing w:line="240" w:lineRule="auto"/>
                    <w:ind w:left="420" w:hanging="420"/>
                    <w:rPr>
                      <w:rFonts w:hint="eastAsia" w:ascii="宋体" w:hAnsi="宋体" w:eastAsia="宋体" w:cs="宋体"/>
                      <w:szCs w:val="21"/>
                      <w:lang w:val="en-US" w:eastAsia="zh-CN"/>
                    </w:rPr>
                  </w:pPr>
                  <w:r>
                    <w:rPr>
                      <w:rFonts w:hint="eastAsia" w:ascii="宋体" w:hAnsi="宋体" w:eastAsia="宋体" w:cs="宋体"/>
                      <w:szCs w:val="21"/>
                      <w:lang w:val="en-US" w:eastAsia="zh-CN"/>
                    </w:rPr>
                    <w:t>厂垃圾桶收集后交由当地环卫部门处理</w:t>
                  </w:r>
                </w:p>
              </w:tc>
              <w:tc>
                <w:tcPr>
                  <w:tcW w:w="850" w:type="dxa"/>
                  <w:tcBorders>
                    <w:top w:val="single" w:color="auto" w:sz="4" w:space="0"/>
                    <w:right w:val="single" w:color="auto" w:sz="6" w:space="0"/>
                  </w:tcBorders>
                  <w:noWrap w:val="0"/>
                  <w:vAlign w:val="center"/>
                </w:tcPr>
                <w:p>
                  <w:pPr>
                    <w:jc w:val="center"/>
                    <w:rPr>
                      <w:rFonts w:hint="eastAsia"/>
                      <w:szCs w:val="21"/>
                    </w:rPr>
                  </w:pPr>
                  <w:r>
                    <w:rPr>
                      <w:rFonts w:hint="eastAsia"/>
                      <w:szCs w:val="21"/>
                    </w:rPr>
                    <w:t>0.5</w:t>
                  </w:r>
                </w:p>
              </w:tc>
              <w:tc>
                <w:tcPr>
                  <w:tcW w:w="1318" w:type="dxa"/>
                  <w:gridSpan w:val="2"/>
                  <w:tcBorders>
                    <w:top w:val="single" w:color="auto" w:sz="4" w:space="0"/>
                    <w:right w:val="single" w:color="auto" w:sz="6" w:space="0"/>
                  </w:tcBorders>
                  <w:noWrap w:val="0"/>
                  <w:vAlign w:val="center"/>
                </w:tcPr>
                <w:p>
                  <w:pPr>
                    <w:jc w:val="center"/>
                    <w:rPr>
                      <w:rFonts w:hint="eastAsia" w:eastAsia="宋体"/>
                      <w:szCs w:val="21"/>
                      <w:lang w:eastAsia="zh-CN"/>
                    </w:rPr>
                  </w:pPr>
                  <w:r>
                    <w:rPr>
                      <w:rFonts w:hint="eastAsia"/>
                      <w:szCs w:val="21"/>
                      <w:lang w:eastAsia="zh-CN"/>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8" w:hRule="atLeast"/>
                <w:jc w:val="center"/>
              </w:trPr>
              <w:tc>
                <w:tcPr>
                  <w:tcW w:w="578" w:type="dxa"/>
                  <w:vMerge w:val="continue"/>
                  <w:tcBorders>
                    <w:left w:val="single" w:color="auto" w:sz="8" w:space="0"/>
                  </w:tcBorders>
                  <w:noWrap w:val="0"/>
                  <w:vAlign w:val="center"/>
                </w:tcPr>
                <w:p>
                  <w:pPr>
                    <w:jc w:val="center"/>
                    <w:rPr>
                      <w:szCs w:val="21"/>
                    </w:rPr>
                  </w:pPr>
                </w:p>
              </w:tc>
              <w:tc>
                <w:tcPr>
                  <w:tcW w:w="1067" w:type="dxa"/>
                  <w:vMerge w:val="continue"/>
                  <w:noWrap w:val="0"/>
                  <w:vAlign w:val="center"/>
                </w:tcPr>
                <w:p>
                  <w:pPr>
                    <w:jc w:val="center"/>
                    <w:rPr>
                      <w:szCs w:val="21"/>
                    </w:rPr>
                  </w:pPr>
                </w:p>
              </w:tc>
              <w:tc>
                <w:tcPr>
                  <w:tcW w:w="1312" w:type="dxa"/>
                  <w:tcBorders>
                    <w:top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废品浸渍纸</w:t>
                  </w:r>
                </w:p>
              </w:tc>
              <w:tc>
                <w:tcPr>
                  <w:tcW w:w="3875" w:type="dxa"/>
                  <w:gridSpan w:val="2"/>
                  <w:tcBorders>
                    <w:top w:val="single" w:color="auto" w:sz="4" w:space="0"/>
                  </w:tcBorders>
                  <w:noWrap w:val="0"/>
                  <w:vAlign w:val="center"/>
                </w:tcPr>
                <w:p>
                  <w:pPr>
                    <w:pStyle w:val="87"/>
                    <w:adjustRightInd w:val="0"/>
                    <w:snapToGrid w:val="0"/>
                    <w:spacing w:line="240" w:lineRule="auto"/>
                    <w:ind w:left="420" w:hanging="420"/>
                    <w:rPr>
                      <w:rFonts w:hint="eastAsia" w:ascii="宋体" w:hAnsi="宋体" w:eastAsia="宋体" w:cs="宋体"/>
                      <w:szCs w:val="21"/>
                      <w:lang w:val="en-US" w:eastAsia="zh-CN"/>
                    </w:rPr>
                  </w:pPr>
                  <w:r>
                    <w:rPr>
                      <w:rFonts w:hint="eastAsia" w:ascii="宋体" w:hAnsi="宋体" w:eastAsia="宋体" w:cs="宋体"/>
                      <w:szCs w:val="21"/>
                      <w:lang w:val="en-US" w:eastAsia="zh-CN"/>
                    </w:rPr>
                    <w:t>交由当地环卫部门处理</w:t>
                  </w:r>
                </w:p>
              </w:tc>
              <w:tc>
                <w:tcPr>
                  <w:tcW w:w="850" w:type="dxa"/>
                  <w:tcBorders>
                    <w:top w:val="single" w:color="auto" w:sz="4" w:space="0"/>
                    <w:right w:val="single" w:color="auto" w:sz="6" w:space="0"/>
                  </w:tcBorders>
                  <w:noWrap w:val="0"/>
                  <w:vAlign w:val="center"/>
                </w:tcPr>
                <w:p>
                  <w:pPr>
                    <w:jc w:val="center"/>
                    <w:rPr>
                      <w:rFonts w:hint="eastAsia" w:eastAsia="宋体"/>
                      <w:szCs w:val="21"/>
                      <w:lang w:eastAsia="zh-CN"/>
                    </w:rPr>
                  </w:pPr>
                  <w:r>
                    <w:rPr>
                      <w:rFonts w:hint="eastAsia"/>
                      <w:szCs w:val="21"/>
                    </w:rPr>
                    <w:t>0.</w:t>
                  </w:r>
                  <w:r>
                    <w:rPr>
                      <w:rFonts w:hint="eastAsia"/>
                      <w:szCs w:val="21"/>
                      <w:lang w:val="en-US" w:eastAsia="zh-CN"/>
                    </w:rPr>
                    <w:t>5</w:t>
                  </w:r>
                </w:p>
              </w:tc>
              <w:tc>
                <w:tcPr>
                  <w:tcW w:w="1318" w:type="dxa"/>
                  <w:gridSpan w:val="2"/>
                  <w:tcBorders>
                    <w:top w:val="single" w:color="auto" w:sz="4" w:space="0"/>
                    <w:right w:val="single" w:color="auto" w:sz="6" w:space="0"/>
                  </w:tcBorders>
                  <w:noWrap w:val="0"/>
                  <w:vAlign w:val="center"/>
                </w:tcPr>
                <w:p>
                  <w:pPr>
                    <w:jc w:val="center"/>
                    <w:rPr>
                      <w:rFonts w:hint="eastAsia" w:eastAsia="宋体"/>
                      <w:szCs w:val="21"/>
                      <w:lang w:eastAsia="zh-CN"/>
                    </w:rPr>
                  </w:pPr>
                  <w:r>
                    <w:rPr>
                      <w:rFonts w:hint="eastAsia"/>
                      <w:szCs w:val="21"/>
                      <w:lang w:eastAsia="zh-CN"/>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7" w:hRule="atLeast"/>
                <w:jc w:val="center"/>
              </w:trPr>
              <w:tc>
                <w:tcPr>
                  <w:tcW w:w="578" w:type="dxa"/>
                  <w:vMerge w:val="continue"/>
                  <w:tcBorders>
                    <w:left w:val="single" w:color="auto" w:sz="8" w:space="0"/>
                  </w:tcBorders>
                  <w:noWrap w:val="0"/>
                  <w:vAlign w:val="center"/>
                </w:tcPr>
                <w:p>
                  <w:pPr>
                    <w:jc w:val="center"/>
                    <w:rPr>
                      <w:szCs w:val="21"/>
                    </w:rPr>
                  </w:pPr>
                </w:p>
              </w:tc>
              <w:tc>
                <w:tcPr>
                  <w:tcW w:w="1067" w:type="dxa"/>
                  <w:vMerge w:val="continue"/>
                  <w:noWrap w:val="0"/>
                  <w:vAlign w:val="center"/>
                </w:tcPr>
                <w:p>
                  <w:pPr>
                    <w:jc w:val="center"/>
                    <w:rPr>
                      <w:szCs w:val="21"/>
                    </w:rPr>
                  </w:pPr>
                </w:p>
              </w:tc>
              <w:tc>
                <w:tcPr>
                  <w:tcW w:w="1312" w:type="dxa"/>
                  <w:tcBorders>
                    <w:top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导热油</w:t>
                  </w:r>
                </w:p>
              </w:tc>
              <w:tc>
                <w:tcPr>
                  <w:tcW w:w="3875" w:type="dxa"/>
                  <w:gridSpan w:val="2"/>
                  <w:vMerge w:val="restart"/>
                  <w:tcBorders>
                    <w:top w:val="single" w:color="auto" w:sz="4" w:space="0"/>
                  </w:tcBorders>
                  <w:noWrap w:val="0"/>
                  <w:vAlign w:val="center"/>
                </w:tcPr>
                <w:p>
                  <w:pPr>
                    <w:pStyle w:val="87"/>
                    <w:adjustRightInd w:val="0"/>
                    <w:snapToGrid w:val="0"/>
                    <w:spacing w:line="240" w:lineRule="auto"/>
                    <w:ind w:left="420" w:hanging="420"/>
                    <w:rPr>
                      <w:rFonts w:hint="eastAsia" w:ascii="宋体" w:hAnsi="宋体" w:eastAsia="宋体" w:cs="宋体"/>
                      <w:szCs w:val="21"/>
                      <w:lang w:val="en-US" w:eastAsia="zh-CN"/>
                    </w:rPr>
                  </w:pPr>
                  <w:r>
                    <w:rPr>
                      <w:rFonts w:hint="eastAsia" w:ascii="宋体" w:hAnsi="宋体" w:eastAsia="宋体" w:cs="宋体"/>
                      <w:szCs w:val="21"/>
                      <w:lang w:val="en-US" w:eastAsia="zh-CN"/>
                    </w:rPr>
                    <w:t>交由有危废处理资质的单位处理</w:t>
                  </w:r>
                </w:p>
              </w:tc>
              <w:tc>
                <w:tcPr>
                  <w:tcW w:w="850" w:type="dxa"/>
                  <w:vMerge w:val="restart"/>
                  <w:tcBorders>
                    <w:top w:val="single" w:color="auto" w:sz="4" w:space="0"/>
                    <w:right w:val="single" w:color="auto" w:sz="6" w:space="0"/>
                  </w:tcBorders>
                  <w:noWrap w:val="0"/>
                  <w:vAlign w:val="center"/>
                </w:tcPr>
                <w:p>
                  <w:pPr>
                    <w:jc w:val="center"/>
                    <w:rPr>
                      <w:rFonts w:hint="eastAsia" w:eastAsia="宋体"/>
                      <w:szCs w:val="21"/>
                      <w:lang w:eastAsia="zh-CN"/>
                    </w:rPr>
                  </w:pPr>
                  <w:r>
                    <w:rPr>
                      <w:rFonts w:hint="eastAsia"/>
                      <w:szCs w:val="21"/>
                      <w:lang w:val="en-US" w:eastAsia="zh-CN"/>
                    </w:rPr>
                    <w:t>8</w:t>
                  </w:r>
                </w:p>
              </w:tc>
              <w:tc>
                <w:tcPr>
                  <w:tcW w:w="1318" w:type="dxa"/>
                  <w:gridSpan w:val="2"/>
                  <w:vMerge w:val="restart"/>
                  <w:tcBorders>
                    <w:top w:val="single" w:color="auto" w:sz="4" w:space="0"/>
                    <w:right w:val="single" w:color="auto" w:sz="6" w:space="0"/>
                  </w:tcBorders>
                  <w:noWrap w:val="0"/>
                  <w:vAlign w:val="center"/>
                </w:tcPr>
                <w:p>
                  <w:pPr>
                    <w:jc w:val="center"/>
                    <w:rPr>
                      <w:rFonts w:hint="eastAsia" w:eastAsia="宋体"/>
                      <w:szCs w:val="21"/>
                      <w:lang w:eastAsia="zh-CN"/>
                    </w:rPr>
                  </w:pPr>
                  <w:r>
                    <w:rPr>
                      <w:rFonts w:hint="eastAsia"/>
                      <w:szCs w:val="21"/>
                      <w:lang w:eastAsia="zh-CN"/>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7" w:hRule="atLeast"/>
                <w:jc w:val="center"/>
              </w:trPr>
              <w:tc>
                <w:tcPr>
                  <w:tcW w:w="578" w:type="dxa"/>
                  <w:vMerge w:val="continue"/>
                  <w:tcBorders>
                    <w:left w:val="single" w:color="auto" w:sz="8" w:space="0"/>
                  </w:tcBorders>
                  <w:noWrap w:val="0"/>
                  <w:vAlign w:val="center"/>
                </w:tcPr>
                <w:p>
                  <w:pPr>
                    <w:jc w:val="center"/>
                  </w:pPr>
                </w:p>
              </w:tc>
              <w:tc>
                <w:tcPr>
                  <w:tcW w:w="1067" w:type="dxa"/>
                  <w:vMerge w:val="continue"/>
                  <w:noWrap w:val="0"/>
                  <w:vAlign w:val="center"/>
                </w:tcPr>
                <w:p>
                  <w:pPr>
                    <w:jc w:val="center"/>
                  </w:pPr>
                </w:p>
              </w:tc>
              <w:tc>
                <w:tcPr>
                  <w:tcW w:w="1312" w:type="dxa"/>
                  <w:tcBorders>
                    <w:top w:val="single" w:color="auto" w:sz="4" w:space="0"/>
                  </w:tcBorders>
                  <w:noWrap w:val="0"/>
                  <w:vAlign w:val="center"/>
                </w:tcPr>
                <w:p>
                  <w:pPr>
                    <w:jc w:val="center"/>
                    <w:rPr>
                      <w:rFonts w:hint="eastAsia" w:ascii="宋体" w:hAnsi="宋体" w:eastAsia="宋体" w:cs="宋体"/>
                      <w:szCs w:val="21"/>
                      <w:lang w:eastAsia="zh-CN"/>
                    </w:rPr>
                  </w:pPr>
                  <w:r>
                    <w:rPr>
                      <w:rFonts w:hint="eastAsia" w:ascii="宋体" w:hAnsi="宋体" w:cs="宋体"/>
                      <w:szCs w:val="21"/>
                      <w:lang w:eastAsia="zh-CN"/>
                    </w:rPr>
                    <w:t>废活性炭</w:t>
                  </w:r>
                </w:p>
              </w:tc>
              <w:tc>
                <w:tcPr>
                  <w:tcW w:w="3875" w:type="dxa"/>
                  <w:gridSpan w:val="2"/>
                  <w:vMerge w:val="continue"/>
                  <w:noWrap w:val="0"/>
                  <w:vAlign w:val="center"/>
                </w:tcPr>
                <w:p>
                  <w:pPr>
                    <w:jc w:val="center"/>
                    <w:rPr>
                      <w:rFonts w:hint="eastAsia" w:ascii="宋体" w:hAnsi="宋体" w:cs="宋体"/>
                      <w:szCs w:val="21"/>
                    </w:rPr>
                  </w:pPr>
                </w:p>
              </w:tc>
              <w:tc>
                <w:tcPr>
                  <w:tcW w:w="850" w:type="dxa"/>
                  <w:vMerge w:val="continue"/>
                  <w:tcBorders>
                    <w:right w:val="single" w:color="auto" w:sz="6" w:space="0"/>
                  </w:tcBorders>
                  <w:noWrap w:val="0"/>
                  <w:vAlign w:val="center"/>
                </w:tcPr>
                <w:p>
                  <w:pPr>
                    <w:jc w:val="center"/>
                    <w:rPr>
                      <w:rFonts w:hint="eastAsia" w:ascii="宋体" w:hAnsi="宋体" w:cs="宋体"/>
                      <w:szCs w:val="21"/>
                    </w:rPr>
                  </w:pPr>
                </w:p>
              </w:tc>
              <w:tc>
                <w:tcPr>
                  <w:tcW w:w="1318" w:type="dxa"/>
                  <w:gridSpan w:val="2"/>
                  <w:vMerge w:val="continue"/>
                  <w:tcBorders>
                    <w:right w:val="single" w:color="auto" w:sz="6" w:space="0"/>
                  </w:tcBorders>
                  <w:noWrap w:val="0"/>
                  <w:vAlign w:val="center"/>
                </w:tcPr>
                <w:p>
                  <w:pPr>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270" w:hRule="atLeast"/>
                <w:jc w:val="center"/>
              </w:trPr>
              <w:tc>
                <w:tcPr>
                  <w:tcW w:w="1645" w:type="dxa"/>
                  <w:gridSpan w:val="2"/>
                  <w:tcBorders>
                    <w:left w:val="single" w:color="auto" w:sz="8" w:space="0"/>
                  </w:tcBorders>
                  <w:noWrap w:val="0"/>
                  <w:vAlign w:val="center"/>
                </w:tcPr>
                <w:p>
                  <w:pPr>
                    <w:widowControl/>
                    <w:jc w:val="center"/>
                    <w:rPr>
                      <w:szCs w:val="21"/>
                    </w:rPr>
                  </w:pPr>
                  <w:r>
                    <w:rPr>
                      <w:szCs w:val="21"/>
                    </w:rPr>
                    <w:t>风险措施</w:t>
                  </w:r>
                </w:p>
              </w:tc>
              <w:tc>
                <w:tcPr>
                  <w:tcW w:w="5187" w:type="dxa"/>
                  <w:gridSpan w:val="3"/>
                  <w:noWrap w:val="0"/>
                  <w:vAlign w:val="center"/>
                </w:tcPr>
                <w:p>
                  <w:pPr>
                    <w:spacing w:line="240" w:lineRule="exact"/>
                    <w:jc w:val="center"/>
                    <w:rPr>
                      <w:szCs w:val="21"/>
                    </w:rPr>
                  </w:pPr>
                  <w:r>
                    <w:rPr>
                      <w:szCs w:val="21"/>
                    </w:rPr>
                    <w:t>消防设施、火灾自动报警等</w:t>
                  </w:r>
                </w:p>
              </w:tc>
              <w:tc>
                <w:tcPr>
                  <w:tcW w:w="850" w:type="dxa"/>
                  <w:tcBorders>
                    <w:right w:val="single" w:color="auto" w:sz="6" w:space="0"/>
                  </w:tcBorders>
                  <w:noWrap w:val="0"/>
                  <w:vAlign w:val="center"/>
                </w:tcPr>
                <w:p>
                  <w:pPr>
                    <w:jc w:val="center"/>
                    <w:rPr>
                      <w:rFonts w:hint="default" w:eastAsia="宋体"/>
                      <w:szCs w:val="21"/>
                      <w:lang w:val="en-US" w:eastAsia="zh-CN"/>
                    </w:rPr>
                  </w:pPr>
                  <w:r>
                    <w:rPr>
                      <w:rFonts w:hint="eastAsia"/>
                      <w:szCs w:val="21"/>
                      <w:lang w:val="en-US" w:eastAsia="zh-CN"/>
                    </w:rPr>
                    <w:t>3.0</w:t>
                  </w:r>
                </w:p>
              </w:tc>
              <w:tc>
                <w:tcPr>
                  <w:tcW w:w="1317" w:type="dxa"/>
                  <w:tcBorders>
                    <w:right w:val="single" w:color="auto" w:sz="6" w:space="0"/>
                  </w:tcBorders>
                  <w:noWrap w:val="0"/>
                  <w:vAlign w:val="center"/>
                </w:tcPr>
                <w:p>
                  <w:pPr>
                    <w:jc w:val="center"/>
                    <w:rPr>
                      <w:rFonts w:hint="eastAsia" w:eastAsia="宋体"/>
                      <w:szCs w:val="21"/>
                      <w:lang w:eastAsia="zh-CN"/>
                    </w:rPr>
                  </w:pPr>
                  <w:r>
                    <w:rPr>
                      <w:rFonts w:hint="eastAsia"/>
                      <w:szCs w:val="21"/>
                      <w:lang w:eastAsia="zh-CN"/>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219" w:hRule="atLeast"/>
                <w:jc w:val="center"/>
              </w:trPr>
              <w:tc>
                <w:tcPr>
                  <w:tcW w:w="5065" w:type="dxa"/>
                  <w:gridSpan w:val="4"/>
                  <w:vMerge w:val="restart"/>
                  <w:tcBorders>
                    <w:left w:val="single" w:color="auto" w:sz="8" w:space="0"/>
                  </w:tcBorders>
                  <w:noWrap w:val="0"/>
                  <w:vAlign w:val="center"/>
                </w:tcPr>
                <w:p>
                  <w:pPr>
                    <w:jc w:val="center"/>
                    <w:rPr>
                      <w:szCs w:val="21"/>
                    </w:rPr>
                  </w:pPr>
                  <w:r>
                    <w:rPr>
                      <w:szCs w:val="21"/>
                    </w:rPr>
                    <w:t>合  计</w:t>
                  </w:r>
                </w:p>
              </w:tc>
              <w:tc>
                <w:tcPr>
                  <w:tcW w:w="1767" w:type="dxa"/>
                  <w:tcBorders>
                    <w:left w:val="single" w:color="auto" w:sz="8" w:space="0"/>
                  </w:tcBorders>
                  <w:noWrap w:val="0"/>
                  <w:vAlign w:val="center"/>
                </w:tcPr>
                <w:p>
                  <w:pPr>
                    <w:jc w:val="center"/>
                    <w:rPr>
                      <w:rFonts w:hint="eastAsia" w:eastAsia="宋体"/>
                      <w:szCs w:val="21"/>
                      <w:lang w:eastAsia="zh-CN"/>
                    </w:rPr>
                  </w:pPr>
                  <w:r>
                    <w:rPr>
                      <w:rFonts w:hint="eastAsia"/>
                      <w:szCs w:val="21"/>
                      <w:lang w:eastAsia="zh-CN"/>
                    </w:rPr>
                    <w:t>原有</w:t>
                  </w:r>
                </w:p>
              </w:tc>
              <w:tc>
                <w:tcPr>
                  <w:tcW w:w="2167" w:type="dxa"/>
                  <w:gridSpan w:val="2"/>
                  <w:tcBorders>
                    <w:right w:val="single" w:color="auto" w:sz="6" w:space="0"/>
                  </w:tcBorders>
                  <w:noWrap w:val="0"/>
                  <w:vAlign w:val="center"/>
                </w:tcPr>
                <w:p>
                  <w:pPr>
                    <w:pStyle w:val="626"/>
                    <w:jc w:val="center"/>
                    <w:rPr>
                      <w:rFonts w:hint="default" w:eastAsia="宋体"/>
                      <w:lang w:val="en-US" w:eastAsia="zh-CN"/>
                    </w:rPr>
                  </w:pPr>
                  <w:r>
                    <w:rPr>
                      <w:rFonts w:hint="eastAsia"/>
                      <w:lang w:val="en-US" w:eastAsia="zh-CN"/>
                    </w:rPr>
                    <w:t>9.5万元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219" w:hRule="atLeast"/>
                <w:jc w:val="center"/>
              </w:trPr>
              <w:tc>
                <w:tcPr>
                  <w:tcW w:w="5065" w:type="dxa"/>
                  <w:gridSpan w:val="4"/>
                  <w:vMerge w:val="continue"/>
                  <w:tcBorders>
                    <w:left w:val="single" w:color="auto" w:sz="8" w:space="0"/>
                    <w:bottom w:val="single" w:color="auto" w:sz="8" w:space="0"/>
                  </w:tcBorders>
                  <w:noWrap w:val="0"/>
                  <w:vAlign w:val="center"/>
                </w:tcPr>
                <w:p>
                  <w:pPr>
                    <w:jc w:val="center"/>
                    <w:rPr>
                      <w:szCs w:val="21"/>
                    </w:rPr>
                  </w:pPr>
                </w:p>
              </w:tc>
              <w:tc>
                <w:tcPr>
                  <w:tcW w:w="1767" w:type="dxa"/>
                  <w:tcBorders>
                    <w:left w:val="single" w:color="auto" w:sz="8" w:space="0"/>
                    <w:bottom w:val="single" w:color="auto" w:sz="8" w:space="0"/>
                  </w:tcBorders>
                  <w:noWrap w:val="0"/>
                  <w:vAlign w:val="center"/>
                </w:tcPr>
                <w:p>
                  <w:pPr>
                    <w:jc w:val="center"/>
                    <w:rPr>
                      <w:rFonts w:hint="eastAsia" w:eastAsia="宋体"/>
                      <w:szCs w:val="21"/>
                      <w:lang w:eastAsia="zh-CN"/>
                    </w:rPr>
                  </w:pPr>
                  <w:r>
                    <w:rPr>
                      <w:rFonts w:hint="eastAsia"/>
                      <w:szCs w:val="21"/>
                      <w:lang w:eastAsia="zh-CN"/>
                    </w:rPr>
                    <w:t>本项目</w:t>
                  </w:r>
                </w:p>
              </w:tc>
              <w:tc>
                <w:tcPr>
                  <w:tcW w:w="2167" w:type="dxa"/>
                  <w:gridSpan w:val="2"/>
                  <w:tcBorders>
                    <w:bottom w:val="single" w:color="auto" w:sz="8" w:space="0"/>
                    <w:right w:val="single" w:color="auto" w:sz="6" w:space="0"/>
                  </w:tcBorders>
                  <w:noWrap w:val="0"/>
                  <w:vAlign w:val="center"/>
                </w:tcPr>
                <w:p>
                  <w:pPr>
                    <w:pStyle w:val="626"/>
                    <w:jc w:val="center"/>
                    <w:rPr>
                      <w:rFonts w:hint="default" w:eastAsia="宋体"/>
                      <w:lang w:val="en-US" w:eastAsia="zh-CN"/>
                    </w:rPr>
                  </w:pPr>
                  <w:r>
                    <w:rPr>
                      <w:rFonts w:hint="eastAsia"/>
                      <w:lang w:val="en-US" w:eastAsia="zh-CN"/>
                    </w:rPr>
                    <w:t>20万元</w:t>
                  </w:r>
                </w:p>
              </w:tc>
            </w:tr>
            <w:bookmarkEnd w:id="30"/>
            <w:bookmarkEnd w:id="31"/>
            <w:bookmarkEnd w:id="32"/>
          </w:tbl>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eastAsia="宋体"/>
                <w:sz w:val="24"/>
                <w:lang w:eastAsia="zh-CN"/>
              </w:rPr>
            </w:pPr>
          </w:p>
          <w:p>
            <w:pPr>
              <w:spacing w:line="360" w:lineRule="auto"/>
              <w:rPr>
                <w:rFonts w:hint="eastAsia" w:eastAsia="宋体"/>
                <w:sz w:val="24"/>
                <w:lang w:eastAsia="zh-CN"/>
              </w:rPr>
            </w:pPr>
          </w:p>
        </w:tc>
      </w:tr>
    </w:tbl>
    <w:p>
      <w:pPr>
        <w:outlineLvl w:val="0"/>
        <w:rPr>
          <w:rFonts w:hint="eastAsia" w:ascii="宋体" w:hAnsi="宋体" w:cs="黑体"/>
          <w:b/>
          <w:bCs/>
          <w:sz w:val="30"/>
          <w:szCs w:val="30"/>
        </w:rPr>
      </w:pPr>
      <w:r>
        <w:rPr>
          <w:rFonts w:ascii="宋体" w:hAnsi="宋体" w:cs="黑体"/>
          <w:b/>
          <w:bCs/>
          <w:sz w:val="30"/>
          <w:szCs w:val="30"/>
        </w:rPr>
        <w:br w:type="page"/>
      </w:r>
      <w:r>
        <w:rPr>
          <w:rFonts w:hint="eastAsia" w:ascii="宋体" w:hAnsi="宋体" w:cs="黑体"/>
          <w:b/>
          <w:bCs/>
          <w:sz w:val="30"/>
          <w:szCs w:val="30"/>
        </w:rPr>
        <w:t>建设项目拟采取的防治措施及预期治理效果          (表八)</w:t>
      </w:r>
    </w:p>
    <w:tbl>
      <w:tblPr>
        <w:tblStyle w:val="69"/>
        <w:tblW w:w="88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356"/>
        <w:gridCol w:w="1456"/>
        <w:gridCol w:w="3248"/>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990" w:type="dxa"/>
            <w:tcBorders>
              <w:tl2br w:val="single" w:color="auto" w:sz="4" w:space="0"/>
            </w:tcBorders>
            <w:noWrap w:val="0"/>
            <w:vAlign w:val="center"/>
          </w:tcPr>
          <w:p>
            <w:pPr>
              <w:spacing w:line="360" w:lineRule="exact"/>
              <w:jc w:val="center"/>
              <w:rPr>
                <w:rFonts w:ascii="宋体" w:hAnsi="宋体"/>
                <w:b/>
                <w:bCs/>
                <w:szCs w:val="21"/>
              </w:rPr>
            </w:pPr>
            <w:r>
              <w:rPr>
                <w:rFonts w:hint="eastAsia" w:ascii="宋体" w:hAnsi="宋体"/>
                <w:b/>
                <w:bCs/>
                <w:szCs w:val="21"/>
              </w:rPr>
              <w:t xml:space="preserve">   </w:t>
            </w:r>
            <w:r>
              <w:rPr>
                <w:rFonts w:ascii="宋体" w:hAnsi="宋体"/>
                <w:b/>
                <w:bCs/>
                <w:szCs w:val="21"/>
              </w:rPr>
              <w:t>内容</w:t>
            </w:r>
          </w:p>
          <w:p>
            <w:pPr>
              <w:spacing w:line="360" w:lineRule="exact"/>
              <w:rPr>
                <w:rFonts w:ascii="宋体" w:hAnsi="宋体"/>
                <w:b/>
                <w:bCs/>
                <w:szCs w:val="21"/>
              </w:rPr>
            </w:pPr>
            <w:r>
              <w:rPr>
                <w:rFonts w:ascii="宋体" w:hAnsi="宋体"/>
                <w:b/>
                <w:bCs/>
                <w:szCs w:val="21"/>
              </w:rPr>
              <w:t>类型</w:t>
            </w:r>
          </w:p>
        </w:tc>
        <w:tc>
          <w:tcPr>
            <w:tcW w:w="1356" w:type="dxa"/>
            <w:noWrap w:val="0"/>
            <w:vAlign w:val="center"/>
          </w:tcPr>
          <w:p>
            <w:pPr>
              <w:spacing w:line="360" w:lineRule="exact"/>
              <w:jc w:val="center"/>
              <w:rPr>
                <w:rFonts w:ascii="宋体" w:hAnsi="宋体"/>
                <w:b/>
                <w:bCs/>
                <w:szCs w:val="21"/>
              </w:rPr>
            </w:pPr>
            <w:r>
              <w:rPr>
                <w:rFonts w:ascii="宋体" w:hAnsi="宋体"/>
                <w:b/>
                <w:bCs/>
                <w:szCs w:val="21"/>
              </w:rPr>
              <w:t>排放源</w:t>
            </w:r>
          </w:p>
          <w:p>
            <w:pPr>
              <w:spacing w:line="360" w:lineRule="exact"/>
              <w:jc w:val="center"/>
              <w:rPr>
                <w:rFonts w:ascii="宋体" w:hAnsi="宋体"/>
                <w:b/>
                <w:bCs/>
                <w:szCs w:val="21"/>
              </w:rPr>
            </w:pPr>
            <w:r>
              <w:rPr>
                <w:rFonts w:ascii="宋体" w:hAnsi="宋体"/>
                <w:b/>
                <w:bCs/>
                <w:szCs w:val="21"/>
              </w:rPr>
              <w:t>（编号）</w:t>
            </w:r>
          </w:p>
        </w:tc>
        <w:tc>
          <w:tcPr>
            <w:tcW w:w="1456" w:type="dxa"/>
            <w:noWrap w:val="0"/>
            <w:vAlign w:val="center"/>
          </w:tcPr>
          <w:p>
            <w:pPr>
              <w:spacing w:line="360" w:lineRule="exact"/>
              <w:jc w:val="center"/>
              <w:rPr>
                <w:rFonts w:ascii="宋体" w:hAnsi="宋体"/>
                <w:b/>
                <w:bCs/>
                <w:szCs w:val="21"/>
              </w:rPr>
            </w:pPr>
            <w:r>
              <w:rPr>
                <w:rFonts w:ascii="宋体" w:hAnsi="宋体"/>
                <w:b/>
                <w:bCs/>
                <w:szCs w:val="21"/>
              </w:rPr>
              <w:t>污染物名称</w:t>
            </w:r>
          </w:p>
        </w:tc>
        <w:tc>
          <w:tcPr>
            <w:tcW w:w="3248" w:type="dxa"/>
            <w:noWrap w:val="0"/>
            <w:vAlign w:val="center"/>
          </w:tcPr>
          <w:p>
            <w:pPr>
              <w:spacing w:line="360" w:lineRule="exact"/>
              <w:jc w:val="center"/>
              <w:rPr>
                <w:rFonts w:ascii="宋体" w:hAnsi="宋体"/>
                <w:b/>
                <w:bCs/>
                <w:szCs w:val="21"/>
              </w:rPr>
            </w:pPr>
            <w:r>
              <w:rPr>
                <w:rFonts w:ascii="宋体" w:hAnsi="宋体"/>
                <w:b/>
                <w:bCs/>
                <w:szCs w:val="21"/>
              </w:rPr>
              <w:t>防治措施</w:t>
            </w:r>
          </w:p>
        </w:tc>
        <w:tc>
          <w:tcPr>
            <w:tcW w:w="1777" w:type="dxa"/>
            <w:noWrap w:val="0"/>
            <w:vAlign w:val="center"/>
          </w:tcPr>
          <w:p>
            <w:pPr>
              <w:spacing w:line="360" w:lineRule="exact"/>
              <w:jc w:val="center"/>
              <w:rPr>
                <w:rFonts w:ascii="宋体" w:hAnsi="宋体"/>
                <w:b/>
                <w:bCs/>
                <w:szCs w:val="21"/>
              </w:rPr>
            </w:pPr>
            <w:r>
              <w:rPr>
                <w:rFonts w:ascii="宋体" w:hAnsi="宋体"/>
                <w:b/>
                <w:bCs/>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jc w:val="center"/>
        </w:trPr>
        <w:tc>
          <w:tcPr>
            <w:tcW w:w="990" w:type="dxa"/>
            <w:noWrap w:val="0"/>
            <w:vAlign w:val="center"/>
          </w:tcPr>
          <w:p>
            <w:pPr>
              <w:spacing w:line="360" w:lineRule="exact"/>
              <w:jc w:val="center"/>
              <w:rPr>
                <w:rFonts w:ascii="宋体" w:hAnsi="宋体"/>
                <w:b/>
                <w:bCs/>
                <w:szCs w:val="21"/>
              </w:rPr>
            </w:pPr>
            <w:r>
              <w:rPr>
                <w:rFonts w:ascii="宋体" w:hAnsi="宋体"/>
                <w:b/>
                <w:bCs/>
                <w:szCs w:val="21"/>
              </w:rPr>
              <w:t>水污</w:t>
            </w:r>
          </w:p>
          <w:p>
            <w:pPr>
              <w:spacing w:line="360" w:lineRule="exact"/>
              <w:jc w:val="center"/>
              <w:rPr>
                <w:rFonts w:ascii="宋体" w:hAnsi="宋体"/>
                <w:b/>
                <w:bCs/>
                <w:szCs w:val="21"/>
              </w:rPr>
            </w:pPr>
            <w:r>
              <w:rPr>
                <w:rFonts w:ascii="宋体" w:hAnsi="宋体"/>
                <w:b/>
                <w:bCs/>
                <w:szCs w:val="21"/>
              </w:rPr>
              <w:t>染物</w:t>
            </w:r>
          </w:p>
        </w:tc>
        <w:tc>
          <w:tcPr>
            <w:tcW w:w="1356" w:type="dxa"/>
            <w:noWrap w:val="0"/>
            <w:vAlign w:val="center"/>
          </w:tcPr>
          <w:p>
            <w:pPr>
              <w:spacing w:line="360" w:lineRule="exact"/>
              <w:jc w:val="center"/>
              <w:rPr>
                <w:rFonts w:hint="eastAsia" w:ascii="宋体" w:hAnsi="宋体"/>
                <w:szCs w:val="21"/>
              </w:rPr>
            </w:pPr>
            <w:r>
              <w:rPr>
                <w:rFonts w:hint="eastAsia" w:ascii="宋体" w:hAnsi="宋体"/>
                <w:szCs w:val="21"/>
              </w:rPr>
              <w:t>办公生活区生活污水</w:t>
            </w:r>
          </w:p>
        </w:tc>
        <w:tc>
          <w:tcPr>
            <w:tcW w:w="1456" w:type="dxa"/>
            <w:tcBorders>
              <w:bottom w:val="single" w:color="auto" w:sz="4" w:space="0"/>
            </w:tcBorders>
            <w:noWrap w:val="0"/>
            <w:vAlign w:val="center"/>
          </w:tcPr>
          <w:p>
            <w:pPr>
              <w:spacing w:line="360" w:lineRule="exact"/>
              <w:jc w:val="center"/>
              <w:rPr>
                <w:rFonts w:hint="eastAsia"/>
                <w:color w:val="FF0000"/>
                <w:szCs w:val="21"/>
              </w:rPr>
            </w:pPr>
            <w:r>
              <w:rPr>
                <w:rFonts w:hint="eastAsia"/>
                <w:szCs w:val="21"/>
              </w:rPr>
              <w:t>COD、BOD</w:t>
            </w:r>
            <w:r>
              <w:rPr>
                <w:rFonts w:hint="eastAsia"/>
                <w:szCs w:val="21"/>
                <w:vertAlign w:val="subscript"/>
              </w:rPr>
              <w:t>5</w:t>
            </w:r>
            <w:r>
              <w:rPr>
                <w:rFonts w:hint="eastAsia"/>
                <w:szCs w:val="21"/>
              </w:rPr>
              <w:t>、</w:t>
            </w:r>
            <w:r>
              <w:rPr>
                <w:szCs w:val="21"/>
              </w:rPr>
              <w:t>NH</w:t>
            </w:r>
            <w:r>
              <w:rPr>
                <w:rFonts w:hint="eastAsia"/>
                <w:szCs w:val="21"/>
                <w:vertAlign w:val="subscript"/>
              </w:rPr>
              <w:t>3</w:t>
            </w:r>
            <w:r>
              <w:rPr>
                <w:szCs w:val="21"/>
              </w:rPr>
              <w:t>-N、</w:t>
            </w:r>
            <w:r>
              <w:rPr>
                <w:rFonts w:hint="eastAsia"/>
                <w:szCs w:val="21"/>
              </w:rPr>
              <w:t>SS</w:t>
            </w:r>
          </w:p>
        </w:tc>
        <w:tc>
          <w:tcPr>
            <w:tcW w:w="3248" w:type="dxa"/>
            <w:tcBorders>
              <w:bottom w:val="single" w:color="auto" w:sz="4" w:space="0"/>
            </w:tcBorders>
            <w:noWrap w:val="0"/>
            <w:vAlign w:val="center"/>
          </w:tcPr>
          <w:p>
            <w:pPr>
              <w:adjustRightInd w:val="0"/>
              <w:snapToGrid w:val="0"/>
              <w:spacing w:line="360" w:lineRule="exact"/>
              <w:jc w:val="center"/>
              <w:rPr>
                <w:rFonts w:hint="eastAsia" w:eastAsia="宋体"/>
                <w:szCs w:val="21"/>
                <w:lang w:val="en-US" w:eastAsia="zh-CN"/>
              </w:rPr>
            </w:pPr>
            <w:r>
              <w:rPr>
                <w:rFonts w:hint="eastAsia" w:ascii="宋体" w:hAnsi="宋体" w:cs="宋体"/>
                <w:szCs w:val="21"/>
              </w:rPr>
              <w:t>生活污水</w:t>
            </w:r>
            <w:r>
              <w:rPr>
                <w:rFonts w:hint="eastAsia" w:ascii="宋体" w:hAnsi="宋体" w:cs="宋体"/>
                <w:szCs w:val="21"/>
                <w:lang w:eastAsia="zh-CN"/>
              </w:rPr>
              <w:t>经化粪池处理后用于农溉</w:t>
            </w:r>
          </w:p>
        </w:tc>
        <w:tc>
          <w:tcPr>
            <w:tcW w:w="1777" w:type="dxa"/>
            <w:tcBorders>
              <w:bottom w:val="single" w:color="auto" w:sz="4" w:space="0"/>
            </w:tcBorders>
            <w:noWrap w:val="0"/>
            <w:vAlign w:val="center"/>
          </w:tcPr>
          <w:p>
            <w:pPr>
              <w:spacing w:line="360" w:lineRule="exact"/>
              <w:jc w:val="center"/>
              <w:rPr>
                <w:rFonts w:hint="eastAsia" w:eastAsia="宋体"/>
                <w:szCs w:val="21"/>
                <w:lang w:eastAsia="zh-CN"/>
              </w:rPr>
            </w:pPr>
            <w:r>
              <w:rPr>
                <w:rFonts w:hint="eastAsia" w:ascii="宋体" w:hAnsi="宋体"/>
                <w:szCs w:val="21"/>
                <w:lang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990" w:type="dxa"/>
            <w:vMerge w:val="restart"/>
            <w:noWrap w:val="0"/>
            <w:vAlign w:val="center"/>
          </w:tcPr>
          <w:p>
            <w:pPr>
              <w:spacing w:line="360" w:lineRule="exact"/>
              <w:jc w:val="center"/>
              <w:rPr>
                <w:rFonts w:ascii="宋体" w:hAnsi="宋体"/>
                <w:b/>
                <w:bCs/>
                <w:szCs w:val="21"/>
              </w:rPr>
            </w:pPr>
            <w:r>
              <w:rPr>
                <w:rFonts w:hint="eastAsia" w:ascii="宋体" w:hAnsi="宋体"/>
                <w:b/>
                <w:bCs/>
                <w:szCs w:val="21"/>
              </w:rPr>
              <w:t>大气污染物</w:t>
            </w:r>
          </w:p>
        </w:tc>
        <w:tc>
          <w:tcPr>
            <w:tcW w:w="1356" w:type="dxa"/>
            <w:noWrap w:val="0"/>
            <w:vAlign w:val="center"/>
          </w:tcPr>
          <w:p>
            <w:pPr>
              <w:spacing w:line="360" w:lineRule="exact"/>
              <w:jc w:val="center"/>
              <w:rPr>
                <w:rFonts w:hint="eastAsia" w:ascii="宋体" w:hAnsi="宋体"/>
                <w:szCs w:val="21"/>
              </w:rPr>
            </w:pPr>
            <w:r>
              <w:rPr>
                <w:rFonts w:hint="eastAsia" w:ascii="宋体" w:hAnsi="宋体"/>
                <w:szCs w:val="21"/>
              </w:rPr>
              <w:t>热压工序</w:t>
            </w:r>
          </w:p>
        </w:tc>
        <w:tc>
          <w:tcPr>
            <w:tcW w:w="1456" w:type="dxa"/>
            <w:noWrap w:val="0"/>
            <w:vAlign w:val="center"/>
          </w:tcPr>
          <w:p>
            <w:pPr>
              <w:pStyle w:val="23"/>
              <w:spacing w:line="360" w:lineRule="exact"/>
              <w:jc w:val="center"/>
              <w:rPr>
                <w:rFonts w:ascii="宋体" w:hAnsi="宋体"/>
                <w:sz w:val="21"/>
                <w:szCs w:val="21"/>
              </w:rPr>
            </w:pPr>
            <w:r>
              <w:rPr>
                <w:rFonts w:hint="eastAsia" w:ascii="宋体" w:hAnsi="宋体"/>
                <w:sz w:val="21"/>
                <w:szCs w:val="21"/>
              </w:rPr>
              <w:t>非甲烷总烃</w:t>
            </w:r>
          </w:p>
        </w:tc>
        <w:tc>
          <w:tcPr>
            <w:tcW w:w="3248" w:type="dxa"/>
            <w:noWrap w:val="0"/>
            <w:vAlign w:val="center"/>
          </w:tcPr>
          <w:p>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使用集气罩将有机废收集后经过UV光解设施</w:t>
            </w:r>
            <w:r>
              <w:rPr>
                <w:rFonts w:hint="eastAsia" w:ascii="宋体" w:hAnsi="宋体" w:cs="宋体"/>
                <w:color w:val="auto"/>
                <w:szCs w:val="21"/>
                <w:lang w:val="en-US" w:eastAsia="zh-CN"/>
              </w:rPr>
              <w:t>+活性炭</w:t>
            </w:r>
            <w:r>
              <w:rPr>
                <w:rFonts w:hint="eastAsia" w:ascii="宋体" w:hAnsi="宋体" w:cs="宋体"/>
                <w:color w:val="auto"/>
                <w:szCs w:val="21"/>
              </w:rPr>
              <w:t>处理，最终由</w:t>
            </w:r>
            <w:r>
              <w:rPr>
                <w:rFonts w:hint="eastAsia" w:ascii="宋体" w:hAnsi="宋体" w:cs="宋体"/>
                <w:color w:val="auto"/>
                <w:szCs w:val="21"/>
                <w:lang w:val="en-US" w:eastAsia="zh-CN"/>
              </w:rPr>
              <w:t>15</w:t>
            </w:r>
            <w:r>
              <w:rPr>
                <w:rFonts w:hint="eastAsia" w:ascii="宋体" w:hAnsi="宋体" w:cs="宋体"/>
                <w:color w:val="auto"/>
                <w:szCs w:val="21"/>
              </w:rPr>
              <w:t>m高的排气筒排放</w:t>
            </w:r>
          </w:p>
        </w:tc>
        <w:tc>
          <w:tcPr>
            <w:tcW w:w="1777" w:type="dxa"/>
            <w:noWrap w:val="0"/>
            <w:vAlign w:val="center"/>
          </w:tcPr>
          <w:p>
            <w:pPr>
              <w:spacing w:line="360" w:lineRule="exact"/>
              <w:jc w:val="center"/>
              <w:rPr>
                <w:rFonts w:hint="eastAsia" w:ascii="宋体" w:hAnsi="宋体"/>
                <w:szCs w:val="21"/>
              </w:rPr>
            </w:pPr>
            <w:r>
              <w:rPr>
                <w:rFonts w:hint="eastAsia" w:ascii="宋体" w:hAnsi="宋体"/>
                <w:szCs w:val="21"/>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990" w:type="dxa"/>
            <w:vMerge w:val="continue"/>
            <w:noWrap w:val="0"/>
            <w:vAlign w:val="center"/>
          </w:tcPr>
          <w:p>
            <w:pPr>
              <w:spacing w:line="360" w:lineRule="exact"/>
              <w:jc w:val="center"/>
              <w:rPr>
                <w:rFonts w:hint="eastAsia" w:ascii="宋体" w:hAnsi="宋体"/>
                <w:b/>
                <w:bCs/>
                <w:szCs w:val="21"/>
              </w:rPr>
            </w:pPr>
          </w:p>
        </w:tc>
        <w:tc>
          <w:tcPr>
            <w:tcW w:w="1356" w:type="dxa"/>
            <w:noWrap w:val="0"/>
            <w:vAlign w:val="center"/>
          </w:tcPr>
          <w:p>
            <w:pPr>
              <w:spacing w:line="360" w:lineRule="exact"/>
              <w:jc w:val="center"/>
              <w:rPr>
                <w:rFonts w:hint="eastAsia" w:ascii="宋体" w:hAnsi="宋体"/>
                <w:szCs w:val="21"/>
              </w:rPr>
            </w:pPr>
            <w:r>
              <w:rPr>
                <w:rFonts w:hint="eastAsia" w:ascii="宋体" w:hAnsi="宋体"/>
                <w:szCs w:val="21"/>
              </w:rPr>
              <w:t>导热油炉燃烧</w:t>
            </w:r>
          </w:p>
        </w:tc>
        <w:tc>
          <w:tcPr>
            <w:tcW w:w="1456" w:type="dxa"/>
            <w:noWrap w:val="0"/>
            <w:vAlign w:val="center"/>
          </w:tcPr>
          <w:p>
            <w:pPr>
              <w:pStyle w:val="23"/>
              <w:spacing w:line="360" w:lineRule="exact"/>
              <w:jc w:val="center"/>
              <w:rPr>
                <w:rFonts w:hint="eastAsia"/>
                <w:sz w:val="21"/>
                <w:szCs w:val="21"/>
                <w:lang w:eastAsia="zh-CN"/>
              </w:rPr>
            </w:pPr>
            <w:r>
              <w:rPr>
                <w:rFonts w:hint="eastAsia"/>
                <w:sz w:val="21"/>
                <w:szCs w:val="21"/>
                <w:lang w:eastAsia="zh-CN"/>
              </w:rPr>
              <w:t>颗粒物、</w:t>
            </w:r>
          </w:p>
          <w:p>
            <w:pPr>
              <w:pStyle w:val="23"/>
              <w:spacing w:line="360" w:lineRule="exact"/>
              <w:jc w:val="center"/>
              <w:rPr>
                <w:rFonts w:hint="eastAsia" w:ascii="宋体" w:hAnsi="宋体"/>
                <w:sz w:val="21"/>
                <w:szCs w:val="21"/>
                <w:vertAlign w:val="subscript"/>
              </w:rPr>
            </w:pPr>
            <w:r>
              <w:rPr>
                <w:rFonts w:hint="eastAsia"/>
                <w:sz w:val="21"/>
                <w:szCs w:val="21"/>
              </w:rPr>
              <w:t>SO</w:t>
            </w:r>
            <w:r>
              <w:rPr>
                <w:rFonts w:hint="eastAsia"/>
                <w:sz w:val="21"/>
                <w:szCs w:val="21"/>
                <w:vertAlign w:val="subscript"/>
              </w:rPr>
              <w:t>2</w:t>
            </w:r>
            <w:r>
              <w:rPr>
                <w:rFonts w:hint="eastAsia"/>
                <w:sz w:val="21"/>
                <w:szCs w:val="21"/>
              </w:rPr>
              <w:t>、NO</w:t>
            </w:r>
            <w:r>
              <w:rPr>
                <w:rFonts w:hint="eastAsia"/>
                <w:sz w:val="21"/>
                <w:szCs w:val="21"/>
                <w:vertAlign w:val="subscript"/>
              </w:rPr>
              <w:t>x</w:t>
            </w:r>
          </w:p>
        </w:tc>
        <w:tc>
          <w:tcPr>
            <w:tcW w:w="3248" w:type="dxa"/>
            <w:noWrap w:val="0"/>
            <w:vAlign w:val="center"/>
          </w:tcPr>
          <w:p>
            <w:pPr>
              <w:adjustRightInd w:val="0"/>
              <w:snapToGrid w:val="0"/>
              <w:spacing w:line="360" w:lineRule="exact"/>
              <w:jc w:val="center"/>
              <w:rPr>
                <w:rFonts w:hint="eastAsia" w:ascii="宋体" w:hAnsi="宋体" w:cs="宋体"/>
                <w:color w:val="auto"/>
                <w:szCs w:val="21"/>
              </w:rPr>
            </w:pPr>
            <w:r>
              <w:rPr>
                <w:rFonts w:hint="eastAsia" w:ascii="宋体" w:hAnsi="宋体"/>
                <w:color w:val="auto"/>
                <w:szCs w:val="21"/>
              </w:rPr>
              <w:t>使用抽风机将导热油炉天然气燃烧尾气引至</w:t>
            </w:r>
            <w:r>
              <w:rPr>
                <w:rFonts w:hint="eastAsia" w:ascii="宋体" w:hAnsi="宋体"/>
                <w:color w:val="auto"/>
                <w:szCs w:val="21"/>
                <w:lang w:val="en-US" w:eastAsia="zh-CN"/>
              </w:rPr>
              <w:t>8m排气筒</w:t>
            </w:r>
            <w:r>
              <w:rPr>
                <w:rFonts w:hint="eastAsia" w:ascii="宋体" w:hAnsi="宋体"/>
                <w:color w:val="auto"/>
                <w:szCs w:val="21"/>
              </w:rPr>
              <w:t>排放。</w:t>
            </w:r>
          </w:p>
        </w:tc>
        <w:tc>
          <w:tcPr>
            <w:tcW w:w="1777" w:type="dxa"/>
            <w:tcBorders>
              <w:bottom w:val="single" w:color="auto" w:sz="4" w:space="0"/>
            </w:tcBorders>
            <w:noWrap w:val="0"/>
            <w:vAlign w:val="center"/>
          </w:tcPr>
          <w:p>
            <w:pPr>
              <w:spacing w:line="360" w:lineRule="exact"/>
              <w:jc w:val="center"/>
              <w:rPr>
                <w:rFonts w:hint="eastAsia" w:ascii="宋体" w:hAnsi="宋体"/>
                <w:szCs w:val="21"/>
              </w:rPr>
            </w:pPr>
            <w:r>
              <w:rPr>
                <w:rFonts w:hint="eastAsia" w:ascii="宋体" w:hAnsi="宋体"/>
                <w:szCs w:val="21"/>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990" w:type="dxa"/>
            <w:vMerge w:val="restart"/>
            <w:noWrap w:val="0"/>
            <w:vAlign w:val="center"/>
          </w:tcPr>
          <w:p>
            <w:pPr>
              <w:spacing w:line="360" w:lineRule="exact"/>
              <w:jc w:val="center"/>
              <w:rPr>
                <w:rFonts w:ascii="宋体" w:hAnsi="宋体"/>
                <w:b/>
                <w:bCs/>
                <w:szCs w:val="21"/>
              </w:rPr>
            </w:pPr>
            <w:r>
              <w:rPr>
                <w:rFonts w:ascii="宋体" w:hAnsi="宋体"/>
                <w:b/>
                <w:bCs/>
                <w:szCs w:val="21"/>
              </w:rPr>
              <w:t>固体</w:t>
            </w:r>
          </w:p>
          <w:p>
            <w:pPr>
              <w:spacing w:line="360" w:lineRule="exact"/>
              <w:jc w:val="center"/>
              <w:rPr>
                <w:rFonts w:ascii="宋体" w:hAnsi="宋体"/>
                <w:b/>
                <w:bCs/>
                <w:szCs w:val="21"/>
              </w:rPr>
            </w:pPr>
            <w:r>
              <w:rPr>
                <w:rFonts w:ascii="宋体" w:hAnsi="宋体"/>
                <w:b/>
                <w:bCs/>
                <w:szCs w:val="21"/>
              </w:rPr>
              <w:t>废物</w:t>
            </w:r>
          </w:p>
        </w:tc>
        <w:tc>
          <w:tcPr>
            <w:tcW w:w="1356" w:type="dxa"/>
            <w:tcBorders>
              <w:bottom w:val="single" w:color="auto" w:sz="4" w:space="0"/>
            </w:tcBorders>
            <w:noWrap w:val="0"/>
            <w:vAlign w:val="center"/>
          </w:tcPr>
          <w:p>
            <w:pPr>
              <w:spacing w:line="360" w:lineRule="exact"/>
              <w:jc w:val="center"/>
              <w:rPr>
                <w:rFonts w:hint="eastAsia" w:ascii="宋体" w:hAnsi="宋体"/>
                <w:szCs w:val="21"/>
              </w:rPr>
            </w:pPr>
            <w:r>
              <w:rPr>
                <w:rFonts w:hint="eastAsia" w:ascii="宋体" w:hAnsi="宋体"/>
                <w:szCs w:val="21"/>
              </w:rPr>
              <w:t>生活垃圾</w:t>
            </w:r>
          </w:p>
        </w:tc>
        <w:tc>
          <w:tcPr>
            <w:tcW w:w="1456" w:type="dxa"/>
            <w:tcBorders>
              <w:bottom w:val="single" w:color="auto" w:sz="4" w:space="0"/>
            </w:tcBorders>
            <w:noWrap w:val="0"/>
            <w:vAlign w:val="center"/>
          </w:tcPr>
          <w:p>
            <w:pPr>
              <w:snapToGrid w:val="0"/>
              <w:jc w:val="center"/>
              <w:rPr>
                <w:szCs w:val="21"/>
              </w:rPr>
            </w:pPr>
            <w:r>
              <w:rPr>
                <w:szCs w:val="21"/>
              </w:rPr>
              <w:t>生活垃圾</w:t>
            </w:r>
          </w:p>
        </w:tc>
        <w:tc>
          <w:tcPr>
            <w:tcW w:w="3248" w:type="dxa"/>
            <w:tcBorders>
              <w:bottom w:val="single" w:color="auto" w:sz="8"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收集后</w:t>
            </w:r>
            <w:r>
              <w:rPr>
                <w:rFonts w:ascii="宋体" w:hAnsi="宋体"/>
                <w:szCs w:val="21"/>
              </w:rPr>
              <w:t>交由当地环卫部门处理</w:t>
            </w:r>
          </w:p>
        </w:tc>
        <w:tc>
          <w:tcPr>
            <w:tcW w:w="1777" w:type="dxa"/>
            <w:vMerge w:val="restart"/>
            <w:tcBorders>
              <w:left w:val="single" w:color="auto" w:sz="4" w:space="0"/>
            </w:tcBorders>
            <w:noWrap w:val="0"/>
            <w:vAlign w:val="center"/>
          </w:tcPr>
          <w:p>
            <w:pPr>
              <w:spacing w:line="360" w:lineRule="exact"/>
              <w:jc w:val="center"/>
              <w:rPr>
                <w:rFonts w:hint="eastAsia" w:ascii="宋体" w:hAnsi="宋体"/>
                <w:szCs w:val="21"/>
              </w:rPr>
            </w:pPr>
            <w:r>
              <w:rPr>
                <w:rFonts w:hint="eastAsia"/>
                <w:szCs w:val="21"/>
              </w:rPr>
              <w:t>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990" w:type="dxa"/>
            <w:vMerge w:val="continue"/>
            <w:noWrap w:val="0"/>
            <w:vAlign w:val="center"/>
          </w:tcPr>
          <w:p>
            <w:pPr>
              <w:spacing w:line="360" w:lineRule="exact"/>
              <w:jc w:val="center"/>
              <w:rPr>
                <w:rFonts w:ascii="宋体" w:hAnsi="宋体"/>
                <w:b/>
                <w:bCs/>
                <w:szCs w:val="21"/>
              </w:rPr>
            </w:pPr>
          </w:p>
        </w:tc>
        <w:tc>
          <w:tcPr>
            <w:tcW w:w="1356" w:type="dxa"/>
            <w:vMerge w:val="restart"/>
            <w:noWrap w:val="0"/>
            <w:vAlign w:val="center"/>
          </w:tcPr>
          <w:p>
            <w:pPr>
              <w:spacing w:line="360" w:lineRule="exact"/>
              <w:jc w:val="center"/>
              <w:rPr>
                <w:rFonts w:hint="eastAsia" w:ascii="宋体" w:hAnsi="宋体"/>
                <w:szCs w:val="21"/>
              </w:rPr>
            </w:pPr>
            <w:r>
              <w:rPr>
                <w:rFonts w:hint="eastAsia" w:ascii="宋体" w:hAnsi="宋体"/>
                <w:szCs w:val="21"/>
              </w:rPr>
              <w:t>废品</w:t>
            </w:r>
          </w:p>
        </w:tc>
        <w:tc>
          <w:tcPr>
            <w:tcW w:w="1456" w:type="dxa"/>
            <w:noWrap w:val="0"/>
            <w:vAlign w:val="center"/>
          </w:tcPr>
          <w:p>
            <w:pPr>
              <w:snapToGrid w:val="0"/>
              <w:jc w:val="center"/>
              <w:rPr>
                <w:szCs w:val="21"/>
              </w:rPr>
            </w:pPr>
            <w:r>
              <w:rPr>
                <w:rFonts w:hint="eastAsia"/>
                <w:szCs w:val="21"/>
              </w:rPr>
              <w:t>木材废品</w:t>
            </w:r>
          </w:p>
        </w:tc>
        <w:tc>
          <w:tcPr>
            <w:tcW w:w="3248" w:type="dxa"/>
            <w:tcBorders>
              <w:bottom w:val="single" w:color="auto" w:sz="8" w:space="0"/>
              <w:right w:val="single" w:color="auto" w:sz="4" w:space="0"/>
            </w:tcBorders>
            <w:noWrap w:val="0"/>
            <w:vAlign w:val="center"/>
          </w:tcPr>
          <w:p>
            <w:pPr>
              <w:spacing w:line="360" w:lineRule="exact"/>
              <w:jc w:val="center"/>
              <w:rPr>
                <w:rFonts w:ascii="宋体" w:hAnsi="宋体"/>
                <w:szCs w:val="21"/>
              </w:rPr>
            </w:pPr>
            <w:r>
              <w:rPr>
                <w:rFonts w:hint="eastAsia"/>
                <w:szCs w:val="21"/>
              </w:rPr>
              <w:t>交由原料厂商处理</w:t>
            </w:r>
          </w:p>
        </w:tc>
        <w:tc>
          <w:tcPr>
            <w:tcW w:w="1777" w:type="dxa"/>
            <w:vMerge w:val="continue"/>
            <w:tcBorders>
              <w:left w:val="single" w:color="auto" w:sz="4" w:space="0"/>
            </w:tcBorders>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990" w:type="dxa"/>
            <w:vMerge w:val="continue"/>
            <w:noWrap w:val="0"/>
            <w:vAlign w:val="center"/>
          </w:tcPr>
          <w:p>
            <w:pPr>
              <w:spacing w:line="360" w:lineRule="exact"/>
              <w:jc w:val="center"/>
              <w:rPr>
                <w:rFonts w:ascii="宋体" w:hAnsi="宋体"/>
                <w:b/>
                <w:bCs/>
                <w:szCs w:val="21"/>
              </w:rPr>
            </w:pPr>
          </w:p>
        </w:tc>
        <w:tc>
          <w:tcPr>
            <w:tcW w:w="1356" w:type="dxa"/>
            <w:vMerge w:val="continue"/>
            <w:noWrap w:val="0"/>
            <w:vAlign w:val="center"/>
          </w:tcPr>
          <w:p>
            <w:pPr>
              <w:spacing w:line="360" w:lineRule="exact"/>
              <w:jc w:val="center"/>
              <w:rPr>
                <w:rFonts w:hint="eastAsia" w:ascii="宋体" w:hAnsi="宋体"/>
                <w:szCs w:val="21"/>
              </w:rPr>
            </w:pPr>
          </w:p>
        </w:tc>
        <w:tc>
          <w:tcPr>
            <w:tcW w:w="1456" w:type="dxa"/>
            <w:noWrap w:val="0"/>
            <w:vAlign w:val="center"/>
          </w:tcPr>
          <w:p>
            <w:pPr>
              <w:snapToGrid w:val="0"/>
              <w:jc w:val="center"/>
              <w:rPr>
                <w:rFonts w:hint="eastAsia"/>
                <w:szCs w:val="21"/>
              </w:rPr>
            </w:pPr>
            <w:r>
              <w:rPr>
                <w:rFonts w:hint="eastAsia"/>
                <w:szCs w:val="21"/>
              </w:rPr>
              <w:t>浸渍纸废品</w:t>
            </w:r>
          </w:p>
        </w:tc>
        <w:tc>
          <w:tcPr>
            <w:tcW w:w="3248" w:type="dxa"/>
            <w:tcBorders>
              <w:bottom w:val="single" w:color="auto" w:sz="8" w:space="0"/>
              <w:right w:val="single" w:color="auto" w:sz="4" w:space="0"/>
            </w:tcBorders>
            <w:noWrap w:val="0"/>
            <w:vAlign w:val="center"/>
          </w:tcPr>
          <w:p>
            <w:pPr>
              <w:spacing w:line="360" w:lineRule="exact"/>
              <w:jc w:val="center"/>
              <w:rPr>
                <w:rFonts w:hint="eastAsia"/>
                <w:szCs w:val="21"/>
              </w:rPr>
            </w:pPr>
            <w:r>
              <w:rPr>
                <w:rFonts w:hint="eastAsia"/>
                <w:szCs w:val="21"/>
              </w:rPr>
              <w:t>交由环卫部门处理</w:t>
            </w:r>
          </w:p>
        </w:tc>
        <w:tc>
          <w:tcPr>
            <w:tcW w:w="1777" w:type="dxa"/>
            <w:vMerge w:val="continue"/>
            <w:tcBorders>
              <w:left w:val="single" w:color="auto" w:sz="4" w:space="0"/>
            </w:tcBorders>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990" w:type="dxa"/>
            <w:vMerge w:val="continue"/>
            <w:noWrap w:val="0"/>
            <w:vAlign w:val="center"/>
          </w:tcPr>
          <w:p>
            <w:pPr>
              <w:spacing w:line="360" w:lineRule="exact"/>
              <w:jc w:val="center"/>
              <w:rPr>
                <w:rFonts w:ascii="宋体" w:hAnsi="宋体"/>
                <w:b/>
                <w:bCs/>
                <w:szCs w:val="21"/>
              </w:rPr>
            </w:pPr>
          </w:p>
        </w:tc>
        <w:tc>
          <w:tcPr>
            <w:tcW w:w="1356" w:type="dxa"/>
            <w:noWrap w:val="0"/>
            <w:vAlign w:val="center"/>
          </w:tcPr>
          <w:p>
            <w:pPr>
              <w:spacing w:line="360" w:lineRule="exact"/>
              <w:jc w:val="center"/>
              <w:rPr>
                <w:rFonts w:hint="eastAsia"/>
                <w:szCs w:val="21"/>
              </w:rPr>
            </w:pPr>
            <w:r>
              <w:rPr>
                <w:rFonts w:hint="eastAsia"/>
                <w:szCs w:val="21"/>
              </w:rPr>
              <w:t>导热油炉</w:t>
            </w:r>
          </w:p>
        </w:tc>
        <w:tc>
          <w:tcPr>
            <w:tcW w:w="1456" w:type="dxa"/>
            <w:noWrap w:val="0"/>
            <w:vAlign w:val="center"/>
          </w:tcPr>
          <w:p>
            <w:pPr>
              <w:snapToGrid w:val="0"/>
              <w:jc w:val="center"/>
              <w:rPr>
                <w:szCs w:val="21"/>
              </w:rPr>
            </w:pPr>
            <w:r>
              <w:rPr>
                <w:rFonts w:hint="eastAsia" w:ascii="宋体" w:hAnsi="宋体"/>
                <w:szCs w:val="21"/>
              </w:rPr>
              <w:t>导热油</w:t>
            </w:r>
          </w:p>
        </w:tc>
        <w:tc>
          <w:tcPr>
            <w:tcW w:w="3248" w:type="dxa"/>
            <w:vMerge w:val="restart"/>
            <w:tcBorders>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交由有危废处理资质的单位处理</w:t>
            </w:r>
          </w:p>
        </w:tc>
        <w:tc>
          <w:tcPr>
            <w:tcW w:w="1777" w:type="dxa"/>
            <w:vMerge w:val="continue"/>
            <w:tcBorders>
              <w:left w:val="single" w:color="auto" w:sz="4" w:space="0"/>
            </w:tcBorders>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990" w:type="dxa"/>
            <w:vMerge w:val="continue"/>
            <w:noWrap w:val="0"/>
            <w:vAlign w:val="center"/>
          </w:tcPr>
          <w:p>
            <w:pPr>
              <w:spacing w:line="360" w:lineRule="exact"/>
              <w:jc w:val="center"/>
              <w:rPr>
                <w:rFonts w:ascii="宋体" w:hAnsi="宋体"/>
                <w:b/>
                <w:bCs/>
                <w:szCs w:val="21"/>
              </w:rPr>
            </w:pPr>
          </w:p>
        </w:tc>
        <w:tc>
          <w:tcPr>
            <w:tcW w:w="1356" w:type="dxa"/>
            <w:noWrap w:val="0"/>
            <w:vAlign w:val="center"/>
          </w:tcPr>
          <w:p>
            <w:pPr>
              <w:spacing w:line="360" w:lineRule="exact"/>
              <w:jc w:val="center"/>
              <w:rPr>
                <w:rFonts w:hint="eastAsia" w:eastAsia="宋体"/>
                <w:szCs w:val="21"/>
                <w:lang w:eastAsia="zh-CN"/>
              </w:rPr>
            </w:pPr>
            <w:r>
              <w:rPr>
                <w:rFonts w:hint="eastAsia" w:ascii="宋体" w:hAnsi="宋体"/>
                <w:sz w:val="21"/>
                <w:szCs w:val="21"/>
                <w:lang w:eastAsia="zh-CN"/>
              </w:rPr>
              <w:t>吸附</w:t>
            </w:r>
            <w:r>
              <w:rPr>
                <w:rFonts w:hint="eastAsia" w:ascii="宋体" w:hAnsi="宋体"/>
                <w:sz w:val="21"/>
                <w:szCs w:val="21"/>
              </w:rPr>
              <w:t>非甲烷总烃</w:t>
            </w:r>
          </w:p>
        </w:tc>
        <w:tc>
          <w:tcPr>
            <w:tcW w:w="1456" w:type="dxa"/>
            <w:noWrap w:val="0"/>
            <w:vAlign w:val="center"/>
          </w:tcPr>
          <w:p>
            <w:pPr>
              <w:snapToGrid w:val="0"/>
              <w:jc w:val="center"/>
              <w:rPr>
                <w:rFonts w:hint="eastAsia" w:ascii="宋体" w:hAnsi="宋体"/>
                <w:szCs w:val="21"/>
              </w:rPr>
            </w:pPr>
            <w:r>
              <w:rPr>
                <w:rFonts w:hint="eastAsia"/>
                <w:szCs w:val="21"/>
                <w:lang w:eastAsia="zh-CN"/>
              </w:rPr>
              <w:t>废活性炭</w:t>
            </w:r>
          </w:p>
        </w:tc>
        <w:tc>
          <w:tcPr>
            <w:tcW w:w="3248" w:type="dxa"/>
            <w:vMerge w:val="continue"/>
            <w:tcBorders>
              <w:right w:val="single" w:color="auto" w:sz="4" w:space="0"/>
            </w:tcBorders>
            <w:noWrap w:val="0"/>
            <w:vAlign w:val="center"/>
          </w:tcPr>
          <w:p>
            <w:pPr>
              <w:spacing w:line="360" w:lineRule="exact"/>
              <w:jc w:val="center"/>
              <w:rPr>
                <w:rFonts w:hint="eastAsia" w:ascii="宋体" w:hAnsi="宋体"/>
                <w:szCs w:val="21"/>
              </w:rPr>
            </w:pPr>
          </w:p>
        </w:tc>
        <w:tc>
          <w:tcPr>
            <w:tcW w:w="1777" w:type="dxa"/>
            <w:vMerge w:val="continue"/>
            <w:tcBorders>
              <w:left w:val="single" w:color="auto" w:sz="4" w:space="0"/>
            </w:tcBorders>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90" w:type="dxa"/>
            <w:vMerge w:val="restart"/>
            <w:noWrap w:val="0"/>
            <w:vAlign w:val="center"/>
          </w:tcPr>
          <w:p>
            <w:pPr>
              <w:spacing w:line="360" w:lineRule="exact"/>
              <w:jc w:val="center"/>
              <w:rPr>
                <w:rFonts w:ascii="宋体" w:hAnsi="宋体"/>
                <w:b/>
                <w:bCs/>
                <w:szCs w:val="21"/>
              </w:rPr>
            </w:pPr>
            <w:r>
              <w:rPr>
                <w:rFonts w:ascii="宋体" w:hAnsi="宋体"/>
                <w:b/>
                <w:bCs/>
                <w:szCs w:val="21"/>
              </w:rPr>
              <w:t>噪声</w:t>
            </w:r>
          </w:p>
        </w:tc>
        <w:tc>
          <w:tcPr>
            <w:tcW w:w="1356" w:type="dxa"/>
            <w:noWrap w:val="0"/>
            <w:vAlign w:val="center"/>
          </w:tcPr>
          <w:p>
            <w:pPr>
              <w:spacing w:line="360" w:lineRule="exact"/>
              <w:ind w:hanging="39"/>
              <w:jc w:val="center"/>
              <w:rPr>
                <w:rFonts w:hint="eastAsia" w:ascii="宋体" w:hAnsi="宋体"/>
                <w:szCs w:val="21"/>
              </w:rPr>
            </w:pPr>
            <w:r>
              <w:rPr>
                <w:rFonts w:hint="eastAsia" w:ascii="宋体" w:hAnsi="宋体"/>
                <w:szCs w:val="21"/>
              </w:rPr>
              <w:t>运输车辆</w:t>
            </w:r>
          </w:p>
        </w:tc>
        <w:tc>
          <w:tcPr>
            <w:tcW w:w="1456" w:type="dxa"/>
            <w:noWrap w:val="0"/>
            <w:vAlign w:val="center"/>
          </w:tcPr>
          <w:p>
            <w:pPr>
              <w:spacing w:line="360" w:lineRule="exact"/>
              <w:jc w:val="center"/>
              <w:rPr>
                <w:rFonts w:ascii="宋体" w:hAnsi="宋体"/>
                <w:szCs w:val="21"/>
              </w:rPr>
            </w:pPr>
            <w:r>
              <w:rPr>
                <w:rFonts w:ascii="宋体" w:hAnsi="宋体"/>
                <w:szCs w:val="21"/>
              </w:rPr>
              <w:t>车辆噪声</w:t>
            </w:r>
          </w:p>
        </w:tc>
        <w:tc>
          <w:tcPr>
            <w:tcW w:w="3248" w:type="dxa"/>
            <w:noWrap w:val="0"/>
            <w:vAlign w:val="center"/>
          </w:tcPr>
          <w:p>
            <w:pPr>
              <w:spacing w:line="360" w:lineRule="exact"/>
              <w:jc w:val="center"/>
              <w:rPr>
                <w:rFonts w:ascii="宋体" w:hAnsi="宋体"/>
                <w:szCs w:val="21"/>
              </w:rPr>
            </w:pPr>
            <w:r>
              <w:rPr>
                <w:rFonts w:ascii="宋体" w:hAnsi="宋体"/>
                <w:szCs w:val="21"/>
              </w:rPr>
              <w:t>合理安排进出车辆秩序</w:t>
            </w:r>
            <w:r>
              <w:rPr>
                <w:rFonts w:hint="eastAsia" w:ascii="宋体" w:hAnsi="宋体"/>
                <w:szCs w:val="21"/>
              </w:rPr>
              <w:t>以及作业时间</w:t>
            </w:r>
            <w:r>
              <w:rPr>
                <w:rFonts w:ascii="宋体" w:hAnsi="宋体"/>
                <w:szCs w:val="21"/>
              </w:rPr>
              <w:t>、</w:t>
            </w:r>
            <w:r>
              <w:rPr>
                <w:rFonts w:hint="eastAsia" w:ascii="宋体" w:hAnsi="宋体"/>
                <w:szCs w:val="21"/>
              </w:rPr>
              <w:t>厂内禁止鸣笛</w:t>
            </w:r>
          </w:p>
        </w:tc>
        <w:tc>
          <w:tcPr>
            <w:tcW w:w="1777" w:type="dxa"/>
            <w:vMerge w:val="restart"/>
            <w:noWrap w:val="0"/>
            <w:vAlign w:val="center"/>
          </w:tcPr>
          <w:p>
            <w:pPr>
              <w:spacing w:line="360" w:lineRule="exact"/>
              <w:jc w:val="center"/>
              <w:rPr>
                <w:rFonts w:ascii="宋体" w:hAnsi="宋体"/>
                <w:szCs w:val="21"/>
              </w:rPr>
            </w:pPr>
            <w:r>
              <w:rPr>
                <w:rFonts w:ascii="宋体" w:hAnsi="宋体"/>
                <w:szCs w:val="21"/>
              </w:rPr>
              <w:t>厂界噪声达标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90" w:type="dxa"/>
            <w:vMerge w:val="continue"/>
            <w:noWrap w:val="0"/>
            <w:vAlign w:val="center"/>
          </w:tcPr>
          <w:p>
            <w:pPr>
              <w:spacing w:line="360" w:lineRule="exact"/>
              <w:jc w:val="center"/>
              <w:rPr>
                <w:rFonts w:ascii="宋体" w:hAnsi="宋体"/>
                <w:b/>
                <w:bCs/>
                <w:szCs w:val="21"/>
              </w:rPr>
            </w:pPr>
          </w:p>
        </w:tc>
        <w:tc>
          <w:tcPr>
            <w:tcW w:w="1356" w:type="dxa"/>
            <w:noWrap w:val="0"/>
            <w:vAlign w:val="center"/>
          </w:tcPr>
          <w:p>
            <w:pPr>
              <w:spacing w:line="360" w:lineRule="exact"/>
              <w:ind w:hanging="39"/>
              <w:jc w:val="center"/>
              <w:rPr>
                <w:rFonts w:hint="eastAsia" w:ascii="宋体" w:hAnsi="宋体"/>
                <w:szCs w:val="21"/>
              </w:rPr>
            </w:pPr>
            <w:r>
              <w:rPr>
                <w:rFonts w:hint="eastAsia" w:ascii="宋体" w:hAnsi="宋体"/>
                <w:szCs w:val="21"/>
              </w:rPr>
              <w:t>热压机</w:t>
            </w:r>
          </w:p>
        </w:tc>
        <w:tc>
          <w:tcPr>
            <w:tcW w:w="1456" w:type="dxa"/>
            <w:noWrap w:val="0"/>
            <w:vAlign w:val="center"/>
          </w:tcPr>
          <w:p>
            <w:pPr>
              <w:spacing w:line="360" w:lineRule="exact"/>
              <w:jc w:val="center"/>
              <w:rPr>
                <w:rFonts w:ascii="宋体" w:hAnsi="宋体"/>
                <w:szCs w:val="21"/>
              </w:rPr>
            </w:pPr>
            <w:r>
              <w:rPr>
                <w:rFonts w:hint="eastAsia" w:ascii="宋体" w:hAnsi="宋体"/>
                <w:szCs w:val="21"/>
              </w:rPr>
              <w:t>设备噪声</w:t>
            </w:r>
          </w:p>
        </w:tc>
        <w:tc>
          <w:tcPr>
            <w:tcW w:w="3248" w:type="dxa"/>
            <w:noWrap w:val="0"/>
            <w:vAlign w:val="center"/>
          </w:tcPr>
          <w:p>
            <w:pPr>
              <w:spacing w:line="360" w:lineRule="exact"/>
              <w:jc w:val="center"/>
              <w:rPr>
                <w:rFonts w:ascii="宋体" w:hAnsi="宋体"/>
                <w:szCs w:val="21"/>
              </w:rPr>
            </w:pPr>
            <w:r>
              <w:rPr>
                <w:rFonts w:hint="eastAsia" w:ascii="宋体" w:hAnsi="宋体"/>
                <w:szCs w:val="21"/>
              </w:rPr>
              <w:t>基础减振，厂房隔声</w:t>
            </w:r>
          </w:p>
        </w:tc>
        <w:tc>
          <w:tcPr>
            <w:tcW w:w="1777" w:type="dxa"/>
            <w:vMerge w:val="continue"/>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990" w:type="dxa"/>
            <w:noWrap w:val="0"/>
            <w:vAlign w:val="center"/>
          </w:tcPr>
          <w:p>
            <w:pPr>
              <w:spacing w:line="360" w:lineRule="exact"/>
              <w:jc w:val="center"/>
              <w:rPr>
                <w:rFonts w:ascii="宋体" w:hAnsi="宋体"/>
                <w:b/>
                <w:bCs/>
                <w:szCs w:val="21"/>
              </w:rPr>
            </w:pPr>
            <w:r>
              <w:rPr>
                <w:rFonts w:ascii="宋体" w:hAnsi="宋体"/>
                <w:b/>
                <w:bCs/>
                <w:szCs w:val="21"/>
              </w:rPr>
              <w:t>其他</w:t>
            </w:r>
          </w:p>
        </w:tc>
        <w:tc>
          <w:tcPr>
            <w:tcW w:w="7837" w:type="dxa"/>
            <w:gridSpan w:val="4"/>
            <w:noWrap w:val="0"/>
            <w:vAlign w:val="center"/>
          </w:tcPr>
          <w:p>
            <w:pPr>
              <w:spacing w:line="360" w:lineRule="exact"/>
              <w:jc w:val="center"/>
              <w:rPr>
                <w:rFonts w:hint="eastAsia" w:ascii="宋体" w:hAnsi="宋体"/>
                <w:szCs w:val="21"/>
              </w:rPr>
            </w:pPr>
            <w:r>
              <w:rPr>
                <w:rFonts w:hint="eastAsia" w:ascii="宋体" w:hAnsi="宋体"/>
                <w:szCs w:val="21"/>
              </w:rPr>
              <w:t>严格按照各行政主管部门提供的规范性文件执行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5" w:hRule="atLeast"/>
          <w:jc w:val="center"/>
        </w:trPr>
        <w:tc>
          <w:tcPr>
            <w:tcW w:w="8827" w:type="dxa"/>
            <w:gridSpan w:val="5"/>
            <w:noWrap w:val="0"/>
            <w:vAlign w:val="top"/>
          </w:tcPr>
          <w:p>
            <w:pPr>
              <w:pStyle w:val="35"/>
              <w:tabs>
                <w:tab w:val="clear" w:pos="4153"/>
                <w:tab w:val="clear" w:pos="8306"/>
              </w:tabs>
              <w:snapToGrid/>
              <w:spacing w:line="360" w:lineRule="auto"/>
              <w:rPr>
                <w:rFonts w:hint="eastAsia"/>
                <w:b/>
                <w:color w:val="000000"/>
                <w:sz w:val="24"/>
                <w:lang w:eastAsia="zh-CN"/>
              </w:rPr>
            </w:pPr>
            <w:r>
              <w:rPr>
                <w:rFonts w:hint="eastAsia"/>
                <w:b/>
                <w:color w:val="000000"/>
                <w:sz w:val="24"/>
                <w:lang w:eastAsia="zh-CN"/>
              </w:rPr>
              <w:t>生态保护措施及预期效果</w:t>
            </w:r>
          </w:p>
          <w:p>
            <w:pPr>
              <w:pStyle w:val="35"/>
              <w:tabs>
                <w:tab w:val="clear" w:pos="4153"/>
                <w:tab w:val="clear" w:pos="8306"/>
              </w:tabs>
              <w:snapToGrid/>
              <w:spacing w:line="360" w:lineRule="auto"/>
              <w:ind w:firstLine="480" w:firstLineChars="200"/>
              <w:rPr>
                <w:color w:val="000000"/>
                <w:sz w:val="24"/>
              </w:rPr>
            </w:pPr>
            <w:r>
              <w:rPr>
                <w:color w:val="000000"/>
                <w:sz w:val="24"/>
              </w:rPr>
              <w:t>本项目占地面积</w:t>
            </w:r>
            <w:r>
              <w:rPr>
                <w:rFonts w:hint="eastAsia" w:eastAsia="宋体"/>
                <w:color w:val="000000"/>
                <w:sz w:val="24"/>
                <w:lang w:val="en-US" w:eastAsia="zh-CN"/>
              </w:rPr>
              <w:t>1423.24</w:t>
            </w:r>
            <w:r>
              <w:rPr>
                <w:rFonts w:hint="eastAsia"/>
                <w:color w:val="000000"/>
                <w:sz w:val="24"/>
              </w:rPr>
              <w:t>m</w:t>
            </w:r>
            <w:r>
              <w:rPr>
                <w:rFonts w:hint="eastAsia"/>
                <w:color w:val="000000"/>
                <w:sz w:val="24"/>
                <w:vertAlign w:val="superscript"/>
              </w:rPr>
              <w:t>2</w:t>
            </w:r>
            <w:r>
              <w:rPr>
                <w:color w:val="000000"/>
                <w:sz w:val="24"/>
              </w:rPr>
              <w:t>，</w:t>
            </w:r>
            <w:r>
              <w:rPr>
                <w:rFonts w:hint="eastAsia"/>
                <w:color w:val="000000"/>
                <w:sz w:val="24"/>
              </w:rPr>
              <w:t>是租用</w:t>
            </w:r>
            <w:r>
              <w:rPr>
                <w:rFonts w:hint="eastAsia" w:hAnsi="宋体"/>
                <w:bCs/>
                <w:sz w:val="24"/>
              </w:rPr>
              <w:t>山市</w:t>
            </w:r>
            <w:r>
              <w:rPr>
                <w:rFonts w:hint="eastAsia" w:hAnsi="宋体"/>
                <w:bCs/>
                <w:sz w:val="24"/>
                <w:lang w:eastAsia="zh-CN"/>
              </w:rPr>
              <w:t>鑫瑞纺织有限公司</w:t>
            </w:r>
            <w:r>
              <w:rPr>
                <w:rFonts w:hint="eastAsia"/>
                <w:color w:val="000000"/>
                <w:sz w:val="24"/>
              </w:rPr>
              <w:t>位于乐山市</w:t>
            </w:r>
            <w:r>
              <w:rPr>
                <w:rFonts w:hint="eastAsia"/>
                <w:bCs/>
                <w:sz w:val="24"/>
                <w:lang w:eastAsia="zh-CN"/>
              </w:rPr>
              <w:t>市中区土主镇红岩坝村六组</w:t>
            </w:r>
            <w:r>
              <w:rPr>
                <w:rFonts w:hint="eastAsia"/>
                <w:color w:val="000000"/>
                <w:sz w:val="24"/>
              </w:rPr>
              <w:t>的厂房进行项目建设。根据现场踏勘，原有空地基本无植被分布，</w:t>
            </w:r>
            <w:r>
              <w:rPr>
                <w:color w:val="000000"/>
                <w:sz w:val="24"/>
              </w:rPr>
              <w:t>人类活动频繁，故项目的兴建对周围</w:t>
            </w:r>
            <w:r>
              <w:rPr>
                <w:rFonts w:hint="eastAsia"/>
                <w:color w:val="000000"/>
                <w:sz w:val="24"/>
              </w:rPr>
              <w:t>生态</w:t>
            </w:r>
            <w:r>
              <w:rPr>
                <w:color w:val="000000"/>
                <w:sz w:val="24"/>
              </w:rPr>
              <w:t>环境影响甚微。</w:t>
            </w:r>
          </w:p>
          <w:p>
            <w:pPr>
              <w:pStyle w:val="35"/>
              <w:tabs>
                <w:tab w:val="clear" w:pos="4153"/>
                <w:tab w:val="clear" w:pos="8306"/>
              </w:tabs>
              <w:snapToGrid/>
              <w:spacing w:line="360" w:lineRule="auto"/>
              <w:ind w:firstLine="480" w:firstLineChars="200"/>
              <w:rPr>
                <w:color w:val="000000"/>
                <w:sz w:val="24"/>
              </w:rPr>
            </w:pPr>
          </w:p>
          <w:p>
            <w:pPr>
              <w:pStyle w:val="35"/>
              <w:tabs>
                <w:tab w:val="clear" w:pos="4153"/>
                <w:tab w:val="clear" w:pos="8306"/>
              </w:tabs>
              <w:snapToGrid/>
              <w:spacing w:line="360" w:lineRule="auto"/>
              <w:ind w:firstLine="480" w:firstLineChars="200"/>
              <w:rPr>
                <w:color w:val="000000"/>
                <w:sz w:val="24"/>
              </w:rPr>
            </w:pPr>
          </w:p>
          <w:p>
            <w:pPr>
              <w:pStyle w:val="35"/>
              <w:tabs>
                <w:tab w:val="clear" w:pos="4153"/>
                <w:tab w:val="clear" w:pos="8306"/>
              </w:tabs>
              <w:snapToGrid/>
              <w:spacing w:line="360" w:lineRule="auto"/>
              <w:ind w:firstLine="480" w:firstLineChars="200"/>
              <w:rPr>
                <w:color w:val="000000"/>
                <w:sz w:val="24"/>
              </w:rPr>
            </w:pPr>
          </w:p>
          <w:p>
            <w:pPr>
              <w:pStyle w:val="35"/>
              <w:tabs>
                <w:tab w:val="clear" w:pos="4153"/>
                <w:tab w:val="clear" w:pos="8306"/>
              </w:tabs>
              <w:snapToGrid/>
              <w:spacing w:line="360" w:lineRule="auto"/>
              <w:ind w:firstLine="480" w:firstLineChars="200"/>
              <w:rPr>
                <w:color w:val="000000"/>
                <w:sz w:val="24"/>
              </w:rPr>
            </w:pPr>
          </w:p>
          <w:p>
            <w:pPr>
              <w:pStyle w:val="35"/>
              <w:tabs>
                <w:tab w:val="clear" w:pos="4153"/>
                <w:tab w:val="clear" w:pos="8306"/>
              </w:tabs>
              <w:snapToGrid/>
              <w:spacing w:line="360" w:lineRule="auto"/>
              <w:ind w:firstLine="480" w:firstLineChars="200"/>
              <w:rPr>
                <w:color w:val="000000"/>
                <w:sz w:val="24"/>
              </w:rPr>
            </w:pPr>
          </w:p>
          <w:p>
            <w:pPr>
              <w:pStyle w:val="35"/>
              <w:tabs>
                <w:tab w:val="clear" w:pos="4153"/>
                <w:tab w:val="clear" w:pos="8306"/>
              </w:tabs>
              <w:snapToGrid/>
              <w:spacing w:line="360" w:lineRule="auto"/>
              <w:ind w:firstLine="480" w:firstLineChars="200"/>
              <w:rPr>
                <w:color w:val="000000"/>
                <w:sz w:val="24"/>
              </w:rPr>
            </w:pPr>
          </w:p>
          <w:p>
            <w:pPr>
              <w:pStyle w:val="35"/>
              <w:tabs>
                <w:tab w:val="clear" w:pos="4153"/>
                <w:tab w:val="clear" w:pos="8306"/>
              </w:tabs>
              <w:snapToGrid/>
              <w:spacing w:line="360" w:lineRule="auto"/>
              <w:ind w:firstLine="480" w:firstLineChars="200"/>
              <w:rPr>
                <w:rFonts w:hint="eastAsia"/>
                <w:color w:val="000000"/>
                <w:sz w:val="24"/>
              </w:rPr>
            </w:pPr>
          </w:p>
        </w:tc>
      </w:tr>
    </w:tbl>
    <w:p>
      <w:pPr>
        <w:outlineLvl w:val="0"/>
        <w:rPr>
          <w:rFonts w:hint="eastAsia" w:ascii="宋体" w:hAnsi="宋体" w:cs="黑体"/>
          <w:b/>
          <w:bCs/>
          <w:sz w:val="30"/>
          <w:szCs w:val="30"/>
        </w:rPr>
      </w:pPr>
      <w:r>
        <w:rPr>
          <w:rFonts w:ascii="宋体" w:hAnsi="宋体" w:cs="黑体"/>
          <w:b/>
          <w:bCs/>
          <w:sz w:val="30"/>
          <w:szCs w:val="30"/>
        </w:rPr>
        <w:br w:type="page"/>
      </w:r>
      <w:r>
        <w:rPr>
          <w:rFonts w:hint="eastAsia" w:ascii="宋体" w:hAnsi="宋体" w:cs="黑体"/>
          <w:b/>
          <w:bCs/>
          <w:sz w:val="30"/>
          <w:szCs w:val="30"/>
        </w:rPr>
        <w:t>结论与建议                                      (表九)</w:t>
      </w:r>
    </w:p>
    <w:tbl>
      <w:tblPr>
        <w:tblStyle w:val="69"/>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173" w:hRule="atLeast"/>
          <w:jc w:val="center"/>
        </w:trPr>
        <w:tc>
          <w:tcPr>
            <w:tcW w:w="9072" w:type="dxa"/>
            <w:noWrap w:val="0"/>
            <w:vAlign w:val="center"/>
          </w:tcPr>
          <w:p>
            <w:pPr>
              <w:spacing w:line="360" w:lineRule="auto"/>
              <w:rPr>
                <w:rFonts w:hint="eastAsia"/>
                <w:b/>
                <w:bCs/>
                <w:sz w:val="28"/>
                <w:szCs w:val="28"/>
              </w:rPr>
            </w:pPr>
            <w:r>
              <w:rPr>
                <w:rFonts w:hint="eastAsia"/>
                <w:b/>
                <w:bCs/>
                <w:sz w:val="28"/>
                <w:szCs w:val="28"/>
              </w:rPr>
              <w:t>一、结论</w:t>
            </w:r>
          </w:p>
          <w:p>
            <w:pPr>
              <w:spacing w:line="360" w:lineRule="auto"/>
              <w:rPr>
                <w:rFonts w:hint="eastAsia"/>
                <w:b/>
                <w:sz w:val="24"/>
              </w:rPr>
            </w:pPr>
            <w:r>
              <w:rPr>
                <w:rFonts w:hint="eastAsia"/>
                <w:b/>
                <w:sz w:val="24"/>
              </w:rPr>
              <w:t>（1）项目概况</w:t>
            </w:r>
          </w:p>
          <w:p>
            <w:pPr>
              <w:spacing w:line="360" w:lineRule="auto"/>
              <w:ind w:firstLine="480"/>
              <w:rPr>
                <w:rFonts w:hint="eastAsia" w:eastAsia="宋体"/>
                <w:sz w:val="24"/>
                <w:lang w:eastAsia="zh-CN"/>
              </w:rPr>
            </w:pPr>
            <w:r>
              <w:rPr>
                <w:rFonts w:hint="eastAsia"/>
                <w:sz w:val="24"/>
              </w:rPr>
              <w:t>本项目为</w:t>
            </w:r>
            <w:r>
              <w:rPr>
                <w:rFonts w:hint="eastAsia"/>
                <w:sz w:val="24"/>
                <w:lang w:eastAsia="zh-CN"/>
              </w:rPr>
              <w:t>人造板加工项目搬迁工程，从</w:t>
            </w:r>
            <w:r>
              <w:rPr>
                <w:rFonts w:hint="eastAsia" w:ascii="宋体" w:hAnsi="宋体" w:cs="宋体"/>
                <w:sz w:val="24"/>
              </w:rPr>
              <w:t>乐山市工业集中区水口-罗汉工业园区</w:t>
            </w:r>
            <w:r>
              <w:rPr>
                <w:rFonts w:hint="eastAsia" w:ascii="宋体" w:hAnsi="宋体" w:cs="宋体"/>
                <w:sz w:val="24"/>
                <w:lang w:eastAsia="zh-CN"/>
              </w:rPr>
              <w:t>迁至</w:t>
            </w:r>
            <w:r>
              <w:rPr>
                <w:rFonts w:hint="eastAsia"/>
                <w:bCs/>
                <w:sz w:val="24"/>
                <w:lang w:eastAsia="zh-CN"/>
              </w:rPr>
              <w:t>土主镇红岩坝村六组</w:t>
            </w:r>
            <w:r>
              <w:rPr>
                <w:rFonts w:hint="eastAsia"/>
                <w:bCs/>
                <w:sz w:val="24"/>
                <w:lang w:val="en-US" w:eastAsia="zh-CN"/>
              </w:rPr>
              <w:t>478号，</w:t>
            </w:r>
            <w:r>
              <w:rPr>
                <w:rFonts w:hint="eastAsia"/>
                <w:sz w:val="24"/>
              </w:rPr>
              <w:t>租</w:t>
            </w:r>
            <w:r>
              <w:rPr>
                <w:rFonts w:hint="eastAsia"/>
                <w:sz w:val="24"/>
                <w:lang w:eastAsia="zh-CN"/>
              </w:rPr>
              <w:t>用</w:t>
            </w:r>
            <w:r>
              <w:rPr>
                <w:rFonts w:hint="eastAsia" w:hAnsi="宋体"/>
                <w:bCs/>
                <w:sz w:val="24"/>
              </w:rPr>
              <w:t>乐山市</w:t>
            </w:r>
            <w:r>
              <w:rPr>
                <w:rFonts w:hint="eastAsia" w:hAnsi="宋体"/>
                <w:bCs/>
                <w:sz w:val="24"/>
                <w:lang w:eastAsia="zh-CN"/>
              </w:rPr>
              <w:t>鑫瑞纺织有限公司的部分闲置</w:t>
            </w:r>
            <w:r>
              <w:rPr>
                <w:rFonts w:hint="eastAsia" w:hAnsi="宋体"/>
                <w:bCs/>
                <w:sz w:val="24"/>
              </w:rPr>
              <w:t>厂房，共计面积</w:t>
            </w:r>
            <w:r>
              <w:rPr>
                <w:rFonts w:hint="eastAsia" w:hAnsi="宋体"/>
                <w:bCs/>
                <w:sz w:val="24"/>
                <w:lang w:val="en-US" w:eastAsia="zh-CN"/>
              </w:rPr>
              <w:t>1423.24</w:t>
            </w:r>
            <w:r>
              <w:rPr>
                <w:rFonts w:hint="eastAsia" w:hAnsi="宋体"/>
                <w:bCs/>
                <w:sz w:val="24"/>
              </w:rPr>
              <w:t>m</w:t>
            </w:r>
            <w:r>
              <w:rPr>
                <w:rFonts w:hint="eastAsia" w:hAnsi="宋体"/>
                <w:bCs/>
                <w:sz w:val="24"/>
                <w:vertAlign w:val="superscript"/>
              </w:rPr>
              <w:t>2</w:t>
            </w:r>
            <w:r>
              <w:rPr>
                <w:rFonts w:hint="eastAsia" w:hAnsi="宋体"/>
                <w:bCs/>
                <w:sz w:val="24"/>
                <w:lang w:eastAsia="zh-CN"/>
              </w:rPr>
              <w:t>。该项目主要进行</w:t>
            </w:r>
            <w:r>
              <w:rPr>
                <w:rFonts w:hint="eastAsia"/>
                <w:sz w:val="24"/>
              </w:rPr>
              <w:t>人造板贴面加工，以制成免漆装饰板（生态板），项目内设两条生产线，分别使用多层单面热压机和单层双面热压机以加工人造板，属于新建项目。目前，本项目拟投资</w:t>
            </w:r>
            <w:r>
              <w:rPr>
                <w:rFonts w:hint="eastAsia"/>
                <w:sz w:val="24"/>
                <w:lang w:val="en-US" w:eastAsia="zh-CN"/>
              </w:rPr>
              <w:t>1</w:t>
            </w:r>
            <w:r>
              <w:rPr>
                <w:rFonts w:hint="eastAsia"/>
                <w:sz w:val="24"/>
              </w:rPr>
              <w:t>00万元，</w:t>
            </w:r>
            <w:r>
              <w:rPr>
                <w:rFonts w:hint="eastAsia"/>
                <w:sz w:val="24"/>
                <w:lang w:eastAsia="zh-CN"/>
              </w:rPr>
              <w:t>环保投资为</w:t>
            </w:r>
            <w:r>
              <w:rPr>
                <w:rFonts w:hint="eastAsia"/>
                <w:color w:val="auto"/>
                <w:sz w:val="24"/>
                <w:lang w:val="en-US" w:eastAsia="zh-CN"/>
              </w:rPr>
              <w:t>20</w:t>
            </w:r>
            <w:r>
              <w:rPr>
                <w:rFonts w:hint="eastAsia"/>
                <w:sz w:val="24"/>
                <w:lang w:val="en-US" w:eastAsia="zh-CN"/>
              </w:rPr>
              <w:t>万元</w:t>
            </w:r>
            <w:r>
              <w:rPr>
                <w:rFonts w:hint="eastAsia"/>
                <w:sz w:val="24"/>
                <w:lang w:eastAsia="zh-CN"/>
              </w:rPr>
              <w:t>，生产设备均沿用项目原本设备。</w:t>
            </w:r>
          </w:p>
          <w:p>
            <w:pPr>
              <w:spacing w:line="360" w:lineRule="auto"/>
              <w:ind w:firstLine="480"/>
              <w:rPr>
                <w:rFonts w:hint="eastAsia"/>
                <w:b/>
                <w:sz w:val="24"/>
              </w:rPr>
            </w:pPr>
            <w:r>
              <w:rPr>
                <w:rFonts w:hint="eastAsia" w:hAnsi="宋体"/>
                <w:bCs/>
                <w:sz w:val="24"/>
              </w:rPr>
              <w:t>目前，该项目已取得乐山市市中区发展和改革局的备案，备案号：</w:t>
            </w:r>
            <w:r>
              <w:rPr>
                <w:rFonts w:hint="eastAsia"/>
                <w:sz w:val="24"/>
              </w:rPr>
              <w:t>川投资备【201</w:t>
            </w:r>
            <w:r>
              <w:rPr>
                <w:rFonts w:hint="eastAsia"/>
                <w:sz w:val="24"/>
                <w:lang w:val="en-US" w:eastAsia="zh-CN"/>
              </w:rPr>
              <w:t>9</w:t>
            </w:r>
            <w:r>
              <w:rPr>
                <w:rFonts w:hint="eastAsia"/>
                <w:sz w:val="24"/>
              </w:rPr>
              <w:t>-511102-</w:t>
            </w:r>
            <w:r>
              <w:rPr>
                <w:rFonts w:hint="eastAsia"/>
                <w:sz w:val="24"/>
                <w:lang w:val="en-US" w:eastAsia="zh-CN"/>
              </w:rPr>
              <w:t>20</w:t>
            </w:r>
            <w:r>
              <w:rPr>
                <w:rFonts w:hint="eastAsia"/>
                <w:sz w:val="24"/>
              </w:rPr>
              <w:t>-03-</w:t>
            </w:r>
            <w:r>
              <w:rPr>
                <w:rFonts w:hint="eastAsia"/>
                <w:sz w:val="24"/>
                <w:lang w:val="en-US" w:eastAsia="zh-CN"/>
              </w:rPr>
              <w:t>371074</w:t>
            </w:r>
            <w:r>
              <w:rPr>
                <w:rFonts w:hint="eastAsia"/>
                <w:sz w:val="24"/>
              </w:rPr>
              <w:t>】FGQB-00</w:t>
            </w:r>
            <w:r>
              <w:rPr>
                <w:rFonts w:hint="eastAsia"/>
                <w:sz w:val="24"/>
                <w:lang w:val="en-US" w:eastAsia="zh-CN"/>
              </w:rPr>
              <w:t>9</w:t>
            </w:r>
            <w:r>
              <w:rPr>
                <w:rFonts w:hint="eastAsia"/>
                <w:sz w:val="24"/>
              </w:rPr>
              <w:t>3号。</w:t>
            </w:r>
          </w:p>
          <w:p>
            <w:pPr>
              <w:spacing w:line="360" w:lineRule="auto"/>
              <w:rPr>
                <w:b/>
                <w:sz w:val="24"/>
              </w:rPr>
            </w:pPr>
            <w:r>
              <w:rPr>
                <w:rFonts w:hint="eastAsia"/>
                <w:b/>
                <w:sz w:val="24"/>
              </w:rPr>
              <w:t>（2）</w:t>
            </w:r>
            <w:r>
              <w:rPr>
                <w:b/>
                <w:sz w:val="24"/>
              </w:rPr>
              <w:t>产业</w:t>
            </w:r>
            <w:r>
              <w:rPr>
                <w:rFonts w:hAnsi="宋体"/>
                <w:b/>
                <w:sz w:val="24"/>
              </w:rPr>
              <w:t>政策符合性</w:t>
            </w:r>
          </w:p>
          <w:p>
            <w:pPr>
              <w:spacing w:line="360" w:lineRule="auto"/>
              <w:ind w:firstLine="480" w:firstLineChars="200"/>
              <w:rPr>
                <w:rFonts w:hint="eastAsia"/>
                <w:sz w:val="24"/>
              </w:rPr>
            </w:pPr>
            <w:r>
              <w:rPr>
                <w:kern w:val="0"/>
                <w:sz w:val="24"/>
              </w:rPr>
              <w:t>本项目属于</w:t>
            </w:r>
            <w:r>
              <w:rPr>
                <w:rFonts w:hint="eastAsia"/>
                <w:kern w:val="0"/>
                <w:sz w:val="24"/>
              </w:rPr>
              <w:t>单板加工（C2013）行业</w:t>
            </w:r>
            <w:r>
              <w:rPr>
                <w:bCs/>
                <w:sz w:val="24"/>
              </w:rPr>
              <w:t>，</w:t>
            </w:r>
            <w:r>
              <w:rPr>
                <w:iCs/>
                <w:sz w:val="24"/>
              </w:rPr>
              <w:t>根据国家发展和改革委员会第21号令《产业结构调整指导目录（2011年本）（修正）》，本项目不属于其中鼓励类、限制类和淘汰类，因此本项目属于允许类</w:t>
            </w:r>
            <w:r>
              <w:rPr>
                <w:rFonts w:hint="eastAsia"/>
                <w:iCs/>
                <w:sz w:val="24"/>
              </w:rPr>
              <w:t>建设项目</w:t>
            </w:r>
            <w:r>
              <w:rPr>
                <w:iCs/>
                <w:sz w:val="24"/>
              </w:rPr>
              <w:t>。</w:t>
            </w:r>
            <w:r>
              <w:rPr>
                <w:rFonts w:hint="eastAsia"/>
                <w:sz w:val="24"/>
              </w:rPr>
              <w:t>同时，乐山市市中区发展和改革局对本项目以备案号川投资备【201</w:t>
            </w:r>
            <w:r>
              <w:rPr>
                <w:rFonts w:hint="eastAsia"/>
                <w:sz w:val="24"/>
                <w:lang w:val="en-US" w:eastAsia="zh-CN"/>
              </w:rPr>
              <w:t>9</w:t>
            </w:r>
            <w:r>
              <w:rPr>
                <w:rFonts w:hint="eastAsia"/>
                <w:sz w:val="24"/>
              </w:rPr>
              <w:t>-511102-</w:t>
            </w:r>
            <w:r>
              <w:rPr>
                <w:rFonts w:hint="eastAsia"/>
                <w:sz w:val="24"/>
                <w:lang w:val="en-US" w:eastAsia="zh-CN"/>
              </w:rPr>
              <w:t>20</w:t>
            </w:r>
            <w:r>
              <w:rPr>
                <w:rFonts w:hint="eastAsia"/>
                <w:sz w:val="24"/>
              </w:rPr>
              <w:t>-03-</w:t>
            </w:r>
            <w:r>
              <w:rPr>
                <w:rFonts w:hint="eastAsia"/>
                <w:sz w:val="24"/>
                <w:lang w:val="en-US" w:eastAsia="zh-CN"/>
              </w:rPr>
              <w:t>371074</w:t>
            </w:r>
            <w:r>
              <w:rPr>
                <w:rFonts w:hint="eastAsia"/>
                <w:sz w:val="24"/>
              </w:rPr>
              <w:t>】FGQB-00</w:t>
            </w:r>
            <w:r>
              <w:rPr>
                <w:rFonts w:hint="eastAsia"/>
                <w:sz w:val="24"/>
                <w:lang w:val="en-US" w:eastAsia="zh-CN"/>
              </w:rPr>
              <w:t>9</w:t>
            </w:r>
            <w:r>
              <w:rPr>
                <w:rFonts w:hint="eastAsia"/>
                <w:sz w:val="24"/>
              </w:rPr>
              <w:t>3号号文出具了建设单位投资项目备案通知书，同意项目备案。</w:t>
            </w:r>
          </w:p>
          <w:p>
            <w:pPr>
              <w:spacing w:line="360" w:lineRule="auto"/>
              <w:ind w:firstLine="482" w:firstLineChars="200"/>
              <w:rPr>
                <w:rFonts w:hint="eastAsia"/>
                <w:b/>
                <w:sz w:val="24"/>
                <w:szCs w:val="28"/>
              </w:rPr>
            </w:pPr>
            <w:r>
              <w:rPr>
                <w:b/>
                <w:sz w:val="24"/>
                <w:szCs w:val="28"/>
              </w:rPr>
              <w:t>综上所述，本项目符合相关法律法规和政策规定，符合国家现行产业政策。</w:t>
            </w:r>
          </w:p>
          <w:p>
            <w:pPr>
              <w:spacing w:line="360" w:lineRule="auto"/>
              <w:rPr>
                <w:rFonts w:hint="eastAsia" w:hAnsi="宋体"/>
                <w:b/>
                <w:sz w:val="24"/>
              </w:rPr>
            </w:pPr>
            <w:r>
              <w:rPr>
                <w:rFonts w:hint="eastAsia" w:hAnsi="宋体"/>
                <w:b/>
                <w:sz w:val="24"/>
              </w:rPr>
              <w:t>（3）三线一单符合性分析</w:t>
            </w:r>
          </w:p>
          <w:p>
            <w:pPr>
              <w:spacing w:line="360" w:lineRule="auto"/>
              <w:ind w:firstLine="480" w:firstLineChars="200"/>
              <w:rPr>
                <w:rFonts w:hint="eastAsia"/>
                <w:iCs/>
                <w:sz w:val="24"/>
              </w:rPr>
            </w:pPr>
            <w:r>
              <w:rPr>
                <w:rFonts w:hint="eastAsia"/>
                <w:iCs/>
                <w:sz w:val="24"/>
              </w:rPr>
              <w:t>1、与生态红线符合性分析</w:t>
            </w:r>
          </w:p>
          <w:p>
            <w:pPr>
              <w:spacing w:line="360" w:lineRule="auto"/>
              <w:ind w:firstLine="480" w:firstLineChars="200"/>
              <w:rPr>
                <w:rFonts w:hint="eastAsia"/>
                <w:iCs/>
                <w:sz w:val="24"/>
              </w:rPr>
            </w:pPr>
            <w:r>
              <w:rPr>
                <w:rFonts w:hint="eastAsia"/>
                <w:iCs/>
                <w:sz w:val="24"/>
              </w:rPr>
              <w:t>本项目位于乐山市</w:t>
            </w:r>
            <w:r>
              <w:rPr>
                <w:rFonts w:hint="eastAsia"/>
                <w:iCs/>
                <w:sz w:val="24"/>
                <w:lang w:eastAsia="zh-CN"/>
              </w:rPr>
              <w:t>市中区土主镇红岩坝村六组</w:t>
            </w:r>
            <w:r>
              <w:rPr>
                <w:rFonts w:hint="eastAsia"/>
                <w:iCs/>
                <w:sz w:val="24"/>
              </w:rPr>
              <w:t>4</w:t>
            </w:r>
            <w:r>
              <w:rPr>
                <w:rFonts w:hint="eastAsia"/>
                <w:iCs/>
                <w:sz w:val="24"/>
                <w:lang w:val="en-US" w:eastAsia="zh-CN"/>
              </w:rPr>
              <w:t>7</w:t>
            </w:r>
            <w:r>
              <w:rPr>
                <w:rFonts w:hint="eastAsia"/>
                <w:iCs/>
                <w:sz w:val="24"/>
              </w:rPr>
              <w:t>8号，根据</w:t>
            </w:r>
            <w:r>
              <w:rPr>
                <w:rFonts w:hint="eastAsia"/>
                <w:iCs/>
                <w:sz w:val="24"/>
                <w:lang w:eastAsia="zh-CN"/>
              </w:rPr>
              <w:t>《四川省人民政府关于印发四川省生态红线保护方案的通知》（川府发</w:t>
            </w:r>
            <w:r>
              <w:rPr>
                <w:rFonts w:hint="eastAsia"/>
                <w:iCs/>
                <w:sz w:val="24"/>
                <w:lang w:val="en-US" w:eastAsia="zh-CN"/>
              </w:rPr>
              <w:t>[2018]24号</w:t>
            </w:r>
            <w:r>
              <w:rPr>
                <w:rFonts w:hint="eastAsia"/>
                <w:iCs/>
                <w:sz w:val="24"/>
                <w:lang w:eastAsia="zh-CN"/>
              </w:rPr>
              <w:t>）</w:t>
            </w:r>
            <w:r>
              <w:rPr>
                <w:rFonts w:hint="eastAsia"/>
                <w:iCs/>
                <w:sz w:val="24"/>
              </w:rPr>
              <w:t>，</w:t>
            </w:r>
            <w:r>
              <w:rPr>
                <w:rFonts w:hint="eastAsia"/>
                <w:iCs/>
                <w:sz w:val="24"/>
                <w:lang w:eastAsia="zh-CN"/>
              </w:rPr>
              <w:t>查阅四川省下发的生态保护红线范围图，</w:t>
            </w:r>
            <w:r>
              <w:rPr>
                <w:rFonts w:hint="eastAsia"/>
                <w:iCs/>
                <w:sz w:val="24"/>
              </w:rPr>
              <w:t>本项目不在生态红线范围内。</w:t>
            </w:r>
          </w:p>
          <w:p>
            <w:pPr>
              <w:spacing w:line="360" w:lineRule="auto"/>
              <w:ind w:firstLine="480" w:firstLineChars="200"/>
              <w:rPr>
                <w:rFonts w:hint="eastAsia"/>
                <w:iCs/>
                <w:sz w:val="24"/>
              </w:rPr>
            </w:pPr>
            <w:r>
              <w:rPr>
                <w:rFonts w:hint="eastAsia"/>
                <w:iCs/>
                <w:sz w:val="24"/>
              </w:rPr>
              <w:t>2、与资源利用上限符合性分析</w:t>
            </w:r>
          </w:p>
          <w:p>
            <w:pPr>
              <w:spacing w:line="360" w:lineRule="auto"/>
              <w:ind w:firstLine="480" w:firstLineChars="200"/>
              <w:rPr>
                <w:rFonts w:hint="eastAsia"/>
                <w:iCs/>
                <w:sz w:val="24"/>
              </w:rPr>
            </w:pPr>
            <w:r>
              <w:rPr>
                <w:rFonts w:hint="eastAsia"/>
                <w:iCs/>
                <w:sz w:val="24"/>
              </w:rPr>
              <w:t>本项目是对人造板进行贴面加工项目，项目建设区域不涉及自然保护区、风景名胜区、饮用水源保护区、基本农田保护区和其他需要特别保护的区域。并且本项目所使用的原材料均为外购成品木材，与外购成品三聚氰胺浸渍纸，不涉及采伐。因此本项目符合资源利用上限。</w:t>
            </w:r>
          </w:p>
          <w:p>
            <w:pPr>
              <w:spacing w:line="360" w:lineRule="auto"/>
              <w:ind w:firstLine="480" w:firstLineChars="200"/>
              <w:rPr>
                <w:rFonts w:hint="eastAsia"/>
                <w:iCs/>
                <w:sz w:val="24"/>
              </w:rPr>
            </w:pPr>
            <w:r>
              <w:rPr>
                <w:rFonts w:hint="eastAsia"/>
                <w:iCs/>
                <w:sz w:val="24"/>
              </w:rPr>
              <w:t>3、与环境质量底线分析</w:t>
            </w:r>
          </w:p>
          <w:p>
            <w:pPr>
              <w:spacing w:line="360" w:lineRule="auto"/>
              <w:ind w:firstLine="480" w:firstLineChars="200"/>
              <w:rPr>
                <w:rFonts w:hint="eastAsia"/>
                <w:iCs/>
                <w:sz w:val="24"/>
              </w:rPr>
            </w:pPr>
            <w:r>
              <w:rPr>
                <w:rFonts w:hint="eastAsia"/>
                <w:iCs/>
                <w:sz w:val="24"/>
              </w:rPr>
              <w:t>本项目位于乐山市</w:t>
            </w:r>
            <w:r>
              <w:rPr>
                <w:rFonts w:hint="eastAsia"/>
                <w:iCs/>
                <w:sz w:val="24"/>
                <w:lang w:eastAsia="zh-CN"/>
              </w:rPr>
              <w:t>土主镇</w:t>
            </w:r>
            <w:r>
              <w:rPr>
                <w:rFonts w:hint="eastAsia"/>
                <w:iCs/>
                <w:sz w:val="24"/>
              </w:rPr>
              <w:t>，</w:t>
            </w:r>
            <w:r>
              <w:rPr>
                <w:rFonts w:hint="eastAsia"/>
                <w:iCs/>
                <w:sz w:val="24"/>
                <w:lang w:eastAsia="zh-CN"/>
              </w:rPr>
              <w:t>四川成检环境检测有限公司</w:t>
            </w:r>
            <w:r>
              <w:rPr>
                <w:rFonts w:hint="eastAsia"/>
                <w:iCs/>
                <w:sz w:val="24"/>
              </w:rPr>
              <w:t>对项目所在区域大气环境和噪声环境进行了监测，根据检测结果显示，项目区域大气环境和声学环境均符合相应类别要求，有一定环境容量，能够接纳本项目产生污染物。</w:t>
            </w:r>
          </w:p>
          <w:p>
            <w:pPr>
              <w:spacing w:line="360" w:lineRule="auto"/>
              <w:ind w:firstLine="480" w:firstLineChars="200"/>
              <w:rPr>
                <w:rFonts w:hint="eastAsia"/>
                <w:iCs/>
                <w:sz w:val="24"/>
              </w:rPr>
            </w:pPr>
            <w:r>
              <w:rPr>
                <w:rFonts w:hint="eastAsia"/>
                <w:iCs/>
                <w:sz w:val="24"/>
              </w:rPr>
              <w:t>4、与环境准入负面清单符合性分析</w:t>
            </w:r>
          </w:p>
          <w:p>
            <w:pPr>
              <w:spacing w:line="360" w:lineRule="auto"/>
              <w:ind w:firstLine="480" w:firstLineChars="200"/>
              <w:rPr>
                <w:rFonts w:hAnsi="宋体"/>
                <w:bCs/>
                <w:sz w:val="24"/>
              </w:rPr>
            </w:pPr>
            <w:r>
              <w:rPr>
                <w:rFonts w:hint="eastAsia"/>
                <w:iCs/>
                <w:sz w:val="24"/>
              </w:rPr>
              <w:t>本项目属于单板加工项目，根据乐山市环境保护局关于印发《乐山市建设项目环境准入负面清单（试行）的通知》，项目不属于其中规定的环境准入负面清单所列。</w:t>
            </w:r>
          </w:p>
          <w:p>
            <w:pPr>
              <w:tabs>
                <w:tab w:val="left" w:pos="474"/>
              </w:tabs>
              <w:spacing w:line="360" w:lineRule="auto"/>
              <w:rPr>
                <w:rFonts w:hint="eastAsia" w:ascii="宋体" w:hAnsi="宋体" w:cs="宋体"/>
                <w:b/>
                <w:sz w:val="24"/>
              </w:rPr>
            </w:pPr>
            <w:r>
              <w:rPr>
                <w:rFonts w:hint="eastAsia"/>
                <w:b/>
                <w:sz w:val="24"/>
              </w:rPr>
              <w:t>（4）</w:t>
            </w:r>
            <w:r>
              <w:rPr>
                <w:rFonts w:hint="eastAsia" w:ascii="宋体" w:hAnsi="宋体" w:cs="宋体"/>
                <w:b/>
                <w:sz w:val="24"/>
              </w:rPr>
              <w:t>规划符合性及选址合理性分析</w:t>
            </w:r>
          </w:p>
          <w:p>
            <w:pPr>
              <w:tabs>
                <w:tab w:val="left" w:pos="474"/>
              </w:tabs>
              <w:spacing w:line="360" w:lineRule="auto"/>
              <w:ind w:firstLine="482" w:firstLineChars="200"/>
              <w:rPr>
                <w:rFonts w:hint="eastAsia" w:ascii="宋体" w:hAnsi="宋体" w:cs="宋体"/>
                <w:b/>
                <w:sz w:val="24"/>
              </w:rPr>
            </w:pPr>
            <w:r>
              <w:rPr>
                <w:rFonts w:hint="eastAsia"/>
                <w:b/>
                <w:sz w:val="24"/>
              </w:rPr>
              <w:t>①</w:t>
            </w:r>
            <w:r>
              <w:rPr>
                <w:rFonts w:hint="eastAsia" w:ascii="宋体" w:hAnsi="宋体" w:cs="宋体"/>
                <w:b/>
                <w:sz w:val="24"/>
              </w:rPr>
              <w:t>规划符合性分析</w:t>
            </w:r>
          </w:p>
          <w:p>
            <w:pPr>
              <w:spacing w:line="360" w:lineRule="auto"/>
              <w:ind w:firstLine="480" w:firstLineChars="200"/>
              <w:rPr>
                <w:rFonts w:hint="eastAsia" w:ascii="宋体" w:hAnsi="宋体" w:cs="宋体"/>
                <w:sz w:val="24"/>
                <w:lang w:eastAsia="zh-CN"/>
              </w:rPr>
            </w:pPr>
            <w:r>
              <w:rPr>
                <w:rFonts w:hint="eastAsia" w:ascii="宋体" w:hAnsi="宋体" w:cs="宋体"/>
                <w:sz w:val="24"/>
              </w:rPr>
              <w:t>本项目位于乐山市</w:t>
            </w:r>
            <w:r>
              <w:rPr>
                <w:rFonts w:hint="eastAsia" w:ascii="宋体" w:hAnsi="宋体" w:cs="宋体"/>
                <w:sz w:val="24"/>
                <w:lang w:eastAsia="zh-CN"/>
              </w:rPr>
              <w:t>土主镇红岩坝村六组，利用现有闲置厂房进行生产，其土地类型为工业用地，且本项目是通过对刨花板、多层实木板、中密度纤维板与外购成品三聚氰胺浸渍纸进行热压加工，冷却后使之成为装饰免漆板（生态板）。生产工艺不涉及断料、旋切、抛光等工序，也不涉及喷漆、刷漆工序以及木材的烘干等工序，属于单板加工行业，是允许建设项目。</w:t>
            </w:r>
          </w:p>
          <w:p>
            <w:pPr>
              <w:spacing w:line="360" w:lineRule="auto"/>
              <w:ind w:firstLine="480" w:firstLineChars="200"/>
              <w:rPr>
                <w:rFonts w:hint="eastAsia"/>
                <w:b/>
                <w:sz w:val="24"/>
              </w:rPr>
            </w:pPr>
            <w:r>
              <w:rPr>
                <w:rFonts w:hint="eastAsia" w:hAnsi="宋体"/>
                <w:bCs/>
                <w:sz w:val="24"/>
              </w:rPr>
              <w:t>②</w:t>
            </w:r>
            <w:r>
              <w:rPr>
                <w:rFonts w:hint="eastAsia"/>
                <w:b/>
                <w:sz w:val="24"/>
              </w:rPr>
              <w:t>土地利用性质符合性分析</w:t>
            </w:r>
          </w:p>
          <w:p>
            <w:pPr>
              <w:spacing w:line="360" w:lineRule="auto"/>
              <w:ind w:firstLine="480" w:firstLineChars="200"/>
              <w:rPr>
                <w:rFonts w:hint="eastAsia"/>
                <w:sz w:val="24"/>
              </w:rPr>
            </w:pPr>
            <w:r>
              <w:rPr>
                <w:rFonts w:hint="eastAsia"/>
                <w:bCs/>
                <w:sz w:val="24"/>
              </w:rPr>
              <w:t>本项目建设单位租用</w:t>
            </w:r>
            <w:r>
              <w:rPr>
                <w:rFonts w:hint="eastAsia" w:hAnsi="宋体"/>
                <w:bCs/>
                <w:sz w:val="24"/>
              </w:rPr>
              <w:t>乐山市</w:t>
            </w:r>
            <w:r>
              <w:rPr>
                <w:rFonts w:hint="eastAsia" w:hAnsi="宋体"/>
                <w:bCs/>
                <w:sz w:val="24"/>
                <w:lang w:eastAsia="zh-CN"/>
              </w:rPr>
              <w:t>鑫瑞纺织有限公司</w:t>
            </w:r>
            <w:r>
              <w:rPr>
                <w:rFonts w:hint="eastAsia" w:hAnsi="宋体"/>
                <w:bCs/>
                <w:sz w:val="24"/>
              </w:rPr>
              <w:t>位于乐山市</w:t>
            </w:r>
            <w:r>
              <w:rPr>
                <w:rFonts w:hint="eastAsia"/>
                <w:bCs/>
                <w:sz w:val="24"/>
                <w:lang w:eastAsia="zh-CN"/>
              </w:rPr>
              <w:t>市中区土主镇红岩坝村六组</w:t>
            </w:r>
            <w:r>
              <w:rPr>
                <w:rFonts w:hint="eastAsia" w:hAnsi="宋体"/>
                <w:bCs/>
                <w:sz w:val="24"/>
              </w:rPr>
              <w:t>的厂房</w:t>
            </w:r>
            <w:r>
              <w:rPr>
                <w:rFonts w:hint="eastAsia" w:hAnsi="宋体"/>
                <w:bCs/>
                <w:sz w:val="24"/>
                <w:lang w:val="en-US" w:eastAsia="zh-CN"/>
              </w:rPr>
              <w:t>1423.24</w:t>
            </w:r>
            <w:r>
              <w:rPr>
                <w:rFonts w:hint="eastAsia" w:hAnsi="宋体"/>
                <w:bCs/>
                <w:sz w:val="24"/>
              </w:rPr>
              <w:t>m</w:t>
            </w:r>
            <w:r>
              <w:rPr>
                <w:rFonts w:hint="eastAsia" w:hAnsi="宋体"/>
                <w:bCs/>
                <w:sz w:val="24"/>
                <w:vertAlign w:val="superscript"/>
              </w:rPr>
              <w:t>3</w:t>
            </w:r>
            <w:r>
              <w:rPr>
                <w:rFonts w:hint="eastAsia" w:hAnsi="宋体"/>
                <w:bCs/>
                <w:sz w:val="24"/>
              </w:rPr>
              <w:t>进行项目建设</w:t>
            </w:r>
            <w:r>
              <w:rPr>
                <w:rFonts w:hint="eastAsia"/>
                <w:bCs/>
                <w:sz w:val="24"/>
              </w:rPr>
              <w:t>。</w:t>
            </w:r>
            <w:r>
              <w:rPr>
                <w:rFonts w:hint="eastAsia" w:hAnsi="宋体"/>
                <w:bCs/>
                <w:sz w:val="24"/>
              </w:rPr>
              <w:t>根据乐山市</w:t>
            </w:r>
            <w:r>
              <w:rPr>
                <w:rFonts w:hint="eastAsia" w:hAnsi="宋体"/>
                <w:bCs/>
                <w:sz w:val="24"/>
                <w:lang w:eastAsia="zh-CN"/>
              </w:rPr>
              <w:t>鑫瑞纺织有限公司</w:t>
            </w:r>
            <w:r>
              <w:rPr>
                <w:rFonts w:hint="eastAsia"/>
                <w:sz w:val="24"/>
              </w:rPr>
              <w:t>《中华人民共和国国有土地使用证》（乐中国用（201</w:t>
            </w:r>
            <w:r>
              <w:rPr>
                <w:rFonts w:hint="eastAsia"/>
                <w:sz w:val="24"/>
                <w:lang w:val="en-US" w:eastAsia="zh-CN"/>
              </w:rPr>
              <w:t>3</w:t>
            </w:r>
            <w:r>
              <w:rPr>
                <w:rFonts w:hint="eastAsia"/>
                <w:sz w:val="24"/>
              </w:rPr>
              <w:t>）第0</w:t>
            </w:r>
            <w:r>
              <w:rPr>
                <w:rFonts w:hint="eastAsia"/>
                <w:sz w:val="24"/>
                <w:lang w:val="en-US" w:eastAsia="zh-CN"/>
              </w:rPr>
              <w:t>2569</w:t>
            </w:r>
            <w:r>
              <w:rPr>
                <w:rFonts w:hint="eastAsia"/>
                <w:sz w:val="24"/>
              </w:rPr>
              <w:t>号），本项目占地为工业用地，因此本项目用地性质合理。</w:t>
            </w:r>
          </w:p>
          <w:p>
            <w:pPr>
              <w:spacing w:line="360" w:lineRule="auto"/>
              <w:ind w:firstLine="480" w:firstLineChars="200"/>
              <w:rPr>
                <w:rFonts w:hint="eastAsia" w:eastAsia="宋体"/>
                <w:sz w:val="24"/>
                <w:lang w:eastAsia="zh-CN"/>
              </w:rPr>
            </w:pPr>
            <w:r>
              <w:rPr>
                <w:rFonts w:hint="eastAsia" w:hAnsi="宋体"/>
                <w:bCs/>
                <w:sz w:val="24"/>
              </w:rPr>
              <w:t>综上所述，该项目符合当地规划</w:t>
            </w:r>
            <w:r>
              <w:rPr>
                <w:rFonts w:hint="eastAsia" w:hAnsi="宋体"/>
                <w:bCs/>
                <w:sz w:val="24"/>
                <w:lang w:eastAsia="zh-CN"/>
              </w:rPr>
              <w:t>，用地性质合理。</w:t>
            </w:r>
          </w:p>
          <w:p>
            <w:pPr>
              <w:spacing w:line="360" w:lineRule="auto"/>
              <w:rPr>
                <w:rFonts w:hint="eastAsia" w:ascii="宋体" w:hAnsi="宋体" w:cs="宋体"/>
                <w:b/>
                <w:sz w:val="24"/>
              </w:rPr>
            </w:pPr>
            <w:r>
              <w:rPr>
                <w:rFonts w:hint="eastAsia"/>
                <w:b/>
                <w:sz w:val="24"/>
              </w:rPr>
              <w:t>（5）</w:t>
            </w:r>
            <w:r>
              <w:rPr>
                <w:rFonts w:hint="eastAsia" w:ascii="宋体" w:hAnsi="宋体" w:cs="宋体"/>
                <w:b/>
                <w:sz w:val="24"/>
              </w:rPr>
              <w:t>外环境关系合理性分析</w:t>
            </w:r>
          </w:p>
          <w:p>
            <w:pPr>
              <w:spacing w:line="360" w:lineRule="auto"/>
              <w:ind w:firstLine="480" w:firstLineChars="200"/>
              <w:rPr>
                <w:rFonts w:hint="eastAsia"/>
                <w:bCs/>
                <w:sz w:val="24"/>
              </w:rPr>
            </w:pPr>
            <w:r>
              <w:rPr>
                <w:rFonts w:hint="eastAsia"/>
                <w:sz w:val="24"/>
              </w:rPr>
              <w:t>本项目位于</w:t>
            </w:r>
            <w:r>
              <w:rPr>
                <w:rFonts w:hint="eastAsia"/>
                <w:bCs/>
                <w:sz w:val="24"/>
              </w:rPr>
              <w:t>乐山市</w:t>
            </w:r>
            <w:r>
              <w:rPr>
                <w:rFonts w:hint="eastAsia"/>
                <w:bCs/>
                <w:sz w:val="24"/>
                <w:lang w:eastAsia="zh-CN"/>
              </w:rPr>
              <w:t>市中区土主镇红岩坝村六组</w:t>
            </w:r>
            <w:r>
              <w:rPr>
                <w:sz w:val="24"/>
              </w:rPr>
              <w:t>（经度</w:t>
            </w:r>
            <w:r>
              <w:rPr>
                <w:rFonts w:hint="eastAsia"/>
                <w:sz w:val="24"/>
              </w:rPr>
              <w:t>103.</w:t>
            </w:r>
            <w:r>
              <w:rPr>
                <w:rFonts w:hint="eastAsia"/>
                <w:sz w:val="24"/>
                <w:lang w:val="en-US" w:eastAsia="zh-CN"/>
              </w:rPr>
              <w:t>8458</w:t>
            </w:r>
            <w:r>
              <w:rPr>
                <w:sz w:val="24"/>
              </w:rPr>
              <w:t>°</w:t>
            </w:r>
            <w:r>
              <w:rPr>
                <w:rFonts w:hAnsi="宋体"/>
                <w:sz w:val="24"/>
              </w:rPr>
              <w:t>，纬度</w:t>
            </w:r>
            <w:r>
              <w:rPr>
                <w:rFonts w:hint="eastAsia"/>
                <w:sz w:val="24"/>
              </w:rPr>
              <w:t>29.</w:t>
            </w:r>
            <w:r>
              <w:rPr>
                <w:rFonts w:hint="eastAsia"/>
                <w:sz w:val="24"/>
                <w:lang w:val="en-US" w:eastAsia="zh-CN"/>
              </w:rPr>
              <w:t>6519</w:t>
            </w:r>
            <w:r>
              <w:rPr>
                <w:sz w:val="24"/>
              </w:rPr>
              <w:t>°）</w:t>
            </w:r>
            <w:r>
              <w:rPr>
                <w:rFonts w:hint="eastAsia"/>
                <w:bCs/>
                <w:sz w:val="24"/>
              </w:rPr>
              <w:t>，租用</w:t>
            </w:r>
            <w:r>
              <w:rPr>
                <w:rFonts w:hint="eastAsia" w:hAnsi="宋体"/>
                <w:bCs/>
                <w:sz w:val="24"/>
              </w:rPr>
              <w:t>乐山市</w:t>
            </w:r>
            <w:r>
              <w:rPr>
                <w:rFonts w:hint="eastAsia" w:hAnsi="宋体"/>
                <w:bCs/>
                <w:sz w:val="24"/>
                <w:lang w:eastAsia="zh-CN"/>
              </w:rPr>
              <w:t>鑫瑞纺织有限公司的部分</w:t>
            </w:r>
            <w:r>
              <w:rPr>
                <w:rFonts w:hint="eastAsia"/>
                <w:sz w:val="24"/>
              </w:rPr>
              <w:t>厂房</w:t>
            </w:r>
            <w:r>
              <w:rPr>
                <w:rFonts w:hint="eastAsia"/>
                <w:sz w:val="24"/>
                <w:lang w:eastAsia="zh-CN"/>
              </w:rPr>
              <w:t>，其南部仍为原纺织厂仓库</w:t>
            </w:r>
            <w:r>
              <w:rPr>
                <w:rFonts w:hint="eastAsia"/>
                <w:sz w:val="24"/>
              </w:rPr>
              <w:t>。</w:t>
            </w:r>
            <w:r>
              <w:rPr>
                <w:rFonts w:hint="eastAsia"/>
                <w:bCs/>
                <w:sz w:val="24"/>
              </w:rPr>
              <w:t>项目</w:t>
            </w:r>
            <w:r>
              <w:rPr>
                <w:rFonts w:hint="eastAsia"/>
                <w:bCs/>
                <w:sz w:val="24"/>
                <w:lang w:eastAsia="zh-CN"/>
              </w:rPr>
              <w:t>西面紧邻乐山佳利来纺织厂</w:t>
            </w:r>
            <w:r>
              <w:rPr>
                <w:rFonts w:hint="eastAsia"/>
                <w:bCs/>
                <w:sz w:val="24"/>
              </w:rPr>
              <w:t>；</w:t>
            </w:r>
            <w:r>
              <w:rPr>
                <w:rFonts w:hint="eastAsia"/>
                <w:bCs/>
                <w:sz w:val="24"/>
                <w:lang w:eastAsia="zh-CN"/>
              </w:rPr>
              <w:t>西面约</w:t>
            </w:r>
            <w:r>
              <w:rPr>
                <w:rFonts w:hint="eastAsia"/>
                <w:bCs/>
                <w:sz w:val="24"/>
                <w:lang w:val="en-US" w:eastAsia="zh-CN"/>
              </w:rPr>
              <w:t>150</w:t>
            </w:r>
            <w:r>
              <w:rPr>
                <w:rFonts w:hint="eastAsia"/>
                <w:bCs/>
                <w:sz w:val="24"/>
              </w:rPr>
              <w:t>m处为</w:t>
            </w:r>
            <w:r>
              <w:rPr>
                <w:rFonts w:hint="eastAsia"/>
                <w:bCs/>
                <w:sz w:val="24"/>
                <w:lang w:eastAsia="zh-CN"/>
              </w:rPr>
              <w:t>搏乐织布厂</w:t>
            </w:r>
            <w:r>
              <w:rPr>
                <w:rFonts w:hint="eastAsia"/>
                <w:bCs/>
                <w:sz w:val="24"/>
              </w:rPr>
              <w:t>；项目</w:t>
            </w:r>
            <w:r>
              <w:rPr>
                <w:rFonts w:hint="eastAsia"/>
                <w:bCs/>
                <w:sz w:val="24"/>
                <w:lang w:eastAsia="zh-CN"/>
              </w:rPr>
              <w:t>北</w:t>
            </w:r>
            <w:r>
              <w:rPr>
                <w:rFonts w:hint="eastAsia"/>
                <w:bCs/>
                <w:sz w:val="24"/>
              </w:rPr>
              <w:t>紧邻</w:t>
            </w:r>
            <w:r>
              <w:rPr>
                <w:rFonts w:hint="eastAsia"/>
                <w:bCs/>
                <w:sz w:val="24"/>
                <w:lang w:eastAsia="zh-CN"/>
              </w:rPr>
              <w:t>乐井路；东面约</w:t>
            </w:r>
            <w:r>
              <w:rPr>
                <w:rFonts w:hint="eastAsia"/>
                <w:bCs/>
                <w:sz w:val="24"/>
                <w:lang w:val="en-US" w:eastAsia="zh-CN"/>
              </w:rPr>
              <w:t>100m处为剑锋河；</w:t>
            </w:r>
            <w:r>
              <w:rPr>
                <w:rFonts w:hint="eastAsia"/>
                <w:bCs/>
                <w:sz w:val="24"/>
              </w:rPr>
              <w:t>西</w:t>
            </w:r>
            <w:r>
              <w:rPr>
                <w:rFonts w:hint="eastAsia"/>
                <w:bCs/>
                <w:sz w:val="24"/>
                <w:lang w:eastAsia="zh-CN"/>
              </w:rPr>
              <w:t>北</w:t>
            </w:r>
            <w:r>
              <w:rPr>
                <w:rFonts w:hint="eastAsia"/>
                <w:bCs/>
                <w:sz w:val="24"/>
              </w:rPr>
              <w:t>面</w:t>
            </w:r>
            <w:r>
              <w:rPr>
                <w:rFonts w:hint="eastAsia"/>
                <w:bCs/>
                <w:sz w:val="24"/>
                <w:lang w:val="en-US" w:eastAsia="zh-CN"/>
              </w:rPr>
              <w:t>176m</w:t>
            </w:r>
            <w:r>
              <w:rPr>
                <w:rFonts w:hint="eastAsia"/>
                <w:bCs/>
                <w:sz w:val="24"/>
              </w:rPr>
              <w:t>处为</w:t>
            </w:r>
            <w:r>
              <w:rPr>
                <w:rFonts w:hint="eastAsia"/>
                <w:bCs/>
                <w:sz w:val="24"/>
                <w:lang w:eastAsia="zh-CN"/>
              </w:rPr>
              <w:t>永盛纺织</w:t>
            </w:r>
            <w:r>
              <w:rPr>
                <w:rFonts w:hint="eastAsia"/>
                <w:bCs/>
                <w:sz w:val="24"/>
              </w:rPr>
              <w:t>；西北面</w:t>
            </w:r>
            <w:r>
              <w:rPr>
                <w:rFonts w:hint="eastAsia"/>
                <w:bCs/>
                <w:sz w:val="24"/>
                <w:lang w:val="en-US" w:eastAsia="zh-CN"/>
              </w:rPr>
              <w:t>290m</w:t>
            </w:r>
            <w:r>
              <w:rPr>
                <w:rFonts w:hint="eastAsia"/>
                <w:bCs/>
                <w:sz w:val="24"/>
                <w:lang w:eastAsia="zh-CN"/>
              </w:rPr>
              <w:t>是永逸汽修</w:t>
            </w:r>
            <w:r>
              <w:rPr>
                <w:rFonts w:hint="eastAsia"/>
                <w:bCs/>
                <w:sz w:val="24"/>
              </w:rPr>
              <w:t>；项目建设区域周围200m范围内</w:t>
            </w:r>
            <w:r>
              <w:rPr>
                <w:rFonts w:hint="eastAsia"/>
                <w:bCs/>
                <w:sz w:val="24"/>
                <w:lang w:eastAsia="zh-CN"/>
              </w:rPr>
              <w:t>有大约</w:t>
            </w:r>
            <w:r>
              <w:rPr>
                <w:rFonts w:hint="eastAsia"/>
                <w:bCs/>
                <w:sz w:val="24"/>
                <w:lang w:val="en-US" w:eastAsia="zh-CN"/>
              </w:rPr>
              <w:t>10户居民</w:t>
            </w:r>
            <w:r>
              <w:rPr>
                <w:rFonts w:hint="eastAsia"/>
                <w:bCs/>
                <w:sz w:val="24"/>
              </w:rPr>
              <w:t>，最近住户位于本项目</w:t>
            </w:r>
            <w:r>
              <w:rPr>
                <w:rFonts w:hint="eastAsia"/>
                <w:bCs/>
                <w:sz w:val="24"/>
                <w:lang w:eastAsia="zh-CN"/>
              </w:rPr>
              <w:t>东</w:t>
            </w:r>
            <w:r>
              <w:rPr>
                <w:rFonts w:hint="eastAsia"/>
                <w:bCs/>
                <w:sz w:val="24"/>
              </w:rPr>
              <w:t>南面，距离厂界</w:t>
            </w:r>
            <w:r>
              <w:rPr>
                <w:rFonts w:hint="eastAsia"/>
                <w:bCs/>
                <w:sz w:val="24"/>
                <w:lang w:val="en-US" w:eastAsia="zh-CN"/>
              </w:rPr>
              <w:t>90</w:t>
            </w:r>
            <w:r>
              <w:rPr>
                <w:rFonts w:hint="eastAsia"/>
                <w:bCs/>
                <w:sz w:val="24"/>
              </w:rPr>
              <w:t>m，项目</w:t>
            </w:r>
            <w:r>
              <w:rPr>
                <w:rFonts w:hint="eastAsia"/>
                <w:bCs/>
                <w:sz w:val="24"/>
                <w:lang w:eastAsia="zh-CN"/>
              </w:rPr>
              <w:t>西</w:t>
            </w:r>
            <w:r>
              <w:rPr>
                <w:rFonts w:hint="eastAsia"/>
                <w:bCs/>
                <w:sz w:val="24"/>
              </w:rPr>
              <w:t>面</w:t>
            </w:r>
            <w:r>
              <w:rPr>
                <w:rFonts w:hint="eastAsia"/>
                <w:bCs/>
                <w:sz w:val="24"/>
                <w:lang w:val="en-US" w:eastAsia="zh-CN"/>
              </w:rPr>
              <w:t>250-350</w:t>
            </w:r>
            <w:r>
              <w:rPr>
                <w:rFonts w:hint="eastAsia"/>
                <w:bCs/>
                <w:sz w:val="24"/>
              </w:rPr>
              <w:t>m为居民聚居地。</w:t>
            </w:r>
          </w:p>
          <w:p>
            <w:pPr>
              <w:spacing w:line="360" w:lineRule="auto"/>
              <w:ind w:firstLine="480" w:firstLineChars="200"/>
              <w:rPr>
                <w:rFonts w:hint="eastAsia"/>
                <w:sz w:val="24"/>
              </w:rPr>
            </w:pPr>
            <w:r>
              <w:rPr>
                <w:rFonts w:hint="eastAsia"/>
                <w:sz w:val="24"/>
              </w:rPr>
              <w:t>本项目建设区域不涉及自然保护区、风景名胜区、饮用水源保护区、基本农田保护区和其他需要特别保护的区域，无重大制约因素。</w:t>
            </w:r>
          </w:p>
          <w:p>
            <w:pPr>
              <w:spacing w:line="360" w:lineRule="auto"/>
              <w:ind w:firstLine="480" w:firstLineChars="200"/>
              <w:rPr>
                <w:rFonts w:hint="eastAsia"/>
                <w:sz w:val="24"/>
              </w:rPr>
            </w:pPr>
            <w:r>
              <w:rPr>
                <w:rFonts w:hint="eastAsia"/>
                <w:sz w:val="24"/>
              </w:rPr>
              <w:t>根据项目所在区域环境质量现状监测资料可知，项目所在区域声学环境、大气环境、地表水环境质量较好，有一定的环境容量。项目所在地交通便利，便于本项目原辅材料和产品的运输；区域内水、电等基础设施完善，可满足本项目运营期生产、办公需求。从项目所处的外环境关系，企业之间具有一定的相容性，外环境制约因素较小。</w:t>
            </w:r>
          </w:p>
          <w:p>
            <w:pPr>
              <w:spacing w:line="360" w:lineRule="auto"/>
              <w:ind w:firstLine="480" w:firstLineChars="200"/>
              <w:rPr>
                <w:rFonts w:hint="eastAsia"/>
                <w:sz w:val="24"/>
              </w:rPr>
            </w:pPr>
            <w:r>
              <w:rPr>
                <w:rFonts w:hint="eastAsia"/>
                <w:sz w:val="24"/>
              </w:rPr>
              <w:t>因此，本项目的建设和运营不会对周边环境产生明显影响。</w:t>
            </w:r>
          </w:p>
          <w:p>
            <w:pPr>
              <w:spacing w:line="360" w:lineRule="auto"/>
              <w:rPr>
                <w:rFonts w:hint="eastAsia" w:ascii="宋体" w:hAnsi="宋体"/>
                <w:b/>
                <w:sz w:val="24"/>
              </w:rPr>
            </w:pPr>
            <w:r>
              <w:rPr>
                <w:rFonts w:hint="eastAsia" w:ascii="宋体" w:hAnsi="宋体"/>
                <w:b/>
                <w:sz w:val="24"/>
              </w:rPr>
              <w:t>（6）平面布置合理性</w:t>
            </w:r>
          </w:p>
          <w:p>
            <w:pPr>
              <w:adjustRightInd w:val="0"/>
              <w:spacing w:line="360" w:lineRule="auto"/>
              <w:ind w:firstLine="480" w:firstLineChars="200"/>
              <w:rPr>
                <w:rFonts w:hint="eastAsia"/>
                <w:sz w:val="24"/>
              </w:rPr>
            </w:pPr>
            <w:r>
              <w:rPr>
                <w:rFonts w:hint="eastAsia"/>
                <w:bCs/>
                <w:sz w:val="24"/>
              </w:rPr>
              <w:t>本项目位于乐山市</w:t>
            </w:r>
            <w:r>
              <w:rPr>
                <w:rFonts w:hint="eastAsia"/>
                <w:bCs/>
                <w:sz w:val="24"/>
                <w:lang w:eastAsia="zh-CN"/>
              </w:rPr>
              <w:t>市中区土主镇红岩坝村六组</w:t>
            </w:r>
            <w:r>
              <w:rPr>
                <w:sz w:val="24"/>
              </w:rPr>
              <w:t>（经度</w:t>
            </w:r>
            <w:r>
              <w:rPr>
                <w:rFonts w:hint="eastAsia"/>
                <w:sz w:val="24"/>
              </w:rPr>
              <w:t>103.</w:t>
            </w:r>
            <w:r>
              <w:rPr>
                <w:rFonts w:hint="eastAsia"/>
                <w:sz w:val="24"/>
                <w:lang w:val="en-US" w:eastAsia="zh-CN"/>
              </w:rPr>
              <w:t>8458</w:t>
            </w:r>
            <w:r>
              <w:rPr>
                <w:sz w:val="24"/>
              </w:rPr>
              <w:t>°</w:t>
            </w:r>
            <w:r>
              <w:rPr>
                <w:rFonts w:hAnsi="宋体"/>
                <w:sz w:val="24"/>
              </w:rPr>
              <w:t>，纬度</w:t>
            </w:r>
            <w:r>
              <w:rPr>
                <w:rFonts w:hint="eastAsia"/>
                <w:sz w:val="24"/>
              </w:rPr>
              <w:t>29.</w:t>
            </w:r>
            <w:r>
              <w:rPr>
                <w:rFonts w:hint="eastAsia"/>
                <w:sz w:val="24"/>
                <w:lang w:val="en-US" w:eastAsia="zh-CN"/>
              </w:rPr>
              <w:t>6519</w:t>
            </w:r>
            <w:r>
              <w:rPr>
                <w:sz w:val="24"/>
              </w:rPr>
              <w:t>°）</w:t>
            </w:r>
            <w:r>
              <w:rPr>
                <w:rFonts w:hint="eastAsia"/>
                <w:bCs/>
                <w:sz w:val="24"/>
              </w:rPr>
              <w:t>，项目</w:t>
            </w:r>
            <w:r>
              <w:rPr>
                <w:rFonts w:hint="eastAsia"/>
                <w:sz w:val="24"/>
              </w:rPr>
              <w:t>用地格局呈长方形，</w:t>
            </w:r>
            <w:r>
              <w:rPr>
                <w:rFonts w:hint="eastAsia"/>
                <w:bCs/>
                <w:sz w:val="24"/>
              </w:rPr>
              <w:t>项目占地约</w:t>
            </w:r>
            <w:r>
              <w:rPr>
                <w:rFonts w:hint="eastAsia"/>
                <w:bCs/>
                <w:sz w:val="24"/>
                <w:lang w:val="en-US" w:eastAsia="zh-CN"/>
              </w:rPr>
              <w:t>1423.24</w:t>
            </w:r>
            <w:r>
              <w:rPr>
                <w:rFonts w:hint="eastAsia"/>
                <w:bCs/>
                <w:sz w:val="24"/>
              </w:rPr>
              <w:t>m</w:t>
            </w:r>
            <w:r>
              <w:rPr>
                <w:rFonts w:hint="eastAsia"/>
                <w:bCs/>
                <w:sz w:val="24"/>
                <w:vertAlign w:val="superscript"/>
              </w:rPr>
              <w:t>2</w:t>
            </w:r>
            <w:r>
              <w:rPr>
                <w:rFonts w:hint="eastAsia"/>
                <w:bCs/>
                <w:sz w:val="24"/>
              </w:rPr>
              <w:t>。厂区东南面为辅料区和原料区，</w:t>
            </w:r>
            <w:r>
              <w:rPr>
                <w:rFonts w:hint="eastAsia"/>
                <w:bCs/>
                <w:sz w:val="24"/>
                <w:lang w:eastAsia="zh-CN"/>
              </w:rPr>
              <w:t>北面为</w:t>
            </w:r>
            <w:r>
              <w:rPr>
                <w:rFonts w:hint="eastAsia"/>
                <w:bCs/>
                <w:sz w:val="24"/>
              </w:rPr>
              <w:t>成品区，生产区设置在厂区中心，</w:t>
            </w:r>
            <w:r>
              <w:rPr>
                <w:rFonts w:hint="eastAsia"/>
                <w:bCs/>
                <w:sz w:val="24"/>
                <w:lang w:eastAsia="zh-CN"/>
              </w:rPr>
              <w:t>生产厂区北面有一栋办公楼，</w:t>
            </w:r>
            <w:r>
              <w:rPr>
                <w:rFonts w:hint="eastAsia"/>
                <w:sz w:val="24"/>
              </w:rPr>
              <w:t>厂区内部交通设计简捷流畅，出入口设置合理，彼此相互无干扰，减少各个建筑单体之间的交通干扰，满足生产的工业流程需要。</w:t>
            </w:r>
            <w:r>
              <w:rPr>
                <w:rFonts w:hint="eastAsia"/>
                <w:sz w:val="24"/>
                <w:szCs w:val="28"/>
              </w:rPr>
              <w:t>高噪声设备产噪位置相对集中，设置在厂区中心的生产区，远离厂界布设，以减少生声对环境影响。并且厂区周围</w:t>
            </w:r>
            <w:r>
              <w:rPr>
                <w:rFonts w:hint="eastAsia"/>
                <w:sz w:val="24"/>
                <w:szCs w:val="28"/>
                <w:lang w:eastAsia="zh-CN"/>
              </w:rPr>
              <w:t>有</w:t>
            </w:r>
            <w:r>
              <w:rPr>
                <w:rFonts w:hint="eastAsia"/>
                <w:sz w:val="24"/>
                <w:szCs w:val="28"/>
              </w:rPr>
              <w:t>一定面积绿化，既能吸尘降噪，又美化环境。</w:t>
            </w:r>
          </w:p>
          <w:p>
            <w:pPr>
              <w:spacing w:line="360" w:lineRule="auto"/>
              <w:ind w:firstLine="480" w:firstLineChars="200"/>
              <w:rPr>
                <w:sz w:val="24"/>
                <w:szCs w:val="28"/>
              </w:rPr>
            </w:pPr>
            <w:r>
              <w:rPr>
                <w:sz w:val="24"/>
                <w:szCs w:val="28"/>
              </w:rPr>
              <w:t>综上分析，项目各功能分区明确、间距合理，避免了相互干扰，在生产厂房布局时满足工艺流程，也满足功能分区要求及运输作业要求，项目总平面布置合理。</w:t>
            </w:r>
          </w:p>
          <w:p>
            <w:pPr>
              <w:spacing w:line="360" w:lineRule="auto"/>
              <w:rPr>
                <w:b/>
                <w:sz w:val="24"/>
              </w:rPr>
            </w:pPr>
            <w:r>
              <w:rPr>
                <w:rFonts w:hint="eastAsia"/>
                <w:b/>
                <w:sz w:val="24"/>
              </w:rPr>
              <w:t>（7）</w:t>
            </w:r>
            <w:r>
              <w:rPr>
                <w:b/>
                <w:sz w:val="24"/>
              </w:rPr>
              <w:t>区域环境质量状况结论</w:t>
            </w:r>
          </w:p>
          <w:p>
            <w:pPr>
              <w:spacing w:line="360" w:lineRule="auto"/>
              <w:ind w:firstLine="480" w:firstLineChars="200"/>
              <w:rPr>
                <w:sz w:val="24"/>
              </w:rPr>
            </w:pPr>
            <w:r>
              <w:rPr>
                <w:sz w:val="24"/>
              </w:rPr>
              <w:t>（1）大气环境</w:t>
            </w:r>
          </w:p>
          <w:p>
            <w:pPr>
              <w:spacing w:line="360" w:lineRule="auto"/>
              <w:ind w:firstLine="480" w:firstLineChars="200"/>
              <w:rPr>
                <w:rFonts w:hint="eastAsia"/>
                <w:sz w:val="24"/>
              </w:rPr>
            </w:pPr>
            <w:r>
              <w:rPr>
                <w:rFonts w:hint="eastAsia"/>
                <w:sz w:val="24"/>
              </w:rPr>
              <w:t>监测结果表明，各项监测标准均低于《环境空气质量标准》（GB3095-2012）中二级标准要求，项目区域空气质量良好。</w:t>
            </w:r>
          </w:p>
          <w:p>
            <w:pPr>
              <w:spacing w:line="360" w:lineRule="auto"/>
              <w:ind w:firstLine="480" w:firstLineChars="200"/>
              <w:rPr>
                <w:rFonts w:hint="eastAsia"/>
                <w:sz w:val="24"/>
              </w:rPr>
            </w:pPr>
            <w:r>
              <w:rPr>
                <w:sz w:val="24"/>
              </w:rPr>
              <w:t>（</w:t>
            </w:r>
            <w:r>
              <w:rPr>
                <w:rFonts w:hint="eastAsia"/>
                <w:sz w:val="24"/>
              </w:rPr>
              <w:t>2</w:t>
            </w:r>
            <w:r>
              <w:rPr>
                <w:sz w:val="24"/>
              </w:rPr>
              <w:t>）地表水环境</w:t>
            </w:r>
          </w:p>
          <w:p>
            <w:pPr>
              <w:spacing w:line="360" w:lineRule="auto"/>
              <w:ind w:firstLine="480" w:firstLineChars="200"/>
              <w:rPr>
                <w:rFonts w:hint="eastAsia"/>
                <w:kern w:val="0"/>
                <w:sz w:val="24"/>
              </w:rPr>
            </w:pPr>
            <w:r>
              <w:rPr>
                <w:rFonts w:hint="eastAsia"/>
                <w:sz w:val="24"/>
                <w:lang w:eastAsia="zh-CN"/>
              </w:rPr>
              <w:t>本项目无生产废水外排，员工生活污水用于农灌。因此不会对地表水环境造成影响。</w:t>
            </w:r>
          </w:p>
          <w:p>
            <w:pPr>
              <w:spacing w:line="360" w:lineRule="auto"/>
              <w:ind w:firstLine="480" w:firstLineChars="200"/>
              <w:rPr>
                <w:sz w:val="24"/>
              </w:rPr>
            </w:pPr>
            <w:r>
              <w:rPr>
                <w:rFonts w:hint="eastAsia"/>
                <w:sz w:val="24"/>
              </w:rPr>
              <w:t>（3）</w:t>
            </w:r>
            <w:r>
              <w:rPr>
                <w:sz w:val="24"/>
              </w:rPr>
              <w:t>声环境</w:t>
            </w:r>
          </w:p>
          <w:p>
            <w:pPr>
              <w:spacing w:line="360" w:lineRule="auto"/>
              <w:ind w:firstLine="480" w:firstLineChars="200"/>
              <w:rPr>
                <w:rFonts w:hint="eastAsia"/>
                <w:sz w:val="24"/>
              </w:rPr>
            </w:pPr>
            <w:r>
              <w:rPr>
                <w:sz w:val="24"/>
              </w:rPr>
              <w:t>厂界所有监测点监测值均未超标，能满足《声环境质量标准》（GB3096-2008）</w:t>
            </w:r>
            <w:r>
              <w:rPr>
                <w:rFonts w:hint="eastAsia"/>
                <w:sz w:val="24"/>
              </w:rPr>
              <w:t>2</w:t>
            </w:r>
            <w:r>
              <w:rPr>
                <w:sz w:val="24"/>
              </w:rPr>
              <w:t>类标准限值，表明当地的声环境质量较好。</w:t>
            </w:r>
          </w:p>
          <w:p>
            <w:pPr>
              <w:spacing w:line="360" w:lineRule="auto"/>
              <w:rPr>
                <w:b/>
                <w:sz w:val="24"/>
              </w:rPr>
            </w:pPr>
            <w:r>
              <w:rPr>
                <w:rFonts w:hint="eastAsia"/>
                <w:b/>
                <w:sz w:val="24"/>
              </w:rPr>
              <w:t>（8）</w:t>
            </w:r>
            <w:r>
              <w:rPr>
                <w:b/>
                <w:sz w:val="24"/>
              </w:rPr>
              <w:t>环境影响评价结论</w:t>
            </w:r>
          </w:p>
          <w:p>
            <w:pPr>
              <w:spacing w:line="360" w:lineRule="auto"/>
              <w:ind w:firstLine="480" w:firstLineChars="200"/>
              <w:rPr>
                <w:sz w:val="24"/>
              </w:rPr>
            </w:pPr>
            <w:r>
              <w:rPr>
                <w:rFonts w:hint="eastAsia" w:ascii="宋体" w:hAnsi="宋体"/>
                <w:sz w:val="24"/>
              </w:rPr>
              <w:t>①</w:t>
            </w:r>
            <w:r>
              <w:rPr>
                <w:sz w:val="24"/>
              </w:rPr>
              <w:t>废水</w:t>
            </w:r>
          </w:p>
          <w:p>
            <w:pPr>
              <w:widowControl/>
              <w:snapToGrid w:val="0"/>
              <w:spacing w:line="360" w:lineRule="auto"/>
              <w:ind w:firstLine="480" w:firstLineChars="200"/>
              <w:rPr>
                <w:rFonts w:hint="eastAsia"/>
                <w:sz w:val="24"/>
              </w:rPr>
            </w:pPr>
            <w:r>
              <w:rPr>
                <w:rFonts w:hint="eastAsia" w:ascii="宋体" w:hAnsi="宋体"/>
                <w:bCs/>
                <w:sz w:val="24"/>
              </w:rPr>
              <w:t>本项目运营期间废水主要为职工生活污水，生活污水</w:t>
            </w:r>
            <w:r>
              <w:rPr>
                <w:rFonts w:hint="eastAsia" w:ascii="宋体" w:hAnsi="宋体"/>
                <w:bCs/>
                <w:sz w:val="24"/>
                <w:lang w:eastAsia="zh-CN"/>
              </w:rPr>
              <w:t>经化粪池处理后用于农溉</w:t>
            </w:r>
            <w:r>
              <w:rPr>
                <w:rFonts w:hint="eastAsia" w:ascii="宋体" w:hAnsi="宋体"/>
                <w:bCs/>
                <w:sz w:val="24"/>
              </w:rPr>
              <w:t>。</w:t>
            </w:r>
          </w:p>
          <w:p>
            <w:pPr>
              <w:adjustRightInd w:val="0"/>
              <w:snapToGrid w:val="0"/>
              <w:spacing w:line="360" w:lineRule="auto"/>
              <w:ind w:firstLine="444" w:firstLineChars="185"/>
              <w:rPr>
                <w:rFonts w:hint="eastAsia"/>
                <w:sz w:val="24"/>
              </w:rPr>
            </w:pPr>
            <w:r>
              <w:rPr>
                <w:rFonts w:hint="eastAsia" w:ascii="宋体" w:hAnsi="宋体"/>
                <w:sz w:val="24"/>
              </w:rPr>
              <w:t>②</w:t>
            </w:r>
            <w:r>
              <w:rPr>
                <w:sz w:val="24"/>
              </w:rPr>
              <w:t>大气</w:t>
            </w:r>
          </w:p>
          <w:p>
            <w:pPr>
              <w:adjustRightInd w:val="0"/>
              <w:snapToGrid w:val="0"/>
              <w:spacing w:line="360" w:lineRule="auto"/>
              <w:ind w:firstLine="480" w:firstLineChars="200"/>
              <w:rPr>
                <w:rFonts w:hint="eastAsia"/>
                <w:sz w:val="24"/>
              </w:rPr>
            </w:pPr>
            <w:r>
              <w:rPr>
                <w:rFonts w:hint="eastAsia"/>
                <w:sz w:val="24"/>
              </w:rPr>
              <w:t>项目生产期间</w:t>
            </w:r>
            <w:r>
              <w:rPr>
                <w:rFonts w:hint="eastAsia"/>
                <w:b/>
                <w:sz w:val="24"/>
              </w:rPr>
              <w:t>不涉及断料、旋切、抛光等工序，也不涉及喷漆、刷漆工序以及木材的烘干等工序</w:t>
            </w:r>
            <w:r>
              <w:rPr>
                <w:rFonts w:hint="eastAsia"/>
                <w:sz w:val="24"/>
              </w:rPr>
              <w:t>，</w:t>
            </w:r>
            <w:r>
              <w:rPr>
                <w:rFonts w:hint="eastAsia"/>
                <w:b/>
                <w:sz w:val="24"/>
              </w:rPr>
              <w:t>并其原料均采购高质量无粉尘的人造板</w:t>
            </w:r>
            <w:r>
              <w:rPr>
                <w:rFonts w:hint="eastAsia"/>
                <w:sz w:val="24"/>
              </w:rPr>
              <w:t>。故项目在生产过程中不产生粉尘、木屑等污染物。但原料人造板所使用的胶粘剂含有脲醛树脂、酚醛树脂等物质，</w:t>
            </w:r>
            <w:r>
              <w:rPr>
                <w:sz w:val="24"/>
              </w:rPr>
              <w:t>这类物质易挥发出</w:t>
            </w:r>
            <w:r>
              <w:rPr>
                <w:rFonts w:hint="eastAsia"/>
                <w:sz w:val="24"/>
              </w:rPr>
              <w:t>少量</w:t>
            </w:r>
            <w:r>
              <w:rPr>
                <w:sz w:val="24"/>
              </w:rPr>
              <w:t>有机废气</w:t>
            </w:r>
            <w:r>
              <w:rPr>
                <w:rFonts w:hint="eastAsia"/>
                <w:sz w:val="24"/>
              </w:rPr>
              <w:t>。故本项目运营期间产生的废气主要为导热油炉燃烧天然气产生废气与热压工艺中木材中物质挥发的有机废气。</w:t>
            </w:r>
          </w:p>
          <w:p>
            <w:pPr>
              <w:spacing w:line="360" w:lineRule="auto"/>
              <w:ind w:firstLine="480" w:firstLineChars="200"/>
              <w:rPr>
                <w:rFonts w:hint="eastAsia"/>
                <w:color w:val="000000"/>
                <w:sz w:val="24"/>
              </w:rPr>
            </w:pPr>
            <w:r>
              <w:rPr>
                <w:rFonts w:hint="eastAsia"/>
                <w:sz w:val="24"/>
              </w:rPr>
              <w:t>本评价要求其原材料和成品不做大量堆放，同时设置排气筒、抽风机、集气罩、UV光解等设备，使之大气污染物排放浓度均达到</w:t>
            </w:r>
            <w:r>
              <w:rPr>
                <w:sz w:val="24"/>
              </w:rPr>
              <w:t>《</w:t>
            </w:r>
            <w:r>
              <w:rPr>
                <w:rFonts w:hint="eastAsia"/>
                <w:sz w:val="24"/>
              </w:rPr>
              <w:t>锅炉大气污染物</w:t>
            </w:r>
            <w:r>
              <w:rPr>
                <w:sz w:val="24"/>
              </w:rPr>
              <w:t>排放标准》</w:t>
            </w:r>
            <w:r>
              <w:rPr>
                <w:rFonts w:hint="eastAsia"/>
                <w:sz w:val="24"/>
              </w:rPr>
              <w:t>（</w:t>
            </w:r>
            <w:r>
              <w:rPr>
                <w:sz w:val="24"/>
              </w:rPr>
              <w:t>GB</w:t>
            </w:r>
            <w:r>
              <w:rPr>
                <w:rFonts w:hint="eastAsia"/>
                <w:sz w:val="24"/>
              </w:rPr>
              <w:t>13271</w:t>
            </w:r>
            <w:r>
              <w:rPr>
                <w:sz w:val="24"/>
              </w:rPr>
              <w:t>-</w:t>
            </w:r>
            <w:r>
              <w:rPr>
                <w:rFonts w:hint="eastAsia"/>
                <w:sz w:val="24"/>
              </w:rPr>
              <w:t>201）新建锅炉大气污染物浓度排放限值与</w:t>
            </w:r>
            <w:r>
              <w:rPr>
                <w:rFonts w:hint="eastAsia"/>
                <w:bCs/>
                <w:sz w:val="24"/>
              </w:rPr>
              <w:t>《</w:t>
            </w:r>
            <w:r>
              <w:rPr>
                <w:rFonts w:hint="eastAsia"/>
                <w:sz w:val="24"/>
              </w:rPr>
              <w:t>四川省固定污染源大气挥发性有机物排放标准》中第一阶段排气筒挥发性有机物限值。</w:t>
            </w:r>
          </w:p>
          <w:p>
            <w:pPr>
              <w:adjustRightInd w:val="0"/>
              <w:snapToGrid w:val="0"/>
              <w:spacing w:line="360" w:lineRule="auto"/>
              <w:ind w:firstLine="444" w:firstLineChars="185"/>
              <w:rPr>
                <w:sz w:val="24"/>
              </w:rPr>
            </w:pPr>
            <w:r>
              <w:rPr>
                <w:rFonts w:hint="eastAsia" w:ascii="宋体" w:hAnsi="宋体"/>
                <w:sz w:val="24"/>
              </w:rPr>
              <w:t>③</w:t>
            </w:r>
            <w:r>
              <w:rPr>
                <w:sz w:val="24"/>
              </w:rPr>
              <w:t>噪声</w:t>
            </w:r>
          </w:p>
          <w:p>
            <w:pPr>
              <w:spacing w:line="360" w:lineRule="auto"/>
              <w:ind w:firstLine="480" w:firstLineChars="200"/>
              <w:rPr>
                <w:rFonts w:hint="eastAsia" w:ascii="宋体" w:hAnsi="宋体"/>
                <w:sz w:val="24"/>
              </w:rPr>
            </w:pPr>
            <w:r>
              <w:rPr>
                <w:rFonts w:hint="eastAsia"/>
                <w:sz w:val="24"/>
              </w:rPr>
              <w:t>项目运营期间噪声主要来源于生产设备以及进出运输车辆。所有生产设备尽量采用低噪设备，本项目生产区位于厂区中心，厂房为标准化封闭厂房，同时在设备安装时进行了基础减震</w:t>
            </w:r>
            <w:r>
              <w:rPr>
                <w:sz w:val="24"/>
              </w:rPr>
              <w:t>，</w:t>
            </w:r>
            <w:r>
              <w:rPr>
                <w:rFonts w:hint="eastAsia"/>
                <w:sz w:val="24"/>
              </w:rPr>
              <w:t>在采取基础减震、厂房隔声等措施后，同时</w:t>
            </w:r>
            <w:r>
              <w:rPr>
                <w:sz w:val="24"/>
              </w:rPr>
              <w:t>经距离衰减</w:t>
            </w:r>
            <w:r>
              <w:rPr>
                <w:rFonts w:hint="eastAsia"/>
                <w:sz w:val="24"/>
              </w:rPr>
              <w:t>、厂区内绿化阻隔、吸收部分</w:t>
            </w:r>
            <w:r>
              <w:rPr>
                <w:sz w:val="24"/>
              </w:rPr>
              <w:t>，场界噪声</w:t>
            </w:r>
            <w:r>
              <w:rPr>
                <w:rFonts w:hint="eastAsia"/>
                <w:sz w:val="24"/>
              </w:rPr>
              <w:t>基本</w:t>
            </w:r>
            <w:r>
              <w:rPr>
                <w:sz w:val="24"/>
              </w:rPr>
              <w:t>能达到《工业企业厂界环境噪声排放标准》（GB12348—2008）中</w:t>
            </w:r>
            <w:r>
              <w:rPr>
                <w:rFonts w:hint="eastAsia"/>
                <w:sz w:val="24"/>
                <w:lang w:val="en-US" w:eastAsia="zh-CN"/>
              </w:rPr>
              <w:t>2</w:t>
            </w:r>
            <w:r>
              <w:rPr>
                <w:sz w:val="24"/>
              </w:rPr>
              <w:t>类标准限值要求</w:t>
            </w:r>
            <w:r>
              <w:rPr>
                <w:rFonts w:hint="eastAsia"/>
                <w:sz w:val="24"/>
                <w:lang w:eastAsia="zh-CN"/>
              </w:rPr>
              <w:t>，</w:t>
            </w:r>
            <w:r>
              <w:rPr>
                <w:rFonts w:hint="eastAsia"/>
                <w:sz w:val="24"/>
              </w:rPr>
              <w:t>且项目周围200米范围内住户</w:t>
            </w:r>
            <w:r>
              <w:rPr>
                <w:rFonts w:hint="eastAsia"/>
                <w:sz w:val="24"/>
                <w:lang w:eastAsia="zh-CN"/>
              </w:rPr>
              <w:t>居住环境的噪声达标。</w:t>
            </w:r>
            <w:r>
              <w:rPr>
                <w:rFonts w:hint="eastAsia"/>
                <w:sz w:val="24"/>
              </w:rPr>
              <w:t>因此本项目产生的噪声不会对周边声环境造成影响。</w:t>
            </w:r>
          </w:p>
          <w:p>
            <w:pPr>
              <w:snapToGrid w:val="0"/>
              <w:spacing w:line="360" w:lineRule="auto"/>
              <w:ind w:firstLine="480" w:firstLineChars="200"/>
              <w:rPr>
                <w:sz w:val="24"/>
              </w:rPr>
            </w:pPr>
            <w:r>
              <w:rPr>
                <w:rFonts w:hint="eastAsia" w:ascii="宋体" w:hAnsi="宋体"/>
                <w:sz w:val="24"/>
              </w:rPr>
              <w:t>④</w:t>
            </w:r>
            <w:r>
              <w:rPr>
                <w:sz w:val="24"/>
              </w:rPr>
              <w:t>固体废物</w:t>
            </w:r>
          </w:p>
          <w:p>
            <w:pPr>
              <w:adjustRightInd w:val="0"/>
              <w:snapToGrid w:val="0"/>
              <w:spacing w:line="360" w:lineRule="auto"/>
              <w:ind w:firstLine="480" w:firstLineChars="200"/>
              <w:rPr>
                <w:sz w:val="24"/>
              </w:rPr>
            </w:pPr>
            <w:r>
              <w:rPr>
                <w:sz w:val="24"/>
              </w:rPr>
              <w:t>项目营运过程中产生的固体废弃物主要</w:t>
            </w:r>
            <w:r>
              <w:rPr>
                <w:rFonts w:hint="eastAsia"/>
                <w:sz w:val="24"/>
              </w:rPr>
              <w:t>为废品木材、废品浸渍纸、生活垃圾</w:t>
            </w:r>
            <w:r>
              <w:rPr>
                <w:rFonts w:hint="eastAsia"/>
                <w:sz w:val="24"/>
                <w:lang w:eastAsia="zh-CN"/>
              </w:rPr>
              <w:t>、</w:t>
            </w:r>
            <w:r>
              <w:rPr>
                <w:rFonts w:hint="eastAsia"/>
                <w:sz w:val="24"/>
              </w:rPr>
              <w:t>过期导热油</w:t>
            </w:r>
            <w:r>
              <w:rPr>
                <w:rFonts w:hint="eastAsia"/>
                <w:sz w:val="24"/>
                <w:lang w:eastAsia="zh-CN"/>
              </w:rPr>
              <w:t>以及废活性炭</w:t>
            </w:r>
            <w:r>
              <w:rPr>
                <w:rFonts w:hint="eastAsia"/>
                <w:sz w:val="24"/>
              </w:rPr>
              <w:t>。废品木材不随意堆放与长时间堆存，交予原料厂商处理。废品浸渍纸交由当地环卫部门处理、员工生活垃圾经厂内垃圾桶收集后交由当地环卫部门处理。过期的导热油</w:t>
            </w:r>
            <w:r>
              <w:rPr>
                <w:rFonts w:hint="eastAsia"/>
                <w:sz w:val="24"/>
                <w:lang w:eastAsia="zh-CN"/>
              </w:rPr>
              <w:t>和废活性炭</w:t>
            </w:r>
            <w:r>
              <w:rPr>
                <w:rFonts w:hint="eastAsia"/>
                <w:sz w:val="24"/>
              </w:rPr>
              <w:t>属于危险废物，</w:t>
            </w:r>
            <w:r>
              <w:rPr>
                <w:color w:val="000000"/>
                <w:sz w:val="24"/>
              </w:rPr>
              <w:t>项目危险废物须严格遵守《中华人民共和国固体废物污染环境防治法》、《危险废物转移联单管理办法》及《危险废物贮存污染控制标准》的相关规定，建立专门的危险废物贮存设施，危险废物要做到防风、防晒、防雨；贮存设施基础必须防渗，防渗层为2mm厚高密度聚乙烯，贮存设施外应设置警示标志，危险废物在贮存设施内分类堆放等，项目危险废物最终交由具有危险废物处置资质的单位处置</w:t>
            </w:r>
            <w:r>
              <w:rPr>
                <w:rFonts w:hint="eastAsia"/>
                <w:sz w:val="24"/>
              </w:rPr>
              <w:t>。</w:t>
            </w:r>
            <w:r>
              <w:rPr>
                <w:sz w:val="24"/>
              </w:rPr>
              <w:t xml:space="preserve"> </w:t>
            </w:r>
          </w:p>
          <w:p>
            <w:pPr>
              <w:spacing w:line="360" w:lineRule="auto"/>
              <w:rPr>
                <w:rFonts w:hint="eastAsia"/>
                <w:b/>
                <w:sz w:val="24"/>
              </w:rPr>
            </w:pPr>
            <w:r>
              <w:rPr>
                <w:rFonts w:hint="eastAsia"/>
                <w:b/>
                <w:sz w:val="24"/>
              </w:rPr>
              <w:t>（9）可行性结论</w:t>
            </w:r>
          </w:p>
          <w:p>
            <w:pPr>
              <w:adjustRightInd w:val="0"/>
              <w:snapToGrid w:val="0"/>
              <w:spacing w:line="360" w:lineRule="auto"/>
              <w:ind w:firstLine="482" w:firstLineChars="200"/>
              <w:rPr>
                <w:b/>
                <w:kern w:val="0"/>
                <w:sz w:val="24"/>
              </w:rPr>
            </w:pPr>
            <w:r>
              <w:rPr>
                <w:rFonts w:hint="eastAsia"/>
                <w:b/>
                <w:bCs/>
                <w:sz w:val="24"/>
              </w:rPr>
              <w:t>本项目符合国家产业政策要求，选址合理，符合当地规划，项目所在区域内无重大环境制约要素。项目生产贯彻了</w:t>
            </w:r>
            <w:r>
              <w:rPr>
                <w:b/>
                <w:bCs/>
                <w:sz w:val="24"/>
              </w:rPr>
              <w:t>“</w:t>
            </w:r>
            <w:r>
              <w:rPr>
                <w:rFonts w:hint="eastAsia"/>
                <w:b/>
                <w:bCs/>
                <w:sz w:val="24"/>
              </w:rPr>
              <w:t>清洁生产、总量控制和达标排放</w:t>
            </w:r>
            <w:r>
              <w:rPr>
                <w:b/>
                <w:bCs/>
                <w:sz w:val="24"/>
              </w:rPr>
              <w:t>”</w:t>
            </w:r>
            <w:r>
              <w:rPr>
                <w:rFonts w:hint="eastAsia"/>
                <w:b/>
                <w:bCs/>
                <w:sz w:val="24"/>
              </w:rPr>
              <w:t>的原则，</w:t>
            </w:r>
            <w:r>
              <w:rPr>
                <w:rFonts w:hint="eastAsia"/>
                <w:b/>
                <w:bCs/>
                <w:kern w:val="0"/>
                <w:sz w:val="24"/>
              </w:rPr>
              <w:t>采取</w:t>
            </w:r>
            <w:r>
              <w:rPr>
                <w:b/>
                <w:bCs/>
                <w:kern w:val="0"/>
                <w:sz w:val="24"/>
              </w:rPr>
              <w:t>“</w:t>
            </w:r>
            <w:r>
              <w:rPr>
                <w:rFonts w:hint="eastAsia"/>
                <w:b/>
                <w:bCs/>
                <w:kern w:val="0"/>
                <w:sz w:val="24"/>
              </w:rPr>
              <w:t>三废</w:t>
            </w:r>
            <w:r>
              <w:rPr>
                <w:b/>
                <w:bCs/>
                <w:kern w:val="0"/>
                <w:sz w:val="24"/>
              </w:rPr>
              <w:t>”</w:t>
            </w:r>
            <w:r>
              <w:rPr>
                <w:rFonts w:hint="eastAsia"/>
                <w:b/>
                <w:bCs/>
                <w:kern w:val="0"/>
                <w:sz w:val="24"/>
              </w:rPr>
              <w:t>及噪声的治理措施经济技术可行，措施有效，工程实施后，在完成本评价所提出的各项污染防治措施和确保</w:t>
            </w:r>
            <w:r>
              <w:rPr>
                <w:b/>
                <w:bCs/>
                <w:kern w:val="0"/>
                <w:sz w:val="24"/>
              </w:rPr>
              <w:t>“</w:t>
            </w:r>
            <w:r>
              <w:rPr>
                <w:rFonts w:hint="eastAsia"/>
                <w:b/>
                <w:bCs/>
                <w:kern w:val="0"/>
                <w:sz w:val="24"/>
              </w:rPr>
              <w:t>三废</w:t>
            </w:r>
            <w:r>
              <w:rPr>
                <w:b/>
                <w:bCs/>
                <w:kern w:val="0"/>
                <w:sz w:val="24"/>
              </w:rPr>
              <w:t>”</w:t>
            </w:r>
            <w:r>
              <w:rPr>
                <w:rFonts w:hint="eastAsia"/>
                <w:b/>
                <w:bCs/>
                <w:kern w:val="0"/>
                <w:sz w:val="24"/>
              </w:rPr>
              <w:t>污染物达标排放的前提下，不会对地表水、环境空气、声学环境质量产生明显影响。因此，本项目建设从环境保护角度而言是可行的。</w:t>
            </w:r>
          </w:p>
          <w:p>
            <w:pPr>
              <w:spacing w:line="360" w:lineRule="auto"/>
              <w:rPr>
                <w:rFonts w:hint="eastAsia" w:ascii="宋体" w:hAnsi="宋体"/>
                <w:b/>
                <w:sz w:val="28"/>
                <w:szCs w:val="28"/>
              </w:rPr>
            </w:pPr>
            <w:r>
              <w:rPr>
                <w:rFonts w:hint="eastAsia" w:ascii="宋体" w:hAnsi="宋体"/>
                <w:b/>
                <w:sz w:val="28"/>
                <w:szCs w:val="28"/>
              </w:rPr>
              <w:t>二、建议</w:t>
            </w:r>
          </w:p>
          <w:p>
            <w:pPr>
              <w:pStyle w:val="33"/>
              <w:tabs>
                <w:tab w:val="left" w:pos="3300"/>
              </w:tabs>
              <w:adjustRightInd w:val="0"/>
              <w:snapToGrid w:val="0"/>
              <w:rPr>
                <w:rFonts w:hint="eastAsia"/>
                <w:bCs/>
              </w:rPr>
            </w:pPr>
            <w:r>
              <w:rPr>
                <w:rFonts w:hint="eastAsia"/>
              </w:rPr>
              <w:t>1、</w:t>
            </w:r>
            <w:r>
              <w:rPr>
                <w:rFonts w:hint="eastAsia"/>
                <w:bCs/>
              </w:rPr>
              <w:t>建设单位应认真贯彻执行有关建设项目环境保护管理文件的精神，建立健全的各项环境保护规章制度，严格实行“三同时”政策，即污染治理设施要同主项目同时设计、同时建设、同时投产。</w:t>
            </w:r>
          </w:p>
          <w:p>
            <w:pPr>
              <w:pStyle w:val="33"/>
              <w:tabs>
                <w:tab w:val="left" w:pos="3300"/>
              </w:tabs>
              <w:adjustRightInd w:val="0"/>
              <w:snapToGrid w:val="0"/>
              <w:rPr>
                <w:bCs/>
              </w:rPr>
            </w:pPr>
            <w:r>
              <w:rPr>
                <w:rFonts w:ascii="Times New Roman" w:hAnsi="Times New Roman"/>
                <w:bCs/>
              </w:rPr>
              <w:t>2</w:t>
            </w:r>
            <w:r>
              <w:rPr>
                <w:rFonts w:ascii="Times New Roman"/>
                <w:bCs/>
              </w:rPr>
              <w:t>、</w:t>
            </w:r>
            <w:r>
              <w:rPr>
                <w:bCs/>
              </w:rPr>
              <w:t>定期检修设备，</w:t>
            </w:r>
            <w:r>
              <w:rPr>
                <w:rFonts w:hint="eastAsia"/>
                <w:bCs/>
              </w:rPr>
              <w:t>“</w:t>
            </w:r>
            <w:r>
              <w:rPr>
                <w:bCs/>
              </w:rPr>
              <w:t>三废</w:t>
            </w:r>
            <w:r>
              <w:rPr>
                <w:rFonts w:hint="eastAsia"/>
                <w:bCs/>
              </w:rPr>
              <w:t>”</w:t>
            </w:r>
            <w:r>
              <w:rPr>
                <w:bCs/>
              </w:rPr>
              <w:t>治理应有专人管理，并向当地环保行政主管部门定期上报</w:t>
            </w:r>
            <w:r>
              <w:rPr>
                <w:rFonts w:hint="eastAsia"/>
                <w:bCs/>
              </w:rPr>
              <w:t>“</w:t>
            </w:r>
            <w:r>
              <w:rPr>
                <w:bCs/>
              </w:rPr>
              <w:t>三废</w:t>
            </w:r>
            <w:r>
              <w:rPr>
                <w:rFonts w:hint="eastAsia"/>
                <w:bCs/>
              </w:rPr>
              <w:t>”</w:t>
            </w:r>
            <w:r>
              <w:rPr>
                <w:bCs/>
              </w:rPr>
              <w:t>处理情况。</w:t>
            </w:r>
          </w:p>
          <w:p>
            <w:pPr>
              <w:pStyle w:val="33"/>
              <w:tabs>
                <w:tab w:val="left" w:pos="3300"/>
              </w:tabs>
              <w:adjustRightInd w:val="0"/>
              <w:snapToGrid w:val="0"/>
              <w:rPr>
                <w:rFonts w:ascii="Times New Roman" w:hAnsi="Times New Roman"/>
                <w:bCs/>
              </w:rPr>
            </w:pPr>
            <w:r>
              <w:rPr>
                <w:rFonts w:ascii="Times New Roman" w:hAnsi="Times New Roman"/>
                <w:bCs/>
              </w:rPr>
              <w:t>3</w:t>
            </w:r>
            <w:r>
              <w:rPr>
                <w:rFonts w:ascii="Times New Roman"/>
                <w:bCs/>
              </w:rPr>
              <w:t>、</w:t>
            </w:r>
            <w:r>
              <w:rPr>
                <w:bCs/>
              </w:rPr>
              <w:t>加强工艺全过程的环保管理，在经验积累的基础上积极推行清洁生产</w:t>
            </w:r>
            <w:r>
              <w:rPr>
                <w:rFonts w:hint="eastAsia"/>
                <w:bCs/>
              </w:rPr>
              <w:t>，</w:t>
            </w:r>
            <w:r>
              <w:rPr>
                <w:bCs/>
              </w:rPr>
              <w:t>例如，</w:t>
            </w:r>
            <w:r>
              <w:rPr>
                <w:rFonts w:ascii="Times New Roman"/>
                <w:bCs/>
              </w:rPr>
              <w:t>改进工艺，减少生产废料的产生；合理安排工艺流程及车间布置。</w:t>
            </w:r>
          </w:p>
          <w:p>
            <w:pPr>
              <w:pStyle w:val="33"/>
              <w:tabs>
                <w:tab w:val="left" w:pos="3300"/>
              </w:tabs>
              <w:adjustRightInd w:val="0"/>
              <w:snapToGrid w:val="0"/>
              <w:rPr>
                <w:bCs/>
              </w:rPr>
            </w:pPr>
            <w:r>
              <w:rPr>
                <w:rFonts w:ascii="Times New Roman" w:hAnsi="Times New Roman"/>
                <w:bCs/>
              </w:rPr>
              <w:t>4</w:t>
            </w:r>
            <w:r>
              <w:rPr>
                <w:rFonts w:ascii="Times New Roman"/>
                <w:bCs/>
              </w:rPr>
              <w:t>、</w:t>
            </w:r>
            <w:r>
              <w:rPr>
                <w:bCs/>
              </w:rPr>
              <w:t>合理规划车间，尽量采用新工艺，增加吸</w:t>
            </w:r>
            <w:r>
              <w:rPr>
                <w:rFonts w:hint="eastAsia"/>
                <w:bCs/>
              </w:rPr>
              <w:t>声</w:t>
            </w:r>
            <w:r>
              <w:rPr>
                <w:bCs/>
              </w:rPr>
              <w:t>、隔</w:t>
            </w:r>
            <w:r>
              <w:rPr>
                <w:rFonts w:hint="eastAsia"/>
                <w:bCs/>
              </w:rPr>
              <w:t>声</w:t>
            </w:r>
            <w:r>
              <w:rPr>
                <w:bCs/>
              </w:rPr>
              <w:t>设备，尽量减少噪</w:t>
            </w:r>
            <w:r>
              <w:rPr>
                <w:rFonts w:hint="eastAsia"/>
                <w:bCs/>
              </w:rPr>
              <w:t>声</w:t>
            </w:r>
            <w:r>
              <w:rPr>
                <w:bCs/>
              </w:rPr>
              <w:t>源的噪</w:t>
            </w:r>
            <w:r>
              <w:rPr>
                <w:rFonts w:hint="eastAsia"/>
                <w:bCs/>
              </w:rPr>
              <w:t>声</w:t>
            </w:r>
            <w:r>
              <w:rPr>
                <w:bCs/>
              </w:rPr>
              <w:t>强度和厂区噪</w:t>
            </w:r>
            <w:r>
              <w:rPr>
                <w:rFonts w:hint="eastAsia"/>
                <w:bCs/>
              </w:rPr>
              <w:t>声</w:t>
            </w:r>
            <w:r>
              <w:rPr>
                <w:bCs/>
              </w:rPr>
              <w:t>。</w:t>
            </w:r>
          </w:p>
          <w:p>
            <w:pPr>
              <w:pStyle w:val="33"/>
              <w:tabs>
                <w:tab w:val="left" w:pos="3300"/>
              </w:tabs>
              <w:adjustRightInd w:val="0"/>
              <w:snapToGrid w:val="0"/>
              <w:rPr>
                <w:bCs/>
              </w:rPr>
            </w:pPr>
            <w:r>
              <w:rPr>
                <w:rFonts w:ascii="Times New Roman" w:hAnsi="Times New Roman"/>
                <w:bCs/>
              </w:rPr>
              <w:t>5</w:t>
            </w:r>
            <w:r>
              <w:rPr>
                <w:rFonts w:ascii="Times New Roman"/>
                <w:bCs/>
              </w:rPr>
              <w:t>、</w:t>
            </w:r>
            <w:r>
              <w:rPr>
                <w:bCs/>
              </w:rPr>
              <w:t>搞好厂区绿化工作，建筑物周围种植树木及草坪，起到净化空气，美化环境的作用。</w:t>
            </w:r>
          </w:p>
          <w:p>
            <w:pPr>
              <w:pStyle w:val="33"/>
              <w:tabs>
                <w:tab w:val="left" w:pos="3300"/>
              </w:tabs>
              <w:adjustRightInd w:val="0"/>
              <w:snapToGrid w:val="0"/>
              <w:rPr>
                <w:bCs/>
              </w:rPr>
            </w:pPr>
            <w:r>
              <w:rPr>
                <w:rFonts w:ascii="Times New Roman" w:hAnsi="Times New Roman"/>
                <w:bCs/>
              </w:rPr>
              <w:t>6</w:t>
            </w:r>
            <w:r>
              <w:rPr>
                <w:rFonts w:ascii="Times New Roman"/>
                <w:bCs/>
              </w:rPr>
              <w:t>、</w:t>
            </w:r>
            <w:r>
              <w:rPr>
                <w:bCs/>
              </w:rPr>
              <w:t>建立健全的固体废弃物收集、处理和处置措施，各类固体废弃物处置应遵循“分类、回收利用、减量化、无公害、分散与集中处理相结合”这五个原则。</w:t>
            </w:r>
          </w:p>
          <w:p>
            <w:pPr>
              <w:spacing w:before="240" w:line="480" w:lineRule="exact"/>
              <w:jc w:val="center"/>
              <w:rPr>
                <w:rFonts w:hint="eastAsia"/>
                <w:b/>
                <w:bCs/>
                <w:sz w:val="36"/>
              </w:rPr>
            </w:pPr>
          </w:p>
          <w:p>
            <w:pPr>
              <w:spacing w:before="240" w:line="480" w:lineRule="exact"/>
              <w:jc w:val="center"/>
              <w:rPr>
                <w:rFonts w:hint="eastAsia"/>
                <w:b/>
                <w:bCs/>
                <w:sz w:val="36"/>
              </w:rPr>
            </w:pPr>
          </w:p>
          <w:p>
            <w:pPr>
              <w:spacing w:before="240" w:line="480" w:lineRule="exact"/>
              <w:jc w:val="center"/>
              <w:rPr>
                <w:rFonts w:hint="eastAsia"/>
                <w:b/>
                <w:bCs/>
                <w:sz w:val="36"/>
              </w:rPr>
            </w:pPr>
          </w:p>
          <w:p>
            <w:pPr>
              <w:spacing w:before="240" w:line="480" w:lineRule="exact"/>
              <w:jc w:val="center"/>
              <w:rPr>
                <w:rFonts w:hint="eastAsia"/>
                <w:b/>
                <w:bCs/>
                <w:sz w:val="36"/>
              </w:rPr>
            </w:pPr>
          </w:p>
          <w:p>
            <w:pPr>
              <w:spacing w:before="240" w:line="480" w:lineRule="exact"/>
              <w:jc w:val="center"/>
              <w:rPr>
                <w:rFonts w:hint="eastAsia"/>
                <w:b/>
                <w:bCs/>
                <w:sz w:val="36"/>
              </w:rPr>
            </w:pPr>
          </w:p>
          <w:p>
            <w:pPr>
              <w:spacing w:before="240" w:line="480" w:lineRule="exact"/>
              <w:jc w:val="center"/>
              <w:rPr>
                <w:rFonts w:hint="eastAsia"/>
                <w:b/>
                <w:bCs/>
                <w:sz w:val="36"/>
              </w:rPr>
            </w:pPr>
          </w:p>
          <w:p>
            <w:pPr>
              <w:spacing w:before="240" w:line="480" w:lineRule="exact"/>
              <w:jc w:val="center"/>
              <w:rPr>
                <w:rFonts w:hint="eastAsia"/>
                <w:b/>
                <w:bCs/>
                <w:sz w:val="36"/>
              </w:rPr>
            </w:pPr>
          </w:p>
          <w:p>
            <w:pPr>
              <w:spacing w:before="240" w:line="480" w:lineRule="exact"/>
              <w:jc w:val="center"/>
              <w:rPr>
                <w:rFonts w:hint="eastAsia"/>
                <w:b/>
                <w:bCs/>
                <w:sz w:val="36"/>
              </w:rPr>
            </w:pPr>
          </w:p>
          <w:p>
            <w:pPr>
              <w:spacing w:before="240" w:line="480" w:lineRule="exact"/>
              <w:jc w:val="center"/>
              <w:rPr>
                <w:rFonts w:hint="eastAsia"/>
                <w:b/>
                <w:bCs/>
                <w:sz w:val="36"/>
              </w:rPr>
            </w:pPr>
          </w:p>
          <w:p>
            <w:pPr>
              <w:spacing w:before="240" w:line="480" w:lineRule="exact"/>
              <w:jc w:val="center"/>
              <w:rPr>
                <w:b/>
                <w:bCs/>
                <w:sz w:val="36"/>
              </w:rPr>
            </w:pPr>
            <w:r>
              <w:rPr>
                <w:rFonts w:hint="eastAsia"/>
                <w:b/>
                <w:bCs/>
                <w:sz w:val="36"/>
              </w:rPr>
              <w:t>注   释</w:t>
            </w:r>
          </w:p>
          <w:p>
            <w:pPr>
              <w:numPr>
                <w:ilvl w:val="0"/>
                <w:numId w:val="8"/>
              </w:numPr>
              <w:spacing w:line="400" w:lineRule="exact"/>
              <w:rPr>
                <w:rFonts w:hint="eastAsia"/>
                <w:sz w:val="24"/>
              </w:rPr>
            </w:pPr>
            <w:r>
              <w:rPr>
                <w:rFonts w:hint="eastAsia"/>
                <w:sz w:val="24"/>
              </w:rPr>
              <w:t>本报告表应附以下附件、附图：</w:t>
            </w:r>
          </w:p>
          <w:p>
            <w:pPr>
              <w:spacing w:line="400" w:lineRule="exact"/>
              <w:ind w:firstLine="480" w:firstLineChars="200"/>
              <w:rPr>
                <w:rFonts w:hint="eastAsia"/>
                <w:sz w:val="24"/>
              </w:rPr>
            </w:pPr>
            <w:r>
              <w:rPr>
                <w:rFonts w:hint="eastAsia"/>
                <w:sz w:val="24"/>
              </w:rPr>
              <w:t>附件</w:t>
            </w:r>
            <w:r>
              <w:rPr>
                <w:sz w:val="24"/>
              </w:rPr>
              <w:t>1</w:t>
            </w:r>
            <w:r>
              <w:rPr>
                <w:rFonts w:hint="eastAsia"/>
                <w:sz w:val="24"/>
              </w:rPr>
              <w:t>：委托书</w:t>
            </w:r>
          </w:p>
          <w:p>
            <w:pPr>
              <w:spacing w:line="400" w:lineRule="exact"/>
              <w:ind w:firstLine="480" w:firstLineChars="200"/>
              <w:rPr>
                <w:rFonts w:hint="eastAsia" w:eastAsia="宋体"/>
                <w:sz w:val="24"/>
                <w:lang w:eastAsia="zh-CN"/>
              </w:rPr>
            </w:pPr>
            <w:r>
              <w:rPr>
                <w:rFonts w:hint="eastAsia"/>
                <w:sz w:val="24"/>
              </w:rPr>
              <w:t>附件2：</w:t>
            </w:r>
            <w:r>
              <w:rPr>
                <w:rFonts w:hint="eastAsia"/>
                <w:sz w:val="24"/>
                <w:lang w:eastAsia="zh-CN"/>
              </w:rPr>
              <w:t>土主镇政府允许项目建设证明</w:t>
            </w:r>
          </w:p>
          <w:p>
            <w:pPr>
              <w:spacing w:line="400" w:lineRule="exact"/>
              <w:ind w:firstLine="480" w:firstLineChars="200"/>
              <w:rPr>
                <w:rFonts w:hint="eastAsia" w:eastAsia="宋体"/>
                <w:sz w:val="24"/>
                <w:lang w:eastAsia="zh-CN"/>
              </w:rPr>
            </w:pPr>
            <w:r>
              <w:rPr>
                <w:rFonts w:hint="eastAsia"/>
                <w:sz w:val="24"/>
                <w:lang w:eastAsia="zh-CN"/>
              </w:rPr>
              <w:t>附件</w:t>
            </w:r>
            <w:r>
              <w:rPr>
                <w:rFonts w:hint="eastAsia"/>
                <w:sz w:val="24"/>
                <w:lang w:val="en-US" w:eastAsia="zh-CN"/>
              </w:rPr>
              <w:t>3：</w:t>
            </w:r>
            <w:r>
              <w:rPr>
                <w:rFonts w:hint="eastAsia"/>
                <w:sz w:val="24"/>
                <w:lang w:eastAsia="zh-CN"/>
              </w:rPr>
              <w:t>项目备案表</w:t>
            </w:r>
          </w:p>
          <w:p>
            <w:pPr>
              <w:spacing w:line="400" w:lineRule="exact"/>
              <w:ind w:firstLine="480" w:firstLineChars="200"/>
              <w:rPr>
                <w:rFonts w:hint="default" w:eastAsia="宋体"/>
                <w:sz w:val="24"/>
                <w:lang w:val="en-US" w:eastAsia="zh-CN"/>
              </w:rPr>
            </w:pPr>
            <w:r>
              <w:rPr>
                <w:rFonts w:hint="eastAsia"/>
                <w:sz w:val="24"/>
                <w:lang w:eastAsia="zh-CN"/>
              </w:rPr>
              <w:t>附件</w:t>
            </w:r>
            <w:r>
              <w:rPr>
                <w:rFonts w:hint="eastAsia"/>
                <w:sz w:val="24"/>
                <w:lang w:val="en-US" w:eastAsia="zh-CN"/>
              </w:rPr>
              <w:t>4：原项目批复</w:t>
            </w:r>
          </w:p>
          <w:p>
            <w:pPr>
              <w:spacing w:line="400" w:lineRule="exact"/>
              <w:ind w:firstLine="480" w:firstLineChars="200"/>
              <w:rPr>
                <w:rFonts w:hint="eastAsia" w:eastAsia="宋体"/>
                <w:sz w:val="24"/>
                <w:lang w:eastAsia="zh-CN"/>
              </w:rPr>
            </w:pPr>
            <w:r>
              <w:rPr>
                <w:rFonts w:hint="eastAsia"/>
                <w:sz w:val="24"/>
              </w:rPr>
              <w:t>附件</w:t>
            </w:r>
            <w:r>
              <w:rPr>
                <w:rFonts w:hint="eastAsia"/>
                <w:sz w:val="24"/>
                <w:lang w:val="en-US" w:eastAsia="zh-CN"/>
              </w:rPr>
              <w:t>5</w:t>
            </w:r>
            <w:r>
              <w:rPr>
                <w:rFonts w:hint="eastAsia"/>
                <w:sz w:val="24"/>
              </w:rPr>
              <w:t>：</w:t>
            </w:r>
            <w:r>
              <w:rPr>
                <w:rFonts w:hint="eastAsia"/>
                <w:sz w:val="24"/>
                <w:lang w:eastAsia="zh-CN"/>
              </w:rPr>
              <w:t>林泉营业执照</w:t>
            </w:r>
          </w:p>
          <w:p>
            <w:pPr>
              <w:spacing w:line="400" w:lineRule="exact"/>
              <w:ind w:firstLine="480" w:firstLineChars="200"/>
              <w:rPr>
                <w:rFonts w:hint="eastAsia" w:eastAsia="宋体"/>
                <w:sz w:val="24"/>
                <w:lang w:eastAsia="zh-CN"/>
              </w:rPr>
            </w:pPr>
            <w:r>
              <w:rPr>
                <w:rFonts w:hint="eastAsia"/>
                <w:sz w:val="24"/>
              </w:rPr>
              <w:t>附件</w:t>
            </w:r>
            <w:r>
              <w:rPr>
                <w:rFonts w:hint="eastAsia"/>
                <w:sz w:val="24"/>
                <w:lang w:val="en-US" w:eastAsia="zh-CN"/>
              </w:rPr>
              <w:t>6</w:t>
            </w:r>
            <w:r>
              <w:rPr>
                <w:rFonts w:hint="eastAsia"/>
                <w:sz w:val="24"/>
              </w:rPr>
              <w:t>：</w:t>
            </w:r>
            <w:r>
              <w:rPr>
                <w:rFonts w:hint="eastAsia"/>
                <w:sz w:val="24"/>
                <w:lang w:eastAsia="zh-CN"/>
              </w:rPr>
              <w:t>鑫瑞营业执照</w:t>
            </w:r>
          </w:p>
          <w:p>
            <w:pPr>
              <w:spacing w:line="400" w:lineRule="exact"/>
              <w:ind w:firstLine="480" w:firstLineChars="200"/>
              <w:rPr>
                <w:rFonts w:hint="eastAsia" w:eastAsia="宋体"/>
                <w:sz w:val="24"/>
                <w:lang w:eastAsia="zh-CN"/>
              </w:rPr>
            </w:pPr>
            <w:r>
              <w:rPr>
                <w:rFonts w:hint="eastAsia"/>
                <w:sz w:val="24"/>
              </w:rPr>
              <w:t>附件</w:t>
            </w:r>
            <w:r>
              <w:rPr>
                <w:rFonts w:hint="eastAsia"/>
                <w:sz w:val="24"/>
                <w:lang w:val="en-US" w:eastAsia="zh-CN"/>
              </w:rPr>
              <w:t>7</w:t>
            </w:r>
            <w:r>
              <w:rPr>
                <w:rFonts w:hint="eastAsia"/>
                <w:sz w:val="24"/>
              </w:rPr>
              <w:t>：</w:t>
            </w:r>
            <w:r>
              <w:rPr>
                <w:rFonts w:hint="eastAsia"/>
                <w:sz w:val="24"/>
                <w:lang w:eastAsia="zh-CN"/>
              </w:rPr>
              <w:t>租房协议</w:t>
            </w:r>
          </w:p>
          <w:p>
            <w:pPr>
              <w:spacing w:line="400" w:lineRule="exact"/>
              <w:ind w:firstLine="480" w:firstLineChars="200"/>
              <w:rPr>
                <w:rFonts w:hint="eastAsia" w:eastAsia="宋体"/>
                <w:sz w:val="24"/>
                <w:lang w:eastAsia="zh-CN"/>
              </w:rPr>
            </w:pPr>
            <w:r>
              <w:rPr>
                <w:rFonts w:hint="eastAsia"/>
                <w:sz w:val="24"/>
              </w:rPr>
              <w:t>附件</w:t>
            </w:r>
            <w:r>
              <w:rPr>
                <w:rFonts w:hint="eastAsia"/>
                <w:sz w:val="24"/>
                <w:lang w:val="en-US" w:eastAsia="zh-CN"/>
              </w:rPr>
              <w:t>8</w:t>
            </w:r>
            <w:r>
              <w:rPr>
                <w:rFonts w:hint="eastAsia"/>
                <w:sz w:val="24"/>
              </w:rPr>
              <w:t>：</w:t>
            </w:r>
            <w:r>
              <w:rPr>
                <w:rFonts w:hint="eastAsia"/>
                <w:sz w:val="24"/>
                <w:lang w:eastAsia="zh-CN"/>
              </w:rPr>
              <w:t>土地证</w:t>
            </w:r>
          </w:p>
          <w:p>
            <w:pPr>
              <w:spacing w:line="400" w:lineRule="exact"/>
              <w:ind w:firstLine="480" w:firstLineChars="200"/>
              <w:rPr>
                <w:rFonts w:hint="eastAsia" w:eastAsia="宋体"/>
                <w:sz w:val="24"/>
                <w:lang w:eastAsia="zh-CN"/>
              </w:rPr>
            </w:pPr>
            <w:r>
              <w:rPr>
                <w:rFonts w:hint="eastAsia"/>
                <w:sz w:val="24"/>
              </w:rPr>
              <w:t>附件</w:t>
            </w:r>
            <w:r>
              <w:rPr>
                <w:rFonts w:hint="eastAsia"/>
                <w:sz w:val="24"/>
                <w:lang w:val="en-US" w:eastAsia="zh-CN"/>
              </w:rPr>
              <w:t>9</w:t>
            </w:r>
            <w:r>
              <w:rPr>
                <w:rFonts w:hint="eastAsia"/>
                <w:sz w:val="24"/>
              </w:rPr>
              <w:t>：</w:t>
            </w:r>
            <w:r>
              <w:rPr>
                <w:rFonts w:hint="eastAsia"/>
                <w:sz w:val="24"/>
                <w:lang w:eastAsia="zh-CN"/>
              </w:rPr>
              <w:t>土地所有权</w:t>
            </w:r>
          </w:p>
          <w:p>
            <w:pPr>
              <w:spacing w:line="400" w:lineRule="exact"/>
              <w:ind w:firstLine="480" w:firstLineChars="200"/>
              <w:rPr>
                <w:rFonts w:hint="eastAsia"/>
                <w:sz w:val="24"/>
                <w:lang w:eastAsia="zh-CN"/>
              </w:rPr>
            </w:pPr>
            <w:r>
              <w:rPr>
                <w:rFonts w:hint="eastAsia"/>
                <w:sz w:val="24"/>
              </w:rPr>
              <w:t>附件</w:t>
            </w:r>
            <w:r>
              <w:rPr>
                <w:rFonts w:hint="eastAsia"/>
                <w:sz w:val="24"/>
                <w:lang w:val="en-US" w:eastAsia="zh-CN"/>
              </w:rPr>
              <w:t>10</w:t>
            </w:r>
            <w:r>
              <w:rPr>
                <w:rFonts w:hint="eastAsia"/>
                <w:sz w:val="24"/>
              </w:rPr>
              <w:t>：</w:t>
            </w:r>
            <w:r>
              <w:rPr>
                <w:rFonts w:hint="eastAsia"/>
                <w:sz w:val="24"/>
                <w:lang w:eastAsia="zh-CN"/>
              </w:rPr>
              <w:t>鑫瑞法人身份证复印件</w:t>
            </w:r>
          </w:p>
          <w:p>
            <w:pPr>
              <w:spacing w:line="400" w:lineRule="exact"/>
              <w:ind w:firstLine="480" w:firstLineChars="200"/>
              <w:rPr>
                <w:rFonts w:hint="eastAsia" w:eastAsia="宋体"/>
                <w:color w:val="auto"/>
                <w:sz w:val="24"/>
                <w:lang w:eastAsia="zh-CN"/>
              </w:rPr>
            </w:pPr>
            <w:r>
              <w:rPr>
                <w:rFonts w:hint="eastAsia"/>
                <w:color w:val="auto"/>
                <w:sz w:val="24"/>
              </w:rPr>
              <w:t>附件</w:t>
            </w:r>
            <w:r>
              <w:rPr>
                <w:rFonts w:hint="eastAsia"/>
                <w:color w:val="auto"/>
                <w:sz w:val="24"/>
                <w:lang w:val="en-US" w:eastAsia="zh-CN"/>
              </w:rPr>
              <w:t>11</w:t>
            </w:r>
            <w:r>
              <w:rPr>
                <w:rFonts w:hint="eastAsia"/>
                <w:color w:val="auto"/>
                <w:sz w:val="24"/>
              </w:rPr>
              <w:t>：</w:t>
            </w:r>
            <w:r>
              <w:rPr>
                <w:rFonts w:hint="eastAsia"/>
                <w:color w:val="auto"/>
                <w:sz w:val="24"/>
                <w:lang w:eastAsia="zh-CN"/>
              </w:rPr>
              <w:t>危废处置协议</w:t>
            </w:r>
          </w:p>
          <w:p>
            <w:pPr>
              <w:spacing w:line="400" w:lineRule="exact"/>
              <w:ind w:firstLine="480" w:firstLineChars="200"/>
              <w:rPr>
                <w:rFonts w:hint="eastAsia"/>
                <w:sz w:val="24"/>
              </w:rPr>
            </w:pPr>
            <w:r>
              <w:rPr>
                <w:rFonts w:hint="eastAsia"/>
                <w:sz w:val="24"/>
              </w:rPr>
              <w:t>附件1</w:t>
            </w:r>
            <w:r>
              <w:rPr>
                <w:rFonts w:hint="eastAsia"/>
                <w:sz w:val="24"/>
                <w:lang w:val="en-US" w:eastAsia="zh-CN"/>
              </w:rPr>
              <w:t>2</w:t>
            </w:r>
            <w:r>
              <w:rPr>
                <w:rFonts w:hint="eastAsia"/>
                <w:sz w:val="24"/>
              </w:rPr>
              <w:t>：引用</w:t>
            </w:r>
            <w:r>
              <w:rPr>
                <w:rFonts w:hint="eastAsia"/>
                <w:sz w:val="24"/>
                <w:lang w:eastAsia="zh-CN"/>
              </w:rPr>
              <w:t>检测</w:t>
            </w:r>
            <w:r>
              <w:rPr>
                <w:rFonts w:hint="eastAsia"/>
                <w:sz w:val="24"/>
              </w:rPr>
              <w:t>报告</w:t>
            </w:r>
          </w:p>
          <w:p>
            <w:pPr>
              <w:spacing w:line="400" w:lineRule="exact"/>
              <w:ind w:firstLine="480" w:firstLineChars="200"/>
              <w:rPr>
                <w:rFonts w:hint="eastAsia"/>
                <w:sz w:val="24"/>
              </w:rPr>
            </w:pPr>
            <w:r>
              <w:rPr>
                <w:rFonts w:hint="eastAsia"/>
                <w:sz w:val="24"/>
              </w:rPr>
              <w:t>附件1</w:t>
            </w:r>
            <w:r>
              <w:rPr>
                <w:rFonts w:hint="eastAsia"/>
                <w:sz w:val="24"/>
                <w:lang w:val="en-US" w:eastAsia="zh-CN"/>
              </w:rPr>
              <w:t>3</w:t>
            </w:r>
            <w:r>
              <w:rPr>
                <w:rFonts w:hint="eastAsia"/>
                <w:sz w:val="24"/>
              </w:rPr>
              <w:t>：</w:t>
            </w:r>
            <w:r>
              <w:rPr>
                <w:rFonts w:hint="eastAsia"/>
                <w:sz w:val="24"/>
                <w:lang w:eastAsia="zh-CN"/>
              </w:rPr>
              <w:t>检测</w:t>
            </w:r>
            <w:r>
              <w:rPr>
                <w:rFonts w:hint="eastAsia"/>
                <w:sz w:val="24"/>
              </w:rPr>
              <w:t>报告</w:t>
            </w:r>
          </w:p>
          <w:p>
            <w:pPr>
              <w:spacing w:line="400" w:lineRule="exact"/>
              <w:ind w:firstLine="480" w:firstLineChars="200"/>
              <w:rPr>
                <w:rFonts w:hint="eastAsia"/>
                <w:sz w:val="24"/>
                <w:lang w:val="en-US" w:eastAsia="zh-CN"/>
              </w:rPr>
            </w:pPr>
            <w:r>
              <w:rPr>
                <w:rFonts w:hint="eastAsia"/>
                <w:sz w:val="24"/>
                <w:lang w:eastAsia="zh-CN"/>
              </w:rPr>
              <w:t>附件</w:t>
            </w:r>
            <w:r>
              <w:rPr>
                <w:rFonts w:hint="eastAsia"/>
                <w:sz w:val="24"/>
                <w:lang w:val="en-US" w:eastAsia="zh-CN"/>
              </w:rPr>
              <w:t>14：建设项目环评审批基础信息表</w:t>
            </w:r>
          </w:p>
          <w:p>
            <w:pPr>
              <w:spacing w:line="400" w:lineRule="exact"/>
              <w:ind w:firstLine="480" w:firstLineChars="200"/>
              <w:rPr>
                <w:rFonts w:hint="default"/>
                <w:sz w:val="24"/>
                <w:lang w:val="en-US" w:eastAsia="zh-CN"/>
              </w:rPr>
            </w:pPr>
            <w:r>
              <w:rPr>
                <w:rFonts w:hint="eastAsia"/>
                <w:sz w:val="24"/>
                <w:lang w:val="en-US" w:eastAsia="zh-CN"/>
              </w:rPr>
              <w:t>附件15：地表水环境影响评价自查表</w:t>
            </w:r>
          </w:p>
          <w:p>
            <w:pPr>
              <w:spacing w:line="400" w:lineRule="exact"/>
              <w:ind w:firstLine="480" w:firstLineChars="200"/>
              <w:rPr>
                <w:rFonts w:hint="eastAsia"/>
                <w:sz w:val="24"/>
                <w:lang w:val="en-US" w:eastAsia="zh-CN"/>
              </w:rPr>
            </w:pPr>
            <w:r>
              <w:rPr>
                <w:rFonts w:hint="eastAsia"/>
                <w:sz w:val="24"/>
                <w:lang w:eastAsia="zh-CN"/>
              </w:rPr>
              <w:t>附件</w:t>
            </w:r>
            <w:r>
              <w:rPr>
                <w:rFonts w:hint="eastAsia"/>
                <w:sz w:val="24"/>
                <w:lang w:val="en-US" w:eastAsia="zh-CN"/>
              </w:rPr>
              <w:t>16：建设项目大气环境影响评价</w:t>
            </w:r>
          </w:p>
          <w:p>
            <w:pPr>
              <w:spacing w:line="400" w:lineRule="exact"/>
              <w:ind w:firstLine="480" w:firstLineChars="200"/>
              <w:rPr>
                <w:rFonts w:hint="eastAsia"/>
                <w:sz w:val="24"/>
              </w:rPr>
            </w:pPr>
            <w:r>
              <w:rPr>
                <w:rFonts w:hint="eastAsia"/>
                <w:sz w:val="24"/>
                <w:lang w:val="en-US" w:eastAsia="zh-CN"/>
              </w:rPr>
              <w:t>附件17：土壤环境影响自查表</w:t>
            </w:r>
          </w:p>
          <w:p>
            <w:pPr>
              <w:spacing w:line="400" w:lineRule="exact"/>
              <w:ind w:firstLine="480" w:firstLineChars="200"/>
              <w:rPr>
                <w:sz w:val="24"/>
              </w:rPr>
            </w:pPr>
            <w:r>
              <w:rPr>
                <w:rFonts w:hint="eastAsia"/>
                <w:sz w:val="24"/>
              </w:rPr>
              <w:t>附图</w:t>
            </w:r>
            <w:r>
              <w:rPr>
                <w:sz w:val="24"/>
              </w:rPr>
              <w:t>1</w:t>
            </w:r>
            <w:r>
              <w:rPr>
                <w:rFonts w:hint="eastAsia"/>
                <w:sz w:val="24"/>
              </w:rPr>
              <w:t>：地理位置图</w:t>
            </w:r>
          </w:p>
          <w:p>
            <w:pPr>
              <w:spacing w:line="400" w:lineRule="exact"/>
              <w:ind w:firstLine="480" w:firstLineChars="200"/>
              <w:rPr>
                <w:rFonts w:hint="eastAsia"/>
                <w:sz w:val="24"/>
              </w:rPr>
            </w:pPr>
            <w:r>
              <w:rPr>
                <w:rFonts w:hint="eastAsia"/>
                <w:sz w:val="24"/>
              </w:rPr>
              <w:t>附图</w:t>
            </w:r>
            <w:r>
              <w:rPr>
                <w:sz w:val="24"/>
              </w:rPr>
              <w:t>2</w:t>
            </w:r>
            <w:r>
              <w:rPr>
                <w:rFonts w:hint="eastAsia"/>
                <w:sz w:val="24"/>
              </w:rPr>
              <w:t>：</w:t>
            </w:r>
            <w:r>
              <w:rPr>
                <w:rFonts w:hint="eastAsia"/>
                <w:sz w:val="24"/>
                <w:lang w:eastAsia="zh-CN"/>
              </w:rPr>
              <w:t>总</w:t>
            </w:r>
            <w:r>
              <w:rPr>
                <w:rFonts w:hint="eastAsia"/>
                <w:sz w:val="24"/>
              </w:rPr>
              <w:t>平面布置图</w:t>
            </w:r>
          </w:p>
          <w:p>
            <w:pPr>
              <w:spacing w:line="400" w:lineRule="exact"/>
              <w:ind w:firstLine="480" w:firstLineChars="200"/>
              <w:rPr>
                <w:rFonts w:hint="eastAsia"/>
                <w:sz w:val="24"/>
              </w:rPr>
            </w:pPr>
            <w:r>
              <w:rPr>
                <w:rFonts w:hint="eastAsia"/>
                <w:sz w:val="24"/>
              </w:rPr>
              <w:t>附图3：</w:t>
            </w:r>
            <w:r>
              <w:rPr>
                <w:rFonts w:hint="eastAsia"/>
                <w:sz w:val="24"/>
                <w:lang w:eastAsia="zh-CN"/>
              </w:rPr>
              <w:t>外环境及监测布点</w:t>
            </w:r>
            <w:r>
              <w:rPr>
                <w:rFonts w:hint="eastAsia"/>
                <w:sz w:val="24"/>
              </w:rPr>
              <w:t>图</w:t>
            </w:r>
          </w:p>
          <w:p>
            <w:pPr>
              <w:spacing w:line="400" w:lineRule="exact"/>
              <w:ind w:firstLine="480" w:firstLineChars="200"/>
              <w:rPr>
                <w:sz w:val="24"/>
              </w:rPr>
            </w:pPr>
            <w:r>
              <w:rPr>
                <w:rFonts w:hint="eastAsia"/>
                <w:sz w:val="24"/>
              </w:rPr>
              <w:t>附图</w:t>
            </w:r>
            <w:r>
              <w:rPr>
                <w:rFonts w:hint="eastAsia"/>
                <w:sz w:val="24"/>
                <w:lang w:val="en-US" w:eastAsia="zh-CN"/>
              </w:rPr>
              <w:t>4</w:t>
            </w:r>
            <w:r>
              <w:rPr>
                <w:rFonts w:hint="eastAsia"/>
                <w:sz w:val="24"/>
              </w:rPr>
              <w:t>：现场照片</w:t>
            </w:r>
          </w:p>
          <w:p>
            <w:pPr>
              <w:numPr>
                <w:ilvl w:val="0"/>
                <w:numId w:val="8"/>
              </w:numPr>
              <w:spacing w:line="400" w:lineRule="exact"/>
              <w:ind w:left="0" w:firstLine="480" w:firstLineChars="200"/>
              <w:rPr>
                <w:rFonts w:hint="eastAsia"/>
                <w:sz w:val="24"/>
              </w:rPr>
            </w:pPr>
            <w:r>
              <w:rPr>
                <w:rFonts w:hint="eastAsia"/>
                <w:sz w:val="24"/>
              </w:rPr>
              <w:t>如果本报告不能说明项目产生的污染及对环境造成的影响，应进行专项评价。根据建设项目的特点和当地环境特征，应选下列1～2项进行专项评价。</w:t>
            </w:r>
          </w:p>
          <w:p>
            <w:pPr>
              <w:spacing w:line="400" w:lineRule="exact"/>
              <w:ind w:firstLine="480" w:firstLineChars="200"/>
              <w:rPr>
                <w:rFonts w:hint="eastAsia"/>
                <w:sz w:val="24"/>
              </w:rPr>
            </w:pPr>
            <w:r>
              <w:rPr>
                <w:rFonts w:hint="eastAsia"/>
                <w:sz w:val="24"/>
              </w:rPr>
              <w:t>1、大气环境影响专项评价</w:t>
            </w:r>
          </w:p>
          <w:p>
            <w:pPr>
              <w:spacing w:line="400" w:lineRule="exact"/>
              <w:ind w:firstLine="480" w:firstLineChars="200"/>
              <w:rPr>
                <w:rFonts w:hint="eastAsia"/>
                <w:sz w:val="24"/>
              </w:rPr>
            </w:pPr>
            <w:r>
              <w:rPr>
                <w:rFonts w:hint="eastAsia"/>
                <w:sz w:val="24"/>
              </w:rPr>
              <w:t>2、水环境影响专项评价（包括地表水和地下水）</w:t>
            </w:r>
          </w:p>
          <w:p>
            <w:pPr>
              <w:spacing w:line="400" w:lineRule="exact"/>
              <w:ind w:firstLine="480" w:firstLineChars="200"/>
              <w:rPr>
                <w:rFonts w:hint="eastAsia"/>
                <w:sz w:val="24"/>
              </w:rPr>
            </w:pPr>
            <w:r>
              <w:rPr>
                <w:rFonts w:hint="eastAsia"/>
                <w:sz w:val="24"/>
              </w:rPr>
              <w:t>3、生态影响专项评价</w:t>
            </w:r>
          </w:p>
          <w:p>
            <w:pPr>
              <w:spacing w:line="400" w:lineRule="exact"/>
              <w:ind w:firstLine="480" w:firstLineChars="200"/>
              <w:rPr>
                <w:rFonts w:hint="eastAsia"/>
                <w:sz w:val="24"/>
              </w:rPr>
            </w:pPr>
            <w:r>
              <w:rPr>
                <w:rFonts w:hint="eastAsia"/>
                <w:sz w:val="24"/>
              </w:rPr>
              <w:t>4、声环境影响专项评价</w:t>
            </w:r>
          </w:p>
          <w:p>
            <w:pPr>
              <w:spacing w:line="400" w:lineRule="exact"/>
              <w:ind w:firstLine="480" w:firstLineChars="200"/>
              <w:rPr>
                <w:rFonts w:hint="eastAsia"/>
                <w:sz w:val="24"/>
              </w:rPr>
            </w:pPr>
            <w:r>
              <w:rPr>
                <w:rFonts w:hint="eastAsia"/>
                <w:sz w:val="24"/>
              </w:rPr>
              <w:t>5、土壤影响专项评价</w:t>
            </w:r>
          </w:p>
          <w:p>
            <w:pPr>
              <w:spacing w:line="400" w:lineRule="exact"/>
              <w:ind w:firstLine="480" w:firstLineChars="200"/>
              <w:rPr>
                <w:rFonts w:hint="eastAsia"/>
                <w:sz w:val="24"/>
              </w:rPr>
            </w:pPr>
            <w:r>
              <w:rPr>
                <w:rFonts w:hint="eastAsia"/>
                <w:sz w:val="24"/>
              </w:rPr>
              <w:t>6、固体废物影响专项评价</w:t>
            </w:r>
          </w:p>
          <w:p>
            <w:pPr>
              <w:spacing w:line="400" w:lineRule="exact"/>
              <w:ind w:firstLine="480" w:firstLineChars="200"/>
              <w:rPr>
                <w:rFonts w:hint="eastAsia"/>
                <w:sz w:val="24"/>
              </w:rPr>
            </w:pPr>
            <w:r>
              <w:rPr>
                <w:rFonts w:hint="eastAsia"/>
                <w:sz w:val="24"/>
              </w:rPr>
              <w:t>以上专项评价未包括的可另项专项，专项评价按照《环境影响评价技术导则》中的要求进行。</w:t>
            </w:r>
          </w:p>
        </w:tc>
      </w:tr>
    </w:tbl>
    <w:p>
      <w:pPr>
        <w:spacing w:before="2400"/>
        <w:rPr>
          <w:rFonts w:ascii="宋体" w:hAnsi="宋体"/>
          <w:b/>
          <w:sz w:val="30"/>
        </w:rPr>
        <w:sectPr>
          <w:headerReference r:id="rId16" w:type="first"/>
          <w:footerReference r:id="rId19" w:type="first"/>
          <w:headerReference r:id="rId14" w:type="default"/>
          <w:footerReference r:id="rId17" w:type="default"/>
          <w:headerReference r:id="rId15" w:type="even"/>
          <w:footerReference r:id="rId18" w:type="even"/>
          <w:pgSz w:w="11906" w:h="16838"/>
          <w:pgMar w:top="1418" w:right="1418" w:bottom="1701" w:left="1418" w:header="851" w:footer="992" w:gutter="0"/>
          <w:pgNumType w:start="1"/>
          <w:cols w:space="720" w:num="1"/>
          <w:docGrid w:type="lines" w:linePitch="312" w:charSpace="0"/>
        </w:sectPr>
      </w:pPr>
    </w:p>
    <w:p>
      <w:pPr>
        <w:pStyle w:val="2"/>
        <w:jc w:val="both"/>
        <w:rPr>
          <w:b/>
          <w:color w:val="0000FF"/>
          <w:sz w:val="52"/>
        </w:rPr>
      </w:pPr>
    </w:p>
    <w:sectPr>
      <w:headerReference r:id="rId22" w:type="first"/>
      <w:footerReference r:id="rId25" w:type="first"/>
      <w:headerReference r:id="rId20" w:type="default"/>
      <w:footerReference r:id="rId23" w:type="default"/>
      <w:headerReference r:id="rId21" w:type="even"/>
      <w:footerReference r:id="rId24" w:type="even"/>
      <w:pgSz w:w="11906" w:h="16838"/>
      <w:pgMar w:top="1418" w:right="1418" w:bottom="1701"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华文新魏">
    <w:panose1 w:val="02010800040101010101"/>
    <w:charset w:val="86"/>
    <w:family w:val="auto"/>
    <w:pitch w:val="default"/>
    <w:sig w:usb0="00000001" w:usb1="080F0000" w:usb2="00000000" w:usb3="00000000" w:csb0="00040000" w:csb1="00000000"/>
  </w:font>
  <w:font w:name="Plotter">
    <w:altName w:val="Times New Roman"/>
    <w:panose1 w:val="00000000000000000000"/>
    <w:charset w:val="00"/>
    <w:family w:val="roman"/>
    <w:pitch w:val="default"/>
    <w:sig w:usb0="00000000" w:usb1="00000000" w:usb2="00000000" w:usb3="00000000" w:csb0="00040001" w:csb1="00000000"/>
  </w:font>
  <w:font w:name="ti">
    <w:altName w:val="Times New Roman"/>
    <w:panose1 w:val="00000000000000000000"/>
    <w:charset w:val="00"/>
    <w:family w:val="roman"/>
    <w:pitch w:val="default"/>
    <w:sig w:usb0="00000000" w:usb1="00000000" w:usb2="00000000" w:usb3="00000000" w:csb0="00040001" w:csb1="00000000"/>
  </w:font>
  <w:font w:name="方正书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SymbolMT">
    <w:altName w:val="Times New Roman"/>
    <w:panose1 w:val="00000000000000000000"/>
    <w:charset w:val="00"/>
    <w:family w:val="roman"/>
    <w:pitch w:val="default"/>
    <w:sig w:usb0="00000000" w:usb1="00000000" w:usb2="00000000" w:usb3="00000000" w:csb0="00000000" w:csb1="00000000"/>
  </w:font>
  <w:font w:name="TimesNewRomanPSMT">
    <w:altName w:val="SimSun-ExtB"/>
    <w:panose1 w:val="00000000000000000000"/>
    <w:charset w:val="86"/>
    <w:family w:val="roman"/>
    <w:pitch w:val="default"/>
    <w:sig w:usb0="00000000" w:usb1="00000000" w:usb2="00000010" w:usb3="00000000" w:csb0="00040000" w:csb1="00000000"/>
  </w:font>
  <w:font w:name="monospace">
    <w:altName w:val="ESRI AMFM Electric"/>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00000" w:csb1="00000000"/>
  </w:font>
  <w:font w:name="Script">
    <w:altName w:val="Brush Script MT"/>
    <w:panose1 w:val="00000000000000000000"/>
    <w:charset w:val="00"/>
    <w:family w:val="script"/>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0" w:usb3="00000000" w:csb0="00100000" w:csb1="00000000"/>
  </w:font>
  <w:font w:name="UniversalMath1 BT">
    <w:altName w:val="ESRI AMFM Electric"/>
    <w:panose1 w:val="00000000000000000000"/>
    <w:charset w:val="02"/>
    <w:family w:val="roman"/>
    <w:pitch w:val="default"/>
    <w:sig w:usb0="00000000" w:usb1="00000000" w:usb2="00000000" w:usb3="00000000" w:csb0="80000000" w:csb1="00000000"/>
  </w:font>
  <w:font w:name="”“Times New Roman”“">
    <w:altName w:val="宋体"/>
    <w:panose1 w:val="00000000000000000000"/>
    <w:charset w:val="86"/>
    <w:family w:val="roma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SimSun-ExtB">
    <w:panose1 w:val="02010609060101010101"/>
    <w:charset w:val="86"/>
    <w:family w:val="auto"/>
    <w:pitch w:val="default"/>
    <w:sig w:usb0="00000001" w:usb1="02000000" w:usb2="00000000" w:usb3="00000000" w:csb0="00040001" w:csb1="00000000"/>
  </w:font>
  <w:font w:name="ESRI AMFM Electric">
    <w:panose1 w:val="02000400000000000000"/>
    <w:charset w:val="00"/>
    <w:family w:val="auto"/>
    <w:pitch w:val="default"/>
    <w:sig w:usb0="00000003" w:usb1="00000000" w:usb2="00000000" w:usb3="00000000" w:csb0="00000001" w:csb1="00000000"/>
  </w:font>
  <w:font w:name="Brush Script MT">
    <w:panose1 w:val="03060802040406070304"/>
    <w:charset w:val="00"/>
    <w:family w:val="auto"/>
    <w:pitch w:val="default"/>
    <w:sig w:usb0="00000003"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Impact">
    <w:panose1 w:val="020B0806030902050204"/>
    <w:charset w:val="00"/>
    <w:family w:val="swiss"/>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体">
    <w:altName w:val="宋体"/>
    <w:panose1 w:val="00000000000000000000"/>
    <w:charset w:val="86"/>
    <w:family w:val="roman"/>
    <w:pitch w:val="default"/>
    <w:sig w:usb0="00000000" w:usb1="00000000" w:usb2="00000010" w:usb3="00000000" w:csb0="00040000" w:csb1="00000000"/>
  </w:font>
  <w:font w:name="T">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QQHLLD+TimesNewRomanPSMT">
    <w:altName w:val="Microsoft YaHei UI Light"/>
    <w:panose1 w:val="02000500000000000000"/>
    <w:charset w:val="01"/>
    <w:family w:val="auto"/>
    <w:pitch w:val="default"/>
    <w:sig w:usb0="00000000" w:usb1="00000000" w:usb2="00000000" w:usb3="00000000" w:csb0="00040001" w:csb1="00000000"/>
  </w:font>
  <w:font w:name="SUTDFH+TimesNewRomanPSMT">
    <w:altName w:val="Microsoft YaHei UI Light"/>
    <w:panose1 w:val="02000500000000000000"/>
    <w:charset w:val="01"/>
    <w:family w:val="auto"/>
    <w:pitch w:val="default"/>
    <w:sig w:usb0="00000000" w:usb1="00000000" w:usb2="00000000" w:usb3="00000000" w:csb0="00040001" w:csb1="00000000"/>
  </w:font>
  <w:font w:name="Cambria Math">
    <w:panose1 w:val="02040503050406030204"/>
    <w:charset w:val="00"/>
    <w:family w:val="auto"/>
    <w:pitch w:val="default"/>
    <w:sig w:usb0="E00006FF" w:usb1="420024FF" w:usb2="02000000" w:usb3="00000000" w:csb0="2000019F" w:csb1="00000000"/>
  </w:font>
  <w:font w:name="Microsoft YaHei UI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6"/>
      </w:rPr>
    </w:pPr>
    <w:r>
      <w:fldChar w:fldCharType="begin"/>
    </w:r>
    <w:r>
      <w:rPr>
        <w:rStyle w:val="56"/>
      </w:rPr>
      <w:instrText xml:space="preserve">PAGE  </w:instrText>
    </w:r>
    <w:r>
      <w:fldChar w:fldCharType="separate"/>
    </w:r>
    <w:r>
      <w:rPr>
        <w:rStyle w:val="56"/>
      </w:rPr>
      <w:t>4</w:t>
    </w:r>
    <w:r>
      <w:fldChar w:fldCharType="end"/>
    </w:r>
  </w:p>
  <w:p>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6"/>
      </w:rPr>
    </w:pPr>
    <w:r>
      <w:fldChar w:fldCharType="begin"/>
    </w:r>
    <w:r>
      <w:rPr>
        <w:rStyle w:val="56"/>
      </w:rPr>
      <w:instrText xml:space="preserve">PAGE  </w:instrText>
    </w:r>
    <w:r>
      <w:fldChar w:fldCharType="end"/>
    </w:r>
  </w:p>
  <w:p>
    <w:pPr>
      <w:pStyle w:val="35"/>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jc w:val="center"/>
    </w:pPr>
    <w:r>
      <w:t xml:space="preserve">- </w:t>
    </w:r>
    <w:r>
      <w:fldChar w:fldCharType="begin"/>
    </w:r>
    <w:r>
      <w:instrText xml:space="preserve"> PAGE </w:instrText>
    </w:r>
    <w:r>
      <w:fldChar w:fldCharType="separate"/>
    </w:r>
    <w:r>
      <w:t>1</w:t>
    </w:r>
    <w:r>
      <w:fldChar w:fldCharType="end"/>
    </w:r>
    <w:r>
      <w:t xml:space="preserve"> -</w:t>
    </w:r>
  </w:p>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6"/>
      </w:rPr>
    </w:pPr>
    <w:r>
      <w:fldChar w:fldCharType="begin"/>
    </w:r>
    <w:r>
      <w:rPr>
        <w:rStyle w:val="56"/>
      </w:rPr>
      <w:instrText xml:space="preserve">PAGE  </w:instrText>
    </w:r>
    <w:r>
      <w:fldChar w:fldCharType="end"/>
    </w:r>
  </w:p>
  <w:p>
    <w:pPr>
      <w:pStyle w:val="35"/>
      <w:ind w:right="360"/>
    </w:pPr>
  </w:p>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6"/>
      </w:rPr>
    </w:pPr>
    <w:r>
      <w:fldChar w:fldCharType="begin"/>
    </w:r>
    <w:r>
      <w:rPr>
        <w:rStyle w:val="56"/>
      </w:rPr>
      <w:instrText xml:space="preserve">PAGE  </w:instrText>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PAGE   \* MERGEFORMAT</w:instrText>
    </w:r>
    <w:r>
      <w:fldChar w:fldCharType="separate"/>
    </w:r>
    <w:r>
      <w:rPr>
        <w:lang w:val="zh-CN" w:eastAsia="zh-CN"/>
      </w:rPr>
      <w:t>2</w:t>
    </w:r>
    <w:r>
      <w:fldChar w:fldCharType="end"/>
    </w:r>
  </w:p>
  <w:p>
    <w:pPr>
      <w:pStyle w:val="35"/>
      <w:rPr>
        <w:rStyle w:val="5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6"/>
      </w:rPr>
    </w:pPr>
    <w:r>
      <w:fldChar w:fldCharType="begin"/>
    </w:r>
    <w:r>
      <w:rPr>
        <w:rStyle w:val="56"/>
      </w:rPr>
      <w:instrText xml:space="preserve">PAGE  </w:instrText>
    </w:r>
    <w:r>
      <w:fldChar w:fldCharType="end"/>
    </w:r>
  </w:p>
  <w:p>
    <w:pPr>
      <w:pStyle w:val="3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Style w:val="56"/>
      </w:rPr>
    </w:pPr>
    <w:r>
      <w:fldChar w:fldCharType="begin"/>
    </w:r>
    <w:r>
      <w:rPr>
        <w:rStyle w:val="56"/>
      </w:rPr>
      <w:instrText xml:space="preserve">PAGE  </w:instrText>
    </w:r>
    <w:r>
      <w:fldChar w:fldCharType="separate"/>
    </w:r>
    <w:r>
      <w:rPr>
        <w:rStyle w:val="56"/>
      </w:rPr>
      <w:t>17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386" w:h="303" w:hRule="exact" w:wrap="around" w:vAnchor="text" w:hAnchor="margin" w:xAlign="center" w:yAlign="top"/>
      <w:jc w:val="center"/>
      <w:rPr>
        <w:rStyle w:val="56"/>
      </w:rPr>
    </w:pPr>
    <w:r>
      <w:fldChar w:fldCharType="begin"/>
    </w:r>
    <w:r>
      <w:rPr>
        <w:rStyle w:val="56"/>
      </w:rPr>
      <w:instrText xml:space="preserve">PAGE  </w:instrText>
    </w:r>
    <w:r>
      <w:fldChar w:fldCharType="separate"/>
    </w:r>
    <w:r>
      <w:rPr>
        <w:rStyle w:val="56"/>
      </w:rPr>
      <w:t>27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jc w:val="center"/>
      <w:rPr>
        <w:rStyle w:val="56"/>
      </w:rPr>
    </w:pPr>
    <w:r>
      <w:fldChar w:fldCharType="begin"/>
    </w:r>
    <w:r>
      <w:rPr>
        <w:rStyle w:val="56"/>
      </w:rPr>
      <w:instrText xml:space="preserve">PAGE  </w:instrText>
    </w:r>
    <w:r>
      <w:fldChar w:fldCharType="separate"/>
    </w:r>
    <w:r>
      <w:rPr>
        <w:rStyle w:val="56"/>
      </w:rPr>
      <w:t>49</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pPr>
    <w:r>
      <w:tab/>
    </w:r>
    <w:r>
      <w:tab/>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1459D5"/>
    <w:multiLevelType w:val="singleLevel"/>
    <w:tmpl w:val="BF1459D5"/>
    <w:lvl w:ilvl="0" w:tentative="0">
      <w:start w:val="1"/>
      <w:numFmt w:val="decimal"/>
      <w:suff w:val="nothing"/>
      <w:lvlText w:val="%1、"/>
      <w:lvlJc w:val="left"/>
    </w:lvl>
  </w:abstractNum>
  <w:abstractNum w:abstractNumId="1">
    <w:nsid w:val="040B517B"/>
    <w:multiLevelType w:val="multilevel"/>
    <w:tmpl w:val="040B517B"/>
    <w:lvl w:ilvl="0" w:tentative="0">
      <w:start w:val="1"/>
      <w:numFmt w:val="bullet"/>
      <w:lvlText w:val=""/>
      <w:lvlJc w:val="left"/>
      <w:pPr>
        <w:tabs>
          <w:tab w:val="left" w:pos="360"/>
        </w:tabs>
      </w:pPr>
      <w:rPr>
        <w:rFonts w:hint="default" w:ascii="Wingdings" w:hAnsi="Wingdings" w:eastAsia="宋体"/>
        <w:sz w:val="28"/>
      </w:rPr>
    </w:lvl>
    <w:lvl w:ilvl="1" w:tentative="0">
      <w:start w:val="1"/>
      <w:numFmt w:val="bullet"/>
      <w:pStyle w:val="138"/>
      <w:lvlText w:val=""/>
      <w:lvlJc w:val="left"/>
      <w:pPr>
        <w:tabs>
          <w:tab w:val="left" w:pos="360"/>
        </w:tabs>
        <w:ind w:left="340" w:hanging="34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25822774"/>
    <w:multiLevelType w:val="multilevel"/>
    <w:tmpl w:val="25822774"/>
    <w:lvl w:ilvl="0" w:tentative="0">
      <w:start w:val="1"/>
      <w:numFmt w:val="decimalEnclosedCircle"/>
      <w:lvlText w:val="%1"/>
      <w:lvlJc w:val="left"/>
      <w:pPr>
        <w:ind w:left="840" w:hanging="360"/>
      </w:pPr>
      <w:rPr>
        <w:rFonts w:hint="default" w:ascii="宋体" w:hAnsi="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2523F38"/>
    <w:multiLevelType w:val="multilevel"/>
    <w:tmpl w:val="32523F38"/>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8CF5334"/>
    <w:multiLevelType w:val="singleLevel"/>
    <w:tmpl w:val="38CF5334"/>
    <w:lvl w:ilvl="0" w:tentative="0">
      <w:start w:val="3"/>
      <w:numFmt w:val="chineseCounting"/>
      <w:suff w:val="nothing"/>
      <w:lvlText w:val="%1、"/>
      <w:lvlJc w:val="left"/>
      <w:rPr>
        <w:rFonts w:hint="eastAsia"/>
      </w:rPr>
    </w:lvl>
  </w:abstractNum>
  <w:abstractNum w:abstractNumId="5">
    <w:nsid w:val="59FC6334"/>
    <w:multiLevelType w:val="singleLevel"/>
    <w:tmpl w:val="59FC6334"/>
    <w:lvl w:ilvl="0" w:tentative="0">
      <w:start w:val="1"/>
      <w:numFmt w:val="upperLetter"/>
      <w:suff w:val="nothing"/>
      <w:lvlText w:val="%1、"/>
      <w:lvlJc w:val="left"/>
    </w:lvl>
  </w:abstractNum>
  <w:abstractNum w:abstractNumId="6">
    <w:nsid w:val="5AB478A6"/>
    <w:multiLevelType w:val="multilevel"/>
    <w:tmpl w:val="5AB478A6"/>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1512D14"/>
    <w:multiLevelType w:val="multilevel"/>
    <w:tmpl w:val="61512D14"/>
    <w:lvl w:ilvl="0" w:tentative="0">
      <w:start w:val="1"/>
      <w:numFmt w:val="decimal"/>
      <w:pStyle w:val="361"/>
      <w:lvlText w:val="表5-%1"/>
      <w:lvlJc w:val="left"/>
      <w:pPr>
        <w:ind w:left="3240" w:firstLine="0"/>
      </w:pPr>
      <w:rPr>
        <w:rFonts w:hint="eastAsia"/>
        <w:sz w:val="24"/>
        <w:szCs w:val="24"/>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0"/>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val="1"/>
  <w:bordersDoNotSurroundHeader w:val="1"/>
  <w:bordersDoNotSurroundFooter w:val="1"/>
  <w:hideSpellingErrors/>
  <w:documentProtection w:enforcement="0"/>
  <w:defaultTabStop w:val="420"/>
  <w:drawingGridHorizontalSpacing w:val="21"/>
  <w:drawingGridVerticalSpacing w:val="31"/>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284"/>
    <w:rsid w:val="000007F3"/>
    <w:rsid w:val="0000085E"/>
    <w:rsid w:val="00000892"/>
    <w:rsid w:val="0000120A"/>
    <w:rsid w:val="00001DF0"/>
    <w:rsid w:val="000020B9"/>
    <w:rsid w:val="0000212A"/>
    <w:rsid w:val="000021F7"/>
    <w:rsid w:val="00002400"/>
    <w:rsid w:val="000028EF"/>
    <w:rsid w:val="00002D81"/>
    <w:rsid w:val="00002F20"/>
    <w:rsid w:val="00003096"/>
    <w:rsid w:val="000030CB"/>
    <w:rsid w:val="00003689"/>
    <w:rsid w:val="00003B46"/>
    <w:rsid w:val="00003F7E"/>
    <w:rsid w:val="00003FBD"/>
    <w:rsid w:val="000048B6"/>
    <w:rsid w:val="00004A10"/>
    <w:rsid w:val="00004C5B"/>
    <w:rsid w:val="0000513E"/>
    <w:rsid w:val="00005381"/>
    <w:rsid w:val="0000578A"/>
    <w:rsid w:val="00005FB0"/>
    <w:rsid w:val="000061F1"/>
    <w:rsid w:val="0000625A"/>
    <w:rsid w:val="000062D5"/>
    <w:rsid w:val="0000666B"/>
    <w:rsid w:val="000066DB"/>
    <w:rsid w:val="00006FAA"/>
    <w:rsid w:val="000070C6"/>
    <w:rsid w:val="000078F9"/>
    <w:rsid w:val="00007C00"/>
    <w:rsid w:val="00007E33"/>
    <w:rsid w:val="000105CC"/>
    <w:rsid w:val="000106E2"/>
    <w:rsid w:val="000108A1"/>
    <w:rsid w:val="00011241"/>
    <w:rsid w:val="000116F3"/>
    <w:rsid w:val="000125AC"/>
    <w:rsid w:val="000126DF"/>
    <w:rsid w:val="000128D8"/>
    <w:rsid w:val="000128DB"/>
    <w:rsid w:val="00013CD3"/>
    <w:rsid w:val="00013CD8"/>
    <w:rsid w:val="00013D66"/>
    <w:rsid w:val="000145A8"/>
    <w:rsid w:val="0001461C"/>
    <w:rsid w:val="000147E5"/>
    <w:rsid w:val="00015495"/>
    <w:rsid w:val="00015D80"/>
    <w:rsid w:val="000168E5"/>
    <w:rsid w:val="00016D54"/>
    <w:rsid w:val="00016F1D"/>
    <w:rsid w:val="000170C5"/>
    <w:rsid w:val="000171D6"/>
    <w:rsid w:val="000178E4"/>
    <w:rsid w:val="00017F4D"/>
    <w:rsid w:val="00020324"/>
    <w:rsid w:val="000205B5"/>
    <w:rsid w:val="00020D42"/>
    <w:rsid w:val="00021508"/>
    <w:rsid w:val="000218BE"/>
    <w:rsid w:val="000221C4"/>
    <w:rsid w:val="0002220E"/>
    <w:rsid w:val="0002261E"/>
    <w:rsid w:val="000227B2"/>
    <w:rsid w:val="00022B10"/>
    <w:rsid w:val="00022DAE"/>
    <w:rsid w:val="00022DDC"/>
    <w:rsid w:val="0002308D"/>
    <w:rsid w:val="00023470"/>
    <w:rsid w:val="00023A3E"/>
    <w:rsid w:val="00023C5B"/>
    <w:rsid w:val="0002400D"/>
    <w:rsid w:val="000240DA"/>
    <w:rsid w:val="00024136"/>
    <w:rsid w:val="000248C8"/>
    <w:rsid w:val="00024D24"/>
    <w:rsid w:val="00025FD6"/>
    <w:rsid w:val="000260F6"/>
    <w:rsid w:val="0002646B"/>
    <w:rsid w:val="00026960"/>
    <w:rsid w:val="00027284"/>
    <w:rsid w:val="00027D09"/>
    <w:rsid w:val="00027E2E"/>
    <w:rsid w:val="0003082D"/>
    <w:rsid w:val="0003100C"/>
    <w:rsid w:val="000313BD"/>
    <w:rsid w:val="0003153C"/>
    <w:rsid w:val="00031D4C"/>
    <w:rsid w:val="00032224"/>
    <w:rsid w:val="00032645"/>
    <w:rsid w:val="000328B1"/>
    <w:rsid w:val="00033205"/>
    <w:rsid w:val="00033450"/>
    <w:rsid w:val="000337D2"/>
    <w:rsid w:val="00033820"/>
    <w:rsid w:val="00033940"/>
    <w:rsid w:val="00034405"/>
    <w:rsid w:val="00034FEC"/>
    <w:rsid w:val="00036939"/>
    <w:rsid w:val="00036A54"/>
    <w:rsid w:val="00036D68"/>
    <w:rsid w:val="00036F6A"/>
    <w:rsid w:val="00037023"/>
    <w:rsid w:val="0003753D"/>
    <w:rsid w:val="00037B9D"/>
    <w:rsid w:val="00037FF2"/>
    <w:rsid w:val="00040955"/>
    <w:rsid w:val="00040A4B"/>
    <w:rsid w:val="00040D73"/>
    <w:rsid w:val="00041E0E"/>
    <w:rsid w:val="000421A6"/>
    <w:rsid w:val="000422C7"/>
    <w:rsid w:val="0004236C"/>
    <w:rsid w:val="0004253F"/>
    <w:rsid w:val="00042E0D"/>
    <w:rsid w:val="000431A1"/>
    <w:rsid w:val="0004334D"/>
    <w:rsid w:val="000434D6"/>
    <w:rsid w:val="000435FB"/>
    <w:rsid w:val="000441A2"/>
    <w:rsid w:val="00044C25"/>
    <w:rsid w:val="00044EF0"/>
    <w:rsid w:val="0004557D"/>
    <w:rsid w:val="00045952"/>
    <w:rsid w:val="00045CA5"/>
    <w:rsid w:val="000466B9"/>
    <w:rsid w:val="00046AA3"/>
    <w:rsid w:val="00046BB7"/>
    <w:rsid w:val="00046D2C"/>
    <w:rsid w:val="00047E71"/>
    <w:rsid w:val="00047FFC"/>
    <w:rsid w:val="00050462"/>
    <w:rsid w:val="00050681"/>
    <w:rsid w:val="00050727"/>
    <w:rsid w:val="0005090A"/>
    <w:rsid w:val="00050A23"/>
    <w:rsid w:val="00050A60"/>
    <w:rsid w:val="00050B42"/>
    <w:rsid w:val="00051338"/>
    <w:rsid w:val="000514FB"/>
    <w:rsid w:val="00051923"/>
    <w:rsid w:val="00052A36"/>
    <w:rsid w:val="00052AF6"/>
    <w:rsid w:val="0005391C"/>
    <w:rsid w:val="00053B02"/>
    <w:rsid w:val="000550AD"/>
    <w:rsid w:val="00055C5C"/>
    <w:rsid w:val="000562BF"/>
    <w:rsid w:val="000566B7"/>
    <w:rsid w:val="00056EC4"/>
    <w:rsid w:val="00057156"/>
    <w:rsid w:val="00057646"/>
    <w:rsid w:val="000600B0"/>
    <w:rsid w:val="00060C73"/>
    <w:rsid w:val="00060FAB"/>
    <w:rsid w:val="00061485"/>
    <w:rsid w:val="000615E2"/>
    <w:rsid w:val="00061C8D"/>
    <w:rsid w:val="000620F1"/>
    <w:rsid w:val="0006264C"/>
    <w:rsid w:val="00062A75"/>
    <w:rsid w:val="00062ACF"/>
    <w:rsid w:val="00062E1B"/>
    <w:rsid w:val="00063256"/>
    <w:rsid w:val="00063781"/>
    <w:rsid w:val="0006378E"/>
    <w:rsid w:val="0006394D"/>
    <w:rsid w:val="00063DAF"/>
    <w:rsid w:val="000645C9"/>
    <w:rsid w:val="00064C51"/>
    <w:rsid w:val="00066109"/>
    <w:rsid w:val="000665FF"/>
    <w:rsid w:val="00070474"/>
    <w:rsid w:val="000706F8"/>
    <w:rsid w:val="0007090D"/>
    <w:rsid w:val="00070C32"/>
    <w:rsid w:val="00070C43"/>
    <w:rsid w:val="00071034"/>
    <w:rsid w:val="00071B06"/>
    <w:rsid w:val="00071B9F"/>
    <w:rsid w:val="0007239F"/>
    <w:rsid w:val="00072CDB"/>
    <w:rsid w:val="0007309A"/>
    <w:rsid w:val="00073187"/>
    <w:rsid w:val="00073CD7"/>
    <w:rsid w:val="00073D6D"/>
    <w:rsid w:val="000740D4"/>
    <w:rsid w:val="000745FC"/>
    <w:rsid w:val="00074DAA"/>
    <w:rsid w:val="00075450"/>
    <w:rsid w:val="000757A6"/>
    <w:rsid w:val="00075933"/>
    <w:rsid w:val="00075D7D"/>
    <w:rsid w:val="00076B08"/>
    <w:rsid w:val="00077273"/>
    <w:rsid w:val="00077691"/>
    <w:rsid w:val="000777D8"/>
    <w:rsid w:val="00077C11"/>
    <w:rsid w:val="00080054"/>
    <w:rsid w:val="0008025F"/>
    <w:rsid w:val="0008083B"/>
    <w:rsid w:val="00080849"/>
    <w:rsid w:val="00080BC2"/>
    <w:rsid w:val="00081176"/>
    <w:rsid w:val="000817E5"/>
    <w:rsid w:val="00081BC3"/>
    <w:rsid w:val="00081E8A"/>
    <w:rsid w:val="000829AE"/>
    <w:rsid w:val="00082E1F"/>
    <w:rsid w:val="00082F42"/>
    <w:rsid w:val="000831CB"/>
    <w:rsid w:val="000837AC"/>
    <w:rsid w:val="00083A5E"/>
    <w:rsid w:val="00083AAB"/>
    <w:rsid w:val="000843C0"/>
    <w:rsid w:val="00084A7F"/>
    <w:rsid w:val="00084E46"/>
    <w:rsid w:val="0008531D"/>
    <w:rsid w:val="000855B7"/>
    <w:rsid w:val="00086C36"/>
    <w:rsid w:val="00086CEC"/>
    <w:rsid w:val="00087822"/>
    <w:rsid w:val="00087938"/>
    <w:rsid w:val="000901D4"/>
    <w:rsid w:val="0009062C"/>
    <w:rsid w:val="000909D7"/>
    <w:rsid w:val="00090A29"/>
    <w:rsid w:val="00091050"/>
    <w:rsid w:val="000916CA"/>
    <w:rsid w:val="0009276E"/>
    <w:rsid w:val="00092E01"/>
    <w:rsid w:val="0009319F"/>
    <w:rsid w:val="00093508"/>
    <w:rsid w:val="00093A9E"/>
    <w:rsid w:val="00093B07"/>
    <w:rsid w:val="00093E0B"/>
    <w:rsid w:val="00093E46"/>
    <w:rsid w:val="00094268"/>
    <w:rsid w:val="00094862"/>
    <w:rsid w:val="00094ED8"/>
    <w:rsid w:val="00095287"/>
    <w:rsid w:val="00095B21"/>
    <w:rsid w:val="00095D6F"/>
    <w:rsid w:val="00095E17"/>
    <w:rsid w:val="00095F91"/>
    <w:rsid w:val="000960DE"/>
    <w:rsid w:val="00096567"/>
    <w:rsid w:val="00096ED0"/>
    <w:rsid w:val="00096EEF"/>
    <w:rsid w:val="0009703C"/>
    <w:rsid w:val="0009710D"/>
    <w:rsid w:val="0009724E"/>
    <w:rsid w:val="0009742A"/>
    <w:rsid w:val="000974CC"/>
    <w:rsid w:val="000A0A16"/>
    <w:rsid w:val="000A1198"/>
    <w:rsid w:val="000A12F5"/>
    <w:rsid w:val="000A14D3"/>
    <w:rsid w:val="000A164B"/>
    <w:rsid w:val="000A1BDE"/>
    <w:rsid w:val="000A1C63"/>
    <w:rsid w:val="000A2C63"/>
    <w:rsid w:val="000A2EDB"/>
    <w:rsid w:val="000A302F"/>
    <w:rsid w:val="000A35B6"/>
    <w:rsid w:val="000A389F"/>
    <w:rsid w:val="000A3956"/>
    <w:rsid w:val="000A3F51"/>
    <w:rsid w:val="000A412B"/>
    <w:rsid w:val="000A43F3"/>
    <w:rsid w:val="000A45E5"/>
    <w:rsid w:val="000A4617"/>
    <w:rsid w:val="000A490E"/>
    <w:rsid w:val="000A5138"/>
    <w:rsid w:val="000A5157"/>
    <w:rsid w:val="000A602F"/>
    <w:rsid w:val="000A693C"/>
    <w:rsid w:val="000A6D91"/>
    <w:rsid w:val="000A6F5C"/>
    <w:rsid w:val="000A6FDB"/>
    <w:rsid w:val="000A7127"/>
    <w:rsid w:val="000A718C"/>
    <w:rsid w:val="000A78D3"/>
    <w:rsid w:val="000A7AB1"/>
    <w:rsid w:val="000B025B"/>
    <w:rsid w:val="000B02BF"/>
    <w:rsid w:val="000B02E4"/>
    <w:rsid w:val="000B0B0E"/>
    <w:rsid w:val="000B0E4A"/>
    <w:rsid w:val="000B1637"/>
    <w:rsid w:val="000B1D5A"/>
    <w:rsid w:val="000B1F96"/>
    <w:rsid w:val="000B2336"/>
    <w:rsid w:val="000B25CD"/>
    <w:rsid w:val="000B2862"/>
    <w:rsid w:val="000B28EF"/>
    <w:rsid w:val="000B2BB3"/>
    <w:rsid w:val="000B2D81"/>
    <w:rsid w:val="000B32F9"/>
    <w:rsid w:val="000B3420"/>
    <w:rsid w:val="000B37EC"/>
    <w:rsid w:val="000B3A11"/>
    <w:rsid w:val="000B4126"/>
    <w:rsid w:val="000B44EF"/>
    <w:rsid w:val="000B4807"/>
    <w:rsid w:val="000B49B8"/>
    <w:rsid w:val="000B4C06"/>
    <w:rsid w:val="000B58BD"/>
    <w:rsid w:val="000B5B2C"/>
    <w:rsid w:val="000B5D4A"/>
    <w:rsid w:val="000B62BA"/>
    <w:rsid w:val="000B65D3"/>
    <w:rsid w:val="000B66BD"/>
    <w:rsid w:val="000B6B8E"/>
    <w:rsid w:val="000B7069"/>
    <w:rsid w:val="000B7218"/>
    <w:rsid w:val="000B7260"/>
    <w:rsid w:val="000B790C"/>
    <w:rsid w:val="000B7D62"/>
    <w:rsid w:val="000B7DC0"/>
    <w:rsid w:val="000C06B1"/>
    <w:rsid w:val="000C0805"/>
    <w:rsid w:val="000C0FEB"/>
    <w:rsid w:val="000C12AF"/>
    <w:rsid w:val="000C14EE"/>
    <w:rsid w:val="000C258C"/>
    <w:rsid w:val="000C2952"/>
    <w:rsid w:val="000C2E38"/>
    <w:rsid w:val="000C3463"/>
    <w:rsid w:val="000C35AB"/>
    <w:rsid w:val="000C35C9"/>
    <w:rsid w:val="000C36D9"/>
    <w:rsid w:val="000C3876"/>
    <w:rsid w:val="000C3ECF"/>
    <w:rsid w:val="000C3F2F"/>
    <w:rsid w:val="000C44FE"/>
    <w:rsid w:val="000C53CF"/>
    <w:rsid w:val="000C5A18"/>
    <w:rsid w:val="000C5D3E"/>
    <w:rsid w:val="000C6107"/>
    <w:rsid w:val="000C61EE"/>
    <w:rsid w:val="000C63B3"/>
    <w:rsid w:val="000C64E7"/>
    <w:rsid w:val="000C65E4"/>
    <w:rsid w:val="000C69F4"/>
    <w:rsid w:val="000C732F"/>
    <w:rsid w:val="000C7B6E"/>
    <w:rsid w:val="000C7BDC"/>
    <w:rsid w:val="000D0DBE"/>
    <w:rsid w:val="000D11A6"/>
    <w:rsid w:val="000D193C"/>
    <w:rsid w:val="000D1AF8"/>
    <w:rsid w:val="000D1EA3"/>
    <w:rsid w:val="000D22F2"/>
    <w:rsid w:val="000D2396"/>
    <w:rsid w:val="000D26FF"/>
    <w:rsid w:val="000D2B4D"/>
    <w:rsid w:val="000D2D4D"/>
    <w:rsid w:val="000D32F7"/>
    <w:rsid w:val="000D35CF"/>
    <w:rsid w:val="000D3D08"/>
    <w:rsid w:val="000D4119"/>
    <w:rsid w:val="000D48B2"/>
    <w:rsid w:val="000D500A"/>
    <w:rsid w:val="000D5148"/>
    <w:rsid w:val="000D5A39"/>
    <w:rsid w:val="000D5C39"/>
    <w:rsid w:val="000D5D97"/>
    <w:rsid w:val="000D60A9"/>
    <w:rsid w:val="000D6436"/>
    <w:rsid w:val="000D67B4"/>
    <w:rsid w:val="000D67C1"/>
    <w:rsid w:val="000D6D83"/>
    <w:rsid w:val="000D75B7"/>
    <w:rsid w:val="000D7921"/>
    <w:rsid w:val="000D7B18"/>
    <w:rsid w:val="000E078E"/>
    <w:rsid w:val="000E12B2"/>
    <w:rsid w:val="000E1678"/>
    <w:rsid w:val="000E18BC"/>
    <w:rsid w:val="000E19BC"/>
    <w:rsid w:val="000E1B9C"/>
    <w:rsid w:val="000E20D1"/>
    <w:rsid w:val="000E27D9"/>
    <w:rsid w:val="000E2BAD"/>
    <w:rsid w:val="000E305B"/>
    <w:rsid w:val="000E3078"/>
    <w:rsid w:val="000E34A9"/>
    <w:rsid w:val="000E456D"/>
    <w:rsid w:val="000E4C69"/>
    <w:rsid w:val="000E4C9D"/>
    <w:rsid w:val="000E4D4E"/>
    <w:rsid w:val="000E564D"/>
    <w:rsid w:val="000E5B75"/>
    <w:rsid w:val="000E5BC4"/>
    <w:rsid w:val="000E5CCE"/>
    <w:rsid w:val="000E6AAD"/>
    <w:rsid w:val="000E7836"/>
    <w:rsid w:val="000E7E0F"/>
    <w:rsid w:val="000F0287"/>
    <w:rsid w:val="000F0D3C"/>
    <w:rsid w:val="000F1AFD"/>
    <w:rsid w:val="000F276E"/>
    <w:rsid w:val="000F2991"/>
    <w:rsid w:val="000F30C5"/>
    <w:rsid w:val="000F3153"/>
    <w:rsid w:val="000F3699"/>
    <w:rsid w:val="000F36DC"/>
    <w:rsid w:val="000F4370"/>
    <w:rsid w:val="000F534B"/>
    <w:rsid w:val="000F53A7"/>
    <w:rsid w:val="000F5EB6"/>
    <w:rsid w:val="000F60FA"/>
    <w:rsid w:val="000F7C16"/>
    <w:rsid w:val="000F7F3F"/>
    <w:rsid w:val="00100E9D"/>
    <w:rsid w:val="00100ED0"/>
    <w:rsid w:val="001017EC"/>
    <w:rsid w:val="00101E0D"/>
    <w:rsid w:val="00101ED7"/>
    <w:rsid w:val="0010259D"/>
    <w:rsid w:val="00102B35"/>
    <w:rsid w:val="00102D7B"/>
    <w:rsid w:val="001032FA"/>
    <w:rsid w:val="0010337E"/>
    <w:rsid w:val="00103E26"/>
    <w:rsid w:val="00104209"/>
    <w:rsid w:val="00104A90"/>
    <w:rsid w:val="00104AFD"/>
    <w:rsid w:val="00104C01"/>
    <w:rsid w:val="00104DCB"/>
    <w:rsid w:val="00104F43"/>
    <w:rsid w:val="0010502F"/>
    <w:rsid w:val="0010559B"/>
    <w:rsid w:val="00106729"/>
    <w:rsid w:val="00106866"/>
    <w:rsid w:val="00106938"/>
    <w:rsid w:val="00106ECF"/>
    <w:rsid w:val="00106FEF"/>
    <w:rsid w:val="00107678"/>
    <w:rsid w:val="001079AA"/>
    <w:rsid w:val="00107CAD"/>
    <w:rsid w:val="00110464"/>
    <w:rsid w:val="0011063F"/>
    <w:rsid w:val="00110697"/>
    <w:rsid w:val="00110798"/>
    <w:rsid w:val="00110917"/>
    <w:rsid w:val="00110D4A"/>
    <w:rsid w:val="001118FC"/>
    <w:rsid w:val="00111CCB"/>
    <w:rsid w:val="0011226C"/>
    <w:rsid w:val="0011247D"/>
    <w:rsid w:val="0011368C"/>
    <w:rsid w:val="001137C1"/>
    <w:rsid w:val="00113B8E"/>
    <w:rsid w:val="00114540"/>
    <w:rsid w:val="00114ABB"/>
    <w:rsid w:val="00115332"/>
    <w:rsid w:val="00115EF7"/>
    <w:rsid w:val="00115FF7"/>
    <w:rsid w:val="0011627F"/>
    <w:rsid w:val="00116500"/>
    <w:rsid w:val="00116613"/>
    <w:rsid w:val="001168FA"/>
    <w:rsid w:val="0011726B"/>
    <w:rsid w:val="001176ED"/>
    <w:rsid w:val="00117EA2"/>
    <w:rsid w:val="00117F42"/>
    <w:rsid w:val="00120532"/>
    <w:rsid w:val="00120582"/>
    <w:rsid w:val="00120A3D"/>
    <w:rsid w:val="00120CDD"/>
    <w:rsid w:val="00121C91"/>
    <w:rsid w:val="0012212D"/>
    <w:rsid w:val="001233E5"/>
    <w:rsid w:val="0012347C"/>
    <w:rsid w:val="001234D5"/>
    <w:rsid w:val="00123796"/>
    <w:rsid w:val="00123F64"/>
    <w:rsid w:val="00124730"/>
    <w:rsid w:val="00124D71"/>
    <w:rsid w:val="001250C9"/>
    <w:rsid w:val="00125111"/>
    <w:rsid w:val="001252D2"/>
    <w:rsid w:val="00125AC6"/>
    <w:rsid w:val="00125F8B"/>
    <w:rsid w:val="001261A5"/>
    <w:rsid w:val="00126A3E"/>
    <w:rsid w:val="00126D00"/>
    <w:rsid w:val="00127070"/>
    <w:rsid w:val="00127567"/>
    <w:rsid w:val="0012779B"/>
    <w:rsid w:val="00127A08"/>
    <w:rsid w:val="0013075F"/>
    <w:rsid w:val="001308DF"/>
    <w:rsid w:val="001318EC"/>
    <w:rsid w:val="00131B52"/>
    <w:rsid w:val="0013206E"/>
    <w:rsid w:val="0013324E"/>
    <w:rsid w:val="00133473"/>
    <w:rsid w:val="00134EB5"/>
    <w:rsid w:val="001352A7"/>
    <w:rsid w:val="00135779"/>
    <w:rsid w:val="00135D72"/>
    <w:rsid w:val="001361A1"/>
    <w:rsid w:val="00136C59"/>
    <w:rsid w:val="0013774E"/>
    <w:rsid w:val="00137A3F"/>
    <w:rsid w:val="00137B0C"/>
    <w:rsid w:val="00137C8F"/>
    <w:rsid w:val="001401CD"/>
    <w:rsid w:val="00140642"/>
    <w:rsid w:val="0014071C"/>
    <w:rsid w:val="0014089C"/>
    <w:rsid w:val="001409A8"/>
    <w:rsid w:val="00140CB5"/>
    <w:rsid w:val="00141232"/>
    <w:rsid w:val="00141B27"/>
    <w:rsid w:val="0014232A"/>
    <w:rsid w:val="00142552"/>
    <w:rsid w:val="001428D6"/>
    <w:rsid w:val="00142B84"/>
    <w:rsid w:val="001435AD"/>
    <w:rsid w:val="00144D3A"/>
    <w:rsid w:val="00144E9A"/>
    <w:rsid w:val="00145BD6"/>
    <w:rsid w:val="00145DFF"/>
    <w:rsid w:val="001461BB"/>
    <w:rsid w:val="001461C0"/>
    <w:rsid w:val="00146284"/>
    <w:rsid w:val="001467BF"/>
    <w:rsid w:val="00146AEC"/>
    <w:rsid w:val="00146FE4"/>
    <w:rsid w:val="0014724F"/>
    <w:rsid w:val="001474E6"/>
    <w:rsid w:val="00147627"/>
    <w:rsid w:val="00150422"/>
    <w:rsid w:val="00150785"/>
    <w:rsid w:val="001511B9"/>
    <w:rsid w:val="00151737"/>
    <w:rsid w:val="001518D7"/>
    <w:rsid w:val="00151BF8"/>
    <w:rsid w:val="001520CC"/>
    <w:rsid w:val="00152A60"/>
    <w:rsid w:val="001533B7"/>
    <w:rsid w:val="001544D5"/>
    <w:rsid w:val="00154906"/>
    <w:rsid w:val="00154F92"/>
    <w:rsid w:val="001551C7"/>
    <w:rsid w:val="00155329"/>
    <w:rsid w:val="00155437"/>
    <w:rsid w:val="00155BEB"/>
    <w:rsid w:val="00155EED"/>
    <w:rsid w:val="00156043"/>
    <w:rsid w:val="001560E6"/>
    <w:rsid w:val="00156468"/>
    <w:rsid w:val="00156B1E"/>
    <w:rsid w:val="001578B2"/>
    <w:rsid w:val="00157A82"/>
    <w:rsid w:val="00160871"/>
    <w:rsid w:val="001618A6"/>
    <w:rsid w:val="00161BFF"/>
    <w:rsid w:val="00161ECF"/>
    <w:rsid w:val="0016231D"/>
    <w:rsid w:val="00162843"/>
    <w:rsid w:val="0016289A"/>
    <w:rsid w:val="00162C70"/>
    <w:rsid w:val="00162FDE"/>
    <w:rsid w:val="00163C4E"/>
    <w:rsid w:val="0016460E"/>
    <w:rsid w:val="001646D9"/>
    <w:rsid w:val="001647D5"/>
    <w:rsid w:val="00164D39"/>
    <w:rsid w:val="00164F14"/>
    <w:rsid w:val="001655A9"/>
    <w:rsid w:val="001658D7"/>
    <w:rsid w:val="00166211"/>
    <w:rsid w:val="00166D98"/>
    <w:rsid w:val="0016703B"/>
    <w:rsid w:val="00167359"/>
    <w:rsid w:val="00167411"/>
    <w:rsid w:val="00167498"/>
    <w:rsid w:val="00167571"/>
    <w:rsid w:val="00167837"/>
    <w:rsid w:val="00167A2E"/>
    <w:rsid w:val="001702EF"/>
    <w:rsid w:val="00170A31"/>
    <w:rsid w:val="001710B9"/>
    <w:rsid w:val="001713CB"/>
    <w:rsid w:val="001714CC"/>
    <w:rsid w:val="00172266"/>
    <w:rsid w:val="00172D8E"/>
    <w:rsid w:val="001732A4"/>
    <w:rsid w:val="00173343"/>
    <w:rsid w:val="00173807"/>
    <w:rsid w:val="00174325"/>
    <w:rsid w:val="00174883"/>
    <w:rsid w:val="00174F0D"/>
    <w:rsid w:val="00175739"/>
    <w:rsid w:val="00176A1E"/>
    <w:rsid w:val="00177548"/>
    <w:rsid w:val="00177603"/>
    <w:rsid w:val="001778DD"/>
    <w:rsid w:val="00177D5E"/>
    <w:rsid w:val="0018050E"/>
    <w:rsid w:val="00181158"/>
    <w:rsid w:val="00181B2F"/>
    <w:rsid w:val="0018208F"/>
    <w:rsid w:val="00182136"/>
    <w:rsid w:val="0018231D"/>
    <w:rsid w:val="0018373A"/>
    <w:rsid w:val="001838CB"/>
    <w:rsid w:val="00184094"/>
    <w:rsid w:val="00184852"/>
    <w:rsid w:val="00186156"/>
    <w:rsid w:val="001865C2"/>
    <w:rsid w:val="001868C3"/>
    <w:rsid w:val="001869B8"/>
    <w:rsid w:val="00186C49"/>
    <w:rsid w:val="0018716C"/>
    <w:rsid w:val="001903F5"/>
    <w:rsid w:val="001905CD"/>
    <w:rsid w:val="00190802"/>
    <w:rsid w:val="00190A43"/>
    <w:rsid w:val="00190CDA"/>
    <w:rsid w:val="00190D90"/>
    <w:rsid w:val="00190DD6"/>
    <w:rsid w:val="00191223"/>
    <w:rsid w:val="00191592"/>
    <w:rsid w:val="001915C8"/>
    <w:rsid w:val="00191809"/>
    <w:rsid w:val="0019188B"/>
    <w:rsid w:val="00192196"/>
    <w:rsid w:val="00192314"/>
    <w:rsid w:val="00193437"/>
    <w:rsid w:val="0019432D"/>
    <w:rsid w:val="00194632"/>
    <w:rsid w:val="00194DEB"/>
    <w:rsid w:val="00194F28"/>
    <w:rsid w:val="001950AD"/>
    <w:rsid w:val="00195267"/>
    <w:rsid w:val="001957A5"/>
    <w:rsid w:val="00196594"/>
    <w:rsid w:val="00197309"/>
    <w:rsid w:val="0019749D"/>
    <w:rsid w:val="001976AC"/>
    <w:rsid w:val="00197D98"/>
    <w:rsid w:val="001A010A"/>
    <w:rsid w:val="001A0228"/>
    <w:rsid w:val="001A0B0A"/>
    <w:rsid w:val="001A0E4D"/>
    <w:rsid w:val="001A11F1"/>
    <w:rsid w:val="001A1906"/>
    <w:rsid w:val="001A24D3"/>
    <w:rsid w:val="001A295C"/>
    <w:rsid w:val="001A3804"/>
    <w:rsid w:val="001A3AA8"/>
    <w:rsid w:val="001A4129"/>
    <w:rsid w:val="001A4C51"/>
    <w:rsid w:val="001A5374"/>
    <w:rsid w:val="001A60FC"/>
    <w:rsid w:val="001A6D4B"/>
    <w:rsid w:val="001A6DD4"/>
    <w:rsid w:val="001A73B2"/>
    <w:rsid w:val="001A7845"/>
    <w:rsid w:val="001A7E8A"/>
    <w:rsid w:val="001B05D9"/>
    <w:rsid w:val="001B06F4"/>
    <w:rsid w:val="001B1174"/>
    <w:rsid w:val="001B11A6"/>
    <w:rsid w:val="001B201C"/>
    <w:rsid w:val="001B21D9"/>
    <w:rsid w:val="001B26B2"/>
    <w:rsid w:val="001B2C69"/>
    <w:rsid w:val="001B33B7"/>
    <w:rsid w:val="001B341F"/>
    <w:rsid w:val="001B36CD"/>
    <w:rsid w:val="001B3781"/>
    <w:rsid w:val="001B38F9"/>
    <w:rsid w:val="001B3DB4"/>
    <w:rsid w:val="001B49E5"/>
    <w:rsid w:val="001B4A88"/>
    <w:rsid w:val="001B4CD7"/>
    <w:rsid w:val="001B69C5"/>
    <w:rsid w:val="001B6B06"/>
    <w:rsid w:val="001B6D28"/>
    <w:rsid w:val="001B6D59"/>
    <w:rsid w:val="001C0359"/>
    <w:rsid w:val="001C03C2"/>
    <w:rsid w:val="001C08BA"/>
    <w:rsid w:val="001C1577"/>
    <w:rsid w:val="001C1C89"/>
    <w:rsid w:val="001C2147"/>
    <w:rsid w:val="001C22EF"/>
    <w:rsid w:val="001C2325"/>
    <w:rsid w:val="001C2665"/>
    <w:rsid w:val="001C3277"/>
    <w:rsid w:val="001C347F"/>
    <w:rsid w:val="001C38EB"/>
    <w:rsid w:val="001C3C97"/>
    <w:rsid w:val="001C49AB"/>
    <w:rsid w:val="001C4D9C"/>
    <w:rsid w:val="001C51E1"/>
    <w:rsid w:val="001C62F5"/>
    <w:rsid w:val="001C6363"/>
    <w:rsid w:val="001C660C"/>
    <w:rsid w:val="001C674F"/>
    <w:rsid w:val="001C6971"/>
    <w:rsid w:val="001C697E"/>
    <w:rsid w:val="001C6A38"/>
    <w:rsid w:val="001C6B43"/>
    <w:rsid w:val="001C6D3E"/>
    <w:rsid w:val="001C70FE"/>
    <w:rsid w:val="001C72F6"/>
    <w:rsid w:val="001C7EA9"/>
    <w:rsid w:val="001D03F4"/>
    <w:rsid w:val="001D06D7"/>
    <w:rsid w:val="001D07D8"/>
    <w:rsid w:val="001D0F97"/>
    <w:rsid w:val="001D103E"/>
    <w:rsid w:val="001D18F7"/>
    <w:rsid w:val="001D22D4"/>
    <w:rsid w:val="001D247E"/>
    <w:rsid w:val="001D2548"/>
    <w:rsid w:val="001D3726"/>
    <w:rsid w:val="001D46D8"/>
    <w:rsid w:val="001D493D"/>
    <w:rsid w:val="001D4D4F"/>
    <w:rsid w:val="001D4F27"/>
    <w:rsid w:val="001D5772"/>
    <w:rsid w:val="001D57E4"/>
    <w:rsid w:val="001D5E53"/>
    <w:rsid w:val="001D6734"/>
    <w:rsid w:val="001D6A03"/>
    <w:rsid w:val="001D74A3"/>
    <w:rsid w:val="001D7550"/>
    <w:rsid w:val="001D76CD"/>
    <w:rsid w:val="001D770A"/>
    <w:rsid w:val="001D78EB"/>
    <w:rsid w:val="001D7B81"/>
    <w:rsid w:val="001E02AF"/>
    <w:rsid w:val="001E04FA"/>
    <w:rsid w:val="001E15C3"/>
    <w:rsid w:val="001E1D30"/>
    <w:rsid w:val="001E1D39"/>
    <w:rsid w:val="001E2110"/>
    <w:rsid w:val="001E28F8"/>
    <w:rsid w:val="001E2ED8"/>
    <w:rsid w:val="001E3610"/>
    <w:rsid w:val="001E43AB"/>
    <w:rsid w:val="001E43F4"/>
    <w:rsid w:val="001E4652"/>
    <w:rsid w:val="001E485F"/>
    <w:rsid w:val="001E48B0"/>
    <w:rsid w:val="001E4A43"/>
    <w:rsid w:val="001E4F4F"/>
    <w:rsid w:val="001E5497"/>
    <w:rsid w:val="001E5852"/>
    <w:rsid w:val="001E59A7"/>
    <w:rsid w:val="001E59C5"/>
    <w:rsid w:val="001E6580"/>
    <w:rsid w:val="001E6B18"/>
    <w:rsid w:val="001E7400"/>
    <w:rsid w:val="001E7404"/>
    <w:rsid w:val="001E7DC0"/>
    <w:rsid w:val="001F0497"/>
    <w:rsid w:val="001F06C8"/>
    <w:rsid w:val="001F09F6"/>
    <w:rsid w:val="001F10AA"/>
    <w:rsid w:val="001F1198"/>
    <w:rsid w:val="001F11DC"/>
    <w:rsid w:val="001F1C0A"/>
    <w:rsid w:val="001F1E81"/>
    <w:rsid w:val="001F1F1A"/>
    <w:rsid w:val="001F23CB"/>
    <w:rsid w:val="001F278F"/>
    <w:rsid w:val="001F30B6"/>
    <w:rsid w:val="001F3462"/>
    <w:rsid w:val="001F3714"/>
    <w:rsid w:val="001F373E"/>
    <w:rsid w:val="001F4616"/>
    <w:rsid w:val="001F4A2D"/>
    <w:rsid w:val="001F4C26"/>
    <w:rsid w:val="001F4CFC"/>
    <w:rsid w:val="001F4EA8"/>
    <w:rsid w:val="001F5423"/>
    <w:rsid w:val="001F575B"/>
    <w:rsid w:val="001F5989"/>
    <w:rsid w:val="001F6A03"/>
    <w:rsid w:val="001F6C83"/>
    <w:rsid w:val="001F71D5"/>
    <w:rsid w:val="001F7940"/>
    <w:rsid w:val="00200143"/>
    <w:rsid w:val="00200921"/>
    <w:rsid w:val="00200AF2"/>
    <w:rsid w:val="00200F24"/>
    <w:rsid w:val="0020133C"/>
    <w:rsid w:val="002015EA"/>
    <w:rsid w:val="00202B33"/>
    <w:rsid w:val="002033A4"/>
    <w:rsid w:val="00203DBF"/>
    <w:rsid w:val="00204074"/>
    <w:rsid w:val="00204771"/>
    <w:rsid w:val="00204CC3"/>
    <w:rsid w:val="00204EF7"/>
    <w:rsid w:val="00205EA4"/>
    <w:rsid w:val="002060E5"/>
    <w:rsid w:val="002062B1"/>
    <w:rsid w:val="002069BE"/>
    <w:rsid w:val="00206ED7"/>
    <w:rsid w:val="00206EFE"/>
    <w:rsid w:val="002072BF"/>
    <w:rsid w:val="002073D1"/>
    <w:rsid w:val="0020783B"/>
    <w:rsid w:val="00207B66"/>
    <w:rsid w:val="00210FC3"/>
    <w:rsid w:val="0021154C"/>
    <w:rsid w:val="00212115"/>
    <w:rsid w:val="00212FB2"/>
    <w:rsid w:val="0021313E"/>
    <w:rsid w:val="00213F53"/>
    <w:rsid w:val="0021423A"/>
    <w:rsid w:val="00214413"/>
    <w:rsid w:val="002147B6"/>
    <w:rsid w:val="002149DD"/>
    <w:rsid w:val="00214A24"/>
    <w:rsid w:val="00214B1C"/>
    <w:rsid w:val="00214C0D"/>
    <w:rsid w:val="00215B5C"/>
    <w:rsid w:val="00215D94"/>
    <w:rsid w:val="00216B88"/>
    <w:rsid w:val="00216E43"/>
    <w:rsid w:val="00216ECA"/>
    <w:rsid w:val="002173A2"/>
    <w:rsid w:val="002177BB"/>
    <w:rsid w:val="00217BD1"/>
    <w:rsid w:val="00217E79"/>
    <w:rsid w:val="00220419"/>
    <w:rsid w:val="00220F16"/>
    <w:rsid w:val="0022102A"/>
    <w:rsid w:val="002218FC"/>
    <w:rsid w:val="00221B83"/>
    <w:rsid w:val="00221D3E"/>
    <w:rsid w:val="002220BC"/>
    <w:rsid w:val="00222920"/>
    <w:rsid w:val="00222D79"/>
    <w:rsid w:val="0022301B"/>
    <w:rsid w:val="0022346C"/>
    <w:rsid w:val="00223AE1"/>
    <w:rsid w:val="00223AFE"/>
    <w:rsid w:val="00223B03"/>
    <w:rsid w:val="00224B84"/>
    <w:rsid w:val="00225609"/>
    <w:rsid w:val="00225A1F"/>
    <w:rsid w:val="00225EA8"/>
    <w:rsid w:val="00226905"/>
    <w:rsid w:val="00226C1D"/>
    <w:rsid w:val="00226C8C"/>
    <w:rsid w:val="002271BE"/>
    <w:rsid w:val="002279C9"/>
    <w:rsid w:val="00227FCD"/>
    <w:rsid w:val="00230239"/>
    <w:rsid w:val="00230617"/>
    <w:rsid w:val="0023069C"/>
    <w:rsid w:val="002310D4"/>
    <w:rsid w:val="00231C84"/>
    <w:rsid w:val="002321A1"/>
    <w:rsid w:val="0023225F"/>
    <w:rsid w:val="002323E8"/>
    <w:rsid w:val="0023266A"/>
    <w:rsid w:val="002326AE"/>
    <w:rsid w:val="0023341C"/>
    <w:rsid w:val="00233901"/>
    <w:rsid w:val="00233ABB"/>
    <w:rsid w:val="00233F6F"/>
    <w:rsid w:val="0023422B"/>
    <w:rsid w:val="0023425B"/>
    <w:rsid w:val="00234293"/>
    <w:rsid w:val="00234597"/>
    <w:rsid w:val="0023463C"/>
    <w:rsid w:val="0023495D"/>
    <w:rsid w:val="00234E71"/>
    <w:rsid w:val="00234F2C"/>
    <w:rsid w:val="0023553B"/>
    <w:rsid w:val="00236137"/>
    <w:rsid w:val="0023619D"/>
    <w:rsid w:val="00236277"/>
    <w:rsid w:val="00236AB1"/>
    <w:rsid w:val="00236DA0"/>
    <w:rsid w:val="00236EB5"/>
    <w:rsid w:val="002378E1"/>
    <w:rsid w:val="00237CA5"/>
    <w:rsid w:val="0024057C"/>
    <w:rsid w:val="002405E7"/>
    <w:rsid w:val="0024098C"/>
    <w:rsid w:val="002409C6"/>
    <w:rsid w:val="00240F84"/>
    <w:rsid w:val="00241092"/>
    <w:rsid w:val="00241748"/>
    <w:rsid w:val="00241EA6"/>
    <w:rsid w:val="002429C6"/>
    <w:rsid w:val="00242FD5"/>
    <w:rsid w:val="00243345"/>
    <w:rsid w:val="00243498"/>
    <w:rsid w:val="0024396A"/>
    <w:rsid w:val="00243C1E"/>
    <w:rsid w:val="00243EF1"/>
    <w:rsid w:val="002441F2"/>
    <w:rsid w:val="00244ABD"/>
    <w:rsid w:val="002459A7"/>
    <w:rsid w:val="00245E5A"/>
    <w:rsid w:val="00245E7E"/>
    <w:rsid w:val="002466BF"/>
    <w:rsid w:val="002469F3"/>
    <w:rsid w:val="0024788A"/>
    <w:rsid w:val="00247C4F"/>
    <w:rsid w:val="00247F46"/>
    <w:rsid w:val="002505D2"/>
    <w:rsid w:val="0025088A"/>
    <w:rsid w:val="002516E4"/>
    <w:rsid w:val="00251815"/>
    <w:rsid w:val="002519B4"/>
    <w:rsid w:val="00251AA9"/>
    <w:rsid w:val="00251D9A"/>
    <w:rsid w:val="00252655"/>
    <w:rsid w:val="00252C27"/>
    <w:rsid w:val="0025300B"/>
    <w:rsid w:val="002530C7"/>
    <w:rsid w:val="00253903"/>
    <w:rsid w:val="002549FF"/>
    <w:rsid w:val="00254D28"/>
    <w:rsid w:val="002553FA"/>
    <w:rsid w:val="0025698C"/>
    <w:rsid w:val="00257525"/>
    <w:rsid w:val="00257E8D"/>
    <w:rsid w:val="00260B87"/>
    <w:rsid w:val="00260BB8"/>
    <w:rsid w:val="00261080"/>
    <w:rsid w:val="0026151F"/>
    <w:rsid w:val="00261E7A"/>
    <w:rsid w:val="0026215A"/>
    <w:rsid w:val="00262F0D"/>
    <w:rsid w:val="00263022"/>
    <w:rsid w:val="00263135"/>
    <w:rsid w:val="00263C99"/>
    <w:rsid w:val="002643CA"/>
    <w:rsid w:val="00265336"/>
    <w:rsid w:val="00265610"/>
    <w:rsid w:val="00265634"/>
    <w:rsid w:val="00265B0A"/>
    <w:rsid w:val="00265F66"/>
    <w:rsid w:val="00266503"/>
    <w:rsid w:val="00266B7C"/>
    <w:rsid w:val="00267BB1"/>
    <w:rsid w:val="00270944"/>
    <w:rsid w:val="0027158B"/>
    <w:rsid w:val="002716F2"/>
    <w:rsid w:val="00271815"/>
    <w:rsid w:val="00271A40"/>
    <w:rsid w:val="00271BAD"/>
    <w:rsid w:val="00271F34"/>
    <w:rsid w:val="002721A2"/>
    <w:rsid w:val="002721BE"/>
    <w:rsid w:val="00273B45"/>
    <w:rsid w:val="00273FEE"/>
    <w:rsid w:val="00274323"/>
    <w:rsid w:val="002748BF"/>
    <w:rsid w:val="00274AC5"/>
    <w:rsid w:val="00274F72"/>
    <w:rsid w:val="00275295"/>
    <w:rsid w:val="00275AC6"/>
    <w:rsid w:val="00275FB4"/>
    <w:rsid w:val="0027616F"/>
    <w:rsid w:val="002769EE"/>
    <w:rsid w:val="00276A03"/>
    <w:rsid w:val="00276B44"/>
    <w:rsid w:val="0027726C"/>
    <w:rsid w:val="00280065"/>
    <w:rsid w:val="0028075D"/>
    <w:rsid w:val="0028080D"/>
    <w:rsid w:val="0028186F"/>
    <w:rsid w:val="00281977"/>
    <w:rsid w:val="002819DF"/>
    <w:rsid w:val="00281CE8"/>
    <w:rsid w:val="00282028"/>
    <w:rsid w:val="002820B1"/>
    <w:rsid w:val="0028218E"/>
    <w:rsid w:val="00282777"/>
    <w:rsid w:val="002829CA"/>
    <w:rsid w:val="00282F46"/>
    <w:rsid w:val="00283167"/>
    <w:rsid w:val="0028434B"/>
    <w:rsid w:val="00285384"/>
    <w:rsid w:val="00286068"/>
    <w:rsid w:val="002867B7"/>
    <w:rsid w:val="002874AA"/>
    <w:rsid w:val="00287A39"/>
    <w:rsid w:val="00287DC5"/>
    <w:rsid w:val="00290860"/>
    <w:rsid w:val="002915DA"/>
    <w:rsid w:val="00291A8A"/>
    <w:rsid w:val="00292021"/>
    <w:rsid w:val="0029209C"/>
    <w:rsid w:val="0029292E"/>
    <w:rsid w:val="00292BCD"/>
    <w:rsid w:val="00293224"/>
    <w:rsid w:val="00293D3E"/>
    <w:rsid w:val="002944CD"/>
    <w:rsid w:val="0029544C"/>
    <w:rsid w:val="0029551E"/>
    <w:rsid w:val="00295869"/>
    <w:rsid w:val="00296458"/>
    <w:rsid w:val="002966E3"/>
    <w:rsid w:val="00296E69"/>
    <w:rsid w:val="00296FC8"/>
    <w:rsid w:val="00297051"/>
    <w:rsid w:val="00297BA2"/>
    <w:rsid w:val="00297C2B"/>
    <w:rsid w:val="00297DCD"/>
    <w:rsid w:val="002A0788"/>
    <w:rsid w:val="002A0FC1"/>
    <w:rsid w:val="002A1347"/>
    <w:rsid w:val="002A1F9B"/>
    <w:rsid w:val="002A22C6"/>
    <w:rsid w:val="002A238F"/>
    <w:rsid w:val="002A266F"/>
    <w:rsid w:val="002A2A0F"/>
    <w:rsid w:val="002A2FA5"/>
    <w:rsid w:val="002A306D"/>
    <w:rsid w:val="002A3837"/>
    <w:rsid w:val="002A4047"/>
    <w:rsid w:val="002A4773"/>
    <w:rsid w:val="002A4C3E"/>
    <w:rsid w:val="002A52E4"/>
    <w:rsid w:val="002A5878"/>
    <w:rsid w:val="002A5DFF"/>
    <w:rsid w:val="002A5FA2"/>
    <w:rsid w:val="002A6344"/>
    <w:rsid w:val="002A7454"/>
    <w:rsid w:val="002B011D"/>
    <w:rsid w:val="002B02F6"/>
    <w:rsid w:val="002B0878"/>
    <w:rsid w:val="002B0A2D"/>
    <w:rsid w:val="002B0E85"/>
    <w:rsid w:val="002B105C"/>
    <w:rsid w:val="002B2276"/>
    <w:rsid w:val="002B23EE"/>
    <w:rsid w:val="002B2B2F"/>
    <w:rsid w:val="002B34C3"/>
    <w:rsid w:val="002B42A4"/>
    <w:rsid w:val="002B457F"/>
    <w:rsid w:val="002B73EE"/>
    <w:rsid w:val="002B7799"/>
    <w:rsid w:val="002B7B4E"/>
    <w:rsid w:val="002B7CD5"/>
    <w:rsid w:val="002B7FD3"/>
    <w:rsid w:val="002C0A38"/>
    <w:rsid w:val="002C0F48"/>
    <w:rsid w:val="002C1410"/>
    <w:rsid w:val="002C1810"/>
    <w:rsid w:val="002C1D9E"/>
    <w:rsid w:val="002C213A"/>
    <w:rsid w:val="002C26AF"/>
    <w:rsid w:val="002C278C"/>
    <w:rsid w:val="002C280D"/>
    <w:rsid w:val="002C2DB8"/>
    <w:rsid w:val="002C33BF"/>
    <w:rsid w:val="002C3B0C"/>
    <w:rsid w:val="002C405F"/>
    <w:rsid w:val="002C41B8"/>
    <w:rsid w:val="002C4718"/>
    <w:rsid w:val="002C48B9"/>
    <w:rsid w:val="002C4F25"/>
    <w:rsid w:val="002C5510"/>
    <w:rsid w:val="002C5516"/>
    <w:rsid w:val="002C66CE"/>
    <w:rsid w:val="002C6E25"/>
    <w:rsid w:val="002D05F2"/>
    <w:rsid w:val="002D0865"/>
    <w:rsid w:val="002D099E"/>
    <w:rsid w:val="002D180F"/>
    <w:rsid w:val="002D1DB8"/>
    <w:rsid w:val="002D20C3"/>
    <w:rsid w:val="002D264D"/>
    <w:rsid w:val="002D2A83"/>
    <w:rsid w:val="002D2DE6"/>
    <w:rsid w:val="002D2F96"/>
    <w:rsid w:val="002D2FE5"/>
    <w:rsid w:val="002D31E3"/>
    <w:rsid w:val="002D346E"/>
    <w:rsid w:val="002D3DE2"/>
    <w:rsid w:val="002D3EC2"/>
    <w:rsid w:val="002D40DF"/>
    <w:rsid w:val="002D4A84"/>
    <w:rsid w:val="002D5791"/>
    <w:rsid w:val="002D57E2"/>
    <w:rsid w:val="002D588E"/>
    <w:rsid w:val="002D5BB1"/>
    <w:rsid w:val="002D5F26"/>
    <w:rsid w:val="002D5F7C"/>
    <w:rsid w:val="002D7076"/>
    <w:rsid w:val="002D7FE3"/>
    <w:rsid w:val="002E14E7"/>
    <w:rsid w:val="002E180D"/>
    <w:rsid w:val="002E1B34"/>
    <w:rsid w:val="002E1D16"/>
    <w:rsid w:val="002E272B"/>
    <w:rsid w:val="002E2832"/>
    <w:rsid w:val="002E290B"/>
    <w:rsid w:val="002E29C3"/>
    <w:rsid w:val="002E2C62"/>
    <w:rsid w:val="002E2F74"/>
    <w:rsid w:val="002E31F8"/>
    <w:rsid w:val="002E34B5"/>
    <w:rsid w:val="002E35B3"/>
    <w:rsid w:val="002E3628"/>
    <w:rsid w:val="002E366F"/>
    <w:rsid w:val="002E50A7"/>
    <w:rsid w:val="002E51F9"/>
    <w:rsid w:val="002E5A08"/>
    <w:rsid w:val="002E657F"/>
    <w:rsid w:val="002E6F6F"/>
    <w:rsid w:val="002E7293"/>
    <w:rsid w:val="002E73F5"/>
    <w:rsid w:val="002E78F9"/>
    <w:rsid w:val="002E7A8B"/>
    <w:rsid w:val="002F02B1"/>
    <w:rsid w:val="002F0521"/>
    <w:rsid w:val="002F087C"/>
    <w:rsid w:val="002F1033"/>
    <w:rsid w:val="002F1731"/>
    <w:rsid w:val="002F1CC7"/>
    <w:rsid w:val="002F1F86"/>
    <w:rsid w:val="002F22F7"/>
    <w:rsid w:val="002F2470"/>
    <w:rsid w:val="002F2B27"/>
    <w:rsid w:val="002F2B77"/>
    <w:rsid w:val="002F3493"/>
    <w:rsid w:val="002F4078"/>
    <w:rsid w:val="002F555E"/>
    <w:rsid w:val="002F57C5"/>
    <w:rsid w:val="002F5DA0"/>
    <w:rsid w:val="002F5F54"/>
    <w:rsid w:val="003021AB"/>
    <w:rsid w:val="00302210"/>
    <w:rsid w:val="00303089"/>
    <w:rsid w:val="00303C97"/>
    <w:rsid w:val="00303DEA"/>
    <w:rsid w:val="00304DB4"/>
    <w:rsid w:val="0030551B"/>
    <w:rsid w:val="003057A7"/>
    <w:rsid w:val="003058E6"/>
    <w:rsid w:val="00305AE6"/>
    <w:rsid w:val="00305C83"/>
    <w:rsid w:val="00306090"/>
    <w:rsid w:val="00306F88"/>
    <w:rsid w:val="0030743D"/>
    <w:rsid w:val="003101E5"/>
    <w:rsid w:val="00310670"/>
    <w:rsid w:val="003109E5"/>
    <w:rsid w:val="00310B51"/>
    <w:rsid w:val="00310CF3"/>
    <w:rsid w:val="00310CFF"/>
    <w:rsid w:val="00310F9D"/>
    <w:rsid w:val="0031146E"/>
    <w:rsid w:val="00311A93"/>
    <w:rsid w:val="00311E5E"/>
    <w:rsid w:val="00312066"/>
    <w:rsid w:val="003120CD"/>
    <w:rsid w:val="00312661"/>
    <w:rsid w:val="003126F3"/>
    <w:rsid w:val="003127C0"/>
    <w:rsid w:val="00312CC0"/>
    <w:rsid w:val="0031332B"/>
    <w:rsid w:val="003133C4"/>
    <w:rsid w:val="003135B4"/>
    <w:rsid w:val="00313728"/>
    <w:rsid w:val="0031372C"/>
    <w:rsid w:val="00314295"/>
    <w:rsid w:val="00314638"/>
    <w:rsid w:val="00314819"/>
    <w:rsid w:val="00314D4F"/>
    <w:rsid w:val="0031572B"/>
    <w:rsid w:val="0031600D"/>
    <w:rsid w:val="003160D6"/>
    <w:rsid w:val="003162A4"/>
    <w:rsid w:val="003169ED"/>
    <w:rsid w:val="00317412"/>
    <w:rsid w:val="003207D4"/>
    <w:rsid w:val="00320C8B"/>
    <w:rsid w:val="00321695"/>
    <w:rsid w:val="0032197B"/>
    <w:rsid w:val="003220ED"/>
    <w:rsid w:val="00322174"/>
    <w:rsid w:val="00322725"/>
    <w:rsid w:val="00322728"/>
    <w:rsid w:val="0032410B"/>
    <w:rsid w:val="00324C54"/>
    <w:rsid w:val="003250AF"/>
    <w:rsid w:val="00325226"/>
    <w:rsid w:val="0032531D"/>
    <w:rsid w:val="00325C4C"/>
    <w:rsid w:val="003260E6"/>
    <w:rsid w:val="00326154"/>
    <w:rsid w:val="00326545"/>
    <w:rsid w:val="003267AE"/>
    <w:rsid w:val="00326A72"/>
    <w:rsid w:val="003272BE"/>
    <w:rsid w:val="00330121"/>
    <w:rsid w:val="0033013C"/>
    <w:rsid w:val="0033013F"/>
    <w:rsid w:val="0033068F"/>
    <w:rsid w:val="00330853"/>
    <w:rsid w:val="00330906"/>
    <w:rsid w:val="00331083"/>
    <w:rsid w:val="003310A6"/>
    <w:rsid w:val="003317DD"/>
    <w:rsid w:val="00331ACA"/>
    <w:rsid w:val="00331C52"/>
    <w:rsid w:val="00331D02"/>
    <w:rsid w:val="003321F8"/>
    <w:rsid w:val="0033223F"/>
    <w:rsid w:val="00332B42"/>
    <w:rsid w:val="00333196"/>
    <w:rsid w:val="00333914"/>
    <w:rsid w:val="00333A10"/>
    <w:rsid w:val="00333C4D"/>
    <w:rsid w:val="00333C9E"/>
    <w:rsid w:val="00333D99"/>
    <w:rsid w:val="00333E3C"/>
    <w:rsid w:val="00333E96"/>
    <w:rsid w:val="0033456F"/>
    <w:rsid w:val="003345C9"/>
    <w:rsid w:val="00334DFA"/>
    <w:rsid w:val="00334E75"/>
    <w:rsid w:val="0033510F"/>
    <w:rsid w:val="0033551B"/>
    <w:rsid w:val="00335748"/>
    <w:rsid w:val="0033576D"/>
    <w:rsid w:val="00335CF3"/>
    <w:rsid w:val="003364BC"/>
    <w:rsid w:val="003367A7"/>
    <w:rsid w:val="00336ED0"/>
    <w:rsid w:val="0034019D"/>
    <w:rsid w:val="003405D2"/>
    <w:rsid w:val="00340F4A"/>
    <w:rsid w:val="00341358"/>
    <w:rsid w:val="00341922"/>
    <w:rsid w:val="00341EB9"/>
    <w:rsid w:val="00341EE9"/>
    <w:rsid w:val="00342CDC"/>
    <w:rsid w:val="00342D04"/>
    <w:rsid w:val="00342EFD"/>
    <w:rsid w:val="00343216"/>
    <w:rsid w:val="003439EA"/>
    <w:rsid w:val="00344193"/>
    <w:rsid w:val="003454A0"/>
    <w:rsid w:val="003454ED"/>
    <w:rsid w:val="00345CEB"/>
    <w:rsid w:val="00346033"/>
    <w:rsid w:val="0034645C"/>
    <w:rsid w:val="00346510"/>
    <w:rsid w:val="00346FAC"/>
    <w:rsid w:val="003471E2"/>
    <w:rsid w:val="003479CA"/>
    <w:rsid w:val="00347A2E"/>
    <w:rsid w:val="00347C12"/>
    <w:rsid w:val="00350A25"/>
    <w:rsid w:val="003515BF"/>
    <w:rsid w:val="003515F0"/>
    <w:rsid w:val="00351AA5"/>
    <w:rsid w:val="003522BA"/>
    <w:rsid w:val="00352379"/>
    <w:rsid w:val="00352684"/>
    <w:rsid w:val="00352EB2"/>
    <w:rsid w:val="00353D97"/>
    <w:rsid w:val="00354205"/>
    <w:rsid w:val="00354D61"/>
    <w:rsid w:val="00355539"/>
    <w:rsid w:val="00355BDA"/>
    <w:rsid w:val="00355CDA"/>
    <w:rsid w:val="00355F13"/>
    <w:rsid w:val="0035615A"/>
    <w:rsid w:val="00356DCE"/>
    <w:rsid w:val="003576B2"/>
    <w:rsid w:val="00357749"/>
    <w:rsid w:val="00357DA3"/>
    <w:rsid w:val="00357E1B"/>
    <w:rsid w:val="0036094D"/>
    <w:rsid w:val="00360E47"/>
    <w:rsid w:val="003610E1"/>
    <w:rsid w:val="00361FF1"/>
    <w:rsid w:val="003635EA"/>
    <w:rsid w:val="00363947"/>
    <w:rsid w:val="00363B82"/>
    <w:rsid w:val="00364985"/>
    <w:rsid w:val="00364BC3"/>
    <w:rsid w:val="00364DE8"/>
    <w:rsid w:val="003651EC"/>
    <w:rsid w:val="003653CC"/>
    <w:rsid w:val="0036632E"/>
    <w:rsid w:val="0036635C"/>
    <w:rsid w:val="0036673B"/>
    <w:rsid w:val="003672FC"/>
    <w:rsid w:val="003674E2"/>
    <w:rsid w:val="00370095"/>
    <w:rsid w:val="00371117"/>
    <w:rsid w:val="003715D8"/>
    <w:rsid w:val="00371921"/>
    <w:rsid w:val="0037199D"/>
    <w:rsid w:val="00371B6B"/>
    <w:rsid w:val="003721C7"/>
    <w:rsid w:val="00372935"/>
    <w:rsid w:val="00372990"/>
    <w:rsid w:val="00372BC2"/>
    <w:rsid w:val="00372E75"/>
    <w:rsid w:val="003736DD"/>
    <w:rsid w:val="0037471B"/>
    <w:rsid w:val="00375889"/>
    <w:rsid w:val="00375FAC"/>
    <w:rsid w:val="00376331"/>
    <w:rsid w:val="00376A5A"/>
    <w:rsid w:val="00376A85"/>
    <w:rsid w:val="00376C82"/>
    <w:rsid w:val="0037709C"/>
    <w:rsid w:val="003777D2"/>
    <w:rsid w:val="00377C0B"/>
    <w:rsid w:val="003800AA"/>
    <w:rsid w:val="00380252"/>
    <w:rsid w:val="0038060D"/>
    <w:rsid w:val="00380B68"/>
    <w:rsid w:val="0038107A"/>
    <w:rsid w:val="00381139"/>
    <w:rsid w:val="0038137C"/>
    <w:rsid w:val="003813BE"/>
    <w:rsid w:val="00381771"/>
    <w:rsid w:val="00381AE6"/>
    <w:rsid w:val="00381E6A"/>
    <w:rsid w:val="0038277A"/>
    <w:rsid w:val="00382D47"/>
    <w:rsid w:val="00382F10"/>
    <w:rsid w:val="003830EF"/>
    <w:rsid w:val="00383159"/>
    <w:rsid w:val="003834A0"/>
    <w:rsid w:val="003835BB"/>
    <w:rsid w:val="0038383E"/>
    <w:rsid w:val="00384261"/>
    <w:rsid w:val="00384743"/>
    <w:rsid w:val="003858AC"/>
    <w:rsid w:val="00385EE1"/>
    <w:rsid w:val="0038615A"/>
    <w:rsid w:val="00386289"/>
    <w:rsid w:val="00387040"/>
    <w:rsid w:val="003871E6"/>
    <w:rsid w:val="003878C2"/>
    <w:rsid w:val="00387F8B"/>
    <w:rsid w:val="00390351"/>
    <w:rsid w:val="00390372"/>
    <w:rsid w:val="0039104A"/>
    <w:rsid w:val="0039187F"/>
    <w:rsid w:val="00391C95"/>
    <w:rsid w:val="00391D35"/>
    <w:rsid w:val="00391D82"/>
    <w:rsid w:val="00392BD3"/>
    <w:rsid w:val="00392EFB"/>
    <w:rsid w:val="003931B7"/>
    <w:rsid w:val="00393260"/>
    <w:rsid w:val="00393700"/>
    <w:rsid w:val="003937F6"/>
    <w:rsid w:val="00393AB2"/>
    <w:rsid w:val="00393DED"/>
    <w:rsid w:val="00393E94"/>
    <w:rsid w:val="00394019"/>
    <w:rsid w:val="0039439A"/>
    <w:rsid w:val="00394CC0"/>
    <w:rsid w:val="00394DE2"/>
    <w:rsid w:val="003955F2"/>
    <w:rsid w:val="00396E68"/>
    <w:rsid w:val="003972CB"/>
    <w:rsid w:val="00397483"/>
    <w:rsid w:val="00397A0E"/>
    <w:rsid w:val="00397AA6"/>
    <w:rsid w:val="00397EE3"/>
    <w:rsid w:val="003A0266"/>
    <w:rsid w:val="003A12E8"/>
    <w:rsid w:val="003A20FE"/>
    <w:rsid w:val="003A2113"/>
    <w:rsid w:val="003A2275"/>
    <w:rsid w:val="003A2431"/>
    <w:rsid w:val="003A2BF9"/>
    <w:rsid w:val="003A4F46"/>
    <w:rsid w:val="003A5055"/>
    <w:rsid w:val="003A5EA5"/>
    <w:rsid w:val="003A74BF"/>
    <w:rsid w:val="003A76BC"/>
    <w:rsid w:val="003A7798"/>
    <w:rsid w:val="003B029A"/>
    <w:rsid w:val="003B04C4"/>
    <w:rsid w:val="003B053E"/>
    <w:rsid w:val="003B0D90"/>
    <w:rsid w:val="003B16F1"/>
    <w:rsid w:val="003B1994"/>
    <w:rsid w:val="003B1A81"/>
    <w:rsid w:val="003B2560"/>
    <w:rsid w:val="003B3283"/>
    <w:rsid w:val="003B36EF"/>
    <w:rsid w:val="003B4DF0"/>
    <w:rsid w:val="003B52CF"/>
    <w:rsid w:val="003B5A68"/>
    <w:rsid w:val="003B5C38"/>
    <w:rsid w:val="003B5D95"/>
    <w:rsid w:val="003B6586"/>
    <w:rsid w:val="003B6B33"/>
    <w:rsid w:val="003B724D"/>
    <w:rsid w:val="003B74B7"/>
    <w:rsid w:val="003B7602"/>
    <w:rsid w:val="003B7BDC"/>
    <w:rsid w:val="003C0324"/>
    <w:rsid w:val="003C0AE8"/>
    <w:rsid w:val="003C0BD7"/>
    <w:rsid w:val="003C0D27"/>
    <w:rsid w:val="003C10BB"/>
    <w:rsid w:val="003C17D6"/>
    <w:rsid w:val="003C1894"/>
    <w:rsid w:val="003C22E8"/>
    <w:rsid w:val="003C23F1"/>
    <w:rsid w:val="003C325D"/>
    <w:rsid w:val="003C469B"/>
    <w:rsid w:val="003C5006"/>
    <w:rsid w:val="003C508D"/>
    <w:rsid w:val="003C54C4"/>
    <w:rsid w:val="003C5837"/>
    <w:rsid w:val="003C5ED9"/>
    <w:rsid w:val="003C65AD"/>
    <w:rsid w:val="003C6CDB"/>
    <w:rsid w:val="003C6EA1"/>
    <w:rsid w:val="003C732D"/>
    <w:rsid w:val="003C74DC"/>
    <w:rsid w:val="003C76EC"/>
    <w:rsid w:val="003C7A06"/>
    <w:rsid w:val="003C7D58"/>
    <w:rsid w:val="003D02B3"/>
    <w:rsid w:val="003D0487"/>
    <w:rsid w:val="003D1108"/>
    <w:rsid w:val="003D12BB"/>
    <w:rsid w:val="003D138C"/>
    <w:rsid w:val="003D18C7"/>
    <w:rsid w:val="003D1AF2"/>
    <w:rsid w:val="003D33BF"/>
    <w:rsid w:val="003D35D5"/>
    <w:rsid w:val="003D3F3C"/>
    <w:rsid w:val="003D3FFF"/>
    <w:rsid w:val="003D4120"/>
    <w:rsid w:val="003D4E22"/>
    <w:rsid w:val="003D5937"/>
    <w:rsid w:val="003D5B7D"/>
    <w:rsid w:val="003D611C"/>
    <w:rsid w:val="003D6155"/>
    <w:rsid w:val="003D635F"/>
    <w:rsid w:val="003D7A18"/>
    <w:rsid w:val="003D7ADD"/>
    <w:rsid w:val="003D7D2B"/>
    <w:rsid w:val="003D7E4C"/>
    <w:rsid w:val="003D7FE6"/>
    <w:rsid w:val="003E0613"/>
    <w:rsid w:val="003E12E9"/>
    <w:rsid w:val="003E1BD1"/>
    <w:rsid w:val="003E21DA"/>
    <w:rsid w:val="003E234B"/>
    <w:rsid w:val="003E2B45"/>
    <w:rsid w:val="003E3385"/>
    <w:rsid w:val="003E392E"/>
    <w:rsid w:val="003E3C33"/>
    <w:rsid w:val="003E443C"/>
    <w:rsid w:val="003E4C03"/>
    <w:rsid w:val="003E5845"/>
    <w:rsid w:val="003E6204"/>
    <w:rsid w:val="003E64D2"/>
    <w:rsid w:val="003E6E38"/>
    <w:rsid w:val="003E772A"/>
    <w:rsid w:val="003F0126"/>
    <w:rsid w:val="003F04DB"/>
    <w:rsid w:val="003F09ED"/>
    <w:rsid w:val="003F111F"/>
    <w:rsid w:val="003F14DC"/>
    <w:rsid w:val="003F2759"/>
    <w:rsid w:val="003F28DE"/>
    <w:rsid w:val="003F2A4E"/>
    <w:rsid w:val="003F2F4D"/>
    <w:rsid w:val="003F3054"/>
    <w:rsid w:val="003F305F"/>
    <w:rsid w:val="003F3132"/>
    <w:rsid w:val="003F349E"/>
    <w:rsid w:val="003F3835"/>
    <w:rsid w:val="003F4631"/>
    <w:rsid w:val="003F4A86"/>
    <w:rsid w:val="003F53DE"/>
    <w:rsid w:val="003F566E"/>
    <w:rsid w:val="003F5CE9"/>
    <w:rsid w:val="003F5D14"/>
    <w:rsid w:val="003F5ED8"/>
    <w:rsid w:val="003F65A6"/>
    <w:rsid w:val="003F6606"/>
    <w:rsid w:val="003F6F73"/>
    <w:rsid w:val="003F79F8"/>
    <w:rsid w:val="00400024"/>
    <w:rsid w:val="004006DF"/>
    <w:rsid w:val="00400A85"/>
    <w:rsid w:val="00400D8B"/>
    <w:rsid w:val="00401023"/>
    <w:rsid w:val="0040129D"/>
    <w:rsid w:val="00401D12"/>
    <w:rsid w:val="00402A65"/>
    <w:rsid w:val="004039EC"/>
    <w:rsid w:val="0040413B"/>
    <w:rsid w:val="004049F8"/>
    <w:rsid w:val="00404BBD"/>
    <w:rsid w:val="0040550E"/>
    <w:rsid w:val="00405F04"/>
    <w:rsid w:val="00406049"/>
    <w:rsid w:val="004061AB"/>
    <w:rsid w:val="00406477"/>
    <w:rsid w:val="004065D8"/>
    <w:rsid w:val="00406AC5"/>
    <w:rsid w:val="00406BA8"/>
    <w:rsid w:val="00406D3C"/>
    <w:rsid w:val="00406E92"/>
    <w:rsid w:val="00407014"/>
    <w:rsid w:val="004072F9"/>
    <w:rsid w:val="00407B77"/>
    <w:rsid w:val="00407C57"/>
    <w:rsid w:val="00407C6D"/>
    <w:rsid w:val="00410E4C"/>
    <w:rsid w:val="00411374"/>
    <w:rsid w:val="00411C29"/>
    <w:rsid w:val="00412493"/>
    <w:rsid w:val="00412FD9"/>
    <w:rsid w:val="0041300B"/>
    <w:rsid w:val="004132C6"/>
    <w:rsid w:val="00413531"/>
    <w:rsid w:val="004136DF"/>
    <w:rsid w:val="00414691"/>
    <w:rsid w:val="00415524"/>
    <w:rsid w:val="004155EC"/>
    <w:rsid w:val="004156B7"/>
    <w:rsid w:val="00415988"/>
    <w:rsid w:val="004163D3"/>
    <w:rsid w:val="00416896"/>
    <w:rsid w:val="004175D7"/>
    <w:rsid w:val="004179BF"/>
    <w:rsid w:val="00417A3D"/>
    <w:rsid w:val="00417D23"/>
    <w:rsid w:val="0042021A"/>
    <w:rsid w:val="00420C08"/>
    <w:rsid w:val="004220F6"/>
    <w:rsid w:val="00422A7C"/>
    <w:rsid w:val="00422C44"/>
    <w:rsid w:val="00422D71"/>
    <w:rsid w:val="0042347A"/>
    <w:rsid w:val="004235BB"/>
    <w:rsid w:val="00423E3C"/>
    <w:rsid w:val="0042407E"/>
    <w:rsid w:val="0042485B"/>
    <w:rsid w:val="004248B7"/>
    <w:rsid w:val="00424D10"/>
    <w:rsid w:val="0042503C"/>
    <w:rsid w:val="004255C8"/>
    <w:rsid w:val="00426097"/>
    <w:rsid w:val="00426414"/>
    <w:rsid w:val="00426E63"/>
    <w:rsid w:val="00427046"/>
    <w:rsid w:val="00427650"/>
    <w:rsid w:val="004279AC"/>
    <w:rsid w:val="00427A95"/>
    <w:rsid w:val="00427FD5"/>
    <w:rsid w:val="004302AF"/>
    <w:rsid w:val="00430CCA"/>
    <w:rsid w:val="00431266"/>
    <w:rsid w:val="00431A12"/>
    <w:rsid w:val="00431EDD"/>
    <w:rsid w:val="004324F9"/>
    <w:rsid w:val="00432790"/>
    <w:rsid w:val="004327C3"/>
    <w:rsid w:val="00432809"/>
    <w:rsid w:val="004330F4"/>
    <w:rsid w:val="00433541"/>
    <w:rsid w:val="004337E6"/>
    <w:rsid w:val="004338D0"/>
    <w:rsid w:val="00433B8D"/>
    <w:rsid w:val="00434D7E"/>
    <w:rsid w:val="004353BB"/>
    <w:rsid w:val="0043541C"/>
    <w:rsid w:val="004356B4"/>
    <w:rsid w:val="00435956"/>
    <w:rsid w:val="00435F86"/>
    <w:rsid w:val="00436187"/>
    <w:rsid w:val="004364C8"/>
    <w:rsid w:val="00436769"/>
    <w:rsid w:val="00436880"/>
    <w:rsid w:val="0043720C"/>
    <w:rsid w:val="00437428"/>
    <w:rsid w:val="00437530"/>
    <w:rsid w:val="00437A15"/>
    <w:rsid w:val="00437ABE"/>
    <w:rsid w:val="00437EDF"/>
    <w:rsid w:val="0044013F"/>
    <w:rsid w:val="00440220"/>
    <w:rsid w:val="00440D7F"/>
    <w:rsid w:val="00441EE2"/>
    <w:rsid w:val="004428E1"/>
    <w:rsid w:val="004429B7"/>
    <w:rsid w:val="00443AC4"/>
    <w:rsid w:val="00443E74"/>
    <w:rsid w:val="00444222"/>
    <w:rsid w:val="00444600"/>
    <w:rsid w:val="004448E6"/>
    <w:rsid w:val="00444B41"/>
    <w:rsid w:val="00444D80"/>
    <w:rsid w:val="004456BD"/>
    <w:rsid w:val="00445837"/>
    <w:rsid w:val="00445A0C"/>
    <w:rsid w:val="00445AA7"/>
    <w:rsid w:val="00445BE0"/>
    <w:rsid w:val="0044615C"/>
    <w:rsid w:val="0044677A"/>
    <w:rsid w:val="004473FE"/>
    <w:rsid w:val="004476B7"/>
    <w:rsid w:val="00447D92"/>
    <w:rsid w:val="00450457"/>
    <w:rsid w:val="00450963"/>
    <w:rsid w:val="004510BB"/>
    <w:rsid w:val="0045162C"/>
    <w:rsid w:val="004517F2"/>
    <w:rsid w:val="00451B58"/>
    <w:rsid w:val="00451C61"/>
    <w:rsid w:val="00451D93"/>
    <w:rsid w:val="004527C5"/>
    <w:rsid w:val="00452B80"/>
    <w:rsid w:val="00453387"/>
    <w:rsid w:val="00453D83"/>
    <w:rsid w:val="00453EC6"/>
    <w:rsid w:val="00453ECE"/>
    <w:rsid w:val="0045479E"/>
    <w:rsid w:val="004551B5"/>
    <w:rsid w:val="00455E54"/>
    <w:rsid w:val="00455E69"/>
    <w:rsid w:val="00455F9A"/>
    <w:rsid w:val="00456210"/>
    <w:rsid w:val="00456661"/>
    <w:rsid w:val="004566EC"/>
    <w:rsid w:val="00457077"/>
    <w:rsid w:val="00457515"/>
    <w:rsid w:val="00457FFE"/>
    <w:rsid w:val="004602D8"/>
    <w:rsid w:val="00460343"/>
    <w:rsid w:val="0046043B"/>
    <w:rsid w:val="004604FF"/>
    <w:rsid w:val="004608D5"/>
    <w:rsid w:val="00460FFF"/>
    <w:rsid w:val="0046120C"/>
    <w:rsid w:val="004617F8"/>
    <w:rsid w:val="004617FA"/>
    <w:rsid w:val="00461B85"/>
    <w:rsid w:val="00461CD9"/>
    <w:rsid w:val="004626B6"/>
    <w:rsid w:val="004626D6"/>
    <w:rsid w:val="00462AAA"/>
    <w:rsid w:val="00462DFB"/>
    <w:rsid w:val="004630C6"/>
    <w:rsid w:val="004631A0"/>
    <w:rsid w:val="00464257"/>
    <w:rsid w:val="00464470"/>
    <w:rsid w:val="00464AC0"/>
    <w:rsid w:val="00464ACD"/>
    <w:rsid w:val="00464CA7"/>
    <w:rsid w:val="00464D54"/>
    <w:rsid w:val="00464E1D"/>
    <w:rsid w:val="00464E8A"/>
    <w:rsid w:val="004650B1"/>
    <w:rsid w:val="00465258"/>
    <w:rsid w:val="00465D05"/>
    <w:rsid w:val="00466074"/>
    <w:rsid w:val="00466377"/>
    <w:rsid w:val="00466839"/>
    <w:rsid w:val="00466FEA"/>
    <w:rsid w:val="00467185"/>
    <w:rsid w:val="004673DB"/>
    <w:rsid w:val="00467E07"/>
    <w:rsid w:val="00470709"/>
    <w:rsid w:val="004711C9"/>
    <w:rsid w:val="00471718"/>
    <w:rsid w:val="0047222F"/>
    <w:rsid w:val="004722EF"/>
    <w:rsid w:val="0047271F"/>
    <w:rsid w:val="00472A3D"/>
    <w:rsid w:val="00472AFA"/>
    <w:rsid w:val="004742A7"/>
    <w:rsid w:val="00474CAA"/>
    <w:rsid w:val="00475368"/>
    <w:rsid w:val="00475956"/>
    <w:rsid w:val="00476349"/>
    <w:rsid w:val="004772EA"/>
    <w:rsid w:val="004779B8"/>
    <w:rsid w:val="00477E59"/>
    <w:rsid w:val="004800FA"/>
    <w:rsid w:val="00480394"/>
    <w:rsid w:val="00481A25"/>
    <w:rsid w:val="0048218A"/>
    <w:rsid w:val="004822F1"/>
    <w:rsid w:val="0048252F"/>
    <w:rsid w:val="00482535"/>
    <w:rsid w:val="0048354A"/>
    <w:rsid w:val="00483B77"/>
    <w:rsid w:val="004844F4"/>
    <w:rsid w:val="0048464E"/>
    <w:rsid w:val="00484A81"/>
    <w:rsid w:val="00484AD3"/>
    <w:rsid w:val="00485071"/>
    <w:rsid w:val="004858B1"/>
    <w:rsid w:val="00485ADB"/>
    <w:rsid w:val="00485D82"/>
    <w:rsid w:val="0048601B"/>
    <w:rsid w:val="00486173"/>
    <w:rsid w:val="004862CD"/>
    <w:rsid w:val="00486683"/>
    <w:rsid w:val="004866BB"/>
    <w:rsid w:val="00486885"/>
    <w:rsid w:val="00486AAF"/>
    <w:rsid w:val="00486ACB"/>
    <w:rsid w:val="004870B7"/>
    <w:rsid w:val="004872D5"/>
    <w:rsid w:val="00487508"/>
    <w:rsid w:val="004876B1"/>
    <w:rsid w:val="00487FED"/>
    <w:rsid w:val="004902CE"/>
    <w:rsid w:val="004903A3"/>
    <w:rsid w:val="004903AF"/>
    <w:rsid w:val="00490769"/>
    <w:rsid w:val="00490988"/>
    <w:rsid w:val="00490BF6"/>
    <w:rsid w:val="004910AA"/>
    <w:rsid w:val="0049120D"/>
    <w:rsid w:val="004912B9"/>
    <w:rsid w:val="00491686"/>
    <w:rsid w:val="00491698"/>
    <w:rsid w:val="00492C6A"/>
    <w:rsid w:val="004930EC"/>
    <w:rsid w:val="00493498"/>
    <w:rsid w:val="00493818"/>
    <w:rsid w:val="004945D3"/>
    <w:rsid w:val="004948E5"/>
    <w:rsid w:val="00495105"/>
    <w:rsid w:val="00495174"/>
    <w:rsid w:val="004953D5"/>
    <w:rsid w:val="00495A75"/>
    <w:rsid w:val="00495B5E"/>
    <w:rsid w:val="00496191"/>
    <w:rsid w:val="004967BF"/>
    <w:rsid w:val="00496D53"/>
    <w:rsid w:val="004973F9"/>
    <w:rsid w:val="004975C2"/>
    <w:rsid w:val="00497707"/>
    <w:rsid w:val="004977FA"/>
    <w:rsid w:val="004A025F"/>
    <w:rsid w:val="004A1288"/>
    <w:rsid w:val="004A1D2D"/>
    <w:rsid w:val="004A2196"/>
    <w:rsid w:val="004A2B67"/>
    <w:rsid w:val="004A3B35"/>
    <w:rsid w:val="004A3E6B"/>
    <w:rsid w:val="004A3F63"/>
    <w:rsid w:val="004A473E"/>
    <w:rsid w:val="004A47D4"/>
    <w:rsid w:val="004A49F3"/>
    <w:rsid w:val="004A5045"/>
    <w:rsid w:val="004A5186"/>
    <w:rsid w:val="004A52ED"/>
    <w:rsid w:val="004A54B3"/>
    <w:rsid w:val="004A56A4"/>
    <w:rsid w:val="004A59F8"/>
    <w:rsid w:val="004A7C88"/>
    <w:rsid w:val="004A7E15"/>
    <w:rsid w:val="004B01E1"/>
    <w:rsid w:val="004B0284"/>
    <w:rsid w:val="004B0318"/>
    <w:rsid w:val="004B1443"/>
    <w:rsid w:val="004B1E0E"/>
    <w:rsid w:val="004B22B1"/>
    <w:rsid w:val="004B245C"/>
    <w:rsid w:val="004B2A75"/>
    <w:rsid w:val="004B2D12"/>
    <w:rsid w:val="004B3794"/>
    <w:rsid w:val="004B3B1A"/>
    <w:rsid w:val="004B3FE6"/>
    <w:rsid w:val="004B41C1"/>
    <w:rsid w:val="004B4461"/>
    <w:rsid w:val="004B4F9E"/>
    <w:rsid w:val="004B520F"/>
    <w:rsid w:val="004B5C57"/>
    <w:rsid w:val="004B6338"/>
    <w:rsid w:val="004B6F9C"/>
    <w:rsid w:val="004B7196"/>
    <w:rsid w:val="004B78C8"/>
    <w:rsid w:val="004B7FD8"/>
    <w:rsid w:val="004C01D1"/>
    <w:rsid w:val="004C0275"/>
    <w:rsid w:val="004C1132"/>
    <w:rsid w:val="004C1330"/>
    <w:rsid w:val="004C29FD"/>
    <w:rsid w:val="004C2A76"/>
    <w:rsid w:val="004C2DDC"/>
    <w:rsid w:val="004C2E18"/>
    <w:rsid w:val="004C33C3"/>
    <w:rsid w:val="004C3C2D"/>
    <w:rsid w:val="004C3DB9"/>
    <w:rsid w:val="004C4DFC"/>
    <w:rsid w:val="004C4EDD"/>
    <w:rsid w:val="004C59EF"/>
    <w:rsid w:val="004C7E21"/>
    <w:rsid w:val="004D02DE"/>
    <w:rsid w:val="004D0412"/>
    <w:rsid w:val="004D0995"/>
    <w:rsid w:val="004D0D0D"/>
    <w:rsid w:val="004D1810"/>
    <w:rsid w:val="004D1B83"/>
    <w:rsid w:val="004D2005"/>
    <w:rsid w:val="004D25A7"/>
    <w:rsid w:val="004D2A1C"/>
    <w:rsid w:val="004D2BA4"/>
    <w:rsid w:val="004D341C"/>
    <w:rsid w:val="004D3573"/>
    <w:rsid w:val="004D5194"/>
    <w:rsid w:val="004D52A0"/>
    <w:rsid w:val="004D57C3"/>
    <w:rsid w:val="004D5AC4"/>
    <w:rsid w:val="004D5E2C"/>
    <w:rsid w:val="004D5F22"/>
    <w:rsid w:val="004D6649"/>
    <w:rsid w:val="004D68DE"/>
    <w:rsid w:val="004D7BD6"/>
    <w:rsid w:val="004D7FC1"/>
    <w:rsid w:val="004E00CB"/>
    <w:rsid w:val="004E0212"/>
    <w:rsid w:val="004E03FB"/>
    <w:rsid w:val="004E13C0"/>
    <w:rsid w:val="004E13E5"/>
    <w:rsid w:val="004E175A"/>
    <w:rsid w:val="004E1A5F"/>
    <w:rsid w:val="004E349D"/>
    <w:rsid w:val="004E393E"/>
    <w:rsid w:val="004E3C50"/>
    <w:rsid w:val="004E44DB"/>
    <w:rsid w:val="004E4564"/>
    <w:rsid w:val="004E4B7E"/>
    <w:rsid w:val="004E56B0"/>
    <w:rsid w:val="004E58A5"/>
    <w:rsid w:val="004E7624"/>
    <w:rsid w:val="004E77E6"/>
    <w:rsid w:val="004E7A9B"/>
    <w:rsid w:val="004E7AAF"/>
    <w:rsid w:val="004E7B0A"/>
    <w:rsid w:val="004F02D6"/>
    <w:rsid w:val="004F04CE"/>
    <w:rsid w:val="004F0B90"/>
    <w:rsid w:val="004F0E2E"/>
    <w:rsid w:val="004F0F0C"/>
    <w:rsid w:val="004F11A1"/>
    <w:rsid w:val="004F15E1"/>
    <w:rsid w:val="004F1E40"/>
    <w:rsid w:val="004F22BA"/>
    <w:rsid w:val="004F2DD5"/>
    <w:rsid w:val="004F3712"/>
    <w:rsid w:val="004F3794"/>
    <w:rsid w:val="004F3AE1"/>
    <w:rsid w:val="004F3D5B"/>
    <w:rsid w:val="004F412A"/>
    <w:rsid w:val="004F42B3"/>
    <w:rsid w:val="004F4558"/>
    <w:rsid w:val="004F45DF"/>
    <w:rsid w:val="004F4DA8"/>
    <w:rsid w:val="004F551C"/>
    <w:rsid w:val="004F5D11"/>
    <w:rsid w:val="004F5E84"/>
    <w:rsid w:val="004F67B6"/>
    <w:rsid w:val="004F67CE"/>
    <w:rsid w:val="004F6910"/>
    <w:rsid w:val="004F6E98"/>
    <w:rsid w:val="004F7102"/>
    <w:rsid w:val="004F77AC"/>
    <w:rsid w:val="004F77B6"/>
    <w:rsid w:val="00500122"/>
    <w:rsid w:val="00501AA9"/>
    <w:rsid w:val="00501FCE"/>
    <w:rsid w:val="005023C9"/>
    <w:rsid w:val="00502CD6"/>
    <w:rsid w:val="0050317C"/>
    <w:rsid w:val="0050366C"/>
    <w:rsid w:val="0050394F"/>
    <w:rsid w:val="00503D37"/>
    <w:rsid w:val="005040F5"/>
    <w:rsid w:val="00504140"/>
    <w:rsid w:val="00504239"/>
    <w:rsid w:val="00504A79"/>
    <w:rsid w:val="00504ABB"/>
    <w:rsid w:val="00504B0B"/>
    <w:rsid w:val="00504EE5"/>
    <w:rsid w:val="0050598E"/>
    <w:rsid w:val="00505B81"/>
    <w:rsid w:val="00505CB7"/>
    <w:rsid w:val="00505DE5"/>
    <w:rsid w:val="00505EBA"/>
    <w:rsid w:val="00505FCE"/>
    <w:rsid w:val="005063A7"/>
    <w:rsid w:val="005068A5"/>
    <w:rsid w:val="00506A26"/>
    <w:rsid w:val="005070F8"/>
    <w:rsid w:val="00507568"/>
    <w:rsid w:val="00510873"/>
    <w:rsid w:val="00510911"/>
    <w:rsid w:val="00511A43"/>
    <w:rsid w:val="00511EED"/>
    <w:rsid w:val="00512222"/>
    <w:rsid w:val="005122C9"/>
    <w:rsid w:val="00512575"/>
    <w:rsid w:val="00512CEA"/>
    <w:rsid w:val="00512E71"/>
    <w:rsid w:val="00512EC0"/>
    <w:rsid w:val="00513697"/>
    <w:rsid w:val="00513744"/>
    <w:rsid w:val="00513854"/>
    <w:rsid w:val="00513CFF"/>
    <w:rsid w:val="00514822"/>
    <w:rsid w:val="0051498F"/>
    <w:rsid w:val="00514ADC"/>
    <w:rsid w:val="00514C04"/>
    <w:rsid w:val="00514DA3"/>
    <w:rsid w:val="0051544A"/>
    <w:rsid w:val="00515834"/>
    <w:rsid w:val="00515D47"/>
    <w:rsid w:val="00515D9A"/>
    <w:rsid w:val="005161CF"/>
    <w:rsid w:val="0051646B"/>
    <w:rsid w:val="005164CD"/>
    <w:rsid w:val="00516852"/>
    <w:rsid w:val="00516A8F"/>
    <w:rsid w:val="00516EFB"/>
    <w:rsid w:val="00517575"/>
    <w:rsid w:val="005179F5"/>
    <w:rsid w:val="00520837"/>
    <w:rsid w:val="00520A4C"/>
    <w:rsid w:val="00520E63"/>
    <w:rsid w:val="00521849"/>
    <w:rsid w:val="00521AAB"/>
    <w:rsid w:val="00522149"/>
    <w:rsid w:val="00522230"/>
    <w:rsid w:val="005227FF"/>
    <w:rsid w:val="00522CB0"/>
    <w:rsid w:val="0052331E"/>
    <w:rsid w:val="005236DC"/>
    <w:rsid w:val="00523F77"/>
    <w:rsid w:val="0052412B"/>
    <w:rsid w:val="00525277"/>
    <w:rsid w:val="005253B7"/>
    <w:rsid w:val="00525554"/>
    <w:rsid w:val="00525762"/>
    <w:rsid w:val="00525912"/>
    <w:rsid w:val="00525D1D"/>
    <w:rsid w:val="00525E1B"/>
    <w:rsid w:val="00526389"/>
    <w:rsid w:val="005263AE"/>
    <w:rsid w:val="005268CE"/>
    <w:rsid w:val="0052693C"/>
    <w:rsid w:val="00526FB7"/>
    <w:rsid w:val="00527344"/>
    <w:rsid w:val="005276AC"/>
    <w:rsid w:val="005278BE"/>
    <w:rsid w:val="00527974"/>
    <w:rsid w:val="00527CAE"/>
    <w:rsid w:val="00527D97"/>
    <w:rsid w:val="00527E8A"/>
    <w:rsid w:val="00527F51"/>
    <w:rsid w:val="005303A2"/>
    <w:rsid w:val="00531134"/>
    <w:rsid w:val="005315FB"/>
    <w:rsid w:val="00531788"/>
    <w:rsid w:val="00531890"/>
    <w:rsid w:val="0053192A"/>
    <w:rsid w:val="00531EE4"/>
    <w:rsid w:val="0053327F"/>
    <w:rsid w:val="00533567"/>
    <w:rsid w:val="0053397A"/>
    <w:rsid w:val="005339E0"/>
    <w:rsid w:val="00534156"/>
    <w:rsid w:val="00534303"/>
    <w:rsid w:val="00534A61"/>
    <w:rsid w:val="005355AA"/>
    <w:rsid w:val="00535A6D"/>
    <w:rsid w:val="00535BA4"/>
    <w:rsid w:val="005373F2"/>
    <w:rsid w:val="00537827"/>
    <w:rsid w:val="005379EE"/>
    <w:rsid w:val="0054035F"/>
    <w:rsid w:val="00540579"/>
    <w:rsid w:val="0054057C"/>
    <w:rsid w:val="0054103A"/>
    <w:rsid w:val="0054165B"/>
    <w:rsid w:val="0054177C"/>
    <w:rsid w:val="00541D6E"/>
    <w:rsid w:val="00541E7D"/>
    <w:rsid w:val="005424D6"/>
    <w:rsid w:val="005430DC"/>
    <w:rsid w:val="00543242"/>
    <w:rsid w:val="005435B8"/>
    <w:rsid w:val="00543BA5"/>
    <w:rsid w:val="0054497A"/>
    <w:rsid w:val="00544E70"/>
    <w:rsid w:val="00545057"/>
    <w:rsid w:val="0054512D"/>
    <w:rsid w:val="005453B5"/>
    <w:rsid w:val="0054553A"/>
    <w:rsid w:val="0054599C"/>
    <w:rsid w:val="00545C91"/>
    <w:rsid w:val="00546205"/>
    <w:rsid w:val="0054625E"/>
    <w:rsid w:val="0054649D"/>
    <w:rsid w:val="00546B52"/>
    <w:rsid w:val="00546D71"/>
    <w:rsid w:val="00546F77"/>
    <w:rsid w:val="00547953"/>
    <w:rsid w:val="00547AFD"/>
    <w:rsid w:val="00550768"/>
    <w:rsid w:val="00550A02"/>
    <w:rsid w:val="00550A52"/>
    <w:rsid w:val="00550B9E"/>
    <w:rsid w:val="00550D2D"/>
    <w:rsid w:val="00551615"/>
    <w:rsid w:val="00551E40"/>
    <w:rsid w:val="00551E49"/>
    <w:rsid w:val="00552D4F"/>
    <w:rsid w:val="00552EA5"/>
    <w:rsid w:val="00552F23"/>
    <w:rsid w:val="005538AF"/>
    <w:rsid w:val="00553B62"/>
    <w:rsid w:val="00553D8A"/>
    <w:rsid w:val="00554C6A"/>
    <w:rsid w:val="00555187"/>
    <w:rsid w:val="005557D5"/>
    <w:rsid w:val="00555A2F"/>
    <w:rsid w:val="00555BB1"/>
    <w:rsid w:val="00555D98"/>
    <w:rsid w:val="00556F36"/>
    <w:rsid w:val="00557068"/>
    <w:rsid w:val="0055733A"/>
    <w:rsid w:val="00557432"/>
    <w:rsid w:val="00557439"/>
    <w:rsid w:val="005574A2"/>
    <w:rsid w:val="00557664"/>
    <w:rsid w:val="0056011B"/>
    <w:rsid w:val="00560486"/>
    <w:rsid w:val="00560755"/>
    <w:rsid w:val="00560B89"/>
    <w:rsid w:val="00560FBB"/>
    <w:rsid w:val="0056131F"/>
    <w:rsid w:val="00561CE8"/>
    <w:rsid w:val="0056286A"/>
    <w:rsid w:val="00562A6C"/>
    <w:rsid w:val="00562C20"/>
    <w:rsid w:val="005630DE"/>
    <w:rsid w:val="0056348F"/>
    <w:rsid w:val="005639F1"/>
    <w:rsid w:val="00563EF9"/>
    <w:rsid w:val="00564383"/>
    <w:rsid w:val="00564D35"/>
    <w:rsid w:val="00564FAB"/>
    <w:rsid w:val="005651F0"/>
    <w:rsid w:val="0056618E"/>
    <w:rsid w:val="005662A2"/>
    <w:rsid w:val="00566356"/>
    <w:rsid w:val="00567BD9"/>
    <w:rsid w:val="00567C1A"/>
    <w:rsid w:val="00570015"/>
    <w:rsid w:val="00570CD1"/>
    <w:rsid w:val="00571608"/>
    <w:rsid w:val="005717B6"/>
    <w:rsid w:val="00571A5E"/>
    <w:rsid w:val="005726B5"/>
    <w:rsid w:val="005727F7"/>
    <w:rsid w:val="005738D4"/>
    <w:rsid w:val="005739E8"/>
    <w:rsid w:val="00573A30"/>
    <w:rsid w:val="005741F8"/>
    <w:rsid w:val="0057432B"/>
    <w:rsid w:val="0057490B"/>
    <w:rsid w:val="00575C91"/>
    <w:rsid w:val="00575E6A"/>
    <w:rsid w:val="00576069"/>
    <w:rsid w:val="0057662A"/>
    <w:rsid w:val="0057663E"/>
    <w:rsid w:val="005775A6"/>
    <w:rsid w:val="005777AE"/>
    <w:rsid w:val="00577EB0"/>
    <w:rsid w:val="00580190"/>
    <w:rsid w:val="005801B2"/>
    <w:rsid w:val="00580B11"/>
    <w:rsid w:val="00580CAF"/>
    <w:rsid w:val="0058105F"/>
    <w:rsid w:val="0058121E"/>
    <w:rsid w:val="00582008"/>
    <w:rsid w:val="005821D1"/>
    <w:rsid w:val="00582637"/>
    <w:rsid w:val="00582B33"/>
    <w:rsid w:val="00582BA0"/>
    <w:rsid w:val="00582CD8"/>
    <w:rsid w:val="005836B8"/>
    <w:rsid w:val="00583869"/>
    <w:rsid w:val="00583F55"/>
    <w:rsid w:val="00584437"/>
    <w:rsid w:val="00584F52"/>
    <w:rsid w:val="00585AC7"/>
    <w:rsid w:val="00586168"/>
    <w:rsid w:val="005861FD"/>
    <w:rsid w:val="005863FD"/>
    <w:rsid w:val="00586876"/>
    <w:rsid w:val="00586E31"/>
    <w:rsid w:val="0058710C"/>
    <w:rsid w:val="00587808"/>
    <w:rsid w:val="00587DFB"/>
    <w:rsid w:val="00590082"/>
    <w:rsid w:val="0059008F"/>
    <w:rsid w:val="00590199"/>
    <w:rsid w:val="00590ADF"/>
    <w:rsid w:val="00591077"/>
    <w:rsid w:val="005910EF"/>
    <w:rsid w:val="005911EE"/>
    <w:rsid w:val="0059156D"/>
    <w:rsid w:val="0059205A"/>
    <w:rsid w:val="0059260E"/>
    <w:rsid w:val="00592FF5"/>
    <w:rsid w:val="005934E4"/>
    <w:rsid w:val="005938BF"/>
    <w:rsid w:val="00593A01"/>
    <w:rsid w:val="00594A5C"/>
    <w:rsid w:val="00594CF1"/>
    <w:rsid w:val="00594F69"/>
    <w:rsid w:val="005951E3"/>
    <w:rsid w:val="0059550A"/>
    <w:rsid w:val="00595AEC"/>
    <w:rsid w:val="00595CD8"/>
    <w:rsid w:val="00595D23"/>
    <w:rsid w:val="00596BA2"/>
    <w:rsid w:val="00596F84"/>
    <w:rsid w:val="005976CA"/>
    <w:rsid w:val="005A01DF"/>
    <w:rsid w:val="005A0793"/>
    <w:rsid w:val="005A1267"/>
    <w:rsid w:val="005A1318"/>
    <w:rsid w:val="005A2163"/>
    <w:rsid w:val="005A23C2"/>
    <w:rsid w:val="005A24AD"/>
    <w:rsid w:val="005A25BD"/>
    <w:rsid w:val="005A2BA4"/>
    <w:rsid w:val="005A2C92"/>
    <w:rsid w:val="005A3F6A"/>
    <w:rsid w:val="005A4016"/>
    <w:rsid w:val="005A4220"/>
    <w:rsid w:val="005A42CA"/>
    <w:rsid w:val="005A442F"/>
    <w:rsid w:val="005A4653"/>
    <w:rsid w:val="005A47C4"/>
    <w:rsid w:val="005A484F"/>
    <w:rsid w:val="005A48B5"/>
    <w:rsid w:val="005A4BC6"/>
    <w:rsid w:val="005A4C83"/>
    <w:rsid w:val="005A4CE8"/>
    <w:rsid w:val="005A568C"/>
    <w:rsid w:val="005A5A15"/>
    <w:rsid w:val="005A5C20"/>
    <w:rsid w:val="005A603D"/>
    <w:rsid w:val="005A6851"/>
    <w:rsid w:val="005A6B36"/>
    <w:rsid w:val="005A7453"/>
    <w:rsid w:val="005A75BF"/>
    <w:rsid w:val="005A7C44"/>
    <w:rsid w:val="005A7C65"/>
    <w:rsid w:val="005A7CC7"/>
    <w:rsid w:val="005B0090"/>
    <w:rsid w:val="005B0D75"/>
    <w:rsid w:val="005B121C"/>
    <w:rsid w:val="005B1333"/>
    <w:rsid w:val="005B19BF"/>
    <w:rsid w:val="005B1CAD"/>
    <w:rsid w:val="005B1EA3"/>
    <w:rsid w:val="005B2073"/>
    <w:rsid w:val="005B224A"/>
    <w:rsid w:val="005B2939"/>
    <w:rsid w:val="005B321E"/>
    <w:rsid w:val="005B3850"/>
    <w:rsid w:val="005B41F1"/>
    <w:rsid w:val="005B44E8"/>
    <w:rsid w:val="005B4599"/>
    <w:rsid w:val="005B4A4D"/>
    <w:rsid w:val="005B4E52"/>
    <w:rsid w:val="005B536E"/>
    <w:rsid w:val="005B5BD3"/>
    <w:rsid w:val="005B6584"/>
    <w:rsid w:val="005C0283"/>
    <w:rsid w:val="005C0C64"/>
    <w:rsid w:val="005C0EF0"/>
    <w:rsid w:val="005C1272"/>
    <w:rsid w:val="005C30BE"/>
    <w:rsid w:val="005C32DF"/>
    <w:rsid w:val="005C3AA0"/>
    <w:rsid w:val="005C4798"/>
    <w:rsid w:val="005C51B0"/>
    <w:rsid w:val="005C58C7"/>
    <w:rsid w:val="005C60CE"/>
    <w:rsid w:val="005C65C1"/>
    <w:rsid w:val="005C7CF4"/>
    <w:rsid w:val="005C7F89"/>
    <w:rsid w:val="005D0169"/>
    <w:rsid w:val="005D0766"/>
    <w:rsid w:val="005D0C8E"/>
    <w:rsid w:val="005D0DC3"/>
    <w:rsid w:val="005D0F68"/>
    <w:rsid w:val="005D13C6"/>
    <w:rsid w:val="005D148F"/>
    <w:rsid w:val="005D24E1"/>
    <w:rsid w:val="005D2B21"/>
    <w:rsid w:val="005D2E57"/>
    <w:rsid w:val="005D3299"/>
    <w:rsid w:val="005D3419"/>
    <w:rsid w:val="005D35AB"/>
    <w:rsid w:val="005D3C9D"/>
    <w:rsid w:val="005D3E0C"/>
    <w:rsid w:val="005D3E96"/>
    <w:rsid w:val="005D3F70"/>
    <w:rsid w:val="005D4276"/>
    <w:rsid w:val="005D495A"/>
    <w:rsid w:val="005D52CF"/>
    <w:rsid w:val="005D5842"/>
    <w:rsid w:val="005D5D5B"/>
    <w:rsid w:val="005D5E01"/>
    <w:rsid w:val="005D6118"/>
    <w:rsid w:val="005D64D3"/>
    <w:rsid w:val="005D7077"/>
    <w:rsid w:val="005D7CD5"/>
    <w:rsid w:val="005E0036"/>
    <w:rsid w:val="005E0C67"/>
    <w:rsid w:val="005E1EB2"/>
    <w:rsid w:val="005E2D14"/>
    <w:rsid w:val="005E2E3C"/>
    <w:rsid w:val="005E3243"/>
    <w:rsid w:val="005E34D5"/>
    <w:rsid w:val="005E3AB6"/>
    <w:rsid w:val="005E49BE"/>
    <w:rsid w:val="005E4CEF"/>
    <w:rsid w:val="005E4E75"/>
    <w:rsid w:val="005E4FCB"/>
    <w:rsid w:val="005E5F49"/>
    <w:rsid w:val="005E6D1E"/>
    <w:rsid w:val="005E72E4"/>
    <w:rsid w:val="005E748D"/>
    <w:rsid w:val="005E7ED9"/>
    <w:rsid w:val="005F044C"/>
    <w:rsid w:val="005F06D9"/>
    <w:rsid w:val="005F074A"/>
    <w:rsid w:val="005F07A2"/>
    <w:rsid w:val="005F14C6"/>
    <w:rsid w:val="005F2732"/>
    <w:rsid w:val="005F28C7"/>
    <w:rsid w:val="005F2EA8"/>
    <w:rsid w:val="005F2F28"/>
    <w:rsid w:val="005F3512"/>
    <w:rsid w:val="005F37FD"/>
    <w:rsid w:val="005F39A6"/>
    <w:rsid w:val="005F3A21"/>
    <w:rsid w:val="005F3A86"/>
    <w:rsid w:val="005F3B43"/>
    <w:rsid w:val="005F3E92"/>
    <w:rsid w:val="005F478C"/>
    <w:rsid w:val="005F4931"/>
    <w:rsid w:val="005F4AED"/>
    <w:rsid w:val="005F4E4C"/>
    <w:rsid w:val="005F5136"/>
    <w:rsid w:val="005F5876"/>
    <w:rsid w:val="005F674B"/>
    <w:rsid w:val="005F68C0"/>
    <w:rsid w:val="005F6F0D"/>
    <w:rsid w:val="005F75B6"/>
    <w:rsid w:val="00600079"/>
    <w:rsid w:val="0060051C"/>
    <w:rsid w:val="00600933"/>
    <w:rsid w:val="00600B39"/>
    <w:rsid w:val="00600B91"/>
    <w:rsid w:val="00600F5C"/>
    <w:rsid w:val="00601C04"/>
    <w:rsid w:val="00601EE5"/>
    <w:rsid w:val="00601F2D"/>
    <w:rsid w:val="006029A5"/>
    <w:rsid w:val="00602C63"/>
    <w:rsid w:val="00602D15"/>
    <w:rsid w:val="00603808"/>
    <w:rsid w:val="00603CC4"/>
    <w:rsid w:val="00603EA6"/>
    <w:rsid w:val="00604A02"/>
    <w:rsid w:val="00604B15"/>
    <w:rsid w:val="00604C18"/>
    <w:rsid w:val="00605A40"/>
    <w:rsid w:val="00605AEA"/>
    <w:rsid w:val="00605C13"/>
    <w:rsid w:val="00606081"/>
    <w:rsid w:val="0060635E"/>
    <w:rsid w:val="0060665A"/>
    <w:rsid w:val="00606A6B"/>
    <w:rsid w:val="00606AA6"/>
    <w:rsid w:val="00607297"/>
    <w:rsid w:val="00607D56"/>
    <w:rsid w:val="00610379"/>
    <w:rsid w:val="006103D9"/>
    <w:rsid w:val="00610511"/>
    <w:rsid w:val="00610D0A"/>
    <w:rsid w:val="00610D3B"/>
    <w:rsid w:val="0061101D"/>
    <w:rsid w:val="006110B6"/>
    <w:rsid w:val="006112FF"/>
    <w:rsid w:val="006115FE"/>
    <w:rsid w:val="006116EB"/>
    <w:rsid w:val="006116EF"/>
    <w:rsid w:val="0061185C"/>
    <w:rsid w:val="00611A4A"/>
    <w:rsid w:val="00611C77"/>
    <w:rsid w:val="00612064"/>
    <w:rsid w:val="00612A10"/>
    <w:rsid w:val="00612FB7"/>
    <w:rsid w:val="006139EC"/>
    <w:rsid w:val="00614A1A"/>
    <w:rsid w:val="00614A2D"/>
    <w:rsid w:val="00614C83"/>
    <w:rsid w:val="00614FA5"/>
    <w:rsid w:val="006152F7"/>
    <w:rsid w:val="00615623"/>
    <w:rsid w:val="0061580A"/>
    <w:rsid w:val="006159FB"/>
    <w:rsid w:val="00615D52"/>
    <w:rsid w:val="00615F08"/>
    <w:rsid w:val="00615FED"/>
    <w:rsid w:val="0061627E"/>
    <w:rsid w:val="00616728"/>
    <w:rsid w:val="00616CE9"/>
    <w:rsid w:val="006170A8"/>
    <w:rsid w:val="00617529"/>
    <w:rsid w:val="0061755A"/>
    <w:rsid w:val="0061772B"/>
    <w:rsid w:val="00621DB3"/>
    <w:rsid w:val="006227A5"/>
    <w:rsid w:val="00622827"/>
    <w:rsid w:val="00622855"/>
    <w:rsid w:val="0062463F"/>
    <w:rsid w:val="00624810"/>
    <w:rsid w:val="00624822"/>
    <w:rsid w:val="00624A05"/>
    <w:rsid w:val="00624CF2"/>
    <w:rsid w:val="0062548A"/>
    <w:rsid w:val="0062606C"/>
    <w:rsid w:val="006260C2"/>
    <w:rsid w:val="00626D8B"/>
    <w:rsid w:val="00626DD2"/>
    <w:rsid w:val="00627E0B"/>
    <w:rsid w:val="00627F7E"/>
    <w:rsid w:val="00627FF1"/>
    <w:rsid w:val="00630493"/>
    <w:rsid w:val="006304D6"/>
    <w:rsid w:val="006305AA"/>
    <w:rsid w:val="006305EE"/>
    <w:rsid w:val="00630D3B"/>
    <w:rsid w:val="00631728"/>
    <w:rsid w:val="0063191E"/>
    <w:rsid w:val="00631AE6"/>
    <w:rsid w:val="00631BA9"/>
    <w:rsid w:val="006320AD"/>
    <w:rsid w:val="006324CB"/>
    <w:rsid w:val="006325C1"/>
    <w:rsid w:val="0063269B"/>
    <w:rsid w:val="0063399C"/>
    <w:rsid w:val="00633C2B"/>
    <w:rsid w:val="00633CD4"/>
    <w:rsid w:val="00633DE1"/>
    <w:rsid w:val="00634569"/>
    <w:rsid w:val="00634B7B"/>
    <w:rsid w:val="00634D24"/>
    <w:rsid w:val="00634F9B"/>
    <w:rsid w:val="006358CA"/>
    <w:rsid w:val="00635909"/>
    <w:rsid w:val="00635E7D"/>
    <w:rsid w:val="00635F58"/>
    <w:rsid w:val="00635FC9"/>
    <w:rsid w:val="00636159"/>
    <w:rsid w:val="006363EF"/>
    <w:rsid w:val="00636815"/>
    <w:rsid w:val="00637EF2"/>
    <w:rsid w:val="0064136C"/>
    <w:rsid w:val="00641A1E"/>
    <w:rsid w:val="00641BB8"/>
    <w:rsid w:val="0064233C"/>
    <w:rsid w:val="0064288D"/>
    <w:rsid w:val="00643261"/>
    <w:rsid w:val="00643367"/>
    <w:rsid w:val="00643591"/>
    <w:rsid w:val="0064386D"/>
    <w:rsid w:val="00643891"/>
    <w:rsid w:val="0064429A"/>
    <w:rsid w:val="00644A05"/>
    <w:rsid w:val="00644A98"/>
    <w:rsid w:val="00645657"/>
    <w:rsid w:val="0064657B"/>
    <w:rsid w:val="006470CF"/>
    <w:rsid w:val="00650164"/>
    <w:rsid w:val="00650733"/>
    <w:rsid w:val="00650868"/>
    <w:rsid w:val="006512A3"/>
    <w:rsid w:val="00651757"/>
    <w:rsid w:val="00651922"/>
    <w:rsid w:val="006527E4"/>
    <w:rsid w:val="00652A41"/>
    <w:rsid w:val="00652BA4"/>
    <w:rsid w:val="00653387"/>
    <w:rsid w:val="00653844"/>
    <w:rsid w:val="00653D06"/>
    <w:rsid w:val="0065401B"/>
    <w:rsid w:val="00654918"/>
    <w:rsid w:val="00654AED"/>
    <w:rsid w:val="00654EF9"/>
    <w:rsid w:val="00654F4C"/>
    <w:rsid w:val="006559DE"/>
    <w:rsid w:val="00655E1C"/>
    <w:rsid w:val="00656211"/>
    <w:rsid w:val="006562D5"/>
    <w:rsid w:val="006565F7"/>
    <w:rsid w:val="0065680D"/>
    <w:rsid w:val="00656BE1"/>
    <w:rsid w:val="00656F04"/>
    <w:rsid w:val="00656F79"/>
    <w:rsid w:val="00657446"/>
    <w:rsid w:val="0066018B"/>
    <w:rsid w:val="006607AF"/>
    <w:rsid w:val="00660F2A"/>
    <w:rsid w:val="006612EA"/>
    <w:rsid w:val="00661382"/>
    <w:rsid w:val="00661385"/>
    <w:rsid w:val="006615A0"/>
    <w:rsid w:val="0066176F"/>
    <w:rsid w:val="0066230B"/>
    <w:rsid w:val="006624AC"/>
    <w:rsid w:val="0066269A"/>
    <w:rsid w:val="00662BA0"/>
    <w:rsid w:val="006634B6"/>
    <w:rsid w:val="0066353F"/>
    <w:rsid w:val="006636CD"/>
    <w:rsid w:val="00663EAC"/>
    <w:rsid w:val="00663F0F"/>
    <w:rsid w:val="0066420F"/>
    <w:rsid w:val="00664A84"/>
    <w:rsid w:val="00664DA4"/>
    <w:rsid w:val="00664DB5"/>
    <w:rsid w:val="00664E8C"/>
    <w:rsid w:val="006653B2"/>
    <w:rsid w:val="0066580E"/>
    <w:rsid w:val="00666442"/>
    <w:rsid w:val="00666C64"/>
    <w:rsid w:val="00666E1E"/>
    <w:rsid w:val="00667097"/>
    <w:rsid w:val="006675B1"/>
    <w:rsid w:val="006675B6"/>
    <w:rsid w:val="00667740"/>
    <w:rsid w:val="00670719"/>
    <w:rsid w:val="00670EA6"/>
    <w:rsid w:val="006711E7"/>
    <w:rsid w:val="00671BD2"/>
    <w:rsid w:val="00671E27"/>
    <w:rsid w:val="00671F26"/>
    <w:rsid w:val="006722E9"/>
    <w:rsid w:val="006725AB"/>
    <w:rsid w:val="006732B3"/>
    <w:rsid w:val="00673714"/>
    <w:rsid w:val="00673947"/>
    <w:rsid w:val="00673AA6"/>
    <w:rsid w:val="006743B4"/>
    <w:rsid w:val="006745B3"/>
    <w:rsid w:val="006747B2"/>
    <w:rsid w:val="00674EE0"/>
    <w:rsid w:val="00674EF3"/>
    <w:rsid w:val="0067513D"/>
    <w:rsid w:val="006756BA"/>
    <w:rsid w:val="00675F6E"/>
    <w:rsid w:val="00676D46"/>
    <w:rsid w:val="006801A8"/>
    <w:rsid w:val="00680FE3"/>
    <w:rsid w:val="00682857"/>
    <w:rsid w:val="0068292A"/>
    <w:rsid w:val="00682F83"/>
    <w:rsid w:val="00683237"/>
    <w:rsid w:val="006832E5"/>
    <w:rsid w:val="006833B0"/>
    <w:rsid w:val="006837EA"/>
    <w:rsid w:val="00683B3B"/>
    <w:rsid w:val="00684361"/>
    <w:rsid w:val="00684508"/>
    <w:rsid w:val="00684531"/>
    <w:rsid w:val="00684BF5"/>
    <w:rsid w:val="00684EAB"/>
    <w:rsid w:val="00685D35"/>
    <w:rsid w:val="00685E7E"/>
    <w:rsid w:val="00685EC7"/>
    <w:rsid w:val="0068698A"/>
    <w:rsid w:val="00686C63"/>
    <w:rsid w:val="00686F92"/>
    <w:rsid w:val="0068714A"/>
    <w:rsid w:val="00687B75"/>
    <w:rsid w:val="00687DD6"/>
    <w:rsid w:val="0069061B"/>
    <w:rsid w:val="006909B5"/>
    <w:rsid w:val="00690BA4"/>
    <w:rsid w:val="00690E8A"/>
    <w:rsid w:val="00690FF5"/>
    <w:rsid w:val="00691ADD"/>
    <w:rsid w:val="00691EAA"/>
    <w:rsid w:val="00691F18"/>
    <w:rsid w:val="00692058"/>
    <w:rsid w:val="00692184"/>
    <w:rsid w:val="0069248B"/>
    <w:rsid w:val="00692AB3"/>
    <w:rsid w:val="00693898"/>
    <w:rsid w:val="00693993"/>
    <w:rsid w:val="00693996"/>
    <w:rsid w:val="00694D42"/>
    <w:rsid w:val="00694D82"/>
    <w:rsid w:val="00694F95"/>
    <w:rsid w:val="00695028"/>
    <w:rsid w:val="006959B9"/>
    <w:rsid w:val="00695D3B"/>
    <w:rsid w:val="006969B8"/>
    <w:rsid w:val="006969C0"/>
    <w:rsid w:val="00696E10"/>
    <w:rsid w:val="00697562"/>
    <w:rsid w:val="00697563"/>
    <w:rsid w:val="006976AA"/>
    <w:rsid w:val="00697B33"/>
    <w:rsid w:val="006A0BDF"/>
    <w:rsid w:val="006A1273"/>
    <w:rsid w:val="006A1441"/>
    <w:rsid w:val="006A16AF"/>
    <w:rsid w:val="006A16F4"/>
    <w:rsid w:val="006A1C3E"/>
    <w:rsid w:val="006A1D2C"/>
    <w:rsid w:val="006A1F9A"/>
    <w:rsid w:val="006A222D"/>
    <w:rsid w:val="006A246F"/>
    <w:rsid w:val="006A2631"/>
    <w:rsid w:val="006A29DB"/>
    <w:rsid w:val="006A341C"/>
    <w:rsid w:val="006A36D0"/>
    <w:rsid w:val="006A3E2E"/>
    <w:rsid w:val="006A3E80"/>
    <w:rsid w:val="006A3F7C"/>
    <w:rsid w:val="006A417D"/>
    <w:rsid w:val="006A44F8"/>
    <w:rsid w:val="006A4974"/>
    <w:rsid w:val="006A51A6"/>
    <w:rsid w:val="006A52D8"/>
    <w:rsid w:val="006A61B7"/>
    <w:rsid w:val="006A6B49"/>
    <w:rsid w:val="006A789D"/>
    <w:rsid w:val="006A7E56"/>
    <w:rsid w:val="006B05AD"/>
    <w:rsid w:val="006B078D"/>
    <w:rsid w:val="006B08E1"/>
    <w:rsid w:val="006B14BA"/>
    <w:rsid w:val="006B1840"/>
    <w:rsid w:val="006B19A5"/>
    <w:rsid w:val="006B1D28"/>
    <w:rsid w:val="006B1DDD"/>
    <w:rsid w:val="006B2038"/>
    <w:rsid w:val="006B21C0"/>
    <w:rsid w:val="006B2805"/>
    <w:rsid w:val="006B2A29"/>
    <w:rsid w:val="006B2C5D"/>
    <w:rsid w:val="006B2F65"/>
    <w:rsid w:val="006B367C"/>
    <w:rsid w:val="006B370C"/>
    <w:rsid w:val="006B3A44"/>
    <w:rsid w:val="006B3AED"/>
    <w:rsid w:val="006B3C9E"/>
    <w:rsid w:val="006B3EC0"/>
    <w:rsid w:val="006B40C0"/>
    <w:rsid w:val="006B42F1"/>
    <w:rsid w:val="006B4601"/>
    <w:rsid w:val="006B4FBD"/>
    <w:rsid w:val="006B502B"/>
    <w:rsid w:val="006B5102"/>
    <w:rsid w:val="006B5535"/>
    <w:rsid w:val="006B57A3"/>
    <w:rsid w:val="006B5A8C"/>
    <w:rsid w:val="006B5B20"/>
    <w:rsid w:val="006B5E23"/>
    <w:rsid w:val="006B602F"/>
    <w:rsid w:val="006B6389"/>
    <w:rsid w:val="006B67E6"/>
    <w:rsid w:val="006B6B8F"/>
    <w:rsid w:val="006B7264"/>
    <w:rsid w:val="006B75B0"/>
    <w:rsid w:val="006B7673"/>
    <w:rsid w:val="006B78C8"/>
    <w:rsid w:val="006B7AA0"/>
    <w:rsid w:val="006B7B0A"/>
    <w:rsid w:val="006C0167"/>
    <w:rsid w:val="006C02FD"/>
    <w:rsid w:val="006C08EE"/>
    <w:rsid w:val="006C1515"/>
    <w:rsid w:val="006C189E"/>
    <w:rsid w:val="006C194F"/>
    <w:rsid w:val="006C1C9F"/>
    <w:rsid w:val="006C1DEB"/>
    <w:rsid w:val="006C233F"/>
    <w:rsid w:val="006C32BE"/>
    <w:rsid w:val="006C32EF"/>
    <w:rsid w:val="006C39EC"/>
    <w:rsid w:val="006C42A6"/>
    <w:rsid w:val="006C5606"/>
    <w:rsid w:val="006C70DB"/>
    <w:rsid w:val="006C797F"/>
    <w:rsid w:val="006C7FFC"/>
    <w:rsid w:val="006D0498"/>
    <w:rsid w:val="006D062F"/>
    <w:rsid w:val="006D0685"/>
    <w:rsid w:val="006D0F2F"/>
    <w:rsid w:val="006D12E7"/>
    <w:rsid w:val="006D17B9"/>
    <w:rsid w:val="006D1863"/>
    <w:rsid w:val="006D1A89"/>
    <w:rsid w:val="006D1E25"/>
    <w:rsid w:val="006D1EFD"/>
    <w:rsid w:val="006D25AC"/>
    <w:rsid w:val="006D2891"/>
    <w:rsid w:val="006D2D67"/>
    <w:rsid w:val="006D31FE"/>
    <w:rsid w:val="006D3501"/>
    <w:rsid w:val="006D3A99"/>
    <w:rsid w:val="006D3CE2"/>
    <w:rsid w:val="006D4384"/>
    <w:rsid w:val="006D4ABC"/>
    <w:rsid w:val="006D5A0B"/>
    <w:rsid w:val="006D5B5D"/>
    <w:rsid w:val="006D5D86"/>
    <w:rsid w:val="006D6045"/>
    <w:rsid w:val="006D60C1"/>
    <w:rsid w:val="006D6103"/>
    <w:rsid w:val="006D6287"/>
    <w:rsid w:val="006D62B6"/>
    <w:rsid w:val="006D653E"/>
    <w:rsid w:val="006D677B"/>
    <w:rsid w:val="006D69D7"/>
    <w:rsid w:val="006D6D5F"/>
    <w:rsid w:val="006D6F70"/>
    <w:rsid w:val="006D7B5B"/>
    <w:rsid w:val="006E0382"/>
    <w:rsid w:val="006E03E1"/>
    <w:rsid w:val="006E05E4"/>
    <w:rsid w:val="006E0E07"/>
    <w:rsid w:val="006E1821"/>
    <w:rsid w:val="006E1F69"/>
    <w:rsid w:val="006E212C"/>
    <w:rsid w:val="006E21E0"/>
    <w:rsid w:val="006E2A61"/>
    <w:rsid w:val="006E2FFC"/>
    <w:rsid w:val="006E3003"/>
    <w:rsid w:val="006E3178"/>
    <w:rsid w:val="006E360A"/>
    <w:rsid w:val="006E3749"/>
    <w:rsid w:val="006E37E0"/>
    <w:rsid w:val="006E48DC"/>
    <w:rsid w:val="006E4BDA"/>
    <w:rsid w:val="006E54F8"/>
    <w:rsid w:val="006E64AF"/>
    <w:rsid w:val="006E6F74"/>
    <w:rsid w:val="006E7270"/>
    <w:rsid w:val="006E7326"/>
    <w:rsid w:val="006E780A"/>
    <w:rsid w:val="006E7B9B"/>
    <w:rsid w:val="006E7BDD"/>
    <w:rsid w:val="006E7D58"/>
    <w:rsid w:val="006F0155"/>
    <w:rsid w:val="006F020A"/>
    <w:rsid w:val="006F13E6"/>
    <w:rsid w:val="006F1914"/>
    <w:rsid w:val="006F1940"/>
    <w:rsid w:val="006F1965"/>
    <w:rsid w:val="006F1FD4"/>
    <w:rsid w:val="006F212D"/>
    <w:rsid w:val="006F2D62"/>
    <w:rsid w:val="006F4675"/>
    <w:rsid w:val="006F49AA"/>
    <w:rsid w:val="006F4BE4"/>
    <w:rsid w:val="006F4CF0"/>
    <w:rsid w:val="006F5B5D"/>
    <w:rsid w:val="006F5C47"/>
    <w:rsid w:val="006F6089"/>
    <w:rsid w:val="006F6743"/>
    <w:rsid w:val="006F6CA0"/>
    <w:rsid w:val="006F70E5"/>
    <w:rsid w:val="006F7612"/>
    <w:rsid w:val="006F783B"/>
    <w:rsid w:val="006F7917"/>
    <w:rsid w:val="006F7A47"/>
    <w:rsid w:val="006F7A49"/>
    <w:rsid w:val="006F7DCE"/>
    <w:rsid w:val="006F7DEB"/>
    <w:rsid w:val="006F7EB5"/>
    <w:rsid w:val="00700689"/>
    <w:rsid w:val="00700827"/>
    <w:rsid w:val="00700A6D"/>
    <w:rsid w:val="00701435"/>
    <w:rsid w:val="00701A04"/>
    <w:rsid w:val="00701B7A"/>
    <w:rsid w:val="00701C26"/>
    <w:rsid w:val="007021C2"/>
    <w:rsid w:val="0070272D"/>
    <w:rsid w:val="007027CE"/>
    <w:rsid w:val="00702F34"/>
    <w:rsid w:val="0070306E"/>
    <w:rsid w:val="00703C17"/>
    <w:rsid w:val="00703E87"/>
    <w:rsid w:val="00704459"/>
    <w:rsid w:val="007044D2"/>
    <w:rsid w:val="00704784"/>
    <w:rsid w:val="007051CF"/>
    <w:rsid w:val="007054A2"/>
    <w:rsid w:val="0070573C"/>
    <w:rsid w:val="00705BCA"/>
    <w:rsid w:val="00705CEC"/>
    <w:rsid w:val="00705F12"/>
    <w:rsid w:val="00705F55"/>
    <w:rsid w:val="00706515"/>
    <w:rsid w:val="00706553"/>
    <w:rsid w:val="00706896"/>
    <w:rsid w:val="0070691A"/>
    <w:rsid w:val="00706CF0"/>
    <w:rsid w:val="00706DAD"/>
    <w:rsid w:val="00707568"/>
    <w:rsid w:val="00707722"/>
    <w:rsid w:val="0070788F"/>
    <w:rsid w:val="00707A33"/>
    <w:rsid w:val="00710178"/>
    <w:rsid w:val="007104E8"/>
    <w:rsid w:val="00710CD4"/>
    <w:rsid w:val="007110EC"/>
    <w:rsid w:val="0071137F"/>
    <w:rsid w:val="00711742"/>
    <w:rsid w:val="0071190A"/>
    <w:rsid w:val="00711AAF"/>
    <w:rsid w:val="007120C0"/>
    <w:rsid w:val="007120F2"/>
    <w:rsid w:val="0071233C"/>
    <w:rsid w:val="00712CA4"/>
    <w:rsid w:val="00712D5A"/>
    <w:rsid w:val="007140ED"/>
    <w:rsid w:val="00714850"/>
    <w:rsid w:val="007148EC"/>
    <w:rsid w:val="00715645"/>
    <w:rsid w:val="007157BD"/>
    <w:rsid w:val="00715890"/>
    <w:rsid w:val="00715991"/>
    <w:rsid w:val="00715AF7"/>
    <w:rsid w:val="00715C72"/>
    <w:rsid w:val="0071636E"/>
    <w:rsid w:val="0071644A"/>
    <w:rsid w:val="00716537"/>
    <w:rsid w:val="007166F5"/>
    <w:rsid w:val="00717A32"/>
    <w:rsid w:val="00720086"/>
    <w:rsid w:val="0072061C"/>
    <w:rsid w:val="00720728"/>
    <w:rsid w:val="007208A0"/>
    <w:rsid w:val="00720935"/>
    <w:rsid w:val="007219FD"/>
    <w:rsid w:val="00721B7C"/>
    <w:rsid w:val="00721F69"/>
    <w:rsid w:val="007225F2"/>
    <w:rsid w:val="00722650"/>
    <w:rsid w:val="007228E6"/>
    <w:rsid w:val="007230BF"/>
    <w:rsid w:val="00723610"/>
    <w:rsid w:val="00723664"/>
    <w:rsid w:val="00723D3A"/>
    <w:rsid w:val="007241BE"/>
    <w:rsid w:val="00724547"/>
    <w:rsid w:val="007254A2"/>
    <w:rsid w:val="00725778"/>
    <w:rsid w:val="007267C3"/>
    <w:rsid w:val="00726AA7"/>
    <w:rsid w:val="00727223"/>
    <w:rsid w:val="007279DB"/>
    <w:rsid w:val="00727D8A"/>
    <w:rsid w:val="00730FA2"/>
    <w:rsid w:val="00731005"/>
    <w:rsid w:val="00731ABD"/>
    <w:rsid w:val="00731E72"/>
    <w:rsid w:val="00732702"/>
    <w:rsid w:val="007328E1"/>
    <w:rsid w:val="007331AA"/>
    <w:rsid w:val="007336C7"/>
    <w:rsid w:val="00733CB5"/>
    <w:rsid w:val="00733E70"/>
    <w:rsid w:val="00734034"/>
    <w:rsid w:val="00734E00"/>
    <w:rsid w:val="00734FD0"/>
    <w:rsid w:val="00735264"/>
    <w:rsid w:val="00735DA8"/>
    <w:rsid w:val="0073628C"/>
    <w:rsid w:val="007362BF"/>
    <w:rsid w:val="00736792"/>
    <w:rsid w:val="00736FB6"/>
    <w:rsid w:val="007373E2"/>
    <w:rsid w:val="007376C1"/>
    <w:rsid w:val="00737EDE"/>
    <w:rsid w:val="00737F4F"/>
    <w:rsid w:val="007402FB"/>
    <w:rsid w:val="0074076D"/>
    <w:rsid w:val="00741472"/>
    <w:rsid w:val="00741701"/>
    <w:rsid w:val="0074189C"/>
    <w:rsid w:val="00741E06"/>
    <w:rsid w:val="007420F8"/>
    <w:rsid w:val="0074257D"/>
    <w:rsid w:val="00742853"/>
    <w:rsid w:val="007428EA"/>
    <w:rsid w:val="00742A3D"/>
    <w:rsid w:val="00742A9A"/>
    <w:rsid w:val="00742F31"/>
    <w:rsid w:val="00743231"/>
    <w:rsid w:val="00743605"/>
    <w:rsid w:val="00744B9D"/>
    <w:rsid w:val="00744CD2"/>
    <w:rsid w:val="00744D82"/>
    <w:rsid w:val="007450B7"/>
    <w:rsid w:val="0074527F"/>
    <w:rsid w:val="00746A18"/>
    <w:rsid w:val="00746B4B"/>
    <w:rsid w:val="00746B7B"/>
    <w:rsid w:val="00747105"/>
    <w:rsid w:val="007473C3"/>
    <w:rsid w:val="007475C8"/>
    <w:rsid w:val="0075041B"/>
    <w:rsid w:val="00750BF0"/>
    <w:rsid w:val="0075109D"/>
    <w:rsid w:val="007510DC"/>
    <w:rsid w:val="007513AE"/>
    <w:rsid w:val="00751658"/>
    <w:rsid w:val="00751720"/>
    <w:rsid w:val="00751D2E"/>
    <w:rsid w:val="007523EB"/>
    <w:rsid w:val="0075240F"/>
    <w:rsid w:val="007524EB"/>
    <w:rsid w:val="00752893"/>
    <w:rsid w:val="00752A5A"/>
    <w:rsid w:val="00752D54"/>
    <w:rsid w:val="00753153"/>
    <w:rsid w:val="00753B88"/>
    <w:rsid w:val="007546A7"/>
    <w:rsid w:val="00754923"/>
    <w:rsid w:val="00754F82"/>
    <w:rsid w:val="007559F1"/>
    <w:rsid w:val="007559F3"/>
    <w:rsid w:val="00755E72"/>
    <w:rsid w:val="007560CA"/>
    <w:rsid w:val="00756157"/>
    <w:rsid w:val="007561C3"/>
    <w:rsid w:val="00756466"/>
    <w:rsid w:val="007574C8"/>
    <w:rsid w:val="007577A8"/>
    <w:rsid w:val="007577E8"/>
    <w:rsid w:val="00757952"/>
    <w:rsid w:val="00757CD7"/>
    <w:rsid w:val="00757E41"/>
    <w:rsid w:val="00757F7C"/>
    <w:rsid w:val="0076065F"/>
    <w:rsid w:val="007611B0"/>
    <w:rsid w:val="00761640"/>
    <w:rsid w:val="007617D1"/>
    <w:rsid w:val="007627BC"/>
    <w:rsid w:val="007629DF"/>
    <w:rsid w:val="007636F4"/>
    <w:rsid w:val="007639C8"/>
    <w:rsid w:val="00763E27"/>
    <w:rsid w:val="00763EAD"/>
    <w:rsid w:val="00764360"/>
    <w:rsid w:val="00764BBF"/>
    <w:rsid w:val="007659C1"/>
    <w:rsid w:val="00766064"/>
    <w:rsid w:val="0076613E"/>
    <w:rsid w:val="0076657D"/>
    <w:rsid w:val="0076665F"/>
    <w:rsid w:val="0076677B"/>
    <w:rsid w:val="0076679A"/>
    <w:rsid w:val="00766D96"/>
    <w:rsid w:val="007671B2"/>
    <w:rsid w:val="0076726C"/>
    <w:rsid w:val="007706B5"/>
    <w:rsid w:val="007708BD"/>
    <w:rsid w:val="00770C25"/>
    <w:rsid w:val="007723FA"/>
    <w:rsid w:val="00772F72"/>
    <w:rsid w:val="00773068"/>
    <w:rsid w:val="007730E7"/>
    <w:rsid w:val="0077363B"/>
    <w:rsid w:val="00773737"/>
    <w:rsid w:val="00773BF0"/>
    <w:rsid w:val="0077401A"/>
    <w:rsid w:val="00774507"/>
    <w:rsid w:val="007764BD"/>
    <w:rsid w:val="007765DE"/>
    <w:rsid w:val="00776783"/>
    <w:rsid w:val="00777193"/>
    <w:rsid w:val="007773B1"/>
    <w:rsid w:val="00777A6E"/>
    <w:rsid w:val="00777C85"/>
    <w:rsid w:val="007800F1"/>
    <w:rsid w:val="00780208"/>
    <w:rsid w:val="0078030D"/>
    <w:rsid w:val="0078035C"/>
    <w:rsid w:val="00780EB6"/>
    <w:rsid w:val="00781068"/>
    <w:rsid w:val="007813B6"/>
    <w:rsid w:val="00781B00"/>
    <w:rsid w:val="00781B87"/>
    <w:rsid w:val="00781DC5"/>
    <w:rsid w:val="0078205A"/>
    <w:rsid w:val="00782670"/>
    <w:rsid w:val="0078270B"/>
    <w:rsid w:val="007828F8"/>
    <w:rsid w:val="00782A95"/>
    <w:rsid w:val="00782CE0"/>
    <w:rsid w:val="007831B5"/>
    <w:rsid w:val="007831CE"/>
    <w:rsid w:val="0078337C"/>
    <w:rsid w:val="007838DF"/>
    <w:rsid w:val="00783E28"/>
    <w:rsid w:val="00784126"/>
    <w:rsid w:val="0078427F"/>
    <w:rsid w:val="00784500"/>
    <w:rsid w:val="00785059"/>
    <w:rsid w:val="007853EA"/>
    <w:rsid w:val="00785557"/>
    <w:rsid w:val="00785581"/>
    <w:rsid w:val="00786127"/>
    <w:rsid w:val="00786295"/>
    <w:rsid w:val="00786727"/>
    <w:rsid w:val="0078720A"/>
    <w:rsid w:val="0078736A"/>
    <w:rsid w:val="0078762B"/>
    <w:rsid w:val="0078765F"/>
    <w:rsid w:val="00787684"/>
    <w:rsid w:val="00790281"/>
    <w:rsid w:val="00790C15"/>
    <w:rsid w:val="00790D65"/>
    <w:rsid w:val="00792DA6"/>
    <w:rsid w:val="007930F1"/>
    <w:rsid w:val="00793478"/>
    <w:rsid w:val="007935A3"/>
    <w:rsid w:val="00793DFE"/>
    <w:rsid w:val="00793E7D"/>
    <w:rsid w:val="00793F8E"/>
    <w:rsid w:val="00794764"/>
    <w:rsid w:val="00794787"/>
    <w:rsid w:val="007952C5"/>
    <w:rsid w:val="0079569F"/>
    <w:rsid w:val="00795A3A"/>
    <w:rsid w:val="00795C8F"/>
    <w:rsid w:val="00795F67"/>
    <w:rsid w:val="007969C3"/>
    <w:rsid w:val="007970DD"/>
    <w:rsid w:val="007974B7"/>
    <w:rsid w:val="00797AE1"/>
    <w:rsid w:val="007A0141"/>
    <w:rsid w:val="007A04E7"/>
    <w:rsid w:val="007A0810"/>
    <w:rsid w:val="007A0B37"/>
    <w:rsid w:val="007A0F3B"/>
    <w:rsid w:val="007A0F74"/>
    <w:rsid w:val="007A1495"/>
    <w:rsid w:val="007A16A0"/>
    <w:rsid w:val="007A2276"/>
    <w:rsid w:val="007A263E"/>
    <w:rsid w:val="007A26C8"/>
    <w:rsid w:val="007A3050"/>
    <w:rsid w:val="007A37BF"/>
    <w:rsid w:val="007A386F"/>
    <w:rsid w:val="007A412E"/>
    <w:rsid w:val="007A42E2"/>
    <w:rsid w:val="007A4B3A"/>
    <w:rsid w:val="007A4CAC"/>
    <w:rsid w:val="007A585D"/>
    <w:rsid w:val="007A5F09"/>
    <w:rsid w:val="007A6550"/>
    <w:rsid w:val="007A7511"/>
    <w:rsid w:val="007A78D4"/>
    <w:rsid w:val="007A7EA3"/>
    <w:rsid w:val="007A7F12"/>
    <w:rsid w:val="007B0276"/>
    <w:rsid w:val="007B0A54"/>
    <w:rsid w:val="007B0C26"/>
    <w:rsid w:val="007B0CCD"/>
    <w:rsid w:val="007B0D71"/>
    <w:rsid w:val="007B17DB"/>
    <w:rsid w:val="007B1CC0"/>
    <w:rsid w:val="007B24BC"/>
    <w:rsid w:val="007B2582"/>
    <w:rsid w:val="007B265F"/>
    <w:rsid w:val="007B2E65"/>
    <w:rsid w:val="007B301B"/>
    <w:rsid w:val="007B31B1"/>
    <w:rsid w:val="007B36F7"/>
    <w:rsid w:val="007B37AE"/>
    <w:rsid w:val="007B3A42"/>
    <w:rsid w:val="007B50DC"/>
    <w:rsid w:val="007B52BF"/>
    <w:rsid w:val="007B6BA9"/>
    <w:rsid w:val="007B74E4"/>
    <w:rsid w:val="007B7F18"/>
    <w:rsid w:val="007C002F"/>
    <w:rsid w:val="007C18E4"/>
    <w:rsid w:val="007C1EF7"/>
    <w:rsid w:val="007C25ED"/>
    <w:rsid w:val="007C30A9"/>
    <w:rsid w:val="007C3212"/>
    <w:rsid w:val="007C33FE"/>
    <w:rsid w:val="007C3957"/>
    <w:rsid w:val="007C3BD8"/>
    <w:rsid w:val="007C406C"/>
    <w:rsid w:val="007C41DA"/>
    <w:rsid w:val="007C46FF"/>
    <w:rsid w:val="007C4A18"/>
    <w:rsid w:val="007C5031"/>
    <w:rsid w:val="007C577F"/>
    <w:rsid w:val="007C5898"/>
    <w:rsid w:val="007C5A52"/>
    <w:rsid w:val="007C5D06"/>
    <w:rsid w:val="007C6254"/>
    <w:rsid w:val="007C640C"/>
    <w:rsid w:val="007C6640"/>
    <w:rsid w:val="007C6A36"/>
    <w:rsid w:val="007C6CCF"/>
    <w:rsid w:val="007C6FA4"/>
    <w:rsid w:val="007C70CA"/>
    <w:rsid w:val="007C7425"/>
    <w:rsid w:val="007C791C"/>
    <w:rsid w:val="007C79D6"/>
    <w:rsid w:val="007C7B70"/>
    <w:rsid w:val="007C7B92"/>
    <w:rsid w:val="007D015B"/>
    <w:rsid w:val="007D1693"/>
    <w:rsid w:val="007D2117"/>
    <w:rsid w:val="007D2AA1"/>
    <w:rsid w:val="007D37C9"/>
    <w:rsid w:val="007D3A1B"/>
    <w:rsid w:val="007D4592"/>
    <w:rsid w:val="007D5F84"/>
    <w:rsid w:val="007D61BF"/>
    <w:rsid w:val="007D6222"/>
    <w:rsid w:val="007D7624"/>
    <w:rsid w:val="007E0043"/>
    <w:rsid w:val="007E029B"/>
    <w:rsid w:val="007E0840"/>
    <w:rsid w:val="007E1E25"/>
    <w:rsid w:val="007E2460"/>
    <w:rsid w:val="007E26AC"/>
    <w:rsid w:val="007E3FFB"/>
    <w:rsid w:val="007E4095"/>
    <w:rsid w:val="007E4662"/>
    <w:rsid w:val="007E4D35"/>
    <w:rsid w:val="007E4DD9"/>
    <w:rsid w:val="007E4E09"/>
    <w:rsid w:val="007E5385"/>
    <w:rsid w:val="007E5D96"/>
    <w:rsid w:val="007E604B"/>
    <w:rsid w:val="007E6815"/>
    <w:rsid w:val="007E68B3"/>
    <w:rsid w:val="007E7456"/>
    <w:rsid w:val="007E7CE1"/>
    <w:rsid w:val="007E7F1D"/>
    <w:rsid w:val="007F0690"/>
    <w:rsid w:val="007F08AB"/>
    <w:rsid w:val="007F0F93"/>
    <w:rsid w:val="007F1237"/>
    <w:rsid w:val="007F2C7D"/>
    <w:rsid w:val="007F311D"/>
    <w:rsid w:val="007F31A2"/>
    <w:rsid w:val="007F3E06"/>
    <w:rsid w:val="007F3FD6"/>
    <w:rsid w:val="007F4077"/>
    <w:rsid w:val="007F44B2"/>
    <w:rsid w:val="007F5624"/>
    <w:rsid w:val="007F5BE1"/>
    <w:rsid w:val="007F5CF3"/>
    <w:rsid w:val="007F6206"/>
    <w:rsid w:val="007F62EB"/>
    <w:rsid w:val="007F6E5D"/>
    <w:rsid w:val="007F75B0"/>
    <w:rsid w:val="007F75E2"/>
    <w:rsid w:val="007F75EB"/>
    <w:rsid w:val="007F7671"/>
    <w:rsid w:val="00800105"/>
    <w:rsid w:val="00800196"/>
    <w:rsid w:val="00801309"/>
    <w:rsid w:val="00801CE5"/>
    <w:rsid w:val="00802430"/>
    <w:rsid w:val="008025FC"/>
    <w:rsid w:val="008026AE"/>
    <w:rsid w:val="008034A9"/>
    <w:rsid w:val="00803EA8"/>
    <w:rsid w:val="0080447B"/>
    <w:rsid w:val="0080461F"/>
    <w:rsid w:val="00804711"/>
    <w:rsid w:val="0080486A"/>
    <w:rsid w:val="00804F0C"/>
    <w:rsid w:val="00805428"/>
    <w:rsid w:val="0080544E"/>
    <w:rsid w:val="00805E8D"/>
    <w:rsid w:val="008063C0"/>
    <w:rsid w:val="008064F3"/>
    <w:rsid w:val="0080662F"/>
    <w:rsid w:val="0080703B"/>
    <w:rsid w:val="008073A1"/>
    <w:rsid w:val="00807704"/>
    <w:rsid w:val="00807E87"/>
    <w:rsid w:val="0081079A"/>
    <w:rsid w:val="00810CB5"/>
    <w:rsid w:val="00811E94"/>
    <w:rsid w:val="00811FA0"/>
    <w:rsid w:val="00812259"/>
    <w:rsid w:val="00812539"/>
    <w:rsid w:val="0081346C"/>
    <w:rsid w:val="00813AA2"/>
    <w:rsid w:val="00813D37"/>
    <w:rsid w:val="00814444"/>
    <w:rsid w:val="00814A4C"/>
    <w:rsid w:val="00814C51"/>
    <w:rsid w:val="00814D70"/>
    <w:rsid w:val="00814D83"/>
    <w:rsid w:val="00814E9B"/>
    <w:rsid w:val="008153C3"/>
    <w:rsid w:val="00815702"/>
    <w:rsid w:val="00815B53"/>
    <w:rsid w:val="008164E8"/>
    <w:rsid w:val="008168D6"/>
    <w:rsid w:val="00816987"/>
    <w:rsid w:val="0081774F"/>
    <w:rsid w:val="008177DA"/>
    <w:rsid w:val="00817F2A"/>
    <w:rsid w:val="00820274"/>
    <w:rsid w:val="0082056B"/>
    <w:rsid w:val="00820677"/>
    <w:rsid w:val="00820805"/>
    <w:rsid w:val="00820E21"/>
    <w:rsid w:val="0082122C"/>
    <w:rsid w:val="00821B6E"/>
    <w:rsid w:val="00821D96"/>
    <w:rsid w:val="00822432"/>
    <w:rsid w:val="008227EA"/>
    <w:rsid w:val="0082374B"/>
    <w:rsid w:val="008242C6"/>
    <w:rsid w:val="00824330"/>
    <w:rsid w:val="00824863"/>
    <w:rsid w:val="00824A5A"/>
    <w:rsid w:val="00824AAC"/>
    <w:rsid w:val="00826B58"/>
    <w:rsid w:val="00827793"/>
    <w:rsid w:val="00827CB2"/>
    <w:rsid w:val="00827D63"/>
    <w:rsid w:val="00827E15"/>
    <w:rsid w:val="008302D9"/>
    <w:rsid w:val="00831006"/>
    <w:rsid w:val="008314CE"/>
    <w:rsid w:val="00831E3D"/>
    <w:rsid w:val="00832036"/>
    <w:rsid w:val="008320BB"/>
    <w:rsid w:val="0083223A"/>
    <w:rsid w:val="00832310"/>
    <w:rsid w:val="008327EC"/>
    <w:rsid w:val="00832913"/>
    <w:rsid w:val="008329CF"/>
    <w:rsid w:val="0083345F"/>
    <w:rsid w:val="0083356A"/>
    <w:rsid w:val="0083365E"/>
    <w:rsid w:val="00833D23"/>
    <w:rsid w:val="00834263"/>
    <w:rsid w:val="00834501"/>
    <w:rsid w:val="0083469E"/>
    <w:rsid w:val="00834D47"/>
    <w:rsid w:val="00834E6E"/>
    <w:rsid w:val="00835264"/>
    <w:rsid w:val="00835EC1"/>
    <w:rsid w:val="00836789"/>
    <w:rsid w:val="00836A25"/>
    <w:rsid w:val="00837A21"/>
    <w:rsid w:val="00837C1A"/>
    <w:rsid w:val="00840079"/>
    <w:rsid w:val="008400E5"/>
    <w:rsid w:val="00841961"/>
    <w:rsid w:val="00841B78"/>
    <w:rsid w:val="00841CFD"/>
    <w:rsid w:val="00841E0C"/>
    <w:rsid w:val="00842895"/>
    <w:rsid w:val="00842AD9"/>
    <w:rsid w:val="008436F0"/>
    <w:rsid w:val="00843AFA"/>
    <w:rsid w:val="00843E73"/>
    <w:rsid w:val="00844376"/>
    <w:rsid w:val="00844704"/>
    <w:rsid w:val="00844774"/>
    <w:rsid w:val="008449C9"/>
    <w:rsid w:val="00844D1D"/>
    <w:rsid w:val="00845298"/>
    <w:rsid w:val="00845A67"/>
    <w:rsid w:val="00845DEC"/>
    <w:rsid w:val="00846AEF"/>
    <w:rsid w:val="00846F44"/>
    <w:rsid w:val="008477CD"/>
    <w:rsid w:val="00847834"/>
    <w:rsid w:val="008500A9"/>
    <w:rsid w:val="00850243"/>
    <w:rsid w:val="00850293"/>
    <w:rsid w:val="008505AA"/>
    <w:rsid w:val="00850793"/>
    <w:rsid w:val="00850B5A"/>
    <w:rsid w:val="00850B85"/>
    <w:rsid w:val="00850BE7"/>
    <w:rsid w:val="0085117B"/>
    <w:rsid w:val="008518E5"/>
    <w:rsid w:val="00852E20"/>
    <w:rsid w:val="00853585"/>
    <w:rsid w:val="00853A26"/>
    <w:rsid w:val="00853A3E"/>
    <w:rsid w:val="00853D19"/>
    <w:rsid w:val="00854608"/>
    <w:rsid w:val="00854B5D"/>
    <w:rsid w:val="00854D9B"/>
    <w:rsid w:val="00855153"/>
    <w:rsid w:val="008555FD"/>
    <w:rsid w:val="008565C3"/>
    <w:rsid w:val="00856A60"/>
    <w:rsid w:val="00857808"/>
    <w:rsid w:val="00857C90"/>
    <w:rsid w:val="00860565"/>
    <w:rsid w:val="0086085E"/>
    <w:rsid w:val="00860E64"/>
    <w:rsid w:val="008618B9"/>
    <w:rsid w:val="008619AC"/>
    <w:rsid w:val="00861A4E"/>
    <w:rsid w:val="00862157"/>
    <w:rsid w:val="00862293"/>
    <w:rsid w:val="0086252F"/>
    <w:rsid w:val="008627C6"/>
    <w:rsid w:val="00862B1B"/>
    <w:rsid w:val="00862E29"/>
    <w:rsid w:val="008638CE"/>
    <w:rsid w:val="00863A45"/>
    <w:rsid w:val="008641D2"/>
    <w:rsid w:val="008645E0"/>
    <w:rsid w:val="008650BB"/>
    <w:rsid w:val="008653EE"/>
    <w:rsid w:val="008655D8"/>
    <w:rsid w:val="008661DB"/>
    <w:rsid w:val="00866727"/>
    <w:rsid w:val="008667B3"/>
    <w:rsid w:val="0086687E"/>
    <w:rsid w:val="00866F54"/>
    <w:rsid w:val="00867CB1"/>
    <w:rsid w:val="00867F51"/>
    <w:rsid w:val="00867F7A"/>
    <w:rsid w:val="00870565"/>
    <w:rsid w:val="0087114E"/>
    <w:rsid w:val="0087149C"/>
    <w:rsid w:val="008719B6"/>
    <w:rsid w:val="00871B92"/>
    <w:rsid w:val="00871F5D"/>
    <w:rsid w:val="0087207D"/>
    <w:rsid w:val="008724FF"/>
    <w:rsid w:val="0087264F"/>
    <w:rsid w:val="00872ABE"/>
    <w:rsid w:val="00872DA0"/>
    <w:rsid w:val="008742B2"/>
    <w:rsid w:val="0087435A"/>
    <w:rsid w:val="008755E3"/>
    <w:rsid w:val="008758B4"/>
    <w:rsid w:val="00875BC3"/>
    <w:rsid w:val="00875C7E"/>
    <w:rsid w:val="00875E35"/>
    <w:rsid w:val="008764FF"/>
    <w:rsid w:val="00876823"/>
    <w:rsid w:val="008773A5"/>
    <w:rsid w:val="0087786D"/>
    <w:rsid w:val="00877D75"/>
    <w:rsid w:val="00877E21"/>
    <w:rsid w:val="008800CE"/>
    <w:rsid w:val="0088048F"/>
    <w:rsid w:val="00880559"/>
    <w:rsid w:val="0088068B"/>
    <w:rsid w:val="00880742"/>
    <w:rsid w:val="008809A3"/>
    <w:rsid w:val="00881309"/>
    <w:rsid w:val="0088151F"/>
    <w:rsid w:val="00882597"/>
    <w:rsid w:val="0088262E"/>
    <w:rsid w:val="008829E0"/>
    <w:rsid w:val="00882A56"/>
    <w:rsid w:val="00882BE1"/>
    <w:rsid w:val="00882CFD"/>
    <w:rsid w:val="00882FCE"/>
    <w:rsid w:val="008831F8"/>
    <w:rsid w:val="008837A4"/>
    <w:rsid w:val="00883D69"/>
    <w:rsid w:val="00883FA8"/>
    <w:rsid w:val="0088464A"/>
    <w:rsid w:val="00884986"/>
    <w:rsid w:val="00884B64"/>
    <w:rsid w:val="00884DC7"/>
    <w:rsid w:val="0088512A"/>
    <w:rsid w:val="008852E7"/>
    <w:rsid w:val="00885575"/>
    <w:rsid w:val="00885F88"/>
    <w:rsid w:val="00886010"/>
    <w:rsid w:val="008864D6"/>
    <w:rsid w:val="008868ED"/>
    <w:rsid w:val="008869D7"/>
    <w:rsid w:val="008874E8"/>
    <w:rsid w:val="00887A63"/>
    <w:rsid w:val="00887E1F"/>
    <w:rsid w:val="008907A4"/>
    <w:rsid w:val="00890ECC"/>
    <w:rsid w:val="008915B3"/>
    <w:rsid w:val="00892F77"/>
    <w:rsid w:val="008934EF"/>
    <w:rsid w:val="00893795"/>
    <w:rsid w:val="00893B41"/>
    <w:rsid w:val="00893D6F"/>
    <w:rsid w:val="008940DB"/>
    <w:rsid w:val="00894FC6"/>
    <w:rsid w:val="008951C0"/>
    <w:rsid w:val="0089524A"/>
    <w:rsid w:val="00895323"/>
    <w:rsid w:val="00895605"/>
    <w:rsid w:val="008957B8"/>
    <w:rsid w:val="00895956"/>
    <w:rsid w:val="00895EF6"/>
    <w:rsid w:val="00896231"/>
    <w:rsid w:val="00896344"/>
    <w:rsid w:val="0089672B"/>
    <w:rsid w:val="00896CB8"/>
    <w:rsid w:val="00896DE8"/>
    <w:rsid w:val="00896F40"/>
    <w:rsid w:val="00896FFB"/>
    <w:rsid w:val="0089780E"/>
    <w:rsid w:val="008A01AC"/>
    <w:rsid w:val="008A11B9"/>
    <w:rsid w:val="008A2156"/>
    <w:rsid w:val="008A24EA"/>
    <w:rsid w:val="008A2535"/>
    <w:rsid w:val="008A275B"/>
    <w:rsid w:val="008A3429"/>
    <w:rsid w:val="008A3629"/>
    <w:rsid w:val="008A3678"/>
    <w:rsid w:val="008A4CBF"/>
    <w:rsid w:val="008A51AF"/>
    <w:rsid w:val="008A5CD3"/>
    <w:rsid w:val="008A61F3"/>
    <w:rsid w:val="008A6D83"/>
    <w:rsid w:val="008A7EF4"/>
    <w:rsid w:val="008B01C8"/>
    <w:rsid w:val="008B067A"/>
    <w:rsid w:val="008B0AC3"/>
    <w:rsid w:val="008B0E78"/>
    <w:rsid w:val="008B1407"/>
    <w:rsid w:val="008B26D3"/>
    <w:rsid w:val="008B270E"/>
    <w:rsid w:val="008B2B10"/>
    <w:rsid w:val="008B2FDE"/>
    <w:rsid w:val="008B3D1A"/>
    <w:rsid w:val="008B4230"/>
    <w:rsid w:val="008B469D"/>
    <w:rsid w:val="008B5B8C"/>
    <w:rsid w:val="008B5D2E"/>
    <w:rsid w:val="008B6043"/>
    <w:rsid w:val="008B60BB"/>
    <w:rsid w:val="008B6280"/>
    <w:rsid w:val="008B725D"/>
    <w:rsid w:val="008B72BA"/>
    <w:rsid w:val="008C02D9"/>
    <w:rsid w:val="008C0E02"/>
    <w:rsid w:val="008C0E21"/>
    <w:rsid w:val="008C0E4F"/>
    <w:rsid w:val="008C1126"/>
    <w:rsid w:val="008C2B4D"/>
    <w:rsid w:val="008C2D2E"/>
    <w:rsid w:val="008C441F"/>
    <w:rsid w:val="008C4D96"/>
    <w:rsid w:val="008C53A3"/>
    <w:rsid w:val="008C5749"/>
    <w:rsid w:val="008C5BE8"/>
    <w:rsid w:val="008C5DF5"/>
    <w:rsid w:val="008C6B56"/>
    <w:rsid w:val="008C6E96"/>
    <w:rsid w:val="008C7390"/>
    <w:rsid w:val="008C7B98"/>
    <w:rsid w:val="008C7EF8"/>
    <w:rsid w:val="008D03BF"/>
    <w:rsid w:val="008D07A4"/>
    <w:rsid w:val="008D0C0B"/>
    <w:rsid w:val="008D10FF"/>
    <w:rsid w:val="008D1315"/>
    <w:rsid w:val="008D1B82"/>
    <w:rsid w:val="008D2212"/>
    <w:rsid w:val="008D2891"/>
    <w:rsid w:val="008D291E"/>
    <w:rsid w:val="008D375B"/>
    <w:rsid w:val="008D3835"/>
    <w:rsid w:val="008D3E2F"/>
    <w:rsid w:val="008D461D"/>
    <w:rsid w:val="008D4C2E"/>
    <w:rsid w:val="008D4E58"/>
    <w:rsid w:val="008D533B"/>
    <w:rsid w:val="008D5383"/>
    <w:rsid w:val="008D5625"/>
    <w:rsid w:val="008D59EF"/>
    <w:rsid w:val="008D5FB6"/>
    <w:rsid w:val="008D612A"/>
    <w:rsid w:val="008D666F"/>
    <w:rsid w:val="008D714C"/>
    <w:rsid w:val="008D7B42"/>
    <w:rsid w:val="008E0F11"/>
    <w:rsid w:val="008E0F3E"/>
    <w:rsid w:val="008E121B"/>
    <w:rsid w:val="008E15BA"/>
    <w:rsid w:val="008E1677"/>
    <w:rsid w:val="008E1A97"/>
    <w:rsid w:val="008E1AF4"/>
    <w:rsid w:val="008E1B13"/>
    <w:rsid w:val="008E226D"/>
    <w:rsid w:val="008E24DB"/>
    <w:rsid w:val="008E2BDE"/>
    <w:rsid w:val="008E2EA1"/>
    <w:rsid w:val="008E31A6"/>
    <w:rsid w:val="008E3305"/>
    <w:rsid w:val="008E33DC"/>
    <w:rsid w:val="008E35AB"/>
    <w:rsid w:val="008E3ADB"/>
    <w:rsid w:val="008E3ED0"/>
    <w:rsid w:val="008E3F36"/>
    <w:rsid w:val="008E3FFE"/>
    <w:rsid w:val="008E4225"/>
    <w:rsid w:val="008E4734"/>
    <w:rsid w:val="008E48BE"/>
    <w:rsid w:val="008E49C1"/>
    <w:rsid w:val="008E4C72"/>
    <w:rsid w:val="008E4DC1"/>
    <w:rsid w:val="008E4FE8"/>
    <w:rsid w:val="008E52CB"/>
    <w:rsid w:val="008E5539"/>
    <w:rsid w:val="008E557C"/>
    <w:rsid w:val="008E5B1E"/>
    <w:rsid w:val="008E6123"/>
    <w:rsid w:val="008E6AA6"/>
    <w:rsid w:val="008E7575"/>
    <w:rsid w:val="008F00AF"/>
    <w:rsid w:val="008F0143"/>
    <w:rsid w:val="008F0CE0"/>
    <w:rsid w:val="008F1164"/>
    <w:rsid w:val="008F15E9"/>
    <w:rsid w:val="008F181C"/>
    <w:rsid w:val="008F22D8"/>
    <w:rsid w:val="008F239C"/>
    <w:rsid w:val="008F2E35"/>
    <w:rsid w:val="008F3102"/>
    <w:rsid w:val="008F32DF"/>
    <w:rsid w:val="008F3882"/>
    <w:rsid w:val="008F3B51"/>
    <w:rsid w:val="008F423C"/>
    <w:rsid w:val="008F4CAF"/>
    <w:rsid w:val="008F5223"/>
    <w:rsid w:val="008F548A"/>
    <w:rsid w:val="008F56B0"/>
    <w:rsid w:val="008F580C"/>
    <w:rsid w:val="008F5A4C"/>
    <w:rsid w:val="008F5FD7"/>
    <w:rsid w:val="008F6011"/>
    <w:rsid w:val="008F6096"/>
    <w:rsid w:val="008F68A1"/>
    <w:rsid w:val="008F698D"/>
    <w:rsid w:val="008F6CFB"/>
    <w:rsid w:val="008F7166"/>
    <w:rsid w:val="008F7968"/>
    <w:rsid w:val="008F79E5"/>
    <w:rsid w:val="009005FE"/>
    <w:rsid w:val="00900657"/>
    <w:rsid w:val="00900D87"/>
    <w:rsid w:val="00900E41"/>
    <w:rsid w:val="009010AC"/>
    <w:rsid w:val="0090164B"/>
    <w:rsid w:val="00901750"/>
    <w:rsid w:val="0090181A"/>
    <w:rsid w:val="00901A67"/>
    <w:rsid w:val="00901A6E"/>
    <w:rsid w:val="00901F1F"/>
    <w:rsid w:val="00902214"/>
    <w:rsid w:val="009027BE"/>
    <w:rsid w:val="0090303B"/>
    <w:rsid w:val="009033EE"/>
    <w:rsid w:val="0090427C"/>
    <w:rsid w:val="009047CC"/>
    <w:rsid w:val="00905028"/>
    <w:rsid w:val="009053CB"/>
    <w:rsid w:val="009068F0"/>
    <w:rsid w:val="009072CC"/>
    <w:rsid w:val="009074F6"/>
    <w:rsid w:val="00907B52"/>
    <w:rsid w:val="00907BA9"/>
    <w:rsid w:val="00910707"/>
    <w:rsid w:val="00911092"/>
    <w:rsid w:val="00911242"/>
    <w:rsid w:val="009115E2"/>
    <w:rsid w:val="00912374"/>
    <w:rsid w:val="009131AC"/>
    <w:rsid w:val="00913241"/>
    <w:rsid w:val="009134E2"/>
    <w:rsid w:val="00913DBD"/>
    <w:rsid w:val="0091416F"/>
    <w:rsid w:val="00914A59"/>
    <w:rsid w:val="0091556E"/>
    <w:rsid w:val="00915B24"/>
    <w:rsid w:val="00915CB9"/>
    <w:rsid w:val="00915E39"/>
    <w:rsid w:val="009168D2"/>
    <w:rsid w:val="00916A61"/>
    <w:rsid w:val="00916B3C"/>
    <w:rsid w:val="00916F42"/>
    <w:rsid w:val="0091765E"/>
    <w:rsid w:val="00917BAF"/>
    <w:rsid w:val="00917D93"/>
    <w:rsid w:val="00920B8A"/>
    <w:rsid w:val="00920DA2"/>
    <w:rsid w:val="009211EC"/>
    <w:rsid w:val="009212C8"/>
    <w:rsid w:val="0092191C"/>
    <w:rsid w:val="009221D5"/>
    <w:rsid w:val="00922208"/>
    <w:rsid w:val="0092255E"/>
    <w:rsid w:val="009225EC"/>
    <w:rsid w:val="0092409D"/>
    <w:rsid w:val="00924950"/>
    <w:rsid w:val="00924D30"/>
    <w:rsid w:val="00925389"/>
    <w:rsid w:val="00925554"/>
    <w:rsid w:val="00925820"/>
    <w:rsid w:val="00925AD8"/>
    <w:rsid w:val="009263EB"/>
    <w:rsid w:val="009267CD"/>
    <w:rsid w:val="00926AD9"/>
    <w:rsid w:val="00926D58"/>
    <w:rsid w:val="00926E21"/>
    <w:rsid w:val="00927720"/>
    <w:rsid w:val="00927783"/>
    <w:rsid w:val="00927A4D"/>
    <w:rsid w:val="00927E82"/>
    <w:rsid w:val="00927EC1"/>
    <w:rsid w:val="009306E5"/>
    <w:rsid w:val="0093077D"/>
    <w:rsid w:val="009308C4"/>
    <w:rsid w:val="009312E9"/>
    <w:rsid w:val="0093131E"/>
    <w:rsid w:val="009313E8"/>
    <w:rsid w:val="00931425"/>
    <w:rsid w:val="009314A3"/>
    <w:rsid w:val="00931832"/>
    <w:rsid w:val="009327F9"/>
    <w:rsid w:val="00932B37"/>
    <w:rsid w:val="00932BCD"/>
    <w:rsid w:val="009331F3"/>
    <w:rsid w:val="00933579"/>
    <w:rsid w:val="00933E10"/>
    <w:rsid w:val="009341DF"/>
    <w:rsid w:val="00934423"/>
    <w:rsid w:val="00934516"/>
    <w:rsid w:val="00934567"/>
    <w:rsid w:val="009348FA"/>
    <w:rsid w:val="00935577"/>
    <w:rsid w:val="00935850"/>
    <w:rsid w:val="00935D0F"/>
    <w:rsid w:val="00936BCD"/>
    <w:rsid w:val="00936D01"/>
    <w:rsid w:val="00936D5A"/>
    <w:rsid w:val="0093767F"/>
    <w:rsid w:val="00937833"/>
    <w:rsid w:val="00937835"/>
    <w:rsid w:val="00937B0B"/>
    <w:rsid w:val="00940217"/>
    <w:rsid w:val="0094049F"/>
    <w:rsid w:val="00940EE9"/>
    <w:rsid w:val="00941843"/>
    <w:rsid w:val="00941914"/>
    <w:rsid w:val="00941E23"/>
    <w:rsid w:val="0094223E"/>
    <w:rsid w:val="0094246C"/>
    <w:rsid w:val="0094264D"/>
    <w:rsid w:val="00942A09"/>
    <w:rsid w:val="00942DEB"/>
    <w:rsid w:val="0094395C"/>
    <w:rsid w:val="009444A4"/>
    <w:rsid w:val="00944540"/>
    <w:rsid w:val="009445DA"/>
    <w:rsid w:val="009447B4"/>
    <w:rsid w:val="00944812"/>
    <w:rsid w:val="00944B17"/>
    <w:rsid w:val="00944BF4"/>
    <w:rsid w:val="00946159"/>
    <w:rsid w:val="009461DB"/>
    <w:rsid w:val="0094673F"/>
    <w:rsid w:val="009469E8"/>
    <w:rsid w:val="00946D2D"/>
    <w:rsid w:val="00946E0E"/>
    <w:rsid w:val="00946EF4"/>
    <w:rsid w:val="00946FEA"/>
    <w:rsid w:val="00947BA4"/>
    <w:rsid w:val="00947D6C"/>
    <w:rsid w:val="009502E3"/>
    <w:rsid w:val="00950C3D"/>
    <w:rsid w:val="00950F41"/>
    <w:rsid w:val="00951E29"/>
    <w:rsid w:val="00951FB1"/>
    <w:rsid w:val="0095203B"/>
    <w:rsid w:val="0095298E"/>
    <w:rsid w:val="00953BE2"/>
    <w:rsid w:val="009546EE"/>
    <w:rsid w:val="0095530F"/>
    <w:rsid w:val="00955382"/>
    <w:rsid w:val="009553BF"/>
    <w:rsid w:val="00955585"/>
    <w:rsid w:val="009558C8"/>
    <w:rsid w:val="0095619B"/>
    <w:rsid w:val="009564CC"/>
    <w:rsid w:val="00956B1E"/>
    <w:rsid w:val="00956D51"/>
    <w:rsid w:val="00956E33"/>
    <w:rsid w:val="0095780D"/>
    <w:rsid w:val="00957AC6"/>
    <w:rsid w:val="00957AF7"/>
    <w:rsid w:val="00957CCD"/>
    <w:rsid w:val="009600B5"/>
    <w:rsid w:val="009601B2"/>
    <w:rsid w:val="00960368"/>
    <w:rsid w:val="00960610"/>
    <w:rsid w:val="00960B90"/>
    <w:rsid w:val="0096118D"/>
    <w:rsid w:val="00961360"/>
    <w:rsid w:val="00961733"/>
    <w:rsid w:val="00962389"/>
    <w:rsid w:val="009623DA"/>
    <w:rsid w:val="00962688"/>
    <w:rsid w:val="00962C28"/>
    <w:rsid w:val="00962FAF"/>
    <w:rsid w:val="00963254"/>
    <w:rsid w:val="00963B7E"/>
    <w:rsid w:val="00964028"/>
    <w:rsid w:val="00964FFB"/>
    <w:rsid w:val="0096563C"/>
    <w:rsid w:val="00965E46"/>
    <w:rsid w:val="00965F30"/>
    <w:rsid w:val="00966048"/>
    <w:rsid w:val="00966308"/>
    <w:rsid w:val="0096677A"/>
    <w:rsid w:val="00966A38"/>
    <w:rsid w:val="00966DA7"/>
    <w:rsid w:val="0096716C"/>
    <w:rsid w:val="0096762C"/>
    <w:rsid w:val="00967EFF"/>
    <w:rsid w:val="00970A77"/>
    <w:rsid w:val="00970DE9"/>
    <w:rsid w:val="009712B5"/>
    <w:rsid w:val="0097150C"/>
    <w:rsid w:val="0097192D"/>
    <w:rsid w:val="00971A5D"/>
    <w:rsid w:val="00971AE9"/>
    <w:rsid w:val="00971B82"/>
    <w:rsid w:val="00972408"/>
    <w:rsid w:val="00972CD5"/>
    <w:rsid w:val="00973AA0"/>
    <w:rsid w:val="00974028"/>
    <w:rsid w:val="0097432C"/>
    <w:rsid w:val="009743DC"/>
    <w:rsid w:val="00974A39"/>
    <w:rsid w:val="0097523A"/>
    <w:rsid w:val="009757A3"/>
    <w:rsid w:val="00976465"/>
    <w:rsid w:val="009767D3"/>
    <w:rsid w:val="00976A64"/>
    <w:rsid w:val="00976AA3"/>
    <w:rsid w:val="00976D76"/>
    <w:rsid w:val="009770EF"/>
    <w:rsid w:val="00977549"/>
    <w:rsid w:val="009776FB"/>
    <w:rsid w:val="00980001"/>
    <w:rsid w:val="009803E4"/>
    <w:rsid w:val="009805D8"/>
    <w:rsid w:val="00980B94"/>
    <w:rsid w:val="00980CD9"/>
    <w:rsid w:val="009812C8"/>
    <w:rsid w:val="00981C2A"/>
    <w:rsid w:val="00981F3E"/>
    <w:rsid w:val="009820B1"/>
    <w:rsid w:val="009822CE"/>
    <w:rsid w:val="00982777"/>
    <w:rsid w:val="00982D6E"/>
    <w:rsid w:val="0098339C"/>
    <w:rsid w:val="00983506"/>
    <w:rsid w:val="00983B1E"/>
    <w:rsid w:val="00984252"/>
    <w:rsid w:val="00984521"/>
    <w:rsid w:val="009848D6"/>
    <w:rsid w:val="00984A88"/>
    <w:rsid w:val="00985949"/>
    <w:rsid w:val="00985C14"/>
    <w:rsid w:val="00985F05"/>
    <w:rsid w:val="00986580"/>
    <w:rsid w:val="00986588"/>
    <w:rsid w:val="009875EC"/>
    <w:rsid w:val="009877F9"/>
    <w:rsid w:val="009904B1"/>
    <w:rsid w:val="00990C26"/>
    <w:rsid w:val="009913EC"/>
    <w:rsid w:val="0099160F"/>
    <w:rsid w:val="00991E10"/>
    <w:rsid w:val="009921B3"/>
    <w:rsid w:val="009924EB"/>
    <w:rsid w:val="0099271A"/>
    <w:rsid w:val="00992B30"/>
    <w:rsid w:val="00992BD2"/>
    <w:rsid w:val="00992CC6"/>
    <w:rsid w:val="009934AB"/>
    <w:rsid w:val="00993975"/>
    <w:rsid w:val="00993EBF"/>
    <w:rsid w:val="009943E8"/>
    <w:rsid w:val="009946FF"/>
    <w:rsid w:val="00995116"/>
    <w:rsid w:val="009957C7"/>
    <w:rsid w:val="00995A05"/>
    <w:rsid w:val="00995CED"/>
    <w:rsid w:val="0099611F"/>
    <w:rsid w:val="009968B1"/>
    <w:rsid w:val="0099753F"/>
    <w:rsid w:val="009979F1"/>
    <w:rsid w:val="009979FE"/>
    <w:rsid w:val="009A0F85"/>
    <w:rsid w:val="009A173A"/>
    <w:rsid w:val="009A175D"/>
    <w:rsid w:val="009A1B6B"/>
    <w:rsid w:val="009A1B87"/>
    <w:rsid w:val="009A3769"/>
    <w:rsid w:val="009A45EE"/>
    <w:rsid w:val="009A48D8"/>
    <w:rsid w:val="009A4CC1"/>
    <w:rsid w:val="009A5197"/>
    <w:rsid w:val="009A543C"/>
    <w:rsid w:val="009A5AD5"/>
    <w:rsid w:val="009A5BCE"/>
    <w:rsid w:val="009A6246"/>
    <w:rsid w:val="009A7617"/>
    <w:rsid w:val="009A7C43"/>
    <w:rsid w:val="009A7F70"/>
    <w:rsid w:val="009B0EFD"/>
    <w:rsid w:val="009B1A7D"/>
    <w:rsid w:val="009B1DD6"/>
    <w:rsid w:val="009B2026"/>
    <w:rsid w:val="009B2137"/>
    <w:rsid w:val="009B2556"/>
    <w:rsid w:val="009B2789"/>
    <w:rsid w:val="009B284D"/>
    <w:rsid w:val="009B2A1F"/>
    <w:rsid w:val="009B3010"/>
    <w:rsid w:val="009B35F4"/>
    <w:rsid w:val="009B3732"/>
    <w:rsid w:val="009B3AB2"/>
    <w:rsid w:val="009B3F2B"/>
    <w:rsid w:val="009B4847"/>
    <w:rsid w:val="009B4949"/>
    <w:rsid w:val="009B4D3C"/>
    <w:rsid w:val="009B5768"/>
    <w:rsid w:val="009B5A3F"/>
    <w:rsid w:val="009B5B38"/>
    <w:rsid w:val="009B5C56"/>
    <w:rsid w:val="009B5DA0"/>
    <w:rsid w:val="009B63D0"/>
    <w:rsid w:val="009B672D"/>
    <w:rsid w:val="009B6994"/>
    <w:rsid w:val="009B69C3"/>
    <w:rsid w:val="009B6C6C"/>
    <w:rsid w:val="009B6F16"/>
    <w:rsid w:val="009B749A"/>
    <w:rsid w:val="009B7A8C"/>
    <w:rsid w:val="009B7DD9"/>
    <w:rsid w:val="009C02A6"/>
    <w:rsid w:val="009C07F8"/>
    <w:rsid w:val="009C09F8"/>
    <w:rsid w:val="009C0E00"/>
    <w:rsid w:val="009C1091"/>
    <w:rsid w:val="009C12B8"/>
    <w:rsid w:val="009C1783"/>
    <w:rsid w:val="009C1807"/>
    <w:rsid w:val="009C1A6B"/>
    <w:rsid w:val="009C1BC0"/>
    <w:rsid w:val="009C1DA1"/>
    <w:rsid w:val="009C22F8"/>
    <w:rsid w:val="009C2B9F"/>
    <w:rsid w:val="009C2F5D"/>
    <w:rsid w:val="009C33F7"/>
    <w:rsid w:val="009C34E4"/>
    <w:rsid w:val="009C35C6"/>
    <w:rsid w:val="009C36C7"/>
    <w:rsid w:val="009C4458"/>
    <w:rsid w:val="009C4A54"/>
    <w:rsid w:val="009C4F3B"/>
    <w:rsid w:val="009C502A"/>
    <w:rsid w:val="009C56DA"/>
    <w:rsid w:val="009C61EA"/>
    <w:rsid w:val="009C66B5"/>
    <w:rsid w:val="009C6DED"/>
    <w:rsid w:val="009C7832"/>
    <w:rsid w:val="009C78A7"/>
    <w:rsid w:val="009C78CA"/>
    <w:rsid w:val="009D0283"/>
    <w:rsid w:val="009D07F8"/>
    <w:rsid w:val="009D0AF0"/>
    <w:rsid w:val="009D0B77"/>
    <w:rsid w:val="009D0DAE"/>
    <w:rsid w:val="009D128F"/>
    <w:rsid w:val="009D1901"/>
    <w:rsid w:val="009D1FFD"/>
    <w:rsid w:val="009D21EE"/>
    <w:rsid w:val="009D2E16"/>
    <w:rsid w:val="009D3598"/>
    <w:rsid w:val="009D3614"/>
    <w:rsid w:val="009D3B4C"/>
    <w:rsid w:val="009D409C"/>
    <w:rsid w:val="009D4139"/>
    <w:rsid w:val="009D43DE"/>
    <w:rsid w:val="009D4B9F"/>
    <w:rsid w:val="009D4DCC"/>
    <w:rsid w:val="009D526E"/>
    <w:rsid w:val="009D5DBC"/>
    <w:rsid w:val="009D6353"/>
    <w:rsid w:val="009D6AAD"/>
    <w:rsid w:val="009D6DCB"/>
    <w:rsid w:val="009D776A"/>
    <w:rsid w:val="009D79C7"/>
    <w:rsid w:val="009D7FEF"/>
    <w:rsid w:val="009E09D2"/>
    <w:rsid w:val="009E0F76"/>
    <w:rsid w:val="009E1615"/>
    <w:rsid w:val="009E16B3"/>
    <w:rsid w:val="009E176B"/>
    <w:rsid w:val="009E1A67"/>
    <w:rsid w:val="009E1C76"/>
    <w:rsid w:val="009E2304"/>
    <w:rsid w:val="009E2EFD"/>
    <w:rsid w:val="009E347A"/>
    <w:rsid w:val="009E3912"/>
    <w:rsid w:val="009E3BC9"/>
    <w:rsid w:val="009E3DDD"/>
    <w:rsid w:val="009E3F26"/>
    <w:rsid w:val="009E4259"/>
    <w:rsid w:val="009E4E65"/>
    <w:rsid w:val="009E55B9"/>
    <w:rsid w:val="009E5788"/>
    <w:rsid w:val="009E63EE"/>
    <w:rsid w:val="009E6901"/>
    <w:rsid w:val="009E7590"/>
    <w:rsid w:val="009E7723"/>
    <w:rsid w:val="009E7A3D"/>
    <w:rsid w:val="009F0110"/>
    <w:rsid w:val="009F035A"/>
    <w:rsid w:val="009F0E6A"/>
    <w:rsid w:val="009F247B"/>
    <w:rsid w:val="009F2993"/>
    <w:rsid w:val="009F30E4"/>
    <w:rsid w:val="009F30F9"/>
    <w:rsid w:val="009F3317"/>
    <w:rsid w:val="009F3738"/>
    <w:rsid w:val="009F485F"/>
    <w:rsid w:val="009F492B"/>
    <w:rsid w:val="009F4BF2"/>
    <w:rsid w:val="009F548E"/>
    <w:rsid w:val="009F5AFD"/>
    <w:rsid w:val="009F6301"/>
    <w:rsid w:val="009F6785"/>
    <w:rsid w:val="009F6F99"/>
    <w:rsid w:val="009F72CE"/>
    <w:rsid w:val="009F75DB"/>
    <w:rsid w:val="009F7F4B"/>
    <w:rsid w:val="00A00DDF"/>
    <w:rsid w:val="00A0113D"/>
    <w:rsid w:val="00A011A3"/>
    <w:rsid w:val="00A011AA"/>
    <w:rsid w:val="00A020D5"/>
    <w:rsid w:val="00A02131"/>
    <w:rsid w:val="00A025CA"/>
    <w:rsid w:val="00A02E54"/>
    <w:rsid w:val="00A031D9"/>
    <w:rsid w:val="00A03795"/>
    <w:rsid w:val="00A03A01"/>
    <w:rsid w:val="00A04692"/>
    <w:rsid w:val="00A04CD8"/>
    <w:rsid w:val="00A0559F"/>
    <w:rsid w:val="00A057A1"/>
    <w:rsid w:val="00A05B75"/>
    <w:rsid w:val="00A06018"/>
    <w:rsid w:val="00A06739"/>
    <w:rsid w:val="00A078A5"/>
    <w:rsid w:val="00A10DD2"/>
    <w:rsid w:val="00A10EF5"/>
    <w:rsid w:val="00A111A8"/>
    <w:rsid w:val="00A112C0"/>
    <w:rsid w:val="00A11C13"/>
    <w:rsid w:val="00A11EF2"/>
    <w:rsid w:val="00A12321"/>
    <w:rsid w:val="00A12770"/>
    <w:rsid w:val="00A12CFA"/>
    <w:rsid w:val="00A12FBA"/>
    <w:rsid w:val="00A130C1"/>
    <w:rsid w:val="00A13252"/>
    <w:rsid w:val="00A133DB"/>
    <w:rsid w:val="00A13A17"/>
    <w:rsid w:val="00A13D29"/>
    <w:rsid w:val="00A13D50"/>
    <w:rsid w:val="00A13F1A"/>
    <w:rsid w:val="00A13FDB"/>
    <w:rsid w:val="00A14B29"/>
    <w:rsid w:val="00A14B61"/>
    <w:rsid w:val="00A14CC9"/>
    <w:rsid w:val="00A15BFA"/>
    <w:rsid w:val="00A16327"/>
    <w:rsid w:val="00A16B8B"/>
    <w:rsid w:val="00A16CD7"/>
    <w:rsid w:val="00A16DFE"/>
    <w:rsid w:val="00A16EB8"/>
    <w:rsid w:val="00A1798A"/>
    <w:rsid w:val="00A20000"/>
    <w:rsid w:val="00A20042"/>
    <w:rsid w:val="00A2009F"/>
    <w:rsid w:val="00A200E7"/>
    <w:rsid w:val="00A2020F"/>
    <w:rsid w:val="00A2054B"/>
    <w:rsid w:val="00A20802"/>
    <w:rsid w:val="00A20CED"/>
    <w:rsid w:val="00A20D5F"/>
    <w:rsid w:val="00A20F65"/>
    <w:rsid w:val="00A20FB5"/>
    <w:rsid w:val="00A211A8"/>
    <w:rsid w:val="00A21474"/>
    <w:rsid w:val="00A215B0"/>
    <w:rsid w:val="00A218F9"/>
    <w:rsid w:val="00A21A2A"/>
    <w:rsid w:val="00A21B83"/>
    <w:rsid w:val="00A2271B"/>
    <w:rsid w:val="00A22A69"/>
    <w:rsid w:val="00A243D5"/>
    <w:rsid w:val="00A243EE"/>
    <w:rsid w:val="00A24500"/>
    <w:rsid w:val="00A2483D"/>
    <w:rsid w:val="00A24992"/>
    <w:rsid w:val="00A252DA"/>
    <w:rsid w:val="00A2615B"/>
    <w:rsid w:val="00A261B1"/>
    <w:rsid w:val="00A2627D"/>
    <w:rsid w:val="00A264E8"/>
    <w:rsid w:val="00A30173"/>
    <w:rsid w:val="00A30177"/>
    <w:rsid w:val="00A30C41"/>
    <w:rsid w:val="00A30C81"/>
    <w:rsid w:val="00A31406"/>
    <w:rsid w:val="00A31731"/>
    <w:rsid w:val="00A31A8D"/>
    <w:rsid w:val="00A32172"/>
    <w:rsid w:val="00A3259B"/>
    <w:rsid w:val="00A334CA"/>
    <w:rsid w:val="00A337E1"/>
    <w:rsid w:val="00A33873"/>
    <w:rsid w:val="00A33A13"/>
    <w:rsid w:val="00A3410F"/>
    <w:rsid w:val="00A34671"/>
    <w:rsid w:val="00A346FE"/>
    <w:rsid w:val="00A348BA"/>
    <w:rsid w:val="00A34B13"/>
    <w:rsid w:val="00A34C18"/>
    <w:rsid w:val="00A34D47"/>
    <w:rsid w:val="00A35130"/>
    <w:rsid w:val="00A357A4"/>
    <w:rsid w:val="00A358EF"/>
    <w:rsid w:val="00A36A10"/>
    <w:rsid w:val="00A37713"/>
    <w:rsid w:val="00A379C0"/>
    <w:rsid w:val="00A37EBA"/>
    <w:rsid w:val="00A402B3"/>
    <w:rsid w:val="00A408F9"/>
    <w:rsid w:val="00A41190"/>
    <w:rsid w:val="00A41299"/>
    <w:rsid w:val="00A413C5"/>
    <w:rsid w:val="00A41502"/>
    <w:rsid w:val="00A41AD9"/>
    <w:rsid w:val="00A41EE6"/>
    <w:rsid w:val="00A422AB"/>
    <w:rsid w:val="00A42A25"/>
    <w:rsid w:val="00A43042"/>
    <w:rsid w:val="00A43119"/>
    <w:rsid w:val="00A43874"/>
    <w:rsid w:val="00A43F38"/>
    <w:rsid w:val="00A445D2"/>
    <w:rsid w:val="00A44BF3"/>
    <w:rsid w:val="00A454CD"/>
    <w:rsid w:val="00A45714"/>
    <w:rsid w:val="00A45F23"/>
    <w:rsid w:val="00A45F4F"/>
    <w:rsid w:val="00A4622A"/>
    <w:rsid w:val="00A46366"/>
    <w:rsid w:val="00A467AC"/>
    <w:rsid w:val="00A46A5A"/>
    <w:rsid w:val="00A47171"/>
    <w:rsid w:val="00A47363"/>
    <w:rsid w:val="00A47E66"/>
    <w:rsid w:val="00A500B3"/>
    <w:rsid w:val="00A50A81"/>
    <w:rsid w:val="00A51318"/>
    <w:rsid w:val="00A5131D"/>
    <w:rsid w:val="00A513C0"/>
    <w:rsid w:val="00A51409"/>
    <w:rsid w:val="00A51657"/>
    <w:rsid w:val="00A52A0A"/>
    <w:rsid w:val="00A52AD1"/>
    <w:rsid w:val="00A52D1C"/>
    <w:rsid w:val="00A53E5B"/>
    <w:rsid w:val="00A54420"/>
    <w:rsid w:val="00A54481"/>
    <w:rsid w:val="00A5466E"/>
    <w:rsid w:val="00A5505B"/>
    <w:rsid w:val="00A55309"/>
    <w:rsid w:val="00A553A0"/>
    <w:rsid w:val="00A554CD"/>
    <w:rsid w:val="00A56337"/>
    <w:rsid w:val="00A56D78"/>
    <w:rsid w:val="00A5739E"/>
    <w:rsid w:val="00A57CB3"/>
    <w:rsid w:val="00A57CEC"/>
    <w:rsid w:val="00A617BA"/>
    <w:rsid w:val="00A61BA6"/>
    <w:rsid w:val="00A61DA2"/>
    <w:rsid w:val="00A61F19"/>
    <w:rsid w:val="00A621F4"/>
    <w:rsid w:val="00A62BAE"/>
    <w:rsid w:val="00A63034"/>
    <w:rsid w:val="00A63C32"/>
    <w:rsid w:val="00A63F70"/>
    <w:rsid w:val="00A63FCC"/>
    <w:rsid w:val="00A64360"/>
    <w:rsid w:val="00A643AD"/>
    <w:rsid w:val="00A64788"/>
    <w:rsid w:val="00A64A66"/>
    <w:rsid w:val="00A64F46"/>
    <w:rsid w:val="00A65110"/>
    <w:rsid w:val="00A653C3"/>
    <w:rsid w:val="00A653E2"/>
    <w:rsid w:val="00A6585F"/>
    <w:rsid w:val="00A65943"/>
    <w:rsid w:val="00A66969"/>
    <w:rsid w:val="00A66CA9"/>
    <w:rsid w:val="00A66F2B"/>
    <w:rsid w:val="00A66FC8"/>
    <w:rsid w:val="00A67ECF"/>
    <w:rsid w:val="00A7015D"/>
    <w:rsid w:val="00A70A25"/>
    <w:rsid w:val="00A70D83"/>
    <w:rsid w:val="00A70DC7"/>
    <w:rsid w:val="00A710BA"/>
    <w:rsid w:val="00A711ED"/>
    <w:rsid w:val="00A71C42"/>
    <w:rsid w:val="00A732FA"/>
    <w:rsid w:val="00A73834"/>
    <w:rsid w:val="00A73C02"/>
    <w:rsid w:val="00A749AB"/>
    <w:rsid w:val="00A74F7C"/>
    <w:rsid w:val="00A752E9"/>
    <w:rsid w:val="00A75CFB"/>
    <w:rsid w:val="00A75E65"/>
    <w:rsid w:val="00A765FF"/>
    <w:rsid w:val="00A767BA"/>
    <w:rsid w:val="00A76B3B"/>
    <w:rsid w:val="00A77458"/>
    <w:rsid w:val="00A8020E"/>
    <w:rsid w:val="00A8075D"/>
    <w:rsid w:val="00A807B2"/>
    <w:rsid w:val="00A80B2A"/>
    <w:rsid w:val="00A80C49"/>
    <w:rsid w:val="00A80D75"/>
    <w:rsid w:val="00A8163C"/>
    <w:rsid w:val="00A81904"/>
    <w:rsid w:val="00A81DDE"/>
    <w:rsid w:val="00A829CC"/>
    <w:rsid w:val="00A82F61"/>
    <w:rsid w:val="00A83205"/>
    <w:rsid w:val="00A83565"/>
    <w:rsid w:val="00A84084"/>
    <w:rsid w:val="00A843FD"/>
    <w:rsid w:val="00A849C1"/>
    <w:rsid w:val="00A849FF"/>
    <w:rsid w:val="00A84C59"/>
    <w:rsid w:val="00A84CBC"/>
    <w:rsid w:val="00A84EBD"/>
    <w:rsid w:val="00A854A1"/>
    <w:rsid w:val="00A8553B"/>
    <w:rsid w:val="00A85558"/>
    <w:rsid w:val="00A85834"/>
    <w:rsid w:val="00A85DFB"/>
    <w:rsid w:val="00A85E6D"/>
    <w:rsid w:val="00A86C19"/>
    <w:rsid w:val="00A870D1"/>
    <w:rsid w:val="00A8741C"/>
    <w:rsid w:val="00A87731"/>
    <w:rsid w:val="00A87F31"/>
    <w:rsid w:val="00A903C3"/>
    <w:rsid w:val="00A904D8"/>
    <w:rsid w:val="00A91D92"/>
    <w:rsid w:val="00A92209"/>
    <w:rsid w:val="00A92431"/>
    <w:rsid w:val="00A92672"/>
    <w:rsid w:val="00A92732"/>
    <w:rsid w:val="00A92B34"/>
    <w:rsid w:val="00A93423"/>
    <w:rsid w:val="00A9394E"/>
    <w:rsid w:val="00A93ADA"/>
    <w:rsid w:val="00A93FBF"/>
    <w:rsid w:val="00A9431E"/>
    <w:rsid w:val="00A94A71"/>
    <w:rsid w:val="00A95F1E"/>
    <w:rsid w:val="00A96200"/>
    <w:rsid w:val="00A964BA"/>
    <w:rsid w:val="00A96CD0"/>
    <w:rsid w:val="00A9720B"/>
    <w:rsid w:val="00A972B9"/>
    <w:rsid w:val="00A973D6"/>
    <w:rsid w:val="00A9765E"/>
    <w:rsid w:val="00A977DD"/>
    <w:rsid w:val="00A979C2"/>
    <w:rsid w:val="00A97A7F"/>
    <w:rsid w:val="00A97ECE"/>
    <w:rsid w:val="00AA0060"/>
    <w:rsid w:val="00AA0515"/>
    <w:rsid w:val="00AA1861"/>
    <w:rsid w:val="00AA2849"/>
    <w:rsid w:val="00AA309F"/>
    <w:rsid w:val="00AA318B"/>
    <w:rsid w:val="00AA3DB2"/>
    <w:rsid w:val="00AA4245"/>
    <w:rsid w:val="00AA4732"/>
    <w:rsid w:val="00AA4F95"/>
    <w:rsid w:val="00AA529E"/>
    <w:rsid w:val="00AA589F"/>
    <w:rsid w:val="00AA64E1"/>
    <w:rsid w:val="00AA7677"/>
    <w:rsid w:val="00AA77A9"/>
    <w:rsid w:val="00AA7B36"/>
    <w:rsid w:val="00AB013A"/>
    <w:rsid w:val="00AB0510"/>
    <w:rsid w:val="00AB089B"/>
    <w:rsid w:val="00AB11D0"/>
    <w:rsid w:val="00AB1755"/>
    <w:rsid w:val="00AB1A39"/>
    <w:rsid w:val="00AB1B77"/>
    <w:rsid w:val="00AB1C38"/>
    <w:rsid w:val="00AB2120"/>
    <w:rsid w:val="00AB2490"/>
    <w:rsid w:val="00AB25C6"/>
    <w:rsid w:val="00AB2B62"/>
    <w:rsid w:val="00AB32FE"/>
    <w:rsid w:val="00AB355B"/>
    <w:rsid w:val="00AB3708"/>
    <w:rsid w:val="00AB4D50"/>
    <w:rsid w:val="00AB51AE"/>
    <w:rsid w:val="00AB521C"/>
    <w:rsid w:val="00AB55BF"/>
    <w:rsid w:val="00AB6355"/>
    <w:rsid w:val="00AB64C6"/>
    <w:rsid w:val="00AB6CE2"/>
    <w:rsid w:val="00AB70EF"/>
    <w:rsid w:val="00AB72EF"/>
    <w:rsid w:val="00AB7921"/>
    <w:rsid w:val="00AB7CCA"/>
    <w:rsid w:val="00AB7F76"/>
    <w:rsid w:val="00AC05F9"/>
    <w:rsid w:val="00AC0C41"/>
    <w:rsid w:val="00AC0E0F"/>
    <w:rsid w:val="00AC15C7"/>
    <w:rsid w:val="00AC1661"/>
    <w:rsid w:val="00AC1EB2"/>
    <w:rsid w:val="00AC1FC2"/>
    <w:rsid w:val="00AC21C9"/>
    <w:rsid w:val="00AC236E"/>
    <w:rsid w:val="00AC26B2"/>
    <w:rsid w:val="00AC2964"/>
    <w:rsid w:val="00AC3696"/>
    <w:rsid w:val="00AC3966"/>
    <w:rsid w:val="00AC3C78"/>
    <w:rsid w:val="00AC4796"/>
    <w:rsid w:val="00AC48B8"/>
    <w:rsid w:val="00AC567F"/>
    <w:rsid w:val="00AC58D0"/>
    <w:rsid w:val="00AC58F7"/>
    <w:rsid w:val="00AC5C49"/>
    <w:rsid w:val="00AC5E8D"/>
    <w:rsid w:val="00AC6494"/>
    <w:rsid w:val="00AC6691"/>
    <w:rsid w:val="00AC6D5C"/>
    <w:rsid w:val="00AC6DAE"/>
    <w:rsid w:val="00AC6F82"/>
    <w:rsid w:val="00AC70F9"/>
    <w:rsid w:val="00AC71FC"/>
    <w:rsid w:val="00AC7789"/>
    <w:rsid w:val="00AC7846"/>
    <w:rsid w:val="00AC7A09"/>
    <w:rsid w:val="00AD0E3F"/>
    <w:rsid w:val="00AD11B6"/>
    <w:rsid w:val="00AD17B9"/>
    <w:rsid w:val="00AD1EFC"/>
    <w:rsid w:val="00AD1FE4"/>
    <w:rsid w:val="00AD20C8"/>
    <w:rsid w:val="00AD260A"/>
    <w:rsid w:val="00AD283A"/>
    <w:rsid w:val="00AD2F4C"/>
    <w:rsid w:val="00AD2FCF"/>
    <w:rsid w:val="00AD3463"/>
    <w:rsid w:val="00AD3CA6"/>
    <w:rsid w:val="00AD3E3F"/>
    <w:rsid w:val="00AD41BF"/>
    <w:rsid w:val="00AD44BF"/>
    <w:rsid w:val="00AD46BA"/>
    <w:rsid w:val="00AD4ED1"/>
    <w:rsid w:val="00AD52EA"/>
    <w:rsid w:val="00AD5CAE"/>
    <w:rsid w:val="00AD60EC"/>
    <w:rsid w:val="00AD63AC"/>
    <w:rsid w:val="00AD68F9"/>
    <w:rsid w:val="00AD6ABA"/>
    <w:rsid w:val="00AD6AC3"/>
    <w:rsid w:val="00AD6D7C"/>
    <w:rsid w:val="00AD7A2D"/>
    <w:rsid w:val="00AE0483"/>
    <w:rsid w:val="00AE05F5"/>
    <w:rsid w:val="00AE0CAA"/>
    <w:rsid w:val="00AE0FA6"/>
    <w:rsid w:val="00AE1A5C"/>
    <w:rsid w:val="00AE1F7B"/>
    <w:rsid w:val="00AE20B2"/>
    <w:rsid w:val="00AE2246"/>
    <w:rsid w:val="00AE29DE"/>
    <w:rsid w:val="00AE31D2"/>
    <w:rsid w:val="00AE33B4"/>
    <w:rsid w:val="00AE3684"/>
    <w:rsid w:val="00AE3A80"/>
    <w:rsid w:val="00AE3C30"/>
    <w:rsid w:val="00AE4C21"/>
    <w:rsid w:val="00AE506E"/>
    <w:rsid w:val="00AE53D8"/>
    <w:rsid w:val="00AE5468"/>
    <w:rsid w:val="00AE5A4D"/>
    <w:rsid w:val="00AE5A5D"/>
    <w:rsid w:val="00AE5FA3"/>
    <w:rsid w:val="00AE60B5"/>
    <w:rsid w:val="00AE65C0"/>
    <w:rsid w:val="00AE67DA"/>
    <w:rsid w:val="00AE6E7D"/>
    <w:rsid w:val="00AE773A"/>
    <w:rsid w:val="00AF0452"/>
    <w:rsid w:val="00AF05DA"/>
    <w:rsid w:val="00AF0914"/>
    <w:rsid w:val="00AF093D"/>
    <w:rsid w:val="00AF0976"/>
    <w:rsid w:val="00AF0A45"/>
    <w:rsid w:val="00AF0AB7"/>
    <w:rsid w:val="00AF10A8"/>
    <w:rsid w:val="00AF248C"/>
    <w:rsid w:val="00AF2533"/>
    <w:rsid w:val="00AF29CC"/>
    <w:rsid w:val="00AF3D06"/>
    <w:rsid w:val="00AF4142"/>
    <w:rsid w:val="00AF41B3"/>
    <w:rsid w:val="00AF44DE"/>
    <w:rsid w:val="00AF4710"/>
    <w:rsid w:val="00AF47E8"/>
    <w:rsid w:val="00AF4ABE"/>
    <w:rsid w:val="00AF4C45"/>
    <w:rsid w:val="00AF5146"/>
    <w:rsid w:val="00AF56AF"/>
    <w:rsid w:val="00AF58C5"/>
    <w:rsid w:val="00AF5964"/>
    <w:rsid w:val="00AF5AD9"/>
    <w:rsid w:val="00AF61A6"/>
    <w:rsid w:val="00AF6442"/>
    <w:rsid w:val="00AF7188"/>
    <w:rsid w:val="00AF7214"/>
    <w:rsid w:val="00AF727C"/>
    <w:rsid w:val="00AF756A"/>
    <w:rsid w:val="00AF789C"/>
    <w:rsid w:val="00AF7C8D"/>
    <w:rsid w:val="00AF7CB4"/>
    <w:rsid w:val="00B003E6"/>
    <w:rsid w:val="00B004EB"/>
    <w:rsid w:val="00B01EA8"/>
    <w:rsid w:val="00B020C9"/>
    <w:rsid w:val="00B023B1"/>
    <w:rsid w:val="00B024B3"/>
    <w:rsid w:val="00B02541"/>
    <w:rsid w:val="00B026EA"/>
    <w:rsid w:val="00B02CEF"/>
    <w:rsid w:val="00B0379D"/>
    <w:rsid w:val="00B03E11"/>
    <w:rsid w:val="00B04740"/>
    <w:rsid w:val="00B057A2"/>
    <w:rsid w:val="00B0580A"/>
    <w:rsid w:val="00B05BEA"/>
    <w:rsid w:val="00B05C97"/>
    <w:rsid w:val="00B05D4E"/>
    <w:rsid w:val="00B06462"/>
    <w:rsid w:val="00B06B7D"/>
    <w:rsid w:val="00B070DC"/>
    <w:rsid w:val="00B07B75"/>
    <w:rsid w:val="00B104C5"/>
    <w:rsid w:val="00B10B14"/>
    <w:rsid w:val="00B10BE5"/>
    <w:rsid w:val="00B10C67"/>
    <w:rsid w:val="00B1109C"/>
    <w:rsid w:val="00B1140A"/>
    <w:rsid w:val="00B11607"/>
    <w:rsid w:val="00B117CE"/>
    <w:rsid w:val="00B12068"/>
    <w:rsid w:val="00B121D3"/>
    <w:rsid w:val="00B12DC4"/>
    <w:rsid w:val="00B1347F"/>
    <w:rsid w:val="00B13646"/>
    <w:rsid w:val="00B1367D"/>
    <w:rsid w:val="00B13A44"/>
    <w:rsid w:val="00B13E6D"/>
    <w:rsid w:val="00B14369"/>
    <w:rsid w:val="00B147BD"/>
    <w:rsid w:val="00B153FD"/>
    <w:rsid w:val="00B15AE4"/>
    <w:rsid w:val="00B15CD9"/>
    <w:rsid w:val="00B15FE1"/>
    <w:rsid w:val="00B16BB8"/>
    <w:rsid w:val="00B16CE2"/>
    <w:rsid w:val="00B16FBA"/>
    <w:rsid w:val="00B170E1"/>
    <w:rsid w:val="00B17684"/>
    <w:rsid w:val="00B17D45"/>
    <w:rsid w:val="00B207BA"/>
    <w:rsid w:val="00B20820"/>
    <w:rsid w:val="00B208BC"/>
    <w:rsid w:val="00B2187A"/>
    <w:rsid w:val="00B22A92"/>
    <w:rsid w:val="00B233FD"/>
    <w:rsid w:val="00B23D8F"/>
    <w:rsid w:val="00B23F56"/>
    <w:rsid w:val="00B242D8"/>
    <w:rsid w:val="00B24EBF"/>
    <w:rsid w:val="00B2536E"/>
    <w:rsid w:val="00B2574A"/>
    <w:rsid w:val="00B2601C"/>
    <w:rsid w:val="00B2668C"/>
    <w:rsid w:val="00B267F8"/>
    <w:rsid w:val="00B2693E"/>
    <w:rsid w:val="00B269CB"/>
    <w:rsid w:val="00B26FA4"/>
    <w:rsid w:val="00B27543"/>
    <w:rsid w:val="00B27C69"/>
    <w:rsid w:val="00B27FF2"/>
    <w:rsid w:val="00B301CF"/>
    <w:rsid w:val="00B3039E"/>
    <w:rsid w:val="00B30466"/>
    <w:rsid w:val="00B3046D"/>
    <w:rsid w:val="00B30611"/>
    <w:rsid w:val="00B308B3"/>
    <w:rsid w:val="00B309BD"/>
    <w:rsid w:val="00B30C77"/>
    <w:rsid w:val="00B31536"/>
    <w:rsid w:val="00B31C9D"/>
    <w:rsid w:val="00B31D30"/>
    <w:rsid w:val="00B31E6F"/>
    <w:rsid w:val="00B3206B"/>
    <w:rsid w:val="00B32300"/>
    <w:rsid w:val="00B32458"/>
    <w:rsid w:val="00B3303C"/>
    <w:rsid w:val="00B33044"/>
    <w:rsid w:val="00B336FE"/>
    <w:rsid w:val="00B33C9D"/>
    <w:rsid w:val="00B34374"/>
    <w:rsid w:val="00B34D9C"/>
    <w:rsid w:val="00B34FB3"/>
    <w:rsid w:val="00B358B4"/>
    <w:rsid w:val="00B35B93"/>
    <w:rsid w:val="00B35CB6"/>
    <w:rsid w:val="00B36963"/>
    <w:rsid w:val="00B36EF5"/>
    <w:rsid w:val="00B37524"/>
    <w:rsid w:val="00B37606"/>
    <w:rsid w:val="00B37A1E"/>
    <w:rsid w:val="00B37CCF"/>
    <w:rsid w:val="00B400E1"/>
    <w:rsid w:val="00B401F1"/>
    <w:rsid w:val="00B4049E"/>
    <w:rsid w:val="00B4087D"/>
    <w:rsid w:val="00B40E61"/>
    <w:rsid w:val="00B41594"/>
    <w:rsid w:val="00B42021"/>
    <w:rsid w:val="00B42A73"/>
    <w:rsid w:val="00B42C83"/>
    <w:rsid w:val="00B42EF1"/>
    <w:rsid w:val="00B43329"/>
    <w:rsid w:val="00B43AE9"/>
    <w:rsid w:val="00B4410D"/>
    <w:rsid w:val="00B44484"/>
    <w:rsid w:val="00B444DC"/>
    <w:rsid w:val="00B445AE"/>
    <w:rsid w:val="00B45A98"/>
    <w:rsid w:val="00B45F05"/>
    <w:rsid w:val="00B460CE"/>
    <w:rsid w:val="00B465FA"/>
    <w:rsid w:val="00B4677F"/>
    <w:rsid w:val="00B46E88"/>
    <w:rsid w:val="00B478D5"/>
    <w:rsid w:val="00B47FC3"/>
    <w:rsid w:val="00B502CA"/>
    <w:rsid w:val="00B50654"/>
    <w:rsid w:val="00B5120E"/>
    <w:rsid w:val="00B517D9"/>
    <w:rsid w:val="00B51CF3"/>
    <w:rsid w:val="00B51DA5"/>
    <w:rsid w:val="00B52684"/>
    <w:rsid w:val="00B52A12"/>
    <w:rsid w:val="00B52FAB"/>
    <w:rsid w:val="00B533C1"/>
    <w:rsid w:val="00B53535"/>
    <w:rsid w:val="00B53742"/>
    <w:rsid w:val="00B53B8E"/>
    <w:rsid w:val="00B544DF"/>
    <w:rsid w:val="00B549AF"/>
    <w:rsid w:val="00B55387"/>
    <w:rsid w:val="00B55806"/>
    <w:rsid w:val="00B5643C"/>
    <w:rsid w:val="00B56488"/>
    <w:rsid w:val="00B56A11"/>
    <w:rsid w:val="00B56F21"/>
    <w:rsid w:val="00B57043"/>
    <w:rsid w:val="00B572A8"/>
    <w:rsid w:val="00B57A3C"/>
    <w:rsid w:val="00B57A8B"/>
    <w:rsid w:val="00B57ACA"/>
    <w:rsid w:val="00B57C8A"/>
    <w:rsid w:val="00B605D1"/>
    <w:rsid w:val="00B60750"/>
    <w:rsid w:val="00B607DA"/>
    <w:rsid w:val="00B61389"/>
    <w:rsid w:val="00B61575"/>
    <w:rsid w:val="00B61AF5"/>
    <w:rsid w:val="00B62416"/>
    <w:rsid w:val="00B62481"/>
    <w:rsid w:val="00B628D0"/>
    <w:rsid w:val="00B62EC7"/>
    <w:rsid w:val="00B62EE7"/>
    <w:rsid w:val="00B62F98"/>
    <w:rsid w:val="00B63CF3"/>
    <w:rsid w:val="00B64BC6"/>
    <w:rsid w:val="00B65331"/>
    <w:rsid w:val="00B65C32"/>
    <w:rsid w:val="00B65CC5"/>
    <w:rsid w:val="00B65DF9"/>
    <w:rsid w:val="00B6612B"/>
    <w:rsid w:val="00B66456"/>
    <w:rsid w:val="00B66746"/>
    <w:rsid w:val="00B67A49"/>
    <w:rsid w:val="00B67DF3"/>
    <w:rsid w:val="00B67F0C"/>
    <w:rsid w:val="00B7006D"/>
    <w:rsid w:val="00B709B4"/>
    <w:rsid w:val="00B710AD"/>
    <w:rsid w:val="00B71176"/>
    <w:rsid w:val="00B7154F"/>
    <w:rsid w:val="00B715D2"/>
    <w:rsid w:val="00B72A47"/>
    <w:rsid w:val="00B732CE"/>
    <w:rsid w:val="00B7371D"/>
    <w:rsid w:val="00B73C29"/>
    <w:rsid w:val="00B73EC6"/>
    <w:rsid w:val="00B748D9"/>
    <w:rsid w:val="00B74DD2"/>
    <w:rsid w:val="00B753B7"/>
    <w:rsid w:val="00B75581"/>
    <w:rsid w:val="00B757AA"/>
    <w:rsid w:val="00B75F49"/>
    <w:rsid w:val="00B76513"/>
    <w:rsid w:val="00B76585"/>
    <w:rsid w:val="00B76EF4"/>
    <w:rsid w:val="00B77169"/>
    <w:rsid w:val="00B77B4D"/>
    <w:rsid w:val="00B77E5A"/>
    <w:rsid w:val="00B77FD1"/>
    <w:rsid w:val="00B800A7"/>
    <w:rsid w:val="00B802D6"/>
    <w:rsid w:val="00B80594"/>
    <w:rsid w:val="00B808C7"/>
    <w:rsid w:val="00B81274"/>
    <w:rsid w:val="00B815AA"/>
    <w:rsid w:val="00B81726"/>
    <w:rsid w:val="00B81840"/>
    <w:rsid w:val="00B818E8"/>
    <w:rsid w:val="00B81D79"/>
    <w:rsid w:val="00B82299"/>
    <w:rsid w:val="00B8288B"/>
    <w:rsid w:val="00B82AAA"/>
    <w:rsid w:val="00B82C48"/>
    <w:rsid w:val="00B832EA"/>
    <w:rsid w:val="00B83312"/>
    <w:rsid w:val="00B83543"/>
    <w:rsid w:val="00B83623"/>
    <w:rsid w:val="00B838EA"/>
    <w:rsid w:val="00B83CFD"/>
    <w:rsid w:val="00B83E06"/>
    <w:rsid w:val="00B84D91"/>
    <w:rsid w:val="00B84F85"/>
    <w:rsid w:val="00B8556D"/>
    <w:rsid w:val="00B855DA"/>
    <w:rsid w:val="00B8642C"/>
    <w:rsid w:val="00B864AF"/>
    <w:rsid w:val="00B866E2"/>
    <w:rsid w:val="00B86C82"/>
    <w:rsid w:val="00B86DDD"/>
    <w:rsid w:val="00B86FD9"/>
    <w:rsid w:val="00B871F5"/>
    <w:rsid w:val="00B87683"/>
    <w:rsid w:val="00B8794E"/>
    <w:rsid w:val="00B87EFF"/>
    <w:rsid w:val="00B9024A"/>
    <w:rsid w:val="00B90C09"/>
    <w:rsid w:val="00B90C18"/>
    <w:rsid w:val="00B90C1A"/>
    <w:rsid w:val="00B9124E"/>
    <w:rsid w:val="00B9140A"/>
    <w:rsid w:val="00B91979"/>
    <w:rsid w:val="00B9241C"/>
    <w:rsid w:val="00B92F38"/>
    <w:rsid w:val="00B93378"/>
    <w:rsid w:val="00B93CE2"/>
    <w:rsid w:val="00B93D52"/>
    <w:rsid w:val="00B94311"/>
    <w:rsid w:val="00B94F8F"/>
    <w:rsid w:val="00B95082"/>
    <w:rsid w:val="00B955E2"/>
    <w:rsid w:val="00B95914"/>
    <w:rsid w:val="00B95A04"/>
    <w:rsid w:val="00B963EE"/>
    <w:rsid w:val="00B96A4B"/>
    <w:rsid w:val="00B96A61"/>
    <w:rsid w:val="00B97828"/>
    <w:rsid w:val="00B978B5"/>
    <w:rsid w:val="00B97963"/>
    <w:rsid w:val="00B97D43"/>
    <w:rsid w:val="00B97F92"/>
    <w:rsid w:val="00BA019F"/>
    <w:rsid w:val="00BA167C"/>
    <w:rsid w:val="00BA233E"/>
    <w:rsid w:val="00BA23F1"/>
    <w:rsid w:val="00BA2A6C"/>
    <w:rsid w:val="00BA2A78"/>
    <w:rsid w:val="00BA3E06"/>
    <w:rsid w:val="00BA3FD9"/>
    <w:rsid w:val="00BA5320"/>
    <w:rsid w:val="00BA5635"/>
    <w:rsid w:val="00BA5F2D"/>
    <w:rsid w:val="00BA6861"/>
    <w:rsid w:val="00BA6EE9"/>
    <w:rsid w:val="00BA721E"/>
    <w:rsid w:val="00BA72A0"/>
    <w:rsid w:val="00BA73AA"/>
    <w:rsid w:val="00BA761D"/>
    <w:rsid w:val="00BA7920"/>
    <w:rsid w:val="00BA7A4E"/>
    <w:rsid w:val="00BB01F9"/>
    <w:rsid w:val="00BB0FC6"/>
    <w:rsid w:val="00BB0FEC"/>
    <w:rsid w:val="00BB1728"/>
    <w:rsid w:val="00BB1CCB"/>
    <w:rsid w:val="00BB206C"/>
    <w:rsid w:val="00BB2588"/>
    <w:rsid w:val="00BB2FC3"/>
    <w:rsid w:val="00BB343D"/>
    <w:rsid w:val="00BB3579"/>
    <w:rsid w:val="00BB36E3"/>
    <w:rsid w:val="00BB3D7E"/>
    <w:rsid w:val="00BB3E35"/>
    <w:rsid w:val="00BB3F5E"/>
    <w:rsid w:val="00BB41C7"/>
    <w:rsid w:val="00BB45F9"/>
    <w:rsid w:val="00BB4943"/>
    <w:rsid w:val="00BB4C21"/>
    <w:rsid w:val="00BB524B"/>
    <w:rsid w:val="00BB5D85"/>
    <w:rsid w:val="00BB5FA7"/>
    <w:rsid w:val="00BB5FC0"/>
    <w:rsid w:val="00BB638B"/>
    <w:rsid w:val="00BB6953"/>
    <w:rsid w:val="00BB701A"/>
    <w:rsid w:val="00BB7750"/>
    <w:rsid w:val="00BB7B9F"/>
    <w:rsid w:val="00BB7C16"/>
    <w:rsid w:val="00BB7DF1"/>
    <w:rsid w:val="00BC050A"/>
    <w:rsid w:val="00BC055E"/>
    <w:rsid w:val="00BC12EC"/>
    <w:rsid w:val="00BC15D1"/>
    <w:rsid w:val="00BC19DC"/>
    <w:rsid w:val="00BC1AB8"/>
    <w:rsid w:val="00BC1DC5"/>
    <w:rsid w:val="00BC1F27"/>
    <w:rsid w:val="00BC215B"/>
    <w:rsid w:val="00BC2297"/>
    <w:rsid w:val="00BC242B"/>
    <w:rsid w:val="00BC2840"/>
    <w:rsid w:val="00BC2D65"/>
    <w:rsid w:val="00BC3370"/>
    <w:rsid w:val="00BC38FD"/>
    <w:rsid w:val="00BC4020"/>
    <w:rsid w:val="00BC4444"/>
    <w:rsid w:val="00BC44D6"/>
    <w:rsid w:val="00BC4A74"/>
    <w:rsid w:val="00BC4C76"/>
    <w:rsid w:val="00BC532A"/>
    <w:rsid w:val="00BC5BA3"/>
    <w:rsid w:val="00BC6458"/>
    <w:rsid w:val="00BC6D6A"/>
    <w:rsid w:val="00BC6EC0"/>
    <w:rsid w:val="00BC7571"/>
    <w:rsid w:val="00BD01CC"/>
    <w:rsid w:val="00BD0602"/>
    <w:rsid w:val="00BD074F"/>
    <w:rsid w:val="00BD07BF"/>
    <w:rsid w:val="00BD20EA"/>
    <w:rsid w:val="00BD2381"/>
    <w:rsid w:val="00BD2986"/>
    <w:rsid w:val="00BD2CF4"/>
    <w:rsid w:val="00BD31F6"/>
    <w:rsid w:val="00BD36A3"/>
    <w:rsid w:val="00BD37EF"/>
    <w:rsid w:val="00BD38AB"/>
    <w:rsid w:val="00BD3F04"/>
    <w:rsid w:val="00BD42BF"/>
    <w:rsid w:val="00BD43C5"/>
    <w:rsid w:val="00BD43F1"/>
    <w:rsid w:val="00BD44AE"/>
    <w:rsid w:val="00BD5247"/>
    <w:rsid w:val="00BD58CD"/>
    <w:rsid w:val="00BD693D"/>
    <w:rsid w:val="00BD7493"/>
    <w:rsid w:val="00BD76B0"/>
    <w:rsid w:val="00BE0D1C"/>
    <w:rsid w:val="00BE15A3"/>
    <w:rsid w:val="00BE1658"/>
    <w:rsid w:val="00BE2AC8"/>
    <w:rsid w:val="00BE2BFF"/>
    <w:rsid w:val="00BE39D8"/>
    <w:rsid w:val="00BE3C63"/>
    <w:rsid w:val="00BE3FED"/>
    <w:rsid w:val="00BE40B6"/>
    <w:rsid w:val="00BE465F"/>
    <w:rsid w:val="00BE4708"/>
    <w:rsid w:val="00BE47B4"/>
    <w:rsid w:val="00BE486A"/>
    <w:rsid w:val="00BE4A23"/>
    <w:rsid w:val="00BE4D7F"/>
    <w:rsid w:val="00BE5587"/>
    <w:rsid w:val="00BE5688"/>
    <w:rsid w:val="00BE580A"/>
    <w:rsid w:val="00BE60A6"/>
    <w:rsid w:val="00BE6552"/>
    <w:rsid w:val="00BE6858"/>
    <w:rsid w:val="00BE6E8B"/>
    <w:rsid w:val="00BE75BB"/>
    <w:rsid w:val="00BE7A49"/>
    <w:rsid w:val="00BE7DF8"/>
    <w:rsid w:val="00BE7E83"/>
    <w:rsid w:val="00BF0242"/>
    <w:rsid w:val="00BF048A"/>
    <w:rsid w:val="00BF0881"/>
    <w:rsid w:val="00BF0BF9"/>
    <w:rsid w:val="00BF1192"/>
    <w:rsid w:val="00BF154A"/>
    <w:rsid w:val="00BF2260"/>
    <w:rsid w:val="00BF235A"/>
    <w:rsid w:val="00BF28D5"/>
    <w:rsid w:val="00BF3134"/>
    <w:rsid w:val="00BF3300"/>
    <w:rsid w:val="00BF3562"/>
    <w:rsid w:val="00BF3AF6"/>
    <w:rsid w:val="00BF3BD4"/>
    <w:rsid w:val="00BF3F25"/>
    <w:rsid w:val="00BF42DD"/>
    <w:rsid w:val="00BF44C7"/>
    <w:rsid w:val="00BF4516"/>
    <w:rsid w:val="00BF4BAB"/>
    <w:rsid w:val="00BF4EAE"/>
    <w:rsid w:val="00BF5476"/>
    <w:rsid w:val="00BF5780"/>
    <w:rsid w:val="00BF57BF"/>
    <w:rsid w:val="00BF63FF"/>
    <w:rsid w:val="00BF6430"/>
    <w:rsid w:val="00BF645C"/>
    <w:rsid w:val="00BF655F"/>
    <w:rsid w:val="00BF6D71"/>
    <w:rsid w:val="00BF6E29"/>
    <w:rsid w:val="00BF6E9B"/>
    <w:rsid w:val="00C0083A"/>
    <w:rsid w:val="00C0087B"/>
    <w:rsid w:val="00C00986"/>
    <w:rsid w:val="00C009C1"/>
    <w:rsid w:val="00C00AD2"/>
    <w:rsid w:val="00C01063"/>
    <w:rsid w:val="00C01548"/>
    <w:rsid w:val="00C01AAD"/>
    <w:rsid w:val="00C01AD4"/>
    <w:rsid w:val="00C01B49"/>
    <w:rsid w:val="00C020B0"/>
    <w:rsid w:val="00C0217B"/>
    <w:rsid w:val="00C02856"/>
    <w:rsid w:val="00C03205"/>
    <w:rsid w:val="00C03525"/>
    <w:rsid w:val="00C037D5"/>
    <w:rsid w:val="00C03817"/>
    <w:rsid w:val="00C03EB6"/>
    <w:rsid w:val="00C040CA"/>
    <w:rsid w:val="00C04A63"/>
    <w:rsid w:val="00C0516C"/>
    <w:rsid w:val="00C0545C"/>
    <w:rsid w:val="00C05857"/>
    <w:rsid w:val="00C05EE2"/>
    <w:rsid w:val="00C0605E"/>
    <w:rsid w:val="00C061A7"/>
    <w:rsid w:val="00C06631"/>
    <w:rsid w:val="00C0671D"/>
    <w:rsid w:val="00C06ECB"/>
    <w:rsid w:val="00C07288"/>
    <w:rsid w:val="00C07735"/>
    <w:rsid w:val="00C07CD7"/>
    <w:rsid w:val="00C10004"/>
    <w:rsid w:val="00C100F5"/>
    <w:rsid w:val="00C10B4A"/>
    <w:rsid w:val="00C11131"/>
    <w:rsid w:val="00C116F6"/>
    <w:rsid w:val="00C11E6C"/>
    <w:rsid w:val="00C126A0"/>
    <w:rsid w:val="00C12701"/>
    <w:rsid w:val="00C1275A"/>
    <w:rsid w:val="00C12D29"/>
    <w:rsid w:val="00C12ED8"/>
    <w:rsid w:val="00C13011"/>
    <w:rsid w:val="00C13249"/>
    <w:rsid w:val="00C1332C"/>
    <w:rsid w:val="00C13759"/>
    <w:rsid w:val="00C13E68"/>
    <w:rsid w:val="00C14572"/>
    <w:rsid w:val="00C146F1"/>
    <w:rsid w:val="00C148FA"/>
    <w:rsid w:val="00C14AD5"/>
    <w:rsid w:val="00C14DA6"/>
    <w:rsid w:val="00C14F43"/>
    <w:rsid w:val="00C1508A"/>
    <w:rsid w:val="00C15416"/>
    <w:rsid w:val="00C15E74"/>
    <w:rsid w:val="00C1652A"/>
    <w:rsid w:val="00C17690"/>
    <w:rsid w:val="00C17D25"/>
    <w:rsid w:val="00C17E17"/>
    <w:rsid w:val="00C203A8"/>
    <w:rsid w:val="00C216D2"/>
    <w:rsid w:val="00C21A39"/>
    <w:rsid w:val="00C21B65"/>
    <w:rsid w:val="00C22964"/>
    <w:rsid w:val="00C2321E"/>
    <w:rsid w:val="00C233C2"/>
    <w:rsid w:val="00C23702"/>
    <w:rsid w:val="00C23AA9"/>
    <w:rsid w:val="00C23DA7"/>
    <w:rsid w:val="00C23FDB"/>
    <w:rsid w:val="00C240C1"/>
    <w:rsid w:val="00C2426C"/>
    <w:rsid w:val="00C25210"/>
    <w:rsid w:val="00C2559C"/>
    <w:rsid w:val="00C25C02"/>
    <w:rsid w:val="00C26161"/>
    <w:rsid w:val="00C26BA0"/>
    <w:rsid w:val="00C26E5E"/>
    <w:rsid w:val="00C2701A"/>
    <w:rsid w:val="00C27B85"/>
    <w:rsid w:val="00C30017"/>
    <w:rsid w:val="00C30076"/>
    <w:rsid w:val="00C300EC"/>
    <w:rsid w:val="00C304D8"/>
    <w:rsid w:val="00C30DC4"/>
    <w:rsid w:val="00C3171D"/>
    <w:rsid w:val="00C317A6"/>
    <w:rsid w:val="00C31985"/>
    <w:rsid w:val="00C319AC"/>
    <w:rsid w:val="00C32391"/>
    <w:rsid w:val="00C323BF"/>
    <w:rsid w:val="00C324BA"/>
    <w:rsid w:val="00C3275F"/>
    <w:rsid w:val="00C32A46"/>
    <w:rsid w:val="00C336EE"/>
    <w:rsid w:val="00C33AC7"/>
    <w:rsid w:val="00C33E8B"/>
    <w:rsid w:val="00C340D4"/>
    <w:rsid w:val="00C3417D"/>
    <w:rsid w:val="00C346C3"/>
    <w:rsid w:val="00C3513B"/>
    <w:rsid w:val="00C35C40"/>
    <w:rsid w:val="00C364B9"/>
    <w:rsid w:val="00C37F77"/>
    <w:rsid w:val="00C37FC3"/>
    <w:rsid w:val="00C402C4"/>
    <w:rsid w:val="00C4087A"/>
    <w:rsid w:val="00C40E1B"/>
    <w:rsid w:val="00C413F3"/>
    <w:rsid w:val="00C41ACC"/>
    <w:rsid w:val="00C41C60"/>
    <w:rsid w:val="00C41C9C"/>
    <w:rsid w:val="00C422F2"/>
    <w:rsid w:val="00C42346"/>
    <w:rsid w:val="00C42E35"/>
    <w:rsid w:val="00C43434"/>
    <w:rsid w:val="00C448F0"/>
    <w:rsid w:val="00C4523B"/>
    <w:rsid w:val="00C452D2"/>
    <w:rsid w:val="00C4545D"/>
    <w:rsid w:val="00C4560D"/>
    <w:rsid w:val="00C458E4"/>
    <w:rsid w:val="00C45C42"/>
    <w:rsid w:val="00C45D8D"/>
    <w:rsid w:val="00C4696F"/>
    <w:rsid w:val="00C46F7E"/>
    <w:rsid w:val="00C47723"/>
    <w:rsid w:val="00C47BE0"/>
    <w:rsid w:val="00C47EA3"/>
    <w:rsid w:val="00C5029C"/>
    <w:rsid w:val="00C51248"/>
    <w:rsid w:val="00C51CF3"/>
    <w:rsid w:val="00C52036"/>
    <w:rsid w:val="00C52302"/>
    <w:rsid w:val="00C523CB"/>
    <w:rsid w:val="00C52ADE"/>
    <w:rsid w:val="00C52BA8"/>
    <w:rsid w:val="00C52C1B"/>
    <w:rsid w:val="00C52F7A"/>
    <w:rsid w:val="00C53A91"/>
    <w:rsid w:val="00C54394"/>
    <w:rsid w:val="00C56A88"/>
    <w:rsid w:val="00C56FB5"/>
    <w:rsid w:val="00C57E16"/>
    <w:rsid w:val="00C57EDF"/>
    <w:rsid w:val="00C602BB"/>
    <w:rsid w:val="00C61589"/>
    <w:rsid w:val="00C61ADB"/>
    <w:rsid w:val="00C62516"/>
    <w:rsid w:val="00C629CD"/>
    <w:rsid w:val="00C62CCD"/>
    <w:rsid w:val="00C631A2"/>
    <w:rsid w:val="00C6329E"/>
    <w:rsid w:val="00C634CB"/>
    <w:rsid w:val="00C638F9"/>
    <w:rsid w:val="00C63FF9"/>
    <w:rsid w:val="00C64173"/>
    <w:rsid w:val="00C64C6E"/>
    <w:rsid w:val="00C65105"/>
    <w:rsid w:val="00C6523D"/>
    <w:rsid w:val="00C6531D"/>
    <w:rsid w:val="00C65B2C"/>
    <w:rsid w:val="00C66812"/>
    <w:rsid w:val="00C668F7"/>
    <w:rsid w:val="00C669EB"/>
    <w:rsid w:val="00C66CDD"/>
    <w:rsid w:val="00C66E6E"/>
    <w:rsid w:val="00C67054"/>
    <w:rsid w:val="00C672A9"/>
    <w:rsid w:val="00C6733C"/>
    <w:rsid w:val="00C6754C"/>
    <w:rsid w:val="00C675A1"/>
    <w:rsid w:val="00C67C13"/>
    <w:rsid w:val="00C70493"/>
    <w:rsid w:val="00C7119E"/>
    <w:rsid w:val="00C7157C"/>
    <w:rsid w:val="00C7211E"/>
    <w:rsid w:val="00C72470"/>
    <w:rsid w:val="00C72AF3"/>
    <w:rsid w:val="00C72C48"/>
    <w:rsid w:val="00C73119"/>
    <w:rsid w:val="00C7320D"/>
    <w:rsid w:val="00C738D5"/>
    <w:rsid w:val="00C73B51"/>
    <w:rsid w:val="00C73CB5"/>
    <w:rsid w:val="00C7405B"/>
    <w:rsid w:val="00C74BC5"/>
    <w:rsid w:val="00C75291"/>
    <w:rsid w:val="00C7568F"/>
    <w:rsid w:val="00C767A8"/>
    <w:rsid w:val="00C76A16"/>
    <w:rsid w:val="00C76AD0"/>
    <w:rsid w:val="00C779D2"/>
    <w:rsid w:val="00C77CD4"/>
    <w:rsid w:val="00C77E94"/>
    <w:rsid w:val="00C803FF"/>
    <w:rsid w:val="00C804A8"/>
    <w:rsid w:val="00C805FB"/>
    <w:rsid w:val="00C808D4"/>
    <w:rsid w:val="00C8098A"/>
    <w:rsid w:val="00C809EE"/>
    <w:rsid w:val="00C80CB7"/>
    <w:rsid w:val="00C81A40"/>
    <w:rsid w:val="00C81C9A"/>
    <w:rsid w:val="00C81E4B"/>
    <w:rsid w:val="00C82029"/>
    <w:rsid w:val="00C824A4"/>
    <w:rsid w:val="00C8254E"/>
    <w:rsid w:val="00C825A5"/>
    <w:rsid w:val="00C83313"/>
    <w:rsid w:val="00C83782"/>
    <w:rsid w:val="00C837E7"/>
    <w:rsid w:val="00C83C37"/>
    <w:rsid w:val="00C84153"/>
    <w:rsid w:val="00C8474E"/>
    <w:rsid w:val="00C84CB0"/>
    <w:rsid w:val="00C85047"/>
    <w:rsid w:val="00C85551"/>
    <w:rsid w:val="00C85791"/>
    <w:rsid w:val="00C85C5E"/>
    <w:rsid w:val="00C85DEA"/>
    <w:rsid w:val="00C86536"/>
    <w:rsid w:val="00C86615"/>
    <w:rsid w:val="00C86713"/>
    <w:rsid w:val="00C875FF"/>
    <w:rsid w:val="00C8777D"/>
    <w:rsid w:val="00C87C97"/>
    <w:rsid w:val="00C87D3B"/>
    <w:rsid w:val="00C87F40"/>
    <w:rsid w:val="00C901C7"/>
    <w:rsid w:val="00C902BB"/>
    <w:rsid w:val="00C90534"/>
    <w:rsid w:val="00C907F3"/>
    <w:rsid w:val="00C9157B"/>
    <w:rsid w:val="00C91FAF"/>
    <w:rsid w:val="00C92B70"/>
    <w:rsid w:val="00C93811"/>
    <w:rsid w:val="00C93E16"/>
    <w:rsid w:val="00C94521"/>
    <w:rsid w:val="00C94A67"/>
    <w:rsid w:val="00C94A76"/>
    <w:rsid w:val="00C94DBF"/>
    <w:rsid w:val="00C96A11"/>
    <w:rsid w:val="00C96C3D"/>
    <w:rsid w:val="00C96C49"/>
    <w:rsid w:val="00C9723E"/>
    <w:rsid w:val="00C976B9"/>
    <w:rsid w:val="00C9785A"/>
    <w:rsid w:val="00C97B47"/>
    <w:rsid w:val="00C97D38"/>
    <w:rsid w:val="00C97ED5"/>
    <w:rsid w:val="00C97F01"/>
    <w:rsid w:val="00CA0D2A"/>
    <w:rsid w:val="00CA10DE"/>
    <w:rsid w:val="00CA157D"/>
    <w:rsid w:val="00CA1C6D"/>
    <w:rsid w:val="00CA1F55"/>
    <w:rsid w:val="00CA2BD4"/>
    <w:rsid w:val="00CA2D01"/>
    <w:rsid w:val="00CA3023"/>
    <w:rsid w:val="00CA3683"/>
    <w:rsid w:val="00CA464A"/>
    <w:rsid w:val="00CA465C"/>
    <w:rsid w:val="00CA4A53"/>
    <w:rsid w:val="00CA4DEE"/>
    <w:rsid w:val="00CA50E9"/>
    <w:rsid w:val="00CA53FE"/>
    <w:rsid w:val="00CA5922"/>
    <w:rsid w:val="00CA5A3C"/>
    <w:rsid w:val="00CA5D83"/>
    <w:rsid w:val="00CA5DA8"/>
    <w:rsid w:val="00CA68C6"/>
    <w:rsid w:val="00CA6F7A"/>
    <w:rsid w:val="00CA74FB"/>
    <w:rsid w:val="00CA76B0"/>
    <w:rsid w:val="00CA7B18"/>
    <w:rsid w:val="00CA7E00"/>
    <w:rsid w:val="00CA7F40"/>
    <w:rsid w:val="00CB1043"/>
    <w:rsid w:val="00CB105B"/>
    <w:rsid w:val="00CB179B"/>
    <w:rsid w:val="00CB1AB3"/>
    <w:rsid w:val="00CB259F"/>
    <w:rsid w:val="00CB2619"/>
    <w:rsid w:val="00CB2CD7"/>
    <w:rsid w:val="00CB2FB7"/>
    <w:rsid w:val="00CB338A"/>
    <w:rsid w:val="00CB45A2"/>
    <w:rsid w:val="00CB484C"/>
    <w:rsid w:val="00CB4FF4"/>
    <w:rsid w:val="00CB50C0"/>
    <w:rsid w:val="00CB6134"/>
    <w:rsid w:val="00CB636C"/>
    <w:rsid w:val="00CB692F"/>
    <w:rsid w:val="00CB6B88"/>
    <w:rsid w:val="00CB7253"/>
    <w:rsid w:val="00CB749E"/>
    <w:rsid w:val="00CB7521"/>
    <w:rsid w:val="00CB77D2"/>
    <w:rsid w:val="00CB7F7D"/>
    <w:rsid w:val="00CC002E"/>
    <w:rsid w:val="00CC0A94"/>
    <w:rsid w:val="00CC0D48"/>
    <w:rsid w:val="00CC0EB7"/>
    <w:rsid w:val="00CC1784"/>
    <w:rsid w:val="00CC1794"/>
    <w:rsid w:val="00CC1A9E"/>
    <w:rsid w:val="00CC20D7"/>
    <w:rsid w:val="00CC22E7"/>
    <w:rsid w:val="00CC23E1"/>
    <w:rsid w:val="00CC25DA"/>
    <w:rsid w:val="00CC29F0"/>
    <w:rsid w:val="00CC2B6C"/>
    <w:rsid w:val="00CC2CD2"/>
    <w:rsid w:val="00CC3343"/>
    <w:rsid w:val="00CC3731"/>
    <w:rsid w:val="00CC3919"/>
    <w:rsid w:val="00CC407A"/>
    <w:rsid w:val="00CC4296"/>
    <w:rsid w:val="00CC4622"/>
    <w:rsid w:val="00CC4779"/>
    <w:rsid w:val="00CC4796"/>
    <w:rsid w:val="00CC4C88"/>
    <w:rsid w:val="00CC4F71"/>
    <w:rsid w:val="00CC5398"/>
    <w:rsid w:val="00CC5883"/>
    <w:rsid w:val="00CC5B98"/>
    <w:rsid w:val="00CC5C60"/>
    <w:rsid w:val="00CC5CF9"/>
    <w:rsid w:val="00CC626F"/>
    <w:rsid w:val="00CC63AD"/>
    <w:rsid w:val="00CC78F6"/>
    <w:rsid w:val="00CC7E5D"/>
    <w:rsid w:val="00CD0182"/>
    <w:rsid w:val="00CD02CF"/>
    <w:rsid w:val="00CD0A2B"/>
    <w:rsid w:val="00CD0AC3"/>
    <w:rsid w:val="00CD0F8A"/>
    <w:rsid w:val="00CD1592"/>
    <w:rsid w:val="00CD20C1"/>
    <w:rsid w:val="00CD22A0"/>
    <w:rsid w:val="00CD247B"/>
    <w:rsid w:val="00CD2E3A"/>
    <w:rsid w:val="00CD2E84"/>
    <w:rsid w:val="00CD39DE"/>
    <w:rsid w:val="00CD41AA"/>
    <w:rsid w:val="00CD487F"/>
    <w:rsid w:val="00CD5294"/>
    <w:rsid w:val="00CD53D3"/>
    <w:rsid w:val="00CD6196"/>
    <w:rsid w:val="00CD6376"/>
    <w:rsid w:val="00CD67FD"/>
    <w:rsid w:val="00CD6C2F"/>
    <w:rsid w:val="00CD6E7B"/>
    <w:rsid w:val="00CD7272"/>
    <w:rsid w:val="00CD7D8F"/>
    <w:rsid w:val="00CE118D"/>
    <w:rsid w:val="00CE1535"/>
    <w:rsid w:val="00CE1737"/>
    <w:rsid w:val="00CE2C66"/>
    <w:rsid w:val="00CE32B8"/>
    <w:rsid w:val="00CE32ED"/>
    <w:rsid w:val="00CE3E4B"/>
    <w:rsid w:val="00CE3F8D"/>
    <w:rsid w:val="00CE419C"/>
    <w:rsid w:val="00CE4383"/>
    <w:rsid w:val="00CE4D66"/>
    <w:rsid w:val="00CE5022"/>
    <w:rsid w:val="00CE6225"/>
    <w:rsid w:val="00CE6398"/>
    <w:rsid w:val="00CE63CE"/>
    <w:rsid w:val="00CE680D"/>
    <w:rsid w:val="00CE6DEA"/>
    <w:rsid w:val="00CE7C10"/>
    <w:rsid w:val="00CE7C56"/>
    <w:rsid w:val="00CF016A"/>
    <w:rsid w:val="00CF02DB"/>
    <w:rsid w:val="00CF07E1"/>
    <w:rsid w:val="00CF0B7C"/>
    <w:rsid w:val="00CF0F46"/>
    <w:rsid w:val="00CF102A"/>
    <w:rsid w:val="00CF222F"/>
    <w:rsid w:val="00CF2408"/>
    <w:rsid w:val="00CF24ED"/>
    <w:rsid w:val="00CF2700"/>
    <w:rsid w:val="00CF32C7"/>
    <w:rsid w:val="00CF3421"/>
    <w:rsid w:val="00CF3652"/>
    <w:rsid w:val="00CF500A"/>
    <w:rsid w:val="00CF5032"/>
    <w:rsid w:val="00CF517D"/>
    <w:rsid w:val="00CF5865"/>
    <w:rsid w:val="00CF61C2"/>
    <w:rsid w:val="00CF631F"/>
    <w:rsid w:val="00CF672A"/>
    <w:rsid w:val="00CF6835"/>
    <w:rsid w:val="00CF6CE2"/>
    <w:rsid w:val="00CF70F3"/>
    <w:rsid w:val="00CF764A"/>
    <w:rsid w:val="00D002CD"/>
    <w:rsid w:val="00D00360"/>
    <w:rsid w:val="00D00717"/>
    <w:rsid w:val="00D00F8C"/>
    <w:rsid w:val="00D0165A"/>
    <w:rsid w:val="00D018E4"/>
    <w:rsid w:val="00D01F4E"/>
    <w:rsid w:val="00D0239D"/>
    <w:rsid w:val="00D0275D"/>
    <w:rsid w:val="00D032B1"/>
    <w:rsid w:val="00D03309"/>
    <w:rsid w:val="00D036B1"/>
    <w:rsid w:val="00D03A89"/>
    <w:rsid w:val="00D03E43"/>
    <w:rsid w:val="00D0473F"/>
    <w:rsid w:val="00D05941"/>
    <w:rsid w:val="00D05B16"/>
    <w:rsid w:val="00D05CC0"/>
    <w:rsid w:val="00D06419"/>
    <w:rsid w:val="00D06C09"/>
    <w:rsid w:val="00D10CC3"/>
    <w:rsid w:val="00D111E0"/>
    <w:rsid w:val="00D1124B"/>
    <w:rsid w:val="00D112AE"/>
    <w:rsid w:val="00D115BD"/>
    <w:rsid w:val="00D1299B"/>
    <w:rsid w:val="00D12E93"/>
    <w:rsid w:val="00D1383C"/>
    <w:rsid w:val="00D143C8"/>
    <w:rsid w:val="00D14B18"/>
    <w:rsid w:val="00D1519A"/>
    <w:rsid w:val="00D151F6"/>
    <w:rsid w:val="00D15672"/>
    <w:rsid w:val="00D1603F"/>
    <w:rsid w:val="00D161C5"/>
    <w:rsid w:val="00D16B96"/>
    <w:rsid w:val="00D16DF8"/>
    <w:rsid w:val="00D174B4"/>
    <w:rsid w:val="00D203AC"/>
    <w:rsid w:val="00D20598"/>
    <w:rsid w:val="00D207DB"/>
    <w:rsid w:val="00D20B99"/>
    <w:rsid w:val="00D212C8"/>
    <w:rsid w:val="00D217EB"/>
    <w:rsid w:val="00D21E8D"/>
    <w:rsid w:val="00D220EC"/>
    <w:rsid w:val="00D228D1"/>
    <w:rsid w:val="00D22C7A"/>
    <w:rsid w:val="00D2300D"/>
    <w:rsid w:val="00D23946"/>
    <w:rsid w:val="00D23D5A"/>
    <w:rsid w:val="00D23FA7"/>
    <w:rsid w:val="00D24283"/>
    <w:rsid w:val="00D24596"/>
    <w:rsid w:val="00D24CB0"/>
    <w:rsid w:val="00D25112"/>
    <w:rsid w:val="00D25383"/>
    <w:rsid w:val="00D25440"/>
    <w:rsid w:val="00D262D6"/>
    <w:rsid w:val="00D2664C"/>
    <w:rsid w:val="00D26B13"/>
    <w:rsid w:val="00D27534"/>
    <w:rsid w:val="00D27884"/>
    <w:rsid w:val="00D27BD3"/>
    <w:rsid w:val="00D27D28"/>
    <w:rsid w:val="00D3012F"/>
    <w:rsid w:val="00D3145E"/>
    <w:rsid w:val="00D314F0"/>
    <w:rsid w:val="00D318BE"/>
    <w:rsid w:val="00D31F5A"/>
    <w:rsid w:val="00D3308A"/>
    <w:rsid w:val="00D331AB"/>
    <w:rsid w:val="00D33413"/>
    <w:rsid w:val="00D33569"/>
    <w:rsid w:val="00D337A1"/>
    <w:rsid w:val="00D33EB1"/>
    <w:rsid w:val="00D33FF7"/>
    <w:rsid w:val="00D34214"/>
    <w:rsid w:val="00D342A4"/>
    <w:rsid w:val="00D34524"/>
    <w:rsid w:val="00D34CF7"/>
    <w:rsid w:val="00D34D6F"/>
    <w:rsid w:val="00D351E5"/>
    <w:rsid w:val="00D35A81"/>
    <w:rsid w:val="00D36115"/>
    <w:rsid w:val="00D361CC"/>
    <w:rsid w:val="00D36511"/>
    <w:rsid w:val="00D373E3"/>
    <w:rsid w:val="00D374B9"/>
    <w:rsid w:val="00D3756E"/>
    <w:rsid w:val="00D37DBF"/>
    <w:rsid w:val="00D4024C"/>
    <w:rsid w:val="00D402CA"/>
    <w:rsid w:val="00D4034A"/>
    <w:rsid w:val="00D40425"/>
    <w:rsid w:val="00D4048B"/>
    <w:rsid w:val="00D40708"/>
    <w:rsid w:val="00D40822"/>
    <w:rsid w:val="00D40976"/>
    <w:rsid w:val="00D416D5"/>
    <w:rsid w:val="00D42663"/>
    <w:rsid w:val="00D429F2"/>
    <w:rsid w:val="00D42AB5"/>
    <w:rsid w:val="00D432AE"/>
    <w:rsid w:val="00D43486"/>
    <w:rsid w:val="00D437B3"/>
    <w:rsid w:val="00D4467A"/>
    <w:rsid w:val="00D44A05"/>
    <w:rsid w:val="00D44EC4"/>
    <w:rsid w:val="00D44FB0"/>
    <w:rsid w:val="00D4568C"/>
    <w:rsid w:val="00D4571C"/>
    <w:rsid w:val="00D45921"/>
    <w:rsid w:val="00D45AC1"/>
    <w:rsid w:val="00D45B04"/>
    <w:rsid w:val="00D45F42"/>
    <w:rsid w:val="00D46083"/>
    <w:rsid w:val="00D46408"/>
    <w:rsid w:val="00D47268"/>
    <w:rsid w:val="00D477CC"/>
    <w:rsid w:val="00D47CF4"/>
    <w:rsid w:val="00D50385"/>
    <w:rsid w:val="00D50AA7"/>
    <w:rsid w:val="00D51453"/>
    <w:rsid w:val="00D51EF9"/>
    <w:rsid w:val="00D520B1"/>
    <w:rsid w:val="00D52998"/>
    <w:rsid w:val="00D52A06"/>
    <w:rsid w:val="00D52B4C"/>
    <w:rsid w:val="00D5371D"/>
    <w:rsid w:val="00D53BD3"/>
    <w:rsid w:val="00D53E51"/>
    <w:rsid w:val="00D54228"/>
    <w:rsid w:val="00D54E28"/>
    <w:rsid w:val="00D54F75"/>
    <w:rsid w:val="00D550AA"/>
    <w:rsid w:val="00D5519C"/>
    <w:rsid w:val="00D552C1"/>
    <w:rsid w:val="00D553C1"/>
    <w:rsid w:val="00D55680"/>
    <w:rsid w:val="00D55BF9"/>
    <w:rsid w:val="00D55EED"/>
    <w:rsid w:val="00D55F52"/>
    <w:rsid w:val="00D56188"/>
    <w:rsid w:val="00D562A2"/>
    <w:rsid w:val="00D564B0"/>
    <w:rsid w:val="00D565B9"/>
    <w:rsid w:val="00D56D9B"/>
    <w:rsid w:val="00D57A0E"/>
    <w:rsid w:val="00D57B9E"/>
    <w:rsid w:val="00D57C1B"/>
    <w:rsid w:val="00D57C59"/>
    <w:rsid w:val="00D57CAD"/>
    <w:rsid w:val="00D608E4"/>
    <w:rsid w:val="00D60CD5"/>
    <w:rsid w:val="00D612C4"/>
    <w:rsid w:val="00D61E69"/>
    <w:rsid w:val="00D62220"/>
    <w:rsid w:val="00D625DC"/>
    <w:rsid w:val="00D62695"/>
    <w:rsid w:val="00D6298F"/>
    <w:rsid w:val="00D632D2"/>
    <w:rsid w:val="00D63488"/>
    <w:rsid w:val="00D640A2"/>
    <w:rsid w:val="00D64F84"/>
    <w:rsid w:val="00D6573C"/>
    <w:rsid w:val="00D658D2"/>
    <w:rsid w:val="00D65C48"/>
    <w:rsid w:val="00D65DC4"/>
    <w:rsid w:val="00D6655C"/>
    <w:rsid w:val="00D669F1"/>
    <w:rsid w:val="00D66BA6"/>
    <w:rsid w:val="00D66F61"/>
    <w:rsid w:val="00D66FD5"/>
    <w:rsid w:val="00D6748E"/>
    <w:rsid w:val="00D67CAA"/>
    <w:rsid w:val="00D67FAC"/>
    <w:rsid w:val="00D708F7"/>
    <w:rsid w:val="00D711B2"/>
    <w:rsid w:val="00D71712"/>
    <w:rsid w:val="00D71E4D"/>
    <w:rsid w:val="00D71F38"/>
    <w:rsid w:val="00D720A6"/>
    <w:rsid w:val="00D721ED"/>
    <w:rsid w:val="00D724FC"/>
    <w:rsid w:val="00D72C09"/>
    <w:rsid w:val="00D73B6D"/>
    <w:rsid w:val="00D751A3"/>
    <w:rsid w:val="00D75208"/>
    <w:rsid w:val="00D756B6"/>
    <w:rsid w:val="00D758E4"/>
    <w:rsid w:val="00D76FDF"/>
    <w:rsid w:val="00D77160"/>
    <w:rsid w:val="00D77448"/>
    <w:rsid w:val="00D7750E"/>
    <w:rsid w:val="00D77831"/>
    <w:rsid w:val="00D77C4C"/>
    <w:rsid w:val="00D802E6"/>
    <w:rsid w:val="00D80A36"/>
    <w:rsid w:val="00D814FA"/>
    <w:rsid w:val="00D81668"/>
    <w:rsid w:val="00D817C2"/>
    <w:rsid w:val="00D81BAE"/>
    <w:rsid w:val="00D81C74"/>
    <w:rsid w:val="00D821CE"/>
    <w:rsid w:val="00D826BC"/>
    <w:rsid w:val="00D83B46"/>
    <w:rsid w:val="00D83B4E"/>
    <w:rsid w:val="00D84968"/>
    <w:rsid w:val="00D84F3F"/>
    <w:rsid w:val="00D85413"/>
    <w:rsid w:val="00D85EF6"/>
    <w:rsid w:val="00D861AB"/>
    <w:rsid w:val="00D86202"/>
    <w:rsid w:val="00D86607"/>
    <w:rsid w:val="00D86BAC"/>
    <w:rsid w:val="00D87CCA"/>
    <w:rsid w:val="00D9018D"/>
    <w:rsid w:val="00D90819"/>
    <w:rsid w:val="00D90C77"/>
    <w:rsid w:val="00D91683"/>
    <w:rsid w:val="00D91786"/>
    <w:rsid w:val="00D91817"/>
    <w:rsid w:val="00D91B6A"/>
    <w:rsid w:val="00D91C10"/>
    <w:rsid w:val="00D92050"/>
    <w:rsid w:val="00D92228"/>
    <w:rsid w:val="00D9224A"/>
    <w:rsid w:val="00D9242D"/>
    <w:rsid w:val="00D926E9"/>
    <w:rsid w:val="00D92BC9"/>
    <w:rsid w:val="00D92CEA"/>
    <w:rsid w:val="00D9338A"/>
    <w:rsid w:val="00D93969"/>
    <w:rsid w:val="00D93F44"/>
    <w:rsid w:val="00D94737"/>
    <w:rsid w:val="00D9493B"/>
    <w:rsid w:val="00D95044"/>
    <w:rsid w:val="00D95BEA"/>
    <w:rsid w:val="00D96413"/>
    <w:rsid w:val="00D9652B"/>
    <w:rsid w:val="00D96878"/>
    <w:rsid w:val="00D97058"/>
    <w:rsid w:val="00D97973"/>
    <w:rsid w:val="00DA1086"/>
    <w:rsid w:val="00DA17DB"/>
    <w:rsid w:val="00DA181F"/>
    <w:rsid w:val="00DA2223"/>
    <w:rsid w:val="00DA227A"/>
    <w:rsid w:val="00DA28C9"/>
    <w:rsid w:val="00DA2994"/>
    <w:rsid w:val="00DA2C60"/>
    <w:rsid w:val="00DA39DC"/>
    <w:rsid w:val="00DA3F4A"/>
    <w:rsid w:val="00DA4066"/>
    <w:rsid w:val="00DA4617"/>
    <w:rsid w:val="00DA4F12"/>
    <w:rsid w:val="00DA4F3A"/>
    <w:rsid w:val="00DA643E"/>
    <w:rsid w:val="00DA685F"/>
    <w:rsid w:val="00DA695B"/>
    <w:rsid w:val="00DA6F33"/>
    <w:rsid w:val="00DA74FF"/>
    <w:rsid w:val="00DA774D"/>
    <w:rsid w:val="00DB04E4"/>
    <w:rsid w:val="00DB0825"/>
    <w:rsid w:val="00DB12E0"/>
    <w:rsid w:val="00DB1775"/>
    <w:rsid w:val="00DB1820"/>
    <w:rsid w:val="00DB1A76"/>
    <w:rsid w:val="00DB2542"/>
    <w:rsid w:val="00DB2CC2"/>
    <w:rsid w:val="00DB2DC3"/>
    <w:rsid w:val="00DB347B"/>
    <w:rsid w:val="00DB3AEF"/>
    <w:rsid w:val="00DB3FB9"/>
    <w:rsid w:val="00DB432A"/>
    <w:rsid w:val="00DB4439"/>
    <w:rsid w:val="00DB4606"/>
    <w:rsid w:val="00DB46B0"/>
    <w:rsid w:val="00DB4951"/>
    <w:rsid w:val="00DB49EA"/>
    <w:rsid w:val="00DB4CE2"/>
    <w:rsid w:val="00DB5A3D"/>
    <w:rsid w:val="00DB5E58"/>
    <w:rsid w:val="00DB69EF"/>
    <w:rsid w:val="00DB6AD9"/>
    <w:rsid w:val="00DB71AC"/>
    <w:rsid w:val="00DB7ABF"/>
    <w:rsid w:val="00DB7F56"/>
    <w:rsid w:val="00DC12CD"/>
    <w:rsid w:val="00DC14D3"/>
    <w:rsid w:val="00DC1648"/>
    <w:rsid w:val="00DC2037"/>
    <w:rsid w:val="00DC24E2"/>
    <w:rsid w:val="00DC26EE"/>
    <w:rsid w:val="00DC3711"/>
    <w:rsid w:val="00DC3A51"/>
    <w:rsid w:val="00DC3CD1"/>
    <w:rsid w:val="00DC4C6E"/>
    <w:rsid w:val="00DC4DCB"/>
    <w:rsid w:val="00DC5653"/>
    <w:rsid w:val="00DC59F2"/>
    <w:rsid w:val="00DC5BE1"/>
    <w:rsid w:val="00DC5D17"/>
    <w:rsid w:val="00DC6AE6"/>
    <w:rsid w:val="00DC6C18"/>
    <w:rsid w:val="00DC7062"/>
    <w:rsid w:val="00DC7BBE"/>
    <w:rsid w:val="00DD1ED6"/>
    <w:rsid w:val="00DD2501"/>
    <w:rsid w:val="00DD28C9"/>
    <w:rsid w:val="00DD2911"/>
    <w:rsid w:val="00DD2DC5"/>
    <w:rsid w:val="00DD3225"/>
    <w:rsid w:val="00DD36A3"/>
    <w:rsid w:val="00DD3DE1"/>
    <w:rsid w:val="00DD3E13"/>
    <w:rsid w:val="00DD3E23"/>
    <w:rsid w:val="00DD3FFF"/>
    <w:rsid w:val="00DD4D36"/>
    <w:rsid w:val="00DD5B46"/>
    <w:rsid w:val="00DD5D08"/>
    <w:rsid w:val="00DD5D0A"/>
    <w:rsid w:val="00DD5EAF"/>
    <w:rsid w:val="00DD601E"/>
    <w:rsid w:val="00DD6115"/>
    <w:rsid w:val="00DD6515"/>
    <w:rsid w:val="00DD6544"/>
    <w:rsid w:val="00DD6778"/>
    <w:rsid w:val="00DD72F6"/>
    <w:rsid w:val="00DD7EC2"/>
    <w:rsid w:val="00DE064C"/>
    <w:rsid w:val="00DE0B64"/>
    <w:rsid w:val="00DE0C8B"/>
    <w:rsid w:val="00DE1125"/>
    <w:rsid w:val="00DE1A79"/>
    <w:rsid w:val="00DE2171"/>
    <w:rsid w:val="00DE2815"/>
    <w:rsid w:val="00DE2EE0"/>
    <w:rsid w:val="00DE3665"/>
    <w:rsid w:val="00DE46DE"/>
    <w:rsid w:val="00DE48FF"/>
    <w:rsid w:val="00DE4B17"/>
    <w:rsid w:val="00DE5913"/>
    <w:rsid w:val="00DE5A65"/>
    <w:rsid w:val="00DE5DAA"/>
    <w:rsid w:val="00DE6599"/>
    <w:rsid w:val="00DE666E"/>
    <w:rsid w:val="00DE6ACD"/>
    <w:rsid w:val="00DE70A3"/>
    <w:rsid w:val="00DE75BB"/>
    <w:rsid w:val="00DE7A0C"/>
    <w:rsid w:val="00DE7F20"/>
    <w:rsid w:val="00DF0027"/>
    <w:rsid w:val="00DF03C4"/>
    <w:rsid w:val="00DF09AE"/>
    <w:rsid w:val="00DF0CC1"/>
    <w:rsid w:val="00DF0EA4"/>
    <w:rsid w:val="00DF2057"/>
    <w:rsid w:val="00DF208B"/>
    <w:rsid w:val="00DF2396"/>
    <w:rsid w:val="00DF2765"/>
    <w:rsid w:val="00DF27C1"/>
    <w:rsid w:val="00DF3541"/>
    <w:rsid w:val="00DF363C"/>
    <w:rsid w:val="00DF3E62"/>
    <w:rsid w:val="00DF41EE"/>
    <w:rsid w:val="00DF471E"/>
    <w:rsid w:val="00DF47C3"/>
    <w:rsid w:val="00DF47F1"/>
    <w:rsid w:val="00DF4D9C"/>
    <w:rsid w:val="00DF5792"/>
    <w:rsid w:val="00DF5AA5"/>
    <w:rsid w:val="00DF5C94"/>
    <w:rsid w:val="00DF5E94"/>
    <w:rsid w:val="00DF5EA4"/>
    <w:rsid w:val="00DF6130"/>
    <w:rsid w:val="00DF6D06"/>
    <w:rsid w:val="00DF6EA4"/>
    <w:rsid w:val="00DF786E"/>
    <w:rsid w:val="00E00349"/>
    <w:rsid w:val="00E00E1F"/>
    <w:rsid w:val="00E00F34"/>
    <w:rsid w:val="00E013A1"/>
    <w:rsid w:val="00E01426"/>
    <w:rsid w:val="00E01B08"/>
    <w:rsid w:val="00E02062"/>
    <w:rsid w:val="00E022B1"/>
    <w:rsid w:val="00E0275B"/>
    <w:rsid w:val="00E02AEC"/>
    <w:rsid w:val="00E0301C"/>
    <w:rsid w:val="00E03032"/>
    <w:rsid w:val="00E034E7"/>
    <w:rsid w:val="00E03E48"/>
    <w:rsid w:val="00E03F9A"/>
    <w:rsid w:val="00E04023"/>
    <w:rsid w:val="00E0421A"/>
    <w:rsid w:val="00E045BB"/>
    <w:rsid w:val="00E04FCE"/>
    <w:rsid w:val="00E04FFC"/>
    <w:rsid w:val="00E0517E"/>
    <w:rsid w:val="00E055D2"/>
    <w:rsid w:val="00E05D6C"/>
    <w:rsid w:val="00E06141"/>
    <w:rsid w:val="00E0694B"/>
    <w:rsid w:val="00E06961"/>
    <w:rsid w:val="00E07361"/>
    <w:rsid w:val="00E0757B"/>
    <w:rsid w:val="00E07612"/>
    <w:rsid w:val="00E078E8"/>
    <w:rsid w:val="00E10199"/>
    <w:rsid w:val="00E10558"/>
    <w:rsid w:val="00E10A3A"/>
    <w:rsid w:val="00E10EAE"/>
    <w:rsid w:val="00E11347"/>
    <w:rsid w:val="00E11476"/>
    <w:rsid w:val="00E117F2"/>
    <w:rsid w:val="00E11DC1"/>
    <w:rsid w:val="00E12B48"/>
    <w:rsid w:val="00E12CAA"/>
    <w:rsid w:val="00E133E6"/>
    <w:rsid w:val="00E138AC"/>
    <w:rsid w:val="00E1391B"/>
    <w:rsid w:val="00E14374"/>
    <w:rsid w:val="00E148DC"/>
    <w:rsid w:val="00E15024"/>
    <w:rsid w:val="00E15063"/>
    <w:rsid w:val="00E153DF"/>
    <w:rsid w:val="00E15427"/>
    <w:rsid w:val="00E1553D"/>
    <w:rsid w:val="00E155B5"/>
    <w:rsid w:val="00E1568C"/>
    <w:rsid w:val="00E16138"/>
    <w:rsid w:val="00E163A1"/>
    <w:rsid w:val="00E166CD"/>
    <w:rsid w:val="00E16BAD"/>
    <w:rsid w:val="00E16CD3"/>
    <w:rsid w:val="00E16DCC"/>
    <w:rsid w:val="00E1726C"/>
    <w:rsid w:val="00E20B0E"/>
    <w:rsid w:val="00E20BE8"/>
    <w:rsid w:val="00E20DEF"/>
    <w:rsid w:val="00E21249"/>
    <w:rsid w:val="00E2168E"/>
    <w:rsid w:val="00E220D7"/>
    <w:rsid w:val="00E221FB"/>
    <w:rsid w:val="00E223CC"/>
    <w:rsid w:val="00E227D6"/>
    <w:rsid w:val="00E2378C"/>
    <w:rsid w:val="00E23BED"/>
    <w:rsid w:val="00E2430D"/>
    <w:rsid w:val="00E2492C"/>
    <w:rsid w:val="00E24A93"/>
    <w:rsid w:val="00E24EE2"/>
    <w:rsid w:val="00E24FDA"/>
    <w:rsid w:val="00E25370"/>
    <w:rsid w:val="00E260EE"/>
    <w:rsid w:val="00E26270"/>
    <w:rsid w:val="00E271EE"/>
    <w:rsid w:val="00E27F49"/>
    <w:rsid w:val="00E30986"/>
    <w:rsid w:val="00E30A95"/>
    <w:rsid w:val="00E31310"/>
    <w:rsid w:val="00E31597"/>
    <w:rsid w:val="00E316B0"/>
    <w:rsid w:val="00E31781"/>
    <w:rsid w:val="00E31D3F"/>
    <w:rsid w:val="00E31E01"/>
    <w:rsid w:val="00E322FD"/>
    <w:rsid w:val="00E32A17"/>
    <w:rsid w:val="00E33000"/>
    <w:rsid w:val="00E335EB"/>
    <w:rsid w:val="00E33E7A"/>
    <w:rsid w:val="00E34478"/>
    <w:rsid w:val="00E34AE6"/>
    <w:rsid w:val="00E34DD9"/>
    <w:rsid w:val="00E35FD9"/>
    <w:rsid w:val="00E3621B"/>
    <w:rsid w:val="00E364FC"/>
    <w:rsid w:val="00E36801"/>
    <w:rsid w:val="00E369F5"/>
    <w:rsid w:val="00E377F3"/>
    <w:rsid w:val="00E378F0"/>
    <w:rsid w:val="00E37BB2"/>
    <w:rsid w:val="00E4011B"/>
    <w:rsid w:val="00E417CB"/>
    <w:rsid w:val="00E4198B"/>
    <w:rsid w:val="00E42016"/>
    <w:rsid w:val="00E42111"/>
    <w:rsid w:val="00E422B9"/>
    <w:rsid w:val="00E42307"/>
    <w:rsid w:val="00E42622"/>
    <w:rsid w:val="00E42A14"/>
    <w:rsid w:val="00E42D70"/>
    <w:rsid w:val="00E442FE"/>
    <w:rsid w:val="00E44507"/>
    <w:rsid w:val="00E44938"/>
    <w:rsid w:val="00E45320"/>
    <w:rsid w:val="00E4571F"/>
    <w:rsid w:val="00E45B9B"/>
    <w:rsid w:val="00E4600E"/>
    <w:rsid w:val="00E4641F"/>
    <w:rsid w:val="00E46496"/>
    <w:rsid w:val="00E46D3D"/>
    <w:rsid w:val="00E46F85"/>
    <w:rsid w:val="00E47555"/>
    <w:rsid w:val="00E47D4F"/>
    <w:rsid w:val="00E50706"/>
    <w:rsid w:val="00E50C24"/>
    <w:rsid w:val="00E50E2C"/>
    <w:rsid w:val="00E5110C"/>
    <w:rsid w:val="00E520A5"/>
    <w:rsid w:val="00E5245B"/>
    <w:rsid w:val="00E52A1B"/>
    <w:rsid w:val="00E52D01"/>
    <w:rsid w:val="00E53265"/>
    <w:rsid w:val="00E534AE"/>
    <w:rsid w:val="00E53691"/>
    <w:rsid w:val="00E53F7D"/>
    <w:rsid w:val="00E54009"/>
    <w:rsid w:val="00E54046"/>
    <w:rsid w:val="00E54047"/>
    <w:rsid w:val="00E54528"/>
    <w:rsid w:val="00E54AD4"/>
    <w:rsid w:val="00E54B05"/>
    <w:rsid w:val="00E54C45"/>
    <w:rsid w:val="00E555EF"/>
    <w:rsid w:val="00E5593A"/>
    <w:rsid w:val="00E562B2"/>
    <w:rsid w:val="00E5641A"/>
    <w:rsid w:val="00E56443"/>
    <w:rsid w:val="00E56690"/>
    <w:rsid w:val="00E56843"/>
    <w:rsid w:val="00E575AA"/>
    <w:rsid w:val="00E57602"/>
    <w:rsid w:val="00E57FE4"/>
    <w:rsid w:val="00E60500"/>
    <w:rsid w:val="00E609A5"/>
    <w:rsid w:val="00E60D26"/>
    <w:rsid w:val="00E60E36"/>
    <w:rsid w:val="00E615AB"/>
    <w:rsid w:val="00E61C9C"/>
    <w:rsid w:val="00E61F0F"/>
    <w:rsid w:val="00E62381"/>
    <w:rsid w:val="00E62F9F"/>
    <w:rsid w:val="00E630F8"/>
    <w:rsid w:val="00E632D5"/>
    <w:rsid w:val="00E634D4"/>
    <w:rsid w:val="00E640F0"/>
    <w:rsid w:val="00E6415D"/>
    <w:rsid w:val="00E6437D"/>
    <w:rsid w:val="00E644AE"/>
    <w:rsid w:val="00E646F5"/>
    <w:rsid w:val="00E64A32"/>
    <w:rsid w:val="00E64DE4"/>
    <w:rsid w:val="00E65152"/>
    <w:rsid w:val="00E652D6"/>
    <w:rsid w:val="00E65DA2"/>
    <w:rsid w:val="00E664EA"/>
    <w:rsid w:val="00E666BE"/>
    <w:rsid w:val="00E66AE6"/>
    <w:rsid w:val="00E66BED"/>
    <w:rsid w:val="00E6732F"/>
    <w:rsid w:val="00E674D5"/>
    <w:rsid w:val="00E6767E"/>
    <w:rsid w:val="00E679BC"/>
    <w:rsid w:val="00E67EB9"/>
    <w:rsid w:val="00E67EE2"/>
    <w:rsid w:val="00E700F9"/>
    <w:rsid w:val="00E702E1"/>
    <w:rsid w:val="00E70451"/>
    <w:rsid w:val="00E704D2"/>
    <w:rsid w:val="00E70902"/>
    <w:rsid w:val="00E70D7B"/>
    <w:rsid w:val="00E70EB6"/>
    <w:rsid w:val="00E713E1"/>
    <w:rsid w:val="00E71F92"/>
    <w:rsid w:val="00E724D3"/>
    <w:rsid w:val="00E728D5"/>
    <w:rsid w:val="00E73424"/>
    <w:rsid w:val="00E734B3"/>
    <w:rsid w:val="00E735F9"/>
    <w:rsid w:val="00E73B30"/>
    <w:rsid w:val="00E74013"/>
    <w:rsid w:val="00E74080"/>
    <w:rsid w:val="00E7509F"/>
    <w:rsid w:val="00E7517A"/>
    <w:rsid w:val="00E7552C"/>
    <w:rsid w:val="00E759F0"/>
    <w:rsid w:val="00E75C88"/>
    <w:rsid w:val="00E75DAB"/>
    <w:rsid w:val="00E75E43"/>
    <w:rsid w:val="00E7602F"/>
    <w:rsid w:val="00E76A8A"/>
    <w:rsid w:val="00E77372"/>
    <w:rsid w:val="00E777AB"/>
    <w:rsid w:val="00E77BB2"/>
    <w:rsid w:val="00E77BD5"/>
    <w:rsid w:val="00E77D1C"/>
    <w:rsid w:val="00E77D83"/>
    <w:rsid w:val="00E77E03"/>
    <w:rsid w:val="00E77E08"/>
    <w:rsid w:val="00E77FCB"/>
    <w:rsid w:val="00E80368"/>
    <w:rsid w:val="00E8062C"/>
    <w:rsid w:val="00E820FC"/>
    <w:rsid w:val="00E82237"/>
    <w:rsid w:val="00E82291"/>
    <w:rsid w:val="00E82F5B"/>
    <w:rsid w:val="00E83003"/>
    <w:rsid w:val="00E8326C"/>
    <w:rsid w:val="00E838A5"/>
    <w:rsid w:val="00E83B4A"/>
    <w:rsid w:val="00E83E20"/>
    <w:rsid w:val="00E83EF4"/>
    <w:rsid w:val="00E842CB"/>
    <w:rsid w:val="00E844F1"/>
    <w:rsid w:val="00E8473C"/>
    <w:rsid w:val="00E847FE"/>
    <w:rsid w:val="00E84968"/>
    <w:rsid w:val="00E84AB4"/>
    <w:rsid w:val="00E850BE"/>
    <w:rsid w:val="00E85178"/>
    <w:rsid w:val="00E8599A"/>
    <w:rsid w:val="00E866FC"/>
    <w:rsid w:val="00E86C16"/>
    <w:rsid w:val="00E86E3C"/>
    <w:rsid w:val="00E870EE"/>
    <w:rsid w:val="00E90327"/>
    <w:rsid w:val="00E90356"/>
    <w:rsid w:val="00E914AA"/>
    <w:rsid w:val="00E92073"/>
    <w:rsid w:val="00E92544"/>
    <w:rsid w:val="00E92DCB"/>
    <w:rsid w:val="00E93269"/>
    <w:rsid w:val="00E934F8"/>
    <w:rsid w:val="00E94455"/>
    <w:rsid w:val="00E94B57"/>
    <w:rsid w:val="00E94BFB"/>
    <w:rsid w:val="00E9547D"/>
    <w:rsid w:val="00E9594E"/>
    <w:rsid w:val="00E96160"/>
    <w:rsid w:val="00E961BA"/>
    <w:rsid w:val="00E9696C"/>
    <w:rsid w:val="00E96A13"/>
    <w:rsid w:val="00E96C77"/>
    <w:rsid w:val="00E971A3"/>
    <w:rsid w:val="00E97AE1"/>
    <w:rsid w:val="00EA06DF"/>
    <w:rsid w:val="00EA0A4E"/>
    <w:rsid w:val="00EA0B0B"/>
    <w:rsid w:val="00EA0CCA"/>
    <w:rsid w:val="00EA0EB6"/>
    <w:rsid w:val="00EA1373"/>
    <w:rsid w:val="00EA142C"/>
    <w:rsid w:val="00EA14F8"/>
    <w:rsid w:val="00EA2631"/>
    <w:rsid w:val="00EA2891"/>
    <w:rsid w:val="00EA2DA6"/>
    <w:rsid w:val="00EA3110"/>
    <w:rsid w:val="00EA32AC"/>
    <w:rsid w:val="00EA35DF"/>
    <w:rsid w:val="00EA372C"/>
    <w:rsid w:val="00EA405E"/>
    <w:rsid w:val="00EA415E"/>
    <w:rsid w:val="00EA42D8"/>
    <w:rsid w:val="00EA46DD"/>
    <w:rsid w:val="00EA5210"/>
    <w:rsid w:val="00EA584D"/>
    <w:rsid w:val="00EA5CC5"/>
    <w:rsid w:val="00EA5D7B"/>
    <w:rsid w:val="00EA5E9B"/>
    <w:rsid w:val="00EA67CE"/>
    <w:rsid w:val="00EA6E0B"/>
    <w:rsid w:val="00EA70E9"/>
    <w:rsid w:val="00EA72E7"/>
    <w:rsid w:val="00EA78C9"/>
    <w:rsid w:val="00EA7A32"/>
    <w:rsid w:val="00EA7AF1"/>
    <w:rsid w:val="00EB0194"/>
    <w:rsid w:val="00EB06EE"/>
    <w:rsid w:val="00EB0DFE"/>
    <w:rsid w:val="00EB0E31"/>
    <w:rsid w:val="00EB1B64"/>
    <w:rsid w:val="00EB1EB6"/>
    <w:rsid w:val="00EB2201"/>
    <w:rsid w:val="00EB2304"/>
    <w:rsid w:val="00EB231C"/>
    <w:rsid w:val="00EB266E"/>
    <w:rsid w:val="00EB303F"/>
    <w:rsid w:val="00EB3899"/>
    <w:rsid w:val="00EB4650"/>
    <w:rsid w:val="00EB4862"/>
    <w:rsid w:val="00EB4AA5"/>
    <w:rsid w:val="00EB4B03"/>
    <w:rsid w:val="00EB4C1E"/>
    <w:rsid w:val="00EB4CC5"/>
    <w:rsid w:val="00EB6003"/>
    <w:rsid w:val="00EB60DA"/>
    <w:rsid w:val="00EB60F8"/>
    <w:rsid w:val="00EB62A1"/>
    <w:rsid w:val="00EB6358"/>
    <w:rsid w:val="00EB65D5"/>
    <w:rsid w:val="00EB6E2B"/>
    <w:rsid w:val="00EB7526"/>
    <w:rsid w:val="00EB798C"/>
    <w:rsid w:val="00EB7D2F"/>
    <w:rsid w:val="00EC0407"/>
    <w:rsid w:val="00EC0723"/>
    <w:rsid w:val="00EC099E"/>
    <w:rsid w:val="00EC163D"/>
    <w:rsid w:val="00EC1740"/>
    <w:rsid w:val="00EC1C62"/>
    <w:rsid w:val="00EC1F5E"/>
    <w:rsid w:val="00EC22B2"/>
    <w:rsid w:val="00EC2301"/>
    <w:rsid w:val="00EC242D"/>
    <w:rsid w:val="00EC297A"/>
    <w:rsid w:val="00EC3ECF"/>
    <w:rsid w:val="00EC4E44"/>
    <w:rsid w:val="00EC5485"/>
    <w:rsid w:val="00EC5CFB"/>
    <w:rsid w:val="00EC5D79"/>
    <w:rsid w:val="00EC5FCE"/>
    <w:rsid w:val="00EC61A6"/>
    <w:rsid w:val="00EC65BF"/>
    <w:rsid w:val="00EC6D47"/>
    <w:rsid w:val="00EC6D62"/>
    <w:rsid w:val="00EC6FB2"/>
    <w:rsid w:val="00EC72DD"/>
    <w:rsid w:val="00EC74ED"/>
    <w:rsid w:val="00EC7590"/>
    <w:rsid w:val="00ED01D6"/>
    <w:rsid w:val="00ED0229"/>
    <w:rsid w:val="00ED0BFC"/>
    <w:rsid w:val="00ED15DF"/>
    <w:rsid w:val="00ED1737"/>
    <w:rsid w:val="00ED1EA5"/>
    <w:rsid w:val="00ED3488"/>
    <w:rsid w:val="00ED3AE2"/>
    <w:rsid w:val="00ED41BB"/>
    <w:rsid w:val="00ED45CC"/>
    <w:rsid w:val="00ED4F59"/>
    <w:rsid w:val="00ED5578"/>
    <w:rsid w:val="00ED62AD"/>
    <w:rsid w:val="00ED752D"/>
    <w:rsid w:val="00EE003C"/>
    <w:rsid w:val="00EE01AB"/>
    <w:rsid w:val="00EE0BAC"/>
    <w:rsid w:val="00EE1D82"/>
    <w:rsid w:val="00EE1F4B"/>
    <w:rsid w:val="00EE2D92"/>
    <w:rsid w:val="00EE2FE1"/>
    <w:rsid w:val="00EE30C9"/>
    <w:rsid w:val="00EE3319"/>
    <w:rsid w:val="00EE3B31"/>
    <w:rsid w:val="00EE3D26"/>
    <w:rsid w:val="00EE3E1C"/>
    <w:rsid w:val="00EE4E83"/>
    <w:rsid w:val="00EE542D"/>
    <w:rsid w:val="00EE5866"/>
    <w:rsid w:val="00EE587F"/>
    <w:rsid w:val="00EE5B4A"/>
    <w:rsid w:val="00EE6978"/>
    <w:rsid w:val="00EE6B4B"/>
    <w:rsid w:val="00EE73C4"/>
    <w:rsid w:val="00EE76D5"/>
    <w:rsid w:val="00EF0C7F"/>
    <w:rsid w:val="00EF103D"/>
    <w:rsid w:val="00EF173C"/>
    <w:rsid w:val="00EF1EB5"/>
    <w:rsid w:val="00EF2661"/>
    <w:rsid w:val="00EF2E15"/>
    <w:rsid w:val="00EF2E1B"/>
    <w:rsid w:val="00EF351C"/>
    <w:rsid w:val="00EF3664"/>
    <w:rsid w:val="00EF3721"/>
    <w:rsid w:val="00EF4439"/>
    <w:rsid w:val="00EF48FD"/>
    <w:rsid w:val="00EF4E84"/>
    <w:rsid w:val="00EF4EFB"/>
    <w:rsid w:val="00EF55C0"/>
    <w:rsid w:val="00EF5C59"/>
    <w:rsid w:val="00EF5ED9"/>
    <w:rsid w:val="00EF6286"/>
    <w:rsid w:val="00F00029"/>
    <w:rsid w:val="00F0056F"/>
    <w:rsid w:val="00F0134D"/>
    <w:rsid w:val="00F015FE"/>
    <w:rsid w:val="00F01A03"/>
    <w:rsid w:val="00F02712"/>
    <w:rsid w:val="00F02F34"/>
    <w:rsid w:val="00F03B7B"/>
    <w:rsid w:val="00F04016"/>
    <w:rsid w:val="00F0498E"/>
    <w:rsid w:val="00F04B87"/>
    <w:rsid w:val="00F0538A"/>
    <w:rsid w:val="00F05B9B"/>
    <w:rsid w:val="00F06809"/>
    <w:rsid w:val="00F069A8"/>
    <w:rsid w:val="00F06CA2"/>
    <w:rsid w:val="00F06E4D"/>
    <w:rsid w:val="00F06EC7"/>
    <w:rsid w:val="00F073AE"/>
    <w:rsid w:val="00F07515"/>
    <w:rsid w:val="00F07B03"/>
    <w:rsid w:val="00F07BC2"/>
    <w:rsid w:val="00F07C2B"/>
    <w:rsid w:val="00F10265"/>
    <w:rsid w:val="00F10430"/>
    <w:rsid w:val="00F10508"/>
    <w:rsid w:val="00F10557"/>
    <w:rsid w:val="00F10BF3"/>
    <w:rsid w:val="00F11326"/>
    <w:rsid w:val="00F1172E"/>
    <w:rsid w:val="00F119CB"/>
    <w:rsid w:val="00F11DDD"/>
    <w:rsid w:val="00F11F50"/>
    <w:rsid w:val="00F12110"/>
    <w:rsid w:val="00F122FA"/>
    <w:rsid w:val="00F12909"/>
    <w:rsid w:val="00F12FE4"/>
    <w:rsid w:val="00F130E3"/>
    <w:rsid w:val="00F135CE"/>
    <w:rsid w:val="00F1392D"/>
    <w:rsid w:val="00F13FA7"/>
    <w:rsid w:val="00F14080"/>
    <w:rsid w:val="00F1486F"/>
    <w:rsid w:val="00F149E3"/>
    <w:rsid w:val="00F15055"/>
    <w:rsid w:val="00F15A56"/>
    <w:rsid w:val="00F15F4B"/>
    <w:rsid w:val="00F174A1"/>
    <w:rsid w:val="00F174BD"/>
    <w:rsid w:val="00F1789F"/>
    <w:rsid w:val="00F20233"/>
    <w:rsid w:val="00F20576"/>
    <w:rsid w:val="00F20B5D"/>
    <w:rsid w:val="00F20F99"/>
    <w:rsid w:val="00F2106A"/>
    <w:rsid w:val="00F21555"/>
    <w:rsid w:val="00F216AB"/>
    <w:rsid w:val="00F218B9"/>
    <w:rsid w:val="00F21D41"/>
    <w:rsid w:val="00F2276A"/>
    <w:rsid w:val="00F22F6D"/>
    <w:rsid w:val="00F2304F"/>
    <w:rsid w:val="00F231E4"/>
    <w:rsid w:val="00F233EE"/>
    <w:rsid w:val="00F239A7"/>
    <w:rsid w:val="00F23BA7"/>
    <w:rsid w:val="00F2424E"/>
    <w:rsid w:val="00F242AB"/>
    <w:rsid w:val="00F24873"/>
    <w:rsid w:val="00F24CD8"/>
    <w:rsid w:val="00F24CF3"/>
    <w:rsid w:val="00F24E94"/>
    <w:rsid w:val="00F252D7"/>
    <w:rsid w:val="00F25355"/>
    <w:rsid w:val="00F253C2"/>
    <w:rsid w:val="00F2561B"/>
    <w:rsid w:val="00F25A36"/>
    <w:rsid w:val="00F25C52"/>
    <w:rsid w:val="00F26670"/>
    <w:rsid w:val="00F26780"/>
    <w:rsid w:val="00F267AD"/>
    <w:rsid w:val="00F267B6"/>
    <w:rsid w:val="00F267EA"/>
    <w:rsid w:val="00F2681C"/>
    <w:rsid w:val="00F26F52"/>
    <w:rsid w:val="00F27352"/>
    <w:rsid w:val="00F27679"/>
    <w:rsid w:val="00F30036"/>
    <w:rsid w:val="00F30354"/>
    <w:rsid w:val="00F303BC"/>
    <w:rsid w:val="00F30E3F"/>
    <w:rsid w:val="00F3135B"/>
    <w:rsid w:val="00F3162F"/>
    <w:rsid w:val="00F31E82"/>
    <w:rsid w:val="00F32150"/>
    <w:rsid w:val="00F322C8"/>
    <w:rsid w:val="00F323EE"/>
    <w:rsid w:val="00F3276A"/>
    <w:rsid w:val="00F32BC6"/>
    <w:rsid w:val="00F32FDC"/>
    <w:rsid w:val="00F3356B"/>
    <w:rsid w:val="00F33D0F"/>
    <w:rsid w:val="00F3435D"/>
    <w:rsid w:val="00F34733"/>
    <w:rsid w:val="00F35B09"/>
    <w:rsid w:val="00F35C56"/>
    <w:rsid w:val="00F36030"/>
    <w:rsid w:val="00F3623F"/>
    <w:rsid w:val="00F37053"/>
    <w:rsid w:val="00F3769C"/>
    <w:rsid w:val="00F3780B"/>
    <w:rsid w:val="00F37857"/>
    <w:rsid w:val="00F40F2F"/>
    <w:rsid w:val="00F412FF"/>
    <w:rsid w:val="00F418EF"/>
    <w:rsid w:val="00F41967"/>
    <w:rsid w:val="00F41D6D"/>
    <w:rsid w:val="00F420B0"/>
    <w:rsid w:val="00F424C7"/>
    <w:rsid w:val="00F4284A"/>
    <w:rsid w:val="00F42CE0"/>
    <w:rsid w:val="00F42F92"/>
    <w:rsid w:val="00F434AD"/>
    <w:rsid w:val="00F435F3"/>
    <w:rsid w:val="00F4439C"/>
    <w:rsid w:val="00F44904"/>
    <w:rsid w:val="00F45164"/>
    <w:rsid w:val="00F458EF"/>
    <w:rsid w:val="00F45DE3"/>
    <w:rsid w:val="00F4615F"/>
    <w:rsid w:val="00F46946"/>
    <w:rsid w:val="00F4705E"/>
    <w:rsid w:val="00F4708E"/>
    <w:rsid w:val="00F47399"/>
    <w:rsid w:val="00F47830"/>
    <w:rsid w:val="00F50994"/>
    <w:rsid w:val="00F50A01"/>
    <w:rsid w:val="00F50C0F"/>
    <w:rsid w:val="00F50C41"/>
    <w:rsid w:val="00F50CCF"/>
    <w:rsid w:val="00F50D2C"/>
    <w:rsid w:val="00F50E68"/>
    <w:rsid w:val="00F50EBC"/>
    <w:rsid w:val="00F50EED"/>
    <w:rsid w:val="00F510BB"/>
    <w:rsid w:val="00F51A67"/>
    <w:rsid w:val="00F520B4"/>
    <w:rsid w:val="00F5254A"/>
    <w:rsid w:val="00F52735"/>
    <w:rsid w:val="00F52B5A"/>
    <w:rsid w:val="00F52E70"/>
    <w:rsid w:val="00F5358F"/>
    <w:rsid w:val="00F53687"/>
    <w:rsid w:val="00F538DB"/>
    <w:rsid w:val="00F53B4F"/>
    <w:rsid w:val="00F53EC3"/>
    <w:rsid w:val="00F53F1B"/>
    <w:rsid w:val="00F5432D"/>
    <w:rsid w:val="00F543AD"/>
    <w:rsid w:val="00F54ABE"/>
    <w:rsid w:val="00F54D36"/>
    <w:rsid w:val="00F54FB7"/>
    <w:rsid w:val="00F54FF3"/>
    <w:rsid w:val="00F550C3"/>
    <w:rsid w:val="00F55B13"/>
    <w:rsid w:val="00F564FA"/>
    <w:rsid w:val="00F568EE"/>
    <w:rsid w:val="00F56CEB"/>
    <w:rsid w:val="00F56EB3"/>
    <w:rsid w:val="00F5727C"/>
    <w:rsid w:val="00F576C0"/>
    <w:rsid w:val="00F5788D"/>
    <w:rsid w:val="00F57A3E"/>
    <w:rsid w:val="00F57AF1"/>
    <w:rsid w:val="00F60405"/>
    <w:rsid w:val="00F6069E"/>
    <w:rsid w:val="00F6087F"/>
    <w:rsid w:val="00F60C24"/>
    <w:rsid w:val="00F60D43"/>
    <w:rsid w:val="00F60E45"/>
    <w:rsid w:val="00F61105"/>
    <w:rsid w:val="00F6120E"/>
    <w:rsid w:val="00F614D8"/>
    <w:rsid w:val="00F6198C"/>
    <w:rsid w:val="00F61D42"/>
    <w:rsid w:val="00F61D55"/>
    <w:rsid w:val="00F61E58"/>
    <w:rsid w:val="00F62297"/>
    <w:rsid w:val="00F62620"/>
    <w:rsid w:val="00F63A6A"/>
    <w:rsid w:val="00F63B24"/>
    <w:rsid w:val="00F63CB8"/>
    <w:rsid w:val="00F63D4F"/>
    <w:rsid w:val="00F6436E"/>
    <w:rsid w:val="00F64A66"/>
    <w:rsid w:val="00F64CBA"/>
    <w:rsid w:val="00F65194"/>
    <w:rsid w:val="00F65A34"/>
    <w:rsid w:val="00F65CD4"/>
    <w:rsid w:val="00F661ED"/>
    <w:rsid w:val="00F66915"/>
    <w:rsid w:val="00F66F3C"/>
    <w:rsid w:val="00F66FCE"/>
    <w:rsid w:val="00F67434"/>
    <w:rsid w:val="00F702AE"/>
    <w:rsid w:val="00F71840"/>
    <w:rsid w:val="00F71861"/>
    <w:rsid w:val="00F71C1F"/>
    <w:rsid w:val="00F71CFD"/>
    <w:rsid w:val="00F72EF4"/>
    <w:rsid w:val="00F72EF9"/>
    <w:rsid w:val="00F73592"/>
    <w:rsid w:val="00F73A71"/>
    <w:rsid w:val="00F73C1F"/>
    <w:rsid w:val="00F73DA8"/>
    <w:rsid w:val="00F7410F"/>
    <w:rsid w:val="00F74915"/>
    <w:rsid w:val="00F74AAB"/>
    <w:rsid w:val="00F74B89"/>
    <w:rsid w:val="00F74D2C"/>
    <w:rsid w:val="00F7503D"/>
    <w:rsid w:val="00F752C6"/>
    <w:rsid w:val="00F7539E"/>
    <w:rsid w:val="00F75BB9"/>
    <w:rsid w:val="00F75E01"/>
    <w:rsid w:val="00F75ED0"/>
    <w:rsid w:val="00F75F22"/>
    <w:rsid w:val="00F761C6"/>
    <w:rsid w:val="00F765A1"/>
    <w:rsid w:val="00F76B6B"/>
    <w:rsid w:val="00F76CE9"/>
    <w:rsid w:val="00F77092"/>
    <w:rsid w:val="00F77760"/>
    <w:rsid w:val="00F77789"/>
    <w:rsid w:val="00F77A99"/>
    <w:rsid w:val="00F80333"/>
    <w:rsid w:val="00F8034A"/>
    <w:rsid w:val="00F803CC"/>
    <w:rsid w:val="00F80FE3"/>
    <w:rsid w:val="00F8135C"/>
    <w:rsid w:val="00F813BF"/>
    <w:rsid w:val="00F81F3E"/>
    <w:rsid w:val="00F82131"/>
    <w:rsid w:val="00F82380"/>
    <w:rsid w:val="00F8293E"/>
    <w:rsid w:val="00F82958"/>
    <w:rsid w:val="00F829B1"/>
    <w:rsid w:val="00F82CE0"/>
    <w:rsid w:val="00F82EA2"/>
    <w:rsid w:val="00F832AA"/>
    <w:rsid w:val="00F83541"/>
    <w:rsid w:val="00F83651"/>
    <w:rsid w:val="00F83CEA"/>
    <w:rsid w:val="00F840F0"/>
    <w:rsid w:val="00F842DF"/>
    <w:rsid w:val="00F84E43"/>
    <w:rsid w:val="00F85624"/>
    <w:rsid w:val="00F856FB"/>
    <w:rsid w:val="00F85E4F"/>
    <w:rsid w:val="00F85FA6"/>
    <w:rsid w:val="00F86344"/>
    <w:rsid w:val="00F865BE"/>
    <w:rsid w:val="00F86613"/>
    <w:rsid w:val="00F86970"/>
    <w:rsid w:val="00F8773E"/>
    <w:rsid w:val="00F8782F"/>
    <w:rsid w:val="00F90ABD"/>
    <w:rsid w:val="00F91052"/>
    <w:rsid w:val="00F91879"/>
    <w:rsid w:val="00F920C0"/>
    <w:rsid w:val="00F92581"/>
    <w:rsid w:val="00F92AD7"/>
    <w:rsid w:val="00F93107"/>
    <w:rsid w:val="00F942AD"/>
    <w:rsid w:val="00F94BB8"/>
    <w:rsid w:val="00F94CF1"/>
    <w:rsid w:val="00F954F7"/>
    <w:rsid w:val="00F9558E"/>
    <w:rsid w:val="00F95E41"/>
    <w:rsid w:val="00F95E6A"/>
    <w:rsid w:val="00F9632E"/>
    <w:rsid w:val="00F96C93"/>
    <w:rsid w:val="00F96CD6"/>
    <w:rsid w:val="00F97123"/>
    <w:rsid w:val="00F97379"/>
    <w:rsid w:val="00F979AB"/>
    <w:rsid w:val="00F97E26"/>
    <w:rsid w:val="00FA076F"/>
    <w:rsid w:val="00FA0D5B"/>
    <w:rsid w:val="00FA0EA3"/>
    <w:rsid w:val="00FA178A"/>
    <w:rsid w:val="00FA1F30"/>
    <w:rsid w:val="00FA2060"/>
    <w:rsid w:val="00FA301B"/>
    <w:rsid w:val="00FA3491"/>
    <w:rsid w:val="00FA3B4A"/>
    <w:rsid w:val="00FA3EC2"/>
    <w:rsid w:val="00FA493C"/>
    <w:rsid w:val="00FA4CFF"/>
    <w:rsid w:val="00FA55AD"/>
    <w:rsid w:val="00FA58F4"/>
    <w:rsid w:val="00FA5A66"/>
    <w:rsid w:val="00FA5B87"/>
    <w:rsid w:val="00FA65C3"/>
    <w:rsid w:val="00FA65FC"/>
    <w:rsid w:val="00FA6616"/>
    <w:rsid w:val="00FA68EA"/>
    <w:rsid w:val="00FA692C"/>
    <w:rsid w:val="00FA6A53"/>
    <w:rsid w:val="00FA7441"/>
    <w:rsid w:val="00FA78C7"/>
    <w:rsid w:val="00FA78D7"/>
    <w:rsid w:val="00FA7F7F"/>
    <w:rsid w:val="00FB0287"/>
    <w:rsid w:val="00FB0A75"/>
    <w:rsid w:val="00FB0C28"/>
    <w:rsid w:val="00FB11BF"/>
    <w:rsid w:val="00FB1358"/>
    <w:rsid w:val="00FB16B5"/>
    <w:rsid w:val="00FB225A"/>
    <w:rsid w:val="00FB296F"/>
    <w:rsid w:val="00FB2ED4"/>
    <w:rsid w:val="00FB390B"/>
    <w:rsid w:val="00FB452C"/>
    <w:rsid w:val="00FB453A"/>
    <w:rsid w:val="00FB4720"/>
    <w:rsid w:val="00FB4C1D"/>
    <w:rsid w:val="00FB4C4C"/>
    <w:rsid w:val="00FB4D4C"/>
    <w:rsid w:val="00FB4E43"/>
    <w:rsid w:val="00FB4F86"/>
    <w:rsid w:val="00FB52CA"/>
    <w:rsid w:val="00FB54FE"/>
    <w:rsid w:val="00FB5CF2"/>
    <w:rsid w:val="00FB5F7F"/>
    <w:rsid w:val="00FB6725"/>
    <w:rsid w:val="00FB68BC"/>
    <w:rsid w:val="00FB6B7D"/>
    <w:rsid w:val="00FB74D3"/>
    <w:rsid w:val="00FB78F3"/>
    <w:rsid w:val="00FB7A2C"/>
    <w:rsid w:val="00FB7CF9"/>
    <w:rsid w:val="00FC020E"/>
    <w:rsid w:val="00FC048C"/>
    <w:rsid w:val="00FC0509"/>
    <w:rsid w:val="00FC0FC3"/>
    <w:rsid w:val="00FC157E"/>
    <w:rsid w:val="00FC237A"/>
    <w:rsid w:val="00FC303F"/>
    <w:rsid w:val="00FC308F"/>
    <w:rsid w:val="00FC30A5"/>
    <w:rsid w:val="00FC387C"/>
    <w:rsid w:val="00FC3ADC"/>
    <w:rsid w:val="00FC3B3C"/>
    <w:rsid w:val="00FC3B86"/>
    <w:rsid w:val="00FC43FA"/>
    <w:rsid w:val="00FC4A34"/>
    <w:rsid w:val="00FC4C20"/>
    <w:rsid w:val="00FC4EB8"/>
    <w:rsid w:val="00FC4F67"/>
    <w:rsid w:val="00FC50E7"/>
    <w:rsid w:val="00FC51A3"/>
    <w:rsid w:val="00FC5786"/>
    <w:rsid w:val="00FC5D91"/>
    <w:rsid w:val="00FC5FE7"/>
    <w:rsid w:val="00FC6287"/>
    <w:rsid w:val="00FC6B5B"/>
    <w:rsid w:val="00FC6EAF"/>
    <w:rsid w:val="00FC734B"/>
    <w:rsid w:val="00FC7490"/>
    <w:rsid w:val="00FD0464"/>
    <w:rsid w:val="00FD0BC9"/>
    <w:rsid w:val="00FD1028"/>
    <w:rsid w:val="00FD1535"/>
    <w:rsid w:val="00FD1DAB"/>
    <w:rsid w:val="00FD1EE6"/>
    <w:rsid w:val="00FD255D"/>
    <w:rsid w:val="00FD26FC"/>
    <w:rsid w:val="00FD2893"/>
    <w:rsid w:val="00FD31DF"/>
    <w:rsid w:val="00FD3447"/>
    <w:rsid w:val="00FD4545"/>
    <w:rsid w:val="00FD4576"/>
    <w:rsid w:val="00FD466B"/>
    <w:rsid w:val="00FD4F28"/>
    <w:rsid w:val="00FD524A"/>
    <w:rsid w:val="00FD5764"/>
    <w:rsid w:val="00FD5CC8"/>
    <w:rsid w:val="00FD5E9C"/>
    <w:rsid w:val="00FD5F5C"/>
    <w:rsid w:val="00FD5FF6"/>
    <w:rsid w:val="00FD6425"/>
    <w:rsid w:val="00FD65CC"/>
    <w:rsid w:val="00FD669D"/>
    <w:rsid w:val="00FD67FF"/>
    <w:rsid w:val="00FD6C55"/>
    <w:rsid w:val="00FD71B1"/>
    <w:rsid w:val="00FD7330"/>
    <w:rsid w:val="00FD7966"/>
    <w:rsid w:val="00FD7A74"/>
    <w:rsid w:val="00FD7F2F"/>
    <w:rsid w:val="00FD7F35"/>
    <w:rsid w:val="00FD7F57"/>
    <w:rsid w:val="00FE01F1"/>
    <w:rsid w:val="00FE042D"/>
    <w:rsid w:val="00FE1662"/>
    <w:rsid w:val="00FE26D0"/>
    <w:rsid w:val="00FE2704"/>
    <w:rsid w:val="00FE2C2D"/>
    <w:rsid w:val="00FE2F48"/>
    <w:rsid w:val="00FE3051"/>
    <w:rsid w:val="00FE309E"/>
    <w:rsid w:val="00FE3C5F"/>
    <w:rsid w:val="00FE3DD3"/>
    <w:rsid w:val="00FE43FA"/>
    <w:rsid w:val="00FE4925"/>
    <w:rsid w:val="00FE584E"/>
    <w:rsid w:val="00FE5CA2"/>
    <w:rsid w:val="00FE640D"/>
    <w:rsid w:val="00FE67AB"/>
    <w:rsid w:val="00FE7996"/>
    <w:rsid w:val="00FF03FE"/>
    <w:rsid w:val="00FF12C0"/>
    <w:rsid w:val="00FF19A1"/>
    <w:rsid w:val="00FF1B43"/>
    <w:rsid w:val="00FF2210"/>
    <w:rsid w:val="00FF234F"/>
    <w:rsid w:val="00FF25F9"/>
    <w:rsid w:val="00FF2869"/>
    <w:rsid w:val="00FF2B48"/>
    <w:rsid w:val="00FF2CB3"/>
    <w:rsid w:val="00FF305D"/>
    <w:rsid w:val="00FF344C"/>
    <w:rsid w:val="00FF3627"/>
    <w:rsid w:val="00FF37EA"/>
    <w:rsid w:val="00FF3969"/>
    <w:rsid w:val="00FF3B4F"/>
    <w:rsid w:val="00FF472C"/>
    <w:rsid w:val="00FF4E4E"/>
    <w:rsid w:val="00FF53F1"/>
    <w:rsid w:val="00FF5E21"/>
    <w:rsid w:val="00FF622F"/>
    <w:rsid w:val="00FF642B"/>
    <w:rsid w:val="00FF6599"/>
    <w:rsid w:val="00FF65B4"/>
    <w:rsid w:val="00FF65CC"/>
    <w:rsid w:val="00FF65D5"/>
    <w:rsid w:val="00FF661C"/>
    <w:rsid w:val="00FF665C"/>
    <w:rsid w:val="00FF721B"/>
    <w:rsid w:val="00FF72C5"/>
    <w:rsid w:val="00FF7551"/>
    <w:rsid w:val="00FF7D95"/>
    <w:rsid w:val="049E33DE"/>
    <w:rsid w:val="23257CA9"/>
    <w:rsid w:val="26910818"/>
    <w:rsid w:val="30456780"/>
    <w:rsid w:val="5A3B3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FFF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99"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99" w:semiHidden="0" w:name="HTML Keyboard"/>
    <w:lsdException w:qFormat="1" w:unhideWhenUsed="0" w:uiPriority="99"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6"/>
    <w:qFormat/>
    <w:uiPriority w:val="0"/>
    <w:pPr>
      <w:keepNext/>
      <w:spacing w:line="360" w:lineRule="auto"/>
      <w:jc w:val="center"/>
      <w:outlineLvl w:val="0"/>
    </w:pPr>
    <w:rPr>
      <w:sz w:val="28"/>
    </w:rPr>
  </w:style>
  <w:style w:type="paragraph" w:styleId="3">
    <w:name w:val="heading 2"/>
    <w:basedOn w:val="1"/>
    <w:next w:val="1"/>
    <w:link w:val="7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8"/>
    <w:qFormat/>
    <w:uiPriority w:val="0"/>
    <w:pPr>
      <w:keepNext/>
      <w:keepLines/>
      <w:spacing w:before="260" w:after="260" w:line="416" w:lineRule="auto"/>
      <w:outlineLvl w:val="2"/>
    </w:pPr>
    <w:rPr>
      <w:b/>
      <w:bCs/>
      <w:sz w:val="32"/>
      <w:szCs w:val="32"/>
    </w:rPr>
  </w:style>
  <w:style w:type="paragraph" w:styleId="5">
    <w:name w:val="heading 4"/>
    <w:basedOn w:val="1"/>
    <w:next w:val="1"/>
    <w:link w:val="7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80"/>
    <w:qFormat/>
    <w:uiPriority w:val="0"/>
    <w:pPr>
      <w:keepNext/>
      <w:keepLines/>
      <w:adjustRightInd w:val="0"/>
      <w:spacing w:before="280" w:after="290" w:line="376" w:lineRule="atLeast"/>
      <w:jc w:val="left"/>
      <w:textAlignment w:val="baseline"/>
      <w:outlineLvl w:val="4"/>
    </w:pPr>
    <w:rPr>
      <w:b/>
      <w:kern w:val="0"/>
      <w:sz w:val="28"/>
      <w:szCs w:val="20"/>
    </w:rPr>
  </w:style>
  <w:style w:type="paragraph" w:styleId="7">
    <w:name w:val="heading 6"/>
    <w:basedOn w:val="1"/>
    <w:next w:val="1"/>
    <w:link w:val="81"/>
    <w:qFormat/>
    <w:uiPriority w:val="0"/>
    <w:pPr>
      <w:keepNext/>
      <w:keepLines/>
      <w:adjustRightInd w:val="0"/>
      <w:spacing w:before="240" w:after="64" w:line="320" w:lineRule="atLeast"/>
      <w:jc w:val="left"/>
      <w:textAlignment w:val="baseline"/>
      <w:outlineLvl w:val="5"/>
    </w:pPr>
    <w:rPr>
      <w:rFonts w:ascii="Arial" w:hAnsi="Arial" w:eastAsia="黑体"/>
      <w:b/>
      <w:kern w:val="0"/>
      <w:sz w:val="24"/>
      <w:szCs w:val="20"/>
    </w:rPr>
  </w:style>
  <w:style w:type="paragraph" w:styleId="8">
    <w:name w:val="heading 7"/>
    <w:basedOn w:val="1"/>
    <w:next w:val="1"/>
    <w:link w:val="82"/>
    <w:qFormat/>
    <w:uiPriority w:val="0"/>
    <w:pPr>
      <w:keepNext/>
      <w:keepLines/>
      <w:adjustRightInd w:val="0"/>
      <w:spacing w:before="240" w:after="64" w:line="320" w:lineRule="atLeast"/>
      <w:jc w:val="left"/>
      <w:textAlignment w:val="baseline"/>
      <w:outlineLvl w:val="6"/>
    </w:pPr>
    <w:rPr>
      <w:b/>
      <w:kern w:val="0"/>
      <w:sz w:val="24"/>
      <w:szCs w:val="20"/>
    </w:rPr>
  </w:style>
  <w:style w:type="paragraph" w:styleId="9">
    <w:name w:val="heading 8"/>
    <w:basedOn w:val="1"/>
    <w:next w:val="1"/>
    <w:link w:val="83"/>
    <w:qFormat/>
    <w:uiPriority w:val="0"/>
    <w:pPr>
      <w:keepNext/>
      <w:keepLines/>
      <w:adjustRightInd w:val="0"/>
      <w:spacing w:before="240" w:after="64" w:line="320" w:lineRule="atLeast"/>
      <w:jc w:val="left"/>
      <w:textAlignment w:val="baseline"/>
      <w:outlineLvl w:val="7"/>
    </w:pPr>
    <w:rPr>
      <w:rFonts w:ascii="Arial" w:hAnsi="Arial" w:eastAsia="黑体"/>
      <w:kern w:val="0"/>
      <w:sz w:val="24"/>
      <w:szCs w:val="20"/>
    </w:rPr>
  </w:style>
  <w:style w:type="paragraph" w:styleId="10">
    <w:name w:val="heading 9"/>
    <w:basedOn w:val="1"/>
    <w:next w:val="1"/>
    <w:link w:val="84"/>
    <w:qFormat/>
    <w:uiPriority w:val="0"/>
    <w:pPr>
      <w:keepNext/>
      <w:keepLines/>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53">
    <w:name w:val="Default Paragraph Font"/>
    <w:semiHidden/>
    <w:unhideWhenUsed/>
    <w:uiPriority w:val="1"/>
  </w:style>
  <w:style w:type="table" w:default="1" w:styleId="69">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102"/>
    <w:qFormat/>
    <w:uiPriority w:val="0"/>
    <w:rPr>
      <w:b/>
      <w:bCs/>
    </w:rPr>
  </w:style>
  <w:style w:type="paragraph" w:styleId="12">
    <w:name w:val="annotation text"/>
    <w:basedOn w:val="1"/>
    <w:link w:val="101"/>
    <w:qFormat/>
    <w:uiPriority w:val="0"/>
    <w:pPr>
      <w:jc w:val="left"/>
    </w:pPr>
  </w:style>
  <w:style w:type="paragraph" w:styleId="13">
    <w:name w:val="toc 7"/>
    <w:basedOn w:val="1"/>
    <w:next w:val="1"/>
    <w:qFormat/>
    <w:uiPriority w:val="0"/>
    <w:pPr>
      <w:spacing w:line="360" w:lineRule="auto"/>
      <w:ind w:left="2520" w:leftChars="1200" w:firstLine="480" w:firstLineChars="200"/>
      <w:jc w:val="left"/>
    </w:pPr>
    <w:rPr>
      <w:sz w:val="24"/>
      <w:szCs w:val="21"/>
    </w:rPr>
  </w:style>
  <w:style w:type="paragraph" w:styleId="14">
    <w:name w:val="Body Text First Indent"/>
    <w:basedOn w:val="15"/>
    <w:link w:val="556"/>
    <w:qFormat/>
    <w:uiPriority w:val="0"/>
    <w:pPr>
      <w:spacing w:after="120" w:line="240" w:lineRule="auto"/>
      <w:ind w:firstLine="420" w:firstLineChars="0"/>
    </w:pPr>
    <w:rPr>
      <w:sz w:val="21"/>
      <w:szCs w:val="20"/>
    </w:rPr>
  </w:style>
  <w:style w:type="paragraph" w:styleId="15">
    <w:name w:val="Body Text"/>
    <w:basedOn w:val="1"/>
    <w:link w:val="110"/>
    <w:qFormat/>
    <w:uiPriority w:val="0"/>
    <w:pPr>
      <w:spacing w:line="480" w:lineRule="exact"/>
      <w:ind w:firstLine="200" w:firstLineChars="200"/>
    </w:pPr>
    <w:rPr>
      <w:sz w:val="24"/>
    </w:rPr>
  </w:style>
  <w:style w:type="paragraph" w:styleId="16">
    <w:name w:val="macro"/>
    <w:link w:val="17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7">
    <w:name w:val="Normal Indent"/>
    <w:basedOn w:val="1"/>
    <w:link w:val="117"/>
    <w:qFormat/>
    <w:uiPriority w:val="0"/>
    <w:pPr>
      <w:ind w:firstLine="420"/>
    </w:pPr>
    <w:rPr>
      <w:szCs w:val="20"/>
    </w:rPr>
  </w:style>
  <w:style w:type="paragraph" w:styleId="18">
    <w:name w:val="caption"/>
    <w:basedOn w:val="1"/>
    <w:next w:val="1"/>
    <w:qFormat/>
    <w:uiPriority w:val="35"/>
    <w:pPr>
      <w:spacing w:line="480" w:lineRule="exact"/>
      <w:ind w:firstLine="200" w:firstLineChars="200"/>
    </w:pPr>
    <w:rPr>
      <w:rFonts w:ascii="Arial" w:hAnsi="Arial" w:eastAsia="黑体" w:cs="Arial"/>
      <w:sz w:val="20"/>
      <w:szCs w:val="20"/>
    </w:rPr>
  </w:style>
  <w:style w:type="paragraph" w:styleId="19">
    <w:name w:val="List Bullet"/>
    <w:basedOn w:val="1"/>
    <w:uiPriority w:val="0"/>
    <w:pPr>
      <w:tabs>
        <w:tab w:val="left" w:pos="360"/>
      </w:tabs>
      <w:spacing w:line="360" w:lineRule="auto"/>
      <w:ind w:left="360" w:hanging="360" w:hangingChars="200"/>
      <w:jc w:val="left"/>
    </w:pPr>
    <w:rPr>
      <w:sz w:val="24"/>
      <w:szCs w:val="20"/>
    </w:rPr>
  </w:style>
  <w:style w:type="paragraph" w:styleId="20">
    <w:name w:val="Document Map"/>
    <w:basedOn w:val="1"/>
    <w:link w:val="173"/>
    <w:qFormat/>
    <w:uiPriority w:val="0"/>
    <w:pPr>
      <w:shd w:val="clear" w:color="auto" w:fill="000080"/>
    </w:pPr>
  </w:style>
  <w:style w:type="paragraph" w:styleId="21">
    <w:name w:val="index 6"/>
    <w:basedOn w:val="1"/>
    <w:next w:val="1"/>
    <w:uiPriority w:val="0"/>
    <w:pPr>
      <w:ind w:left="1000" w:leftChars="1000"/>
    </w:pPr>
  </w:style>
  <w:style w:type="paragraph" w:styleId="22">
    <w:name w:val="Salutation"/>
    <w:basedOn w:val="1"/>
    <w:next w:val="1"/>
    <w:link w:val="166"/>
    <w:qFormat/>
    <w:uiPriority w:val="0"/>
  </w:style>
  <w:style w:type="paragraph" w:styleId="23">
    <w:name w:val="Body Text 3"/>
    <w:basedOn w:val="1"/>
    <w:link w:val="114"/>
    <w:uiPriority w:val="0"/>
    <w:pPr>
      <w:spacing w:after="120"/>
    </w:pPr>
    <w:rPr>
      <w:sz w:val="16"/>
      <w:szCs w:val="16"/>
    </w:rPr>
  </w:style>
  <w:style w:type="paragraph" w:styleId="24">
    <w:name w:val="Body Text Indent"/>
    <w:basedOn w:val="1"/>
    <w:link w:val="118"/>
    <w:qFormat/>
    <w:uiPriority w:val="0"/>
    <w:pPr>
      <w:spacing w:line="360" w:lineRule="auto"/>
      <w:ind w:firstLine="480" w:firstLineChars="200"/>
    </w:pPr>
    <w:rPr>
      <w:sz w:val="24"/>
      <w:szCs w:val="20"/>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Block Text"/>
    <w:basedOn w:val="1"/>
    <w:uiPriority w:val="0"/>
    <w:pPr>
      <w:spacing w:line="280" w:lineRule="atLeast"/>
      <w:ind w:left="-105" w:leftChars="-50" w:right="-105" w:rightChars="-50"/>
      <w:jc w:val="center"/>
    </w:pPr>
    <w:rPr>
      <w:szCs w:val="20"/>
    </w:rPr>
  </w:style>
  <w:style w:type="paragraph" w:styleId="27">
    <w:name w:val="index 4"/>
    <w:basedOn w:val="1"/>
    <w:next w:val="1"/>
    <w:uiPriority w:val="0"/>
    <w:pPr>
      <w:ind w:left="600" w:leftChars="600"/>
    </w:pPr>
  </w:style>
  <w:style w:type="paragraph" w:styleId="28">
    <w:name w:val="toc 5"/>
    <w:basedOn w:val="1"/>
    <w:next w:val="1"/>
    <w:qFormat/>
    <w:uiPriority w:val="0"/>
    <w:pPr>
      <w:ind w:left="1680" w:leftChars="800"/>
    </w:pPr>
  </w:style>
  <w:style w:type="paragraph" w:styleId="29">
    <w:name w:val="toc 3"/>
    <w:basedOn w:val="1"/>
    <w:next w:val="1"/>
    <w:qFormat/>
    <w:uiPriority w:val="0"/>
    <w:pPr>
      <w:spacing w:line="360" w:lineRule="auto"/>
    </w:pPr>
    <w:rPr>
      <w:spacing w:val="-6"/>
      <w:sz w:val="24"/>
      <w:szCs w:val="20"/>
    </w:rPr>
  </w:style>
  <w:style w:type="paragraph" w:styleId="30">
    <w:name w:val="Plain Text"/>
    <w:basedOn w:val="1"/>
    <w:link w:val="99"/>
    <w:qFormat/>
    <w:uiPriority w:val="0"/>
    <w:rPr>
      <w:rFonts w:ascii="宋体" w:hAnsi="Courier New"/>
      <w:szCs w:val="20"/>
    </w:rPr>
  </w:style>
  <w:style w:type="paragraph" w:styleId="31">
    <w:name w:val="toc 8"/>
    <w:basedOn w:val="1"/>
    <w:next w:val="1"/>
    <w:qFormat/>
    <w:uiPriority w:val="0"/>
    <w:pPr>
      <w:spacing w:line="360" w:lineRule="auto"/>
      <w:ind w:left="2940" w:leftChars="1400" w:firstLine="480" w:firstLineChars="200"/>
      <w:jc w:val="left"/>
    </w:pPr>
    <w:rPr>
      <w:sz w:val="24"/>
      <w:szCs w:val="21"/>
    </w:rPr>
  </w:style>
  <w:style w:type="paragraph" w:styleId="32">
    <w:name w:val="Date"/>
    <w:basedOn w:val="1"/>
    <w:next w:val="1"/>
    <w:link w:val="91"/>
    <w:uiPriority w:val="0"/>
    <w:pPr>
      <w:ind w:left="100" w:leftChars="2500"/>
    </w:pPr>
    <w:rPr>
      <w:sz w:val="24"/>
    </w:rPr>
  </w:style>
  <w:style w:type="paragraph" w:styleId="33">
    <w:name w:val="Body Text Indent 2"/>
    <w:basedOn w:val="1"/>
    <w:link w:val="121"/>
    <w:qFormat/>
    <w:uiPriority w:val="0"/>
    <w:pPr>
      <w:spacing w:line="460" w:lineRule="exact"/>
      <w:ind w:left="660"/>
    </w:pPr>
    <w:rPr>
      <w:sz w:val="24"/>
      <w:szCs w:val="20"/>
    </w:rPr>
  </w:style>
  <w:style w:type="paragraph" w:styleId="34">
    <w:name w:val="Balloon Text"/>
    <w:basedOn w:val="1"/>
    <w:link w:val="103"/>
    <w:qFormat/>
    <w:uiPriority w:val="99"/>
    <w:rPr>
      <w:sz w:val="18"/>
      <w:szCs w:val="18"/>
    </w:rPr>
  </w:style>
  <w:style w:type="paragraph" w:styleId="35">
    <w:name w:val="footer"/>
    <w:basedOn w:val="1"/>
    <w:link w:val="90"/>
    <w:qFormat/>
    <w:uiPriority w:val="99"/>
    <w:pPr>
      <w:tabs>
        <w:tab w:val="center" w:pos="4153"/>
        <w:tab w:val="right" w:pos="8306"/>
      </w:tabs>
      <w:snapToGrid w:val="0"/>
      <w:jc w:val="left"/>
    </w:pPr>
    <w:rPr>
      <w:sz w:val="18"/>
      <w:szCs w:val="18"/>
    </w:rPr>
  </w:style>
  <w:style w:type="paragraph" w:styleId="36">
    <w:name w:val="Body Text First Indent 2"/>
    <w:basedOn w:val="24"/>
    <w:link w:val="565"/>
    <w:uiPriority w:val="0"/>
    <w:pPr>
      <w:spacing w:after="120" w:line="240" w:lineRule="auto"/>
      <w:ind w:left="420" w:leftChars="200" w:firstLine="420"/>
    </w:pPr>
    <w:rPr>
      <w:sz w:val="21"/>
      <w:szCs w:val="24"/>
    </w:rPr>
  </w:style>
  <w:style w:type="paragraph" w:styleId="37">
    <w:name w:val="header"/>
    <w:basedOn w:val="1"/>
    <w:link w:val="89"/>
    <w:qFormat/>
    <w:uiPriority w:val="99"/>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0"/>
    <w:pPr>
      <w:spacing w:line="360" w:lineRule="auto"/>
      <w:ind w:firstLine="200" w:firstLineChars="200"/>
      <w:jc w:val="left"/>
    </w:pPr>
    <w:rPr>
      <w:sz w:val="24"/>
      <w:szCs w:val="21"/>
    </w:rPr>
  </w:style>
  <w:style w:type="paragraph" w:styleId="39">
    <w:name w:val="toc 4"/>
    <w:basedOn w:val="1"/>
    <w:next w:val="1"/>
    <w:qFormat/>
    <w:uiPriority w:val="0"/>
    <w:pPr>
      <w:spacing w:line="360" w:lineRule="auto"/>
      <w:ind w:left="1260" w:leftChars="600" w:firstLine="480" w:firstLineChars="200"/>
      <w:jc w:val="left"/>
    </w:pPr>
    <w:rPr>
      <w:sz w:val="24"/>
      <w:szCs w:val="21"/>
    </w:rPr>
  </w:style>
  <w:style w:type="paragraph" w:styleId="40">
    <w:name w:val="Subtitle"/>
    <w:basedOn w:val="1"/>
    <w:next w:val="1"/>
    <w:link w:val="520"/>
    <w:qFormat/>
    <w:uiPriority w:val="0"/>
    <w:pPr>
      <w:adjustRightInd w:val="0"/>
      <w:spacing w:before="240" w:after="60" w:line="312" w:lineRule="atLeast"/>
      <w:jc w:val="center"/>
      <w:textAlignment w:val="baseline"/>
      <w:outlineLvl w:val="1"/>
    </w:pPr>
    <w:rPr>
      <w:rFonts w:asciiTheme="majorHAnsi" w:hAnsiTheme="majorHAnsi" w:cstheme="majorBidi"/>
      <w:b/>
      <w:bCs/>
      <w:kern w:val="28"/>
      <w:sz w:val="32"/>
      <w:szCs w:val="32"/>
    </w:rPr>
  </w:style>
  <w:style w:type="paragraph" w:styleId="41">
    <w:name w:val="List"/>
    <w:basedOn w:val="1"/>
    <w:link w:val="93"/>
    <w:qFormat/>
    <w:uiPriority w:val="0"/>
    <w:pPr>
      <w:ind w:left="200" w:hanging="200" w:hangingChars="200"/>
    </w:pPr>
    <w:rPr>
      <w:szCs w:val="20"/>
    </w:rPr>
  </w:style>
  <w:style w:type="paragraph" w:styleId="42">
    <w:name w:val="footnote text"/>
    <w:basedOn w:val="1"/>
    <w:link w:val="309"/>
    <w:uiPriority w:val="0"/>
    <w:pPr>
      <w:snapToGrid w:val="0"/>
      <w:jc w:val="left"/>
    </w:pPr>
    <w:rPr>
      <w:sz w:val="18"/>
      <w:szCs w:val="18"/>
    </w:rPr>
  </w:style>
  <w:style w:type="paragraph" w:styleId="43">
    <w:name w:val="toc 6"/>
    <w:basedOn w:val="1"/>
    <w:next w:val="1"/>
    <w:qFormat/>
    <w:uiPriority w:val="0"/>
    <w:pPr>
      <w:spacing w:line="360" w:lineRule="auto"/>
      <w:ind w:left="2100" w:leftChars="1000" w:firstLine="480" w:firstLineChars="200"/>
      <w:jc w:val="left"/>
    </w:pPr>
    <w:rPr>
      <w:sz w:val="24"/>
      <w:szCs w:val="21"/>
    </w:rPr>
  </w:style>
  <w:style w:type="paragraph" w:styleId="44">
    <w:name w:val="Body Text Indent 3"/>
    <w:basedOn w:val="1"/>
    <w:link w:val="119"/>
    <w:qFormat/>
    <w:uiPriority w:val="0"/>
    <w:pPr>
      <w:spacing w:line="460" w:lineRule="exact"/>
      <w:ind w:left="479" w:leftChars="228" w:firstLine="360" w:firstLineChars="150"/>
    </w:pPr>
    <w:rPr>
      <w:sz w:val="24"/>
      <w:szCs w:val="20"/>
    </w:rPr>
  </w:style>
  <w:style w:type="paragraph" w:styleId="45">
    <w:name w:val="table of figures"/>
    <w:basedOn w:val="1"/>
    <w:next w:val="1"/>
    <w:uiPriority w:val="0"/>
    <w:pPr>
      <w:ind w:left="840" w:leftChars="200" w:hanging="420" w:hangingChars="200"/>
    </w:pPr>
  </w:style>
  <w:style w:type="paragraph" w:styleId="46">
    <w:name w:val="toc 2"/>
    <w:basedOn w:val="1"/>
    <w:next w:val="1"/>
    <w:qFormat/>
    <w:uiPriority w:val="0"/>
    <w:pPr>
      <w:spacing w:line="360" w:lineRule="auto"/>
      <w:ind w:left="480" w:leftChars="200" w:firstLine="200" w:firstLineChars="200"/>
      <w:jc w:val="left"/>
    </w:pPr>
    <w:rPr>
      <w:sz w:val="24"/>
      <w:szCs w:val="21"/>
    </w:rPr>
  </w:style>
  <w:style w:type="paragraph" w:styleId="47">
    <w:name w:val="toc 9"/>
    <w:basedOn w:val="1"/>
    <w:next w:val="1"/>
    <w:qFormat/>
    <w:uiPriority w:val="0"/>
    <w:pPr>
      <w:spacing w:line="360" w:lineRule="auto"/>
      <w:ind w:left="3360" w:leftChars="1600" w:firstLine="480" w:firstLineChars="200"/>
      <w:jc w:val="left"/>
    </w:pPr>
    <w:rPr>
      <w:sz w:val="24"/>
      <w:szCs w:val="21"/>
    </w:rPr>
  </w:style>
  <w:style w:type="paragraph" w:styleId="48">
    <w:name w:val="Body Text 2"/>
    <w:basedOn w:val="1"/>
    <w:link w:val="200"/>
    <w:uiPriority w:val="0"/>
    <w:pPr>
      <w:adjustRightInd w:val="0"/>
      <w:textAlignment w:val="baseline"/>
    </w:pPr>
    <w:rPr>
      <w:rFonts w:ascii="仿宋_GB2312" w:eastAsia="仿宋_GB2312"/>
      <w:kern w:val="0"/>
      <w:szCs w:val="20"/>
    </w:rPr>
  </w:style>
  <w:style w:type="paragraph" w:styleId="49">
    <w:name w:val="HTML Preformatted"/>
    <w:basedOn w:val="1"/>
    <w:link w:val="15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index 1"/>
    <w:basedOn w:val="1"/>
    <w:next w:val="1"/>
    <w:uiPriority w:val="0"/>
    <w:pPr>
      <w:adjustRightInd w:val="0"/>
      <w:snapToGrid w:val="0"/>
      <w:spacing w:line="320" w:lineRule="exact"/>
      <w:ind w:firstLine="480" w:firstLineChars="200"/>
      <w:jc w:val="center"/>
    </w:pPr>
    <w:rPr>
      <w:sz w:val="24"/>
      <w:szCs w:val="21"/>
    </w:rPr>
  </w:style>
  <w:style w:type="paragraph" w:styleId="52">
    <w:name w:val="Title"/>
    <w:basedOn w:val="1"/>
    <w:next w:val="1"/>
    <w:link w:val="195"/>
    <w:qFormat/>
    <w:uiPriority w:val="10"/>
    <w:pPr>
      <w:spacing w:before="240" w:after="60"/>
      <w:jc w:val="center"/>
      <w:outlineLvl w:val="0"/>
    </w:pPr>
    <w:rPr>
      <w:rFonts w:ascii="Cambria" w:hAnsi="Cambria"/>
      <w:b/>
      <w:bCs/>
      <w:sz w:val="32"/>
      <w:szCs w:val="32"/>
    </w:rPr>
  </w:style>
  <w:style w:type="character" w:styleId="54">
    <w:name w:val="Strong"/>
    <w:qFormat/>
    <w:uiPriority w:val="0"/>
    <w:rPr>
      <w:b/>
      <w:bCs/>
    </w:rPr>
  </w:style>
  <w:style w:type="character" w:styleId="55">
    <w:name w:val="endnote reference"/>
    <w:qFormat/>
    <w:uiPriority w:val="0"/>
    <w:rPr>
      <w:vertAlign w:val="superscript"/>
    </w:rPr>
  </w:style>
  <w:style w:type="character" w:styleId="56">
    <w:name w:val="page number"/>
    <w:basedOn w:val="53"/>
    <w:qFormat/>
    <w:uiPriority w:val="0"/>
  </w:style>
  <w:style w:type="character" w:styleId="57">
    <w:name w:val="FollowedHyperlink"/>
    <w:basedOn w:val="53"/>
    <w:qFormat/>
    <w:uiPriority w:val="0"/>
    <w:rPr>
      <w:color w:val="800080"/>
      <w:u w:val="single"/>
    </w:rPr>
  </w:style>
  <w:style w:type="character" w:styleId="58">
    <w:name w:val="Emphasis"/>
    <w:qFormat/>
    <w:uiPriority w:val="0"/>
    <w:rPr>
      <w:color w:val="CC0000"/>
    </w:rPr>
  </w:style>
  <w:style w:type="character" w:styleId="59">
    <w:name w:val="line number"/>
    <w:basedOn w:val="53"/>
    <w:uiPriority w:val="99"/>
  </w:style>
  <w:style w:type="character" w:styleId="60">
    <w:name w:val="HTML Definition"/>
    <w:unhideWhenUsed/>
    <w:qFormat/>
    <w:uiPriority w:val="0"/>
  </w:style>
  <w:style w:type="character" w:styleId="61">
    <w:name w:val="HTML Variable"/>
    <w:unhideWhenUsed/>
    <w:qFormat/>
    <w:uiPriority w:val="0"/>
  </w:style>
  <w:style w:type="character" w:styleId="62">
    <w:name w:val="Hyperlink"/>
    <w:qFormat/>
    <w:uiPriority w:val="0"/>
    <w:rPr>
      <w:color w:val="0000FF"/>
      <w:u w:val="single"/>
    </w:rPr>
  </w:style>
  <w:style w:type="character" w:styleId="63">
    <w:name w:val="HTML Code"/>
    <w:unhideWhenUsed/>
    <w:qFormat/>
    <w:uiPriority w:val="0"/>
    <w:rPr>
      <w:rFonts w:hint="default" w:ascii="monospace" w:hAnsi="monospace" w:eastAsia="monospace" w:cs="monospace"/>
      <w:sz w:val="21"/>
      <w:szCs w:val="21"/>
    </w:rPr>
  </w:style>
  <w:style w:type="character" w:styleId="64">
    <w:name w:val="annotation reference"/>
    <w:qFormat/>
    <w:uiPriority w:val="0"/>
    <w:rPr>
      <w:sz w:val="21"/>
      <w:szCs w:val="21"/>
    </w:rPr>
  </w:style>
  <w:style w:type="character" w:styleId="65">
    <w:name w:val="HTML Cite"/>
    <w:unhideWhenUsed/>
    <w:qFormat/>
    <w:uiPriority w:val="0"/>
  </w:style>
  <w:style w:type="character" w:styleId="66">
    <w:name w:val="footnote reference"/>
    <w:uiPriority w:val="0"/>
    <w:rPr>
      <w:vertAlign w:val="superscript"/>
    </w:rPr>
  </w:style>
  <w:style w:type="character" w:styleId="67">
    <w:name w:val="HTML Keyboard"/>
    <w:unhideWhenUsed/>
    <w:qFormat/>
    <w:uiPriority w:val="99"/>
    <w:rPr>
      <w:rFonts w:hint="default" w:ascii="monospace" w:hAnsi="monospace" w:eastAsia="monospace" w:cs="monospace"/>
      <w:sz w:val="21"/>
      <w:szCs w:val="21"/>
    </w:rPr>
  </w:style>
  <w:style w:type="character" w:styleId="68">
    <w:name w:val="HTML Sample"/>
    <w:unhideWhenUsed/>
    <w:qFormat/>
    <w:uiPriority w:val="99"/>
    <w:rPr>
      <w:rFonts w:ascii="monospace" w:hAnsi="monospace" w:eastAsia="monospace" w:cs="monospace"/>
      <w:sz w:val="21"/>
      <w:szCs w:val="21"/>
    </w:rPr>
  </w:style>
  <w:style w:type="table" w:styleId="70">
    <w:name w:val="Table Grid"/>
    <w:basedOn w:val="6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71">
    <w:name w:val="Table Theme"/>
    <w:basedOn w:val="6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72">
    <w:name w:val="Table Colorful 1"/>
    <w:basedOn w:val="69"/>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CellMar>
        <w:top w:w="0" w:type="dxa"/>
        <w:left w:w="108" w:type="dxa"/>
        <w:bottom w:w="0" w:type="dxa"/>
        <w:right w:w="108" w:type="dxa"/>
      </w:tblCellMar>
    </w:tblPr>
    <w:tcPr>
      <w:shd w:val="solid" w:color="008080" w:fill="FFFFFF"/>
    </w:tcPr>
    <w:tblStylePr w:type="firstRow">
      <w:rPr>
        <w:b/>
        <w:bCs/>
        <w:i/>
        <w:iCs/>
      </w:rPr>
      <w:tblPr>
        <w:tblLayout w:type="fixed"/>
      </w:tblPr>
      <w:tcPr>
        <w:tcBorders>
          <w:top w:val="nil"/>
          <w:left w:val="nil"/>
          <w:bottom w:val="nil"/>
          <w:right w:val="nil"/>
          <w:insideH w:val="nil"/>
          <w:insideV w:val="nil"/>
          <w:tl2br w:val="nil"/>
          <w:tr2bl w:val="nil"/>
        </w:tcBorders>
        <w:shd w:val="solid" w:color="000000" w:fill="FFFFFF"/>
      </w:tcPr>
    </w:tblStylePr>
    <w:tblStylePr w:type="firstCol">
      <w:rPr>
        <w:b/>
        <w:bCs/>
        <w:i/>
        <w:iCs/>
      </w:rPr>
      <w:tblPr>
        <w:tblLayout w:type="fixed"/>
      </w:tblPr>
      <w:tcPr>
        <w:tcBorders>
          <w:top w:val="nil"/>
          <w:left w:val="nil"/>
          <w:bottom w:val="nil"/>
          <w:right w:val="nil"/>
          <w:insideH w:val="nil"/>
          <w:insideV w:val="nil"/>
          <w:tl2br w:val="nil"/>
          <w:tr2bl w:val="nil"/>
        </w:tcBorders>
        <w:shd w:val="solid" w:color="000080" w:fill="FFFFFF"/>
      </w:tcPr>
    </w:tblStylePr>
    <w:tblStylePr w:type="nwCell">
      <w:tblPr>
        <w:tblLayout w:type="fixed"/>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73">
    <w:name w:val="Table Elegant"/>
    <w:basedOn w:val="69"/>
    <w:uiPriority w:val="0"/>
    <w:pPr>
      <w:widowControl w:val="0"/>
      <w:jc w:val="both"/>
    </w:pPr>
    <w:rPr>
      <w:rFonts w:ascii="Calibri" w:hAnsi="Calibri"/>
      <w:kern w:val="2"/>
      <w:sz w:val="21"/>
      <w:szCs w:val="22"/>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styleId="74">
    <w:name w:val="Table Grid 1"/>
    <w:basedOn w:val="69"/>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l2br w:val="nil"/>
          <w:tr2bl w:val="nil"/>
        </w:tcBorders>
      </w:tcPr>
    </w:tblStylePr>
    <w:tblStylePr w:type="lastCol">
      <w:rPr>
        <w:i/>
        <w:i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75">
    <w:name w:val="Table Grid 5"/>
    <w:basedOn w:val="69"/>
    <w:uiPriority w:val="0"/>
    <w:pPr>
      <w:widowControl w:val="0"/>
      <w:jc w:val="both"/>
    </w:pPr>
    <w:rPr>
      <w:rFonts w:ascii="Calibri" w:hAnsi="Calibri"/>
      <w:kern w:val="2"/>
      <w:sz w:val="21"/>
      <w:szCs w:val="22"/>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character" w:customStyle="1" w:styleId="76">
    <w:name w:val="标题 1 Char"/>
    <w:link w:val="2"/>
    <w:uiPriority w:val="0"/>
    <w:rPr>
      <w:kern w:val="2"/>
      <w:sz w:val="28"/>
      <w:szCs w:val="24"/>
    </w:rPr>
  </w:style>
  <w:style w:type="character" w:customStyle="1" w:styleId="77">
    <w:name w:val="标题 2 Char2"/>
    <w:link w:val="3"/>
    <w:uiPriority w:val="0"/>
    <w:rPr>
      <w:rFonts w:ascii="Arial" w:hAnsi="Arial" w:eastAsia="黑体"/>
      <w:b/>
      <w:bCs/>
      <w:kern w:val="2"/>
      <w:sz w:val="32"/>
      <w:szCs w:val="32"/>
    </w:rPr>
  </w:style>
  <w:style w:type="character" w:customStyle="1" w:styleId="78">
    <w:name w:val="标题 3 Char"/>
    <w:link w:val="4"/>
    <w:uiPriority w:val="0"/>
    <w:rPr>
      <w:rFonts w:eastAsia="宋体"/>
      <w:b/>
      <w:bCs/>
      <w:kern w:val="2"/>
      <w:sz w:val="32"/>
      <w:szCs w:val="32"/>
      <w:lang w:val="en-US" w:eastAsia="zh-CN" w:bidi="ar-SA"/>
    </w:rPr>
  </w:style>
  <w:style w:type="character" w:customStyle="1" w:styleId="79">
    <w:name w:val="标题 4 Char"/>
    <w:basedOn w:val="53"/>
    <w:link w:val="5"/>
    <w:uiPriority w:val="0"/>
    <w:rPr>
      <w:rFonts w:ascii="Arial" w:hAnsi="Arial" w:eastAsia="黑体"/>
      <w:b/>
      <w:bCs/>
      <w:kern w:val="2"/>
      <w:sz w:val="28"/>
      <w:szCs w:val="28"/>
    </w:rPr>
  </w:style>
  <w:style w:type="character" w:customStyle="1" w:styleId="80">
    <w:name w:val="标题 5 Char"/>
    <w:basedOn w:val="53"/>
    <w:link w:val="6"/>
    <w:uiPriority w:val="0"/>
    <w:rPr>
      <w:b/>
      <w:sz w:val="28"/>
    </w:rPr>
  </w:style>
  <w:style w:type="character" w:customStyle="1" w:styleId="81">
    <w:name w:val="标题 6 Char"/>
    <w:basedOn w:val="53"/>
    <w:link w:val="7"/>
    <w:uiPriority w:val="0"/>
    <w:rPr>
      <w:rFonts w:ascii="Arial" w:hAnsi="Arial" w:eastAsia="黑体"/>
      <w:b/>
      <w:sz w:val="24"/>
    </w:rPr>
  </w:style>
  <w:style w:type="character" w:customStyle="1" w:styleId="82">
    <w:name w:val="标题 7 Char"/>
    <w:basedOn w:val="53"/>
    <w:link w:val="8"/>
    <w:uiPriority w:val="0"/>
    <w:rPr>
      <w:b/>
      <w:sz w:val="24"/>
    </w:rPr>
  </w:style>
  <w:style w:type="character" w:customStyle="1" w:styleId="83">
    <w:name w:val="标题 8 Char"/>
    <w:basedOn w:val="53"/>
    <w:link w:val="9"/>
    <w:uiPriority w:val="0"/>
    <w:rPr>
      <w:rFonts w:ascii="Arial" w:hAnsi="Arial" w:eastAsia="黑体"/>
      <w:sz w:val="24"/>
    </w:rPr>
  </w:style>
  <w:style w:type="character" w:customStyle="1" w:styleId="84">
    <w:name w:val="标题 9 Char"/>
    <w:basedOn w:val="53"/>
    <w:link w:val="10"/>
    <w:uiPriority w:val="0"/>
    <w:rPr>
      <w:rFonts w:ascii="Arial" w:hAnsi="Arial" w:eastAsia="黑体"/>
      <w:sz w:val="24"/>
    </w:rPr>
  </w:style>
  <w:style w:type="character" w:customStyle="1" w:styleId="85">
    <w:name w:val="-表格 Char"/>
    <w:link w:val="86"/>
    <w:uiPriority w:val="0"/>
    <w:rPr>
      <w:rFonts w:ascii="宋体" w:hAnsi="宋体" w:eastAsia="宋体" w:cs="宋体"/>
      <w:snapToGrid w:val="0"/>
      <w:kern w:val="2"/>
      <w:sz w:val="21"/>
      <w:lang w:val="en-US" w:eastAsia="zh-CN" w:bidi="ar-SA"/>
    </w:rPr>
  </w:style>
  <w:style w:type="paragraph" w:customStyle="1" w:styleId="86">
    <w:name w:val="-表格"/>
    <w:basedOn w:val="87"/>
    <w:next w:val="1"/>
    <w:link w:val="85"/>
    <w:qFormat/>
    <w:uiPriority w:val="0"/>
    <w:pPr>
      <w:tabs>
        <w:tab w:val="left" w:pos="3696"/>
      </w:tabs>
      <w:spacing w:line="240" w:lineRule="auto"/>
    </w:pPr>
    <w:rPr>
      <w:rFonts w:cs="宋体"/>
      <w:kern w:val="2"/>
    </w:rPr>
  </w:style>
  <w:style w:type="paragraph" w:customStyle="1" w:styleId="87">
    <w:name w:val="表格"/>
    <w:next w:val="1"/>
    <w:link w:val="88"/>
    <w:qFormat/>
    <w:uiPriority w:val="0"/>
    <w:pPr>
      <w:spacing w:line="380" w:lineRule="exact"/>
      <w:jc w:val="center"/>
    </w:pPr>
    <w:rPr>
      <w:rFonts w:ascii="宋体" w:hAnsi="宋体" w:eastAsia="宋体" w:cs="Times New Roman"/>
      <w:snapToGrid w:val="0"/>
      <w:sz w:val="21"/>
      <w:lang w:val="en-US" w:eastAsia="zh-CN" w:bidi="ar-SA"/>
    </w:rPr>
  </w:style>
  <w:style w:type="character" w:customStyle="1" w:styleId="88">
    <w:name w:val="表格 Char"/>
    <w:link w:val="87"/>
    <w:qFormat/>
    <w:uiPriority w:val="0"/>
    <w:rPr>
      <w:rFonts w:ascii="宋体" w:hAnsi="宋体"/>
      <w:snapToGrid w:val="0"/>
      <w:sz w:val="21"/>
      <w:lang w:val="en-US" w:eastAsia="zh-CN" w:bidi="ar-SA"/>
    </w:rPr>
  </w:style>
  <w:style w:type="character" w:customStyle="1" w:styleId="89">
    <w:name w:val="页眉 Char"/>
    <w:link w:val="37"/>
    <w:uiPriority w:val="99"/>
    <w:rPr>
      <w:rFonts w:eastAsia="宋体"/>
      <w:kern w:val="2"/>
      <w:sz w:val="18"/>
      <w:szCs w:val="18"/>
      <w:lang w:val="en-US" w:eastAsia="zh-CN" w:bidi="ar-SA"/>
    </w:rPr>
  </w:style>
  <w:style w:type="character" w:customStyle="1" w:styleId="90">
    <w:name w:val="页脚 Char"/>
    <w:link w:val="35"/>
    <w:qFormat/>
    <w:uiPriority w:val="99"/>
    <w:rPr>
      <w:kern w:val="2"/>
      <w:sz w:val="18"/>
      <w:szCs w:val="18"/>
    </w:rPr>
  </w:style>
  <w:style w:type="character" w:customStyle="1" w:styleId="91">
    <w:name w:val="日期 Char"/>
    <w:link w:val="32"/>
    <w:uiPriority w:val="0"/>
    <w:rPr>
      <w:kern w:val="2"/>
      <w:sz w:val="24"/>
      <w:szCs w:val="24"/>
    </w:rPr>
  </w:style>
  <w:style w:type="paragraph" w:customStyle="1" w:styleId="92">
    <w:name w:val="居中"/>
    <w:uiPriority w:val="0"/>
    <w:pPr>
      <w:spacing w:line="360" w:lineRule="auto"/>
      <w:ind w:firstLine="482" w:firstLineChars="200"/>
    </w:pPr>
    <w:rPr>
      <w:rFonts w:ascii="Times New Roman" w:hAnsi="Times New Roman" w:eastAsia="宋体" w:cs="宋体"/>
      <w:kern w:val="2"/>
      <w:sz w:val="21"/>
      <w:lang w:val="en-US" w:eastAsia="zh-CN" w:bidi="ar-SA"/>
    </w:rPr>
  </w:style>
  <w:style w:type="character" w:customStyle="1" w:styleId="93">
    <w:name w:val="列表 Char"/>
    <w:link w:val="41"/>
    <w:uiPriority w:val="0"/>
    <w:rPr>
      <w:kern w:val="2"/>
      <w:sz w:val="21"/>
    </w:rPr>
  </w:style>
  <w:style w:type="paragraph" w:customStyle="1" w:styleId="94">
    <w:name w:val="表格文字"/>
    <w:basedOn w:val="1"/>
    <w:link w:val="95"/>
    <w:qFormat/>
    <w:uiPriority w:val="0"/>
    <w:pPr>
      <w:autoSpaceDE w:val="0"/>
      <w:autoSpaceDN w:val="0"/>
      <w:adjustRightInd w:val="0"/>
      <w:spacing w:before="60" w:after="60"/>
      <w:jc w:val="left"/>
      <w:textAlignment w:val="bottom"/>
    </w:pPr>
    <w:rPr>
      <w:kern w:val="0"/>
      <w:szCs w:val="20"/>
    </w:rPr>
  </w:style>
  <w:style w:type="character" w:customStyle="1" w:styleId="95">
    <w:name w:val="表格文字 Char"/>
    <w:link w:val="94"/>
    <w:uiPriority w:val="0"/>
    <w:rPr>
      <w:sz w:val="21"/>
    </w:rPr>
  </w:style>
  <w:style w:type="paragraph" w:customStyle="1" w:styleId="96">
    <w:name w:val="段落"/>
    <w:basedOn w:val="1"/>
    <w:uiPriority w:val="0"/>
    <w:pPr>
      <w:spacing w:line="360" w:lineRule="auto"/>
      <w:ind w:firstLine="560" w:firstLineChars="200"/>
    </w:pPr>
    <w:rPr>
      <w:rFonts w:ascii="宋体" w:hAnsi="宋体"/>
      <w:color w:val="FF0000"/>
      <w:sz w:val="28"/>
      <w:szCs w:val="28"/>
    </w:rPr>
  </w:style>
  <w:style w:type="paragraph" w:customStyle="1" w:styleId="97">
    <w:name w:val="默认段落字体 Para Char Char Char Char"/>
    <w:basedOn w:val="1"/>
    <w:uiPriority w:val="0"/>
    <w:rPr>
      <w:sz w:val="24"/>
    </w:rPr>
  </w:style>
  <w:style w:type="paragraph" w:customStyle="1" w:styleId="98">
    <w:name w:val="标题-3"/>
    <w:basedOn w:val="1"/>
    <w:qFormat/>
    <w:uiPriority w:val="0"/>
    <w:pPr>
      <w:spacing w:line="480" w:lineRule="exact"/>
      <w:ind w:firstLine="482" w:firstLineChars="200"/>
    </w:pPr>
    <w:rPr>
      <w:rFonts w:cs="宋体"/>
      <w:b/>
      <w:bCs/>
      <w:sz w:val="24"/>
      <w:szCs w:val="20"/>
    </w:rPr>
  </w:style>
  <w:style w:type="character" w:customStyle="1" w:styleId="99">
    <w:name w:val="纯文本 Char1"/>
    <w:link w:val="30"/>
    <w:uiPriority w:val="99"/>
    <w:rPr>
      <w:rFonts w:ascii="宋体" w:hAnsi="Courier New" w:eastAsia="宋体"/>
      <w:kern w:val="2"/>
      <w:sz w:val="21"/>
      <w:lang w:val="en-US" w:eastAsia="zh-CN" w:bidi="ar-SA"/>
    </w:rPr>
  </w:style>
  <w:style w:type="paragraph" w:customStyle="1" w:styleId="100">
    <w:name w:val="默认段落字体 Para Char Char"/>
    <w:basedOn w:val="1"/>
    <w:uiPriority w:val="0"/>
    <w:rPr>
      <w:rFonts w:ascii="仿宋_GB2312" w:hAnsi="宋体" w:eastAsia="仿宋_GB2312"/>
      <w:sz w:val="24"/>
      <w:szCs w:val="20"/>
    </w:rPr>
  </w:style>
  <w:style w:type="character" w:customStyle="1" w:styleId="101">
    <w:name w:val="批注文字 Char"/>
    <w:link w:val="12"/>
    <w:uiPriority w:val="0"/>
    <w:rPr>
      <w:kern w:val="2"/>
      <w:sz w:val="21"/>
      <w:szCs w:val="24"/>
    </w:rPr>
  </w:style>
  <w:style w:type="character" w:customStyle="1" w:styleId="102">
    <w:name w:val="批注主题 Char"/>
    <w:link w:val="11"/>
    <w:uiPriority w:val="0"/>
    <w:rPr>
      <w:b/>
      <w:bCs/>
      <w:kern w:val="2"/>
      <w:sz w:val="21"/>
      <w:szCs w:val="24"/>
    </w:rPr>
  </w:style>
  <w:style w:type="character" w:customStyle="1" w:styleId="103">
    <w:name w:val="批注框文本 Char"/>
    <w:link w:val="34"/>
    <w:uiPriority w:val="99"/>
    <w:rPr>
      <w:rFonts w:eastAsia="宋体"/>
      <w:kern w:val="2"/>
      <w:sz w:val="18"/>
      <w:szCs w:val="18"/>
      <w:lang w:val="en-US" w:eastAsia="zh-CN" w:bidi="ar-SA"/>
    </w:rPr>
  </w:style>
  <w:style w:type="paragraph" w:customStyle="1" w:styleId="104">
    <w:name w:val="表题"/>
    <w:link w:val="105"/>
    <w:qFormat/>
    <w:uiPriority w:val="0"/>
    <w:pPr>
      <w:spacing w:line="480" w:lineRule="exact"/>
      <w:jc w:val="center"/>
    </w:pPr>
    <w:rPr>
      <w:rFonts w:ascii="Times New Roman" w:hAnsi="宋体" w:eastAsia="宋体" w:cs="Times New Roman"/>
      <w:b/>
      <w:kern w:val="2"/>
      <w:sz w:val="21"/>
      <w:szCs w:val="24"/>
      <w:lang w:val="en-US" w:eastAsia="zh-CN" w:bidi="ar-SA"/>
    </w:rPr>
  </w:style>
  <w:style w:type="character" w:customStyle="1" w:styleId="105">
    <w:name w:val="表题 Char"/>
    <w:link w:val="104"/>
    <w:uiPriority w:val="0"/>
    <w:rPr>
      <w:rFonts w:hAnsi="宋体"/>
      <w:b/>
      <w:kern w:val="2"/>
      <w:sz w:val="21"/>
      <w:szCs w:val="24"/>
      <w:lang w:val="en-US" w:eastAsia="zh-CN" w:bidi="ar-SA"/>
    </w:rPr>
  </w:style>
  <w:style w:type="paragraph" w:customStyle="1" w:styleId="106">
    <w:name w:val="正文-1"/>
    <w:link w:val="107"/>
    <w:qFormat/>
    <w:uiPriority w:val="0"/>
    <w:pPr>
      <w:spacing w:line="480" w:lineRule="exact"/>
      <w:ind w:firstLine="200" w:firstLineChars="200"/>
      <w:jc w:val="both"/>
    </w:pPr>
    <w:rPr>
      <w:rFonts w:ascii="Times New Roman" w:hAnsi="Times New Roman" w:eastAsia="宋体" w:cs="宋体"/>
      <w:kern w:val="2"/>
      <w:sz w:val="24"/>
      <w:lang w:val="en-US" w:eastAsia="zh-CN" w:bidi="ar-SA"/>
    </w:rPr>
  </w:style>
  <w:style w:type="character" w:customStyle="1" w:styleId="107">
    <w:name w:val="正文-1 Char"/>
    <w:link w:val="106"/>
    <w:uiPriority w:val="0"/>
    <w:rPr>
      <w:rFonts w:cs="宋体"/>
      <w:kern w:val="2"/>
      <w:sz w:val="24"/>
      <w:lang w:val="en-US" w:eastAsia="zh-CN" w:bidi="ar-SA"/>
    </w:rPr>
  </w:style>
  <w:style w:type="paragraph" w:customStyle="1" w:styleId="108">
    <w:name w:val="标题-2"/>
    <w:basedOn w:val="1"/>
    <w:qFormat/>
    <w:uiPriority w:val="0"/>
    <w:pPr>
      <w:spacing w:line="360" w:lineRule="auto"/>
    </w:pPr>
    <w:rPr>
      <w:rFonts w:ascii="宋体" w:hAnsi="宋体" w:cs="宋体"/>
      <w:b/>
      <w:bCs/>
      <w:sz w:val="30"/>
      <w:szCs w:val="20"/>
    </w:rPr>
  </w:style>
  <w:style w:type="paragraph" w:customStyle="1" w:styleId="109">
    <w:name w:val="标题-1"/>
    <w:basedOn w:val="1"/>
    <w:uiPriority w:val="0"/>
    <w:pPr>
      <w:spacing w:line="360" w:lineRule="auto"/>
    </w:pPr>
    <w:rPr>
      <w:rFonts w:cs="宋体"/>
      <w:b/>
      <w:bCs/>
      <w:sz w:val="30"/>
      <w:szCs w:val="20"/>
    </w:rPr>
  </w:style>
  <w:style w:type="character" w:customStyle="1" w:styleId="110">
    <w:name w:val="正文文本 Char"/>
    <w:link w:val="15"/>
    <w:uiPriority w:val="0"/>
    <w:rPr>
      <w:rFonts w:eastAsia="宋体"/>
      <w:kern w:val="2"/>
      <w:sz w:val="24"/>
      <w:szCs w:val="24"/>
      <w:lang w:val="en-US" w:eastAsia="zh-CN" w:bidi="ar-SA"/>
    </w:rPr>
  </w:style>
  <w:style w:type="character" w:customStyle="1" w:styleId="111">
    <w:name w:val="Char Char3"/>
    <w:uiPriority w:val="0"/>
    <w:rPr>
      <w:rFonts w:eastAsia="宋体"/>
      <w:kern w:val="2"/>
      <w:sz w:val="24"/>
      <w:szCs w:val="24"/>
      <w:lang w:val="en-US" w:eastAsia="zh-CN" w:bidi="ar-SA"/>
    </w:rPr>
  </w:style>
  <w:style w:type="paragraph" w:customStyle="1" w:styleId="112">
    <w:name w:val="批注"/>
    <w:basedOn w:val="1"/>
    <w:next w:val="1"/>
    <w:link w:val="113"/>
    <w:uiPriority w:val="0"/>
    <w:pPr>
      <w:ind w:firstLine="525" w:firstLineChars="250"/>
    </w:pPr>
    <w:rPr>
      <w:rFonts w:cs="宋体"/>
      <w:szCs w:val="20"/>
    </w:rPr>
  </w:style>
  <w:style w:type="character" w:customStyle="1" w:styleId="113">
    <w:name w:val="批注 Char"/>
    <w:link w:val="112"/>
    <w:uiPriority w:val="0"/>
    <w:rPr>
      <w:rFonts w:eastAsia="宋体" w:cs="宋体"/>
      <w:kern w:val="2"/>
      <w:sz w:val="21"/>
      <w:lang w:val="en-US" w:eastAsia="zh-CN" w:bidi="ar-SA"/>
    </w:rPr>
  </w:style>
  <w:style w:type="character" w:customStyle="1" w:styleId="114">
    <w:name w:val="正文文本 3 Char1"/>
    <w:link w:val="23"/>
    <w:uiPriority w:val="99"/>
    <w:rPr>
      <w:kern w:val="2"/>
      <w:sz w:val="16"/>
      <w:szCs w:val="16"/>
    </w:rPr>
  </w:style>
  <w:style w:type="character" w:customStyle="1" w:styleId="115">
    <w:name w:val="鋘drad Char"/>
    <w:uiPriority w:val="0"/>
    <w:rPr>
      <w:rFonts w:eastAsia="宋体"/>
      <w:kern w:val="2"/>
      <w:sz w:val="24"/>
      <w:szCs w:val="24"/>
      <w:lang w:val="en-US" w:eastAsia="zh-CN" w:bidi="ar-SA"/>
    </w:rPr>
  </w:style>
  <w:style w:type="character" w:customStyle="1" w:styleId="116">
    <w:name w:val="bt Char1"/>
    <w:uiPriority w:val="0"/>
    <w:rPr>
      <w:rFonts w:eastAsia="宋体"/>
      <w:kern w:val="2"/>
      <w:sz w:val="21"/>
      <w:lang w:val="en-US" w:eastAsia="zh-CN" w:bidi="ar-SA"/>
    </w:rPr>
  </w:style>
  <w:style w:type="character" w:customStyle="1" w:styleId="117">
    <w:name w:val="正文缩进 Char"/>
    <w:link w:val="17"/>
    <w:qFormat/>
    <w:uiPriority w:val="0"/>
    <w:rPr>
      <w:rFonts w:eastAsia="宋体"/>
      <w:kern w:val="2"/>
      <w:sz w:val="21"/>
      <w:lang w:val="en-US" w:eastAsia="zh-CN" w:bidi="ar-SA"/>
    </w:rPr>
  </w:style>
  <w:style w:type="character" w:customStyle="1" w:styleId="118">
    <w:name w:val="正文文本缩进 Char"/>
    <w:link w:val="24"/>
    <w:uiPriority w:val="0"/>
    <w:rPr>
      <w:kern w:val="2"/>
      <w:sz w:val="24"/>
    </w:rPr>
  </w:style>
  <w:style w:type="character" w:customStyle="1" w:styleId="119">
    <w:name w:val="正文文本缩进 3 Char"/>
    <w:link w:val="44"/>
    <w:uiPriority w:val="0"/>
    <w:rPr>
      <w:kern w:val="2"/>
      <w:sz w:val="24"/>
    </w:rPr>
  </w:style>
  <w:style w:type="paragraph" w:customStyle="1" w:styleId="120">
    <w:name w:val="居中正文"/>
    <w:basedOn w:val="14"/>
    <w:uiPriority w:val="0"/>
    <w:pPr>
      <w:adjustRightInd w:val="0"/>
      <w:spacing w:before="120" w:after="0" w:line="360" w:lineRule="auto"/>
      <w:ind w:firstLine="0"/>
      <w:jc w:val="center"/>
      <w:textAlignment w:val="baseline"/>
    </w:pPr>
    <w:rPr>
      <w:rFonts w:ascii="宋体"/>
      <w:kern w:val="28"/>
      <w:sz w:val="24"/>
    </w:rPr>
  </w:style>
  <w:style w:type="character" w:customStyle="1" w:styleId="121">
    <w:name w:val="正文文本缩进 2 Char"/>
    <w:link w:val="33"/>
    <w:qFormat/>
    <w:uiPriority w:val="0"/>
    <w:rPr>
      <w:kern w:val="2"/>
      <w:sz w:val="24"/>
    </w:rPr>
  </w:style>
  <w:style w:type="paragraph" w:customStyle="1" w:styleId="122">
    <w:name w:val="样式4"/>
    <w:basedOn w:val="1"/>
    <w:next w:val="1"/>
    <w:link w:val="123"/>
    <w:qFormat/>
    <w:uiPriority w:val="0"/>
    <w:pPr>
      <w:spacing w:line="440" w:lineRule="exact"/>
    </w:pPr>
    <w:rPr>
      <w:sz w:val="24"/>
      <w:szCs w:val="20"/>
    </w:rPr>
  </w:style>
  <w:style w:type="character" w:customStyle="1" w:styleId="123">
    <w:name w:val="样式4 Char"/>
    <w:link w:val="122"/>
    <w:uiPriority w:val="0"/>
    <w:rPr>
      <w:kern w:val="2"/>
      <w:sz w:val="24"/>
    </w:rPr>
  </w:style>
  <w:style w:type="paragraph" w:customStyle="1" w:styleId="124">
    <w:name w:val="报告表正文"/>
    <w:basedOn w:val="1"/>
    <w:link w:val="125"/>
    <w:qFormat/>
    <w:uiPriority w:val="0"/>
    <w:pPr>
      <w:adjustRightInd w:val="0"/>
      <w:spacing w:line="312" w:lineRule="auto"/>
      <w:ind w:left="113" w:right="113" w:firstLine="482"/>
      <w:jc w:val="left"/>
      <w:textAlignment w:val="baseline"/>
    </w:pPr>
    <w:rPr>
      <w:kern w:val="0"/>
      <w:sz w:val="24"/>
      <w:szCs w:val="20"/>
    </w:rPr>
  </w:style>
  <w:style w:type="character" w:customStyle="1" w:styleId="125">
    <w:name w:val="报告表正文 Char"/>
    <w:link w:val="124"/>
    <w:qFormat/>
    <w:uiPriority w:val="0"/>
    <w:rPr>
      <w:sz w:val="24"/>
    </w:rPr>
  </w:style>
  <w:style w:type="paragraph" w:customStyle="1" w:styleId="126">
    <w:name w:val="表格抬头"/>
    <w:basedOn w:val="1"/>
    <w:link w:val="127"/>
    <w:uiPriority w:val="0"/>
    <w:pPr>
      <w:adjustRightInd w:val="0"/>
      <w:snapToGrid w:val="0"/>
      <w:spacing w:line="360" w:lineRule="auto"/>
      <w:jc w:val="center"/>
    </w:pPr>
    <w:rPr>
      <w:rFonts w:eastAsia="黑体"/>
      <w:snapToGrid w:val="0"/>
      <w:kern w:val="0"/>
      <w:szCs w:val="21"/>
    </w:rPr>
  </w:style>
  <w:style w:type="character" w:customStyle="1" w:styleId="127">
    <w:name w:val="表格抬头 Char"/>
    <w:link w:val="126"/>
    <w:uiPriority w:val="0"/>
    <w:rPr>
      <w:rFonts w:eastAsia="黑体"/>
      <w:snapToGrid w:val="0"/>
      <w:sz w:val="21"/>
      <w:szCs w:val="21"/>
      <w:lang w:val="en-US" w:eastAsia="zh-CN" w:bidi="ar-SA"/>
    </w:rPr>
  </w:style>
  <w:style w:type="paragraph" w:customStyle="1" w:styleId="128">
    <w:name w:val="样式 标题 3小标题小节标题标题3H3h33rd level第二层条标题4标题 3 Char标题 3 Cha...1"/>
    <w:basedOn w:val="4"/>
    <w:link w:val="129"/>
    <w:uiPriority w:val="0"/>
    <w:pPr>
      <w:adjustRightInd w:val="0"/>
      <w:spacing w:before="60" w:after="60" w:line="360" w:lineRule="auto"/>
      <w:jc w:val="left"/>
      <w:textAlignment w:val="baseline"/>
    </w:pPr>
    <w:rPr>
      <w:kern w:val="0"/>
      <w:sz w:val="24"/>
      <w:szCs w:val="20"/>
    </w:rPr>
  </w:style>
  <w:style w:type="character" w:customStyle="1" w:styleId="129">
    <w:name w:val="样式 标题 3小标题小节标题标题3H3h33rd level第二层条标题4标题 3 Char标题 3 Cha...1 Char"/>
    <w:link w:val="128"/>
    <w:uiPriority w:val="0"/>
    <w:rPr>
      <w:rFonts w:eastAsia="宋体"/>
      <w:b/>
      <w:bCs/>
      <w:sz w:val="24"/>
      <w:lang w:val="en-US" w:eastAsia="zh-CN" w:bidi="ar-SA"/>
    </w:rPr>
  </w:style>
  <w:style w:type="paragraph" w:customStyle="1" w:styleId="130">
    <w:name w:val="样式 宋体 小四 行距: 1.5 倍行距"/>
    <w:basedOn w:val="1"/>
    <w:link w:val="131"/>
    <w:uiPriority w:val="0"/>
    <w:pPr>
      <w:spacing w:line="360" w:lineRule="auto"/>
      <w:ind w:firstLine="480" w:firstLineChars="200"/>
    </w:pPr>
    <w:rPr>
      <w:rFonts w:cs="宋体"/>
      <w:sz w:val="24"/>
      <w:szCs w:val="20"/>
    </w:rPr>
  </w:style>
  <w:style w:type="character" w:customStyle="1" w:styleId="131">
    <w:name w:val="样式 宋体 小四 行距: 1.5 倍行距 Char"/>
    <w:link w:val="130"/>
    <w:uiPriority w:val="0"/>
    <w:rPr>
      <w:rFonts w:eastAsia="宋体" w:cs="宋体"/>
      <w:kern w:val="2"/>
      <w:sz w:val="24"/>
      <w:lang w:val="en-US" w:eastAsia="zh-CN" w:bidi="ar-SA"/>
    </w:rPr>
  </w:style>
  <w:style w:type="paragraph" w:customStyle="1" w:styleId="132">
    <w:name w:val="样式 小四 加粗 黑色 居中 行距: 1.5 倍行距1"/>
    <w:basedOn w:val="1"/>
    <w:link w:val="133"/>
    <w:uiPriority w:val="0"/>
    <w:pPr>
      <w:tabs>
        <w:tab w:val="left" w:pos="360"/>
      </w:tabs>
      <w:spacing w:line="360" w:lineRule="auto"/>
      <w:jc w:val="center"/>
    </w:pPr>
    <w:rPr>
      <w:rFonts w:cs="宋体"/>
      <w:bCs/>
      <w:color w:val="000000"/>
      <w:sz w:val="24"/>
      <w:szCs w:val="20"/>
    </w:rPr>
  </w:style>
  <w:style w:type="character" w:customStyle="1" w:styleId="133">
    <w:name w:val="样式 小四 加粗 黑色 居中 行距: 1.5 倍行距1 Char"/>
    <w:link w:val="132"/>
    <w:uiPriority w:val="0"/>
    <w:rPr>
      <w:rFonts w:eastAsia="宋体" w:cs="宋体"/>
      <w:bCs/>
      <w:color w:val="000000"/>
      <w:kern w:val="2"/>
      <w:sz w:val="24"/>
      <w:lang w:val="en-US" w:eastAsia="zh-CN" w:bidi="ar-SA"/>
    </w:rPr>
  </w:style>
  <w:style w:type="character" w:customStyle="1" w:styleId="134">
    <w:name w:val="表格内容1 Char"/>
    <w:link w:val="135"/>
    <w:uiPriority w:val="0"/>
    <w:rPr>
      <w:rFonts w:ascii="宋体" w:hAnsi="宋体"/>
      <w:snapToGrid w:val="0"/>
      <w:sz w:val="21"/>
      <w:szCs w:val="21"/>
      <w:lang w:bidi="ar-SA"/>
    </w:rPr>
  </w:style>
  <w:style w:type="paragraph" w:customStyle="1" w:styleId="135">
    <w:name w:val="表格内容1"/>
    <w:basedOn w:val="1"/>
    <w:link w:val="134"/>
    <w:uiPriority w:val="0"/>
    <w:pPr>
      <w:adjustRightInd w:val="0"/>
      <w:snapToGrid w:val="0"/>
      <w:spacing w:beforeLines="10" w:afterLines="10"/>
      <w:jc w:val="center"/>
    </w:pPr>
    <w:rPr>
      <w:rFonts w:ascii="宋体" w:hAnsi="宋体"/>
      <w:snapToGrid w:val="0"/>
      <w:kern w:val="0"/>
      <w:szCs w:val="21"/>
    </w:rPr>
  </w:style>
  <w:style w:type="paragraph" w:customStyle="1" w:styleId="136">
    <w:name w:val="样式 标题 2标题2节标题1.1H2h2第一层条4.1二级标题标题 lxb2二级标题 Char表标题单位..."/>
    <w:basedOn w:val="3"/>
    <w:link w:val="137"/>
    <w:uiPriority w:val="0"/>
    <w:pPr>
      <w:adjustRightInd w:val="0"/>
      <w:spacing w:line="240" w:lineRule="auto"/>
      <w:jc w:val="left"/>
      <w:textAlignment w:val="baseline"/>
    </w:pPr>
    <w:rPr>
      <w:rFonts w:ascii="Times New Roman" w:hAnsi="Times New Roman" w:eastAsia="宋体" w:cs="宋体"/>
      <w:kern w:val="0"/>
      <w:sz w:val="28"/>
      <w:szCs w:val="20"/>
    </w:rPr>
  </w:style>
  <w:style w:type="character" w:customStyle="1" w:styleId="137">
    <w:name w:val="样式 标题 2标题2节标题1.1H2h2第一层条4.1二级标题标题 lxb2二级标题 Char表标题单位... Char"/>
    <w:link w:val="136"/>
    <w:uiPriority w:val="0"/>
    <w:rPr>
      <w:rFonts w:eastAsia="宋体" w:cs="宋体"/>
      <w:b/>
      <w:bCs/>
      <w:sz w:val="28"/>
      <w:lang w:val="en-US" w:eastAsia="zh-CN" w:bidi="ar-SA"/>
    </w:rPr>
  </w:style>
  <w:style w:type="paragraph" w:customStyle="1" w:styleId="138">
    <w:name w:val="普通 (Web)"/>
    <w:basedOn w:val="1"/>
    <w:uiPriority w:val="0"/>
    <w:pPr>
      <w:widowControl/>
      <w:numPr>
        <w:ilvl w:val="1"/>
        <w:numId w:val="1"/>
      </w:numPr>
      <w:tabs>
        <w:tab w:val="clear" w:pos="360"/>
      </w:tabs>
      <w:spacing w:before="100" w:beforeAutospacing="1" w:after="100" w:afterAutospacing="1"/>
      <w:ind w:left="0" w:firstLine="0"/>
      <w:jc w:val="left"/>
    </w:pPr>
    <w:rPr>
      <w:rFonts w:ascii="宋体" w:hAnsi="宋体"/>
      <w:kern w:val="0"/>
      <w:sz w:val="24"/>
    </w:rPr>
  </w:style>
  <w:style w:type="paragraph" w:customStyle="1" w:styleId="139">
    <w:name w:val="正文(首行缩进)"/>
    <w:basedOn w:val="1"/>
    <w:link w:val="140"/>
    <w:uiPriority w:val="0"/>
    <w:pPr>
      <w:spacing w:line="360" w:lineRule="auto"/>
      <w:ind w:firstLine="425" w:firstLineChars="177"/>
    </w:pPr>
    <w:rPr>
      <w:rFonts w:ascii="宋体" w:hAnsi="宋体"/>
      <w:snapToGrid w:val="0"/>
      <w:color w:val="000000"/>
      <w:sz w:val="24"/>
    </w:rPr>
  </w:style>
  <w:style w:type="character" w:customStyle="1" w:styleId="140">
    <w:name w:val="正文(首行缩进) Char1"/>
    <w:link w:val="139"/>
    <w:uiPriority w:val="0"/>
    <w:rPr>
      <w:rFonts w:ascii="宋体" w:hAnsi="宋体" w:eastAsia="宋体"/>
      <w:snapToGrid w:val="0"/>
      <w:color w:val="000000"/>
      <w:kern w:val="2"/>
      <w:sz w:val="24"/>
      <w:szCs w:val="24"/>
      <w:lang w:val="en-US" w:eastAsia="zh-CN" w:bidi="ar-SA"/>
    </w:rPr>
  </w:style>
  <w:style w:type="character" w:customStyle="1" w:styleId="141">
    <w:name w:val="样式 样式 行距: 1.5 倍行距 + 黑色 Char"/>
    <w:link w:val="142"/>
    <w:uiPriority w:val="0"/>
    <w:rPr>
      <w:color w:val="000000"/>
      <w:kern w:val="2"/>
      <w:sz w:val="24"/>
      <w:lang w:bidi="ar-SA"/>
    </w:rPr>
  </w:style>
  <w:style w:type="paragraph" w:customStyle="1" w:styleId="142">
    <w:name w:val="样式 样式 行距: 1.5 倍行距 + 黑色"/>
    <w:basedOn w:val="1"/>
    <w:link w:val="141"/>
    <w:uiPriority w:val="0"/>
    <w:pPr>
      <w:spacing w:line="360" w:lineRule="auto"/>
      <w:ind w:firstLine="200" w:firstLineChars="200"/>
    </w:pPr>
    <w:rPr>
      <w:color w:val="000000"/>
      <w:sz w:val="24"/>
      <w:szCs w:val="20"/>
    </w:rPr>
  </w:style>
  <w:style w:type="paragraph" w:customStyle="1" w:styleId="143">
    <w:name w:val="样式 宋体 四号 行距: 固定值 23 磅"/>
    <w:basedOn w:val="1"/>
    <w:uiPriority w:val="0"/>
    <w:pPr>
      <w:spacing w:line="460" w:lineRule="exact"/>
      <w:ind w:firstLine="200" w:firstLineChars="200"/>
    </w:pPr>
    <w:rPr>
      <w:rFonts w:ascii="宋体" w:hAnsi="宋体" w:cs="宋体"/>
      <w:sz w:val="28"/>
      <w:szCs w:val="20"/>
    </w:rPr>
  </w:style>
  <w:style w:type="character" w:customStyle="1" w:styleId="144">
    <w:name w:val="xz正文 Char"/>
    <w:link w:val="145"/>
    <w:qFormat/>
    <w:uiPriority w:val="0"/>
    <w:rPr>
      <w:rFonts w:eastAsia="宋体"/>
      <w:kern w:val="2"/>
      <w:sz w:val="28"/>
      <w:lang w:val="en-US" w:eastAsia="zh-CN" w:bidi="ar-SA"/>
    </w:rPr>
  </w:style>
  <w:style w:type="paragraph" w:customStyle="1" w:styleId="145">
    <w:name w:val="xz正文"/>
    <w:basedOn w:val="1"/>
    <w:link w:val="144"/>
    <w:qFormat/>
    <w:uiPriority w:val="0"/>
    <w:pPr>
      <w:spacing w:line="360" w:lineRule="auto"/>
      <w:ind w:firstLine="200" w:firstLineChars="200"/>
      <w:jc w:val="left"/>
    </w:pPr>
    <w:rPr>
      <w:sz w:val="28"/>
      <w:szCs w:val="20"/>
    </w:rPr>
  </w:style>
  <w:style w:type="paragraph" w:customStyle="1" w:styleId="146">
    <w:name w:val="Char2"/>
    <w:basedOn w:val="1"/>
    <w:uiPriority w:val="0"/>
    <w:rPr>
      <w:sz w:val="24"/>
    </w:rPr>
  </w:style>
  <w:style w:type="character" w:customStyle="1" w:styleId="147">
    <w:name w:val="正文文本 Char1"/>
    <w:uiPriority w:val="99"/>
    <w:rPr>
      <w:rFonts w:eastAsia="宋体"/>
      <w:kern w:val="2"/>
      <w:sz w:val="24"/>
      <w:szCs w:val="24"/>
      <w:lang w:val="en-US" w:eastAsia="zh-CN" w:bidi="ar-SA"/>
    </w:rPr>
  </w:style>
  <w:style w:type="character" w:customStyle="1" w:styleId="148">
    <w:name w:val="报告书 Char"/>
    <w:link w:val="149"/>
    <w:uiPriority w:val="0"/>
    <w:rPr>
      <w:bCs/>
      <w:sz w:val="21"/>
      <w:szCs w:val="28"/>
    </w:rPr>
  </w:style>
  <w:style w:type="paragraph" w:customStyle="1" w:styleId="149">
    <w:name w:val="报告书"/>
    <w:basedOn w:val="1"/>
    <w:link w:val="148"/>
    <w:uiPriority w:val="0"/>
    <w:pPr>
      <w:autoSpaceDE w:val="0"/>
      <w:autoSpaceDN w:val="0"/>
      <w:adjustRightInd w:val="0"/>
      <w:ind w:firstLine="560" w:firstLineChars="200"/>
      <w:jc w:val="left"/>
      <w:textAlignment w:val="bottom"/>
    </w:pPr>
    <w:rPr>
      <w:bCs/>
      <w:kern w:val="0"/>
      <w:szCs w:val="28"/>
    </w:rPr>
  </w:style>
  <w:style w:type="paragraph" w:customStyle="1" w:styleId="150">
    <w:name w:val="表格内容"/>
    <w:basedOn w:val="1"/>
    <w:next w:val="1"/>
    <w:link w:val="151"/>
    <w:qFormat/>
    <w:uiPriority w:val="0"/>
    <w:pPr>
      <w:jc w:val="center"/>
    </w:pPr>
    <w:rPr>
      <w:szCs w:val="21"/>
    </w:rPr>
  </w:style>
  <w:style w:type="character" w:customStyle="1" w:styleId="151">
    <w:name w:val="表格内容 Char"/>
    <w:link w:val="150"/>
    <w:uiPriority w:val="0"/>
    <w:rPr>
      <w:rFonts w:cs="Courier New"/>
      <w:kern w:val="2"/>
      <w:sz w:val="21"/>
      <w:szCs w:val="21"/>
    </w:rPr>
  </w:style>
  <w:style w:type="paragraph" w:customStyle="1" w:styleId="152">
    <w:name w:val="报告"/>
    <w:basedOn w:val="1"/>
    <w:link w:val="153"/>
    <w:qFormat/>
    <w:uiPriority w:val="0"/>
    <w:pPr>
      <w:adjustRightInd w:val="0"/>
      <w:spacing w:line="360" w:lineRule="auto"/>
      <w:ind w:firstLine="505"/>
      <w:textAlignment w:val="center"/>
    </w:pPr>
    <w:rPr>
      <w:rFonts w:ascii="TimesNewRoman" w:hAnsi="TimesNewRoman"/>
      <w:kern w:val="0"/>
      <w:sz w:val="24"/>
      <w:szCs w:val="20"/>
    </w:rPr>
  </w:style>
  <w:style w:type="character" w:customStyle="1" w:styleId="153">
    <w:name w:val="报告 Char"/>
    <w:link w:val="152"/>
    <w:qFormat/>
    <w:uiPriority w:val="0"/>
    <w:rPr>
      <w:rFonts w:ascii="TimesNewRoman" w:hAnsi="TimesNewRoman"/>
      <w:sz w:val="24"/>
    </w:rPr>
  </w:style>
  <w:style w:type="paragraph" w:customStyle="1" w:styleId="154">
    <w:name w:val="-正文"/>
    <w:basedOn w:val="1"/>
    <w:link w:val="155"/>
    <w:qFormat/>
    <w:uiPriority w:val="0"/>
    <w:pPr>
      <w:spacing w:line="480" w:lineRule="exact"/>
      <w:ind w:firstLine="200" w:firstLineChars="200"/>
    </w:pPr>
    <w:rPr>
      <w:sz w:val="24"/>
      <w:szCs w:val="20"/>
    </w:rPr>
  </w:style>
  <w:style w:type="character" w:customStyle="1" w:styleId="155">
    <w:name w:val="-正文 Char"/>
    <w:link w:val="154"/>
    <w:uiPriority w:val="0"/>
    <w:rPr>
      <w:rFonts w:cs="宋体"/>
      <w:kern w:val="2"/>
      <w:sz w:val="24"/>
    </w:rPr>
  </w:style>
  <w:style w:type="paragraph" w:customStyle="1" w:styleId="156">
    <w:name w:val="表中文字"/>
    <w:basedOn w:val="1"/>
    <w:uiPriority w:val="0"/>
    <w:pPr>
      <w:spacing w:line="300" w:lineRule="exact"/>
      <w:jc w:val="center"/>
    </w:pPr>
    <w:rPr>
      <w:color w:val="000000"/>
    </w:rPr>
  </w:style>
  <w:style w:type="paragraph" w:customStyle="1" w:styleId="157">
    <w:name w:val="样式1"/>
    <w:basedOn w:val="1"/>
    <w:link w:val="532"/>
    <w:uiPriority w:val="0"/>
    <w:pPr>
      <w:widowControl/>
      <w:adjustRightInd w:val="0"/>
      <w:spacing w:line="360" w:lineRule="auto"/>
      <w:ind w:left="50" w:leftChars="50" w:right="50" w:rightChars="50" w:firstLine="200" w:firstLineChars="200"/>
      <w:jc w:val="left"/>
      <w:textAlignment w:val="baseline"/>
    </w:pPr>
    <w:rPr>
      <w:rFonts w:ascii="宋体" w:hAnsi="宋体"/>
      <w:kern w:val="0"/>
      <w:sz w:val="28"/>
      <w:szCs w:val="20"/>
    </w:rPr>
  </w:style>
  <w:style w:type="paragraph" w:customStyle="1" w:styleId="158">
    <w:name w:val="正文123"/>
    <w:basedOn w:val="14"/>
    <w:next w:val="14"/>
    <w:qFormat/>
    <w:uiPriority w:val="0"/>
    <w:pPr>
      <w:tabs>
        <w:tab w:val="left" w:pos="360"/>
        <w:tab w:val="left" w:pos="900"/>
      </w:tabs>
      <w:adjustRightInd w:val="0"/>
      <w:spacing w:after="0" w:line="360" w:lineRule="auto"/>
      <w:ind w:firstLine="400" w:firstLineChars="400"/>
      <w:jc w:val="left"/>
      <w:textAlignment w:val="baseline"/>
    </w:pPr>
    <w:rPr>
      <w:rFonts w:ascii="宋体" w:hAnsi="宋体" w:cs="宋体"/>
      <w:kern w:val="0"/>
      <w:szCs w:val="24"/>
    </w:rPr>
  </w:style>
  <w:style w:type="character" w:customStyle="1" w:styleId="159">
    <w:name w:val="HTML 预设格式 Char"/>
    <w:basedOn w:val="53"/>
    <w:link w:val="49"/>
    <w:uiPriority w:val="99"/>
    <w:rPr>
      <w:rFonts w:ascii="宋体" w:hAnsi="宋体" w:cs="宋体"/>
      <w:sz w:val="24"/>
      <w:szCs w:val="24"/>
    </w:rPr>
  </w:style>
  <w:style w:type="paragraph" w:customStyle="1" w:styleId="160">
    <w:name w:val="xz标题4"/>
    <w:basedOn w:val="5"/>
    <w:qFormat/>
    <w:uiPriority w:val="0"/>
    <w:pPr>
      <w:spacing w:before="0" w:after="0" w:line="360" w:lineRule="auto"/>
      <w:jc w:val="left"/>
    </w:pPr>
    <w:rPr>
      <w:rFonts w:eastAsia="宋体"/>
    </w:rPr>
  </w:style>
  <w:style w:type="paragraph" w:customStyle="1" w:styleId="161">
    <w:name w:val="p0"/>
    <w:basedOn w:val="1"/>
    <w:qFormat/>
    <w:uiPriority w:val="0"/>
    <w:pPr>
      <w:widowControl/>
    </w:pPr>
    <w:rPr>
      <w:rFonts w:ascii="Calibri" w:hAnsi="Calibri" w:cs="宋体"/>
      <w:kern w:val="0"/>
      <w:szCs w:val="21"/>
    </w:rPr>
  </w:style>
  <w:style w:type="character" w:customStyle="1" w:styleId="162">
    <w:name w:val="正文(首行缩进)宋旭峰 Char Char"/>
    <w:link w:val="163"/>
    <w:qFormat/>
    <w:uiPriority w:val="0"/>
    <w:rPr>
      <w:rFonts w:ascii="宋体" w:hAnsi="宋体" w:cs="宋体"/>
      <w:snapToGrid w:val="0"/>
      <w:color w:val="0000FF"/>
      <w:sz w:val="24"/>
      <w:szCs w:val="24"/>
    </w:rPr>
  </w:style>
  <w:style w:type="paragraph" w:customStyle="1" w:styleId="163">
    <w:name w:val="正文(首行缩进)宋旭峰"/>
    <w:basedOn w:val="17"/>
    <w:link w:val="162"/>
    <w:qFormat/>
    <w:uiPriority w:val="0"/>
    <w:pPr>
      <w:spacing w:line="360" w:lineRule="auto"/>
      <w:ind w:firstLine="480" w:firstLineChars="200"/>
      <w:contextualSpacing/>
    </w:pPr>
    <w:rPr>
      <w:rFonts w:ascii="宋体" w:hAnsi="宋体"/>
      <w:snapToGrid w:val="0"/>
      <w:color w:val="0000FF"/>
      <w:kern w:val="0"/>
      <w:sz w:val="24"/>
      <w:szCs w:val="24"/>
    </w:rPr>
  </w:style>
  <w:style w:type="paragraph" w:customStyle="1" w:styleId="164">
    <w:name w:val="+正文 Char"/>
    <w:basedOn w:val="1"/>
    <w:qFormat/>
    <w:uiPriority w:val="0"/>
    <w:pPr>
      <w:adjustRightInd w:val="0"/>
      <w:spacing w:line="360" w:lineRule="auto"/>
      <w:ind w:firstLine="200" w:firstLineChars="200"/>
      <w:textAlignment w:val="baseline"/>
    </w:pPr>
    <w:rPr>
      <w:kern w:val="0"/>
      <w:szCs w:val="28"/>
    </w:rPr>
  </w:style>
  <w:style w:type="character" w:customStyle="1" w:styleId="165">
    <w:name w:val="content1"/>
    <w:qFormat/>
    <w:uiPriority w:val="0"/>
    <w:rPr>
      <w:rFonts w:hint="eastAsia" w:ascii="宋体" w:hAnsi="宋体" w:eastAsia="宋体" w:cs="宋体"/>
      <w:color w:val="333333"/>
      <w:sz w:val="21"/>
      <w:szCs w:val="21"/>
    </w:rPr>
  </w:style>
  <w:style w:type="character" w:customStyle="1" w:styleId="166">
    <w:name w:val="称呼 Char"/>
    <w:basedOn w:val="53"/>
    <w:link w:val="22"/>
    <w:uiPriority w:val="0"/>
    <w:rPr>
      <w:kern w:val="2"/>
      <w:sz w:val="21"/>
      <w:szCs w:val="24"/>
    </w:rPr>
  </w:style>
  <w:style w:type="paragraph" w:customStyle="1" w:styleId="167">
    <w:name w:val="表格文字2"/>
    <w:basedOn w:val="94"/>
    <w:qFormat/>
    <w:uiPriority w:val="0"/>
    <w:pPr>
      <w:autoSpaceDE/>
      <w:autoSpaceDN/>
      <w:spacing w:after="0"/>
      <w:jc w:val="center"/>
      <w:textAlignment w:val="baseline"/>
    </w:pPr>
    <w:rPr>
      <w:rFonts w:ascii="宋体"/>
      <w:sz w:val="24"/>
    </w:rPr>
  </w:style>
  <w:style w:type="paragraph" w:customStyle="1" w:styleId="168">
    <w:name w:val="报告表格"/>
    <w:basedOn w:val="1"/>
    <w:qFormat/>
    <w:uiPriority w:val="0"/>
    <w:pPr>
      <w:autoSpaceDE w:val="0"/>
      <w:autoSpaceDN w:val="0"/>
      <w:adjustRightInd w:val="0"/>
      <w:spacing w:before="40" w:after="40"/>
      <w:jc w:val="center"/>
      <w:textAlignment w:val="bottom"/>
    </w:pPr>
    <w:rPr>
      <w:kern w:val="0"/>
      <w:szCs w:val="20"/>
    </w:rPr>
  </w:style>
  <w:style w:type="paragraph" w:customStyle="1" w:styleId="169">
    <w:name w:val="1表格"/>
    <w:basedOn w:val="1"/>
    <w:qFormat/>
    <w:uiPriority w:val="0"/>
    <w:pPr>
      <w:snapToGrid w:val="0"/>
      <w:spacing w:line="160" w:lineRule="atLeast"/>
      <w:jc w:val="center"/>
    </w:pPr>
    <w:rPr>
      <w:rFonts w:eastAsia="仿宋_GB2312"/>
      <w:szCs w:val="20"/>
    </w:rPr>
  </w:style>
  <w:style w:type="paragraph" w:customStyle="1" w:styleId="170">
    <w:name w:val="正文标准样式"/>
    <w:basedOn w:val="1"/>
    <w:qFormat/>
    <w:uiPriority w:val="0"/>
    <w:pPr>
      <w:adjustRightInd w:val="0"/>
      <w:spacing w:line="300" w:lineRule="auto"/>
      <w:ind w:firstLine="482"/>
      <w:textAlignment w:val="baseline"/>
    </w:pPr>
    <w:rPr>
      <w:kern w:val="0"/>
      <w:sz w:val="24"/>
      <w:szCs w:val="20"/>
    </w:rPr>
  </w:style>
  <w:style w:type="paragraph" w:customStyle="1" w:styleId="171">
    <w:name w:val="表格03"/>
    <w:basedOn w:val="1"/>
    <w:qFormat/>
    <w:uiPriority w:val="0"/>
    <w:pPr>
      <w:spacing w:line="400" w:lineRule="exact"/>
      <w:jc w:val="center"/>
    </w:pPr>
    <w:rPr>
      <w:color w:val="000000"/>
      <w:sz w:val="24"/>
      <w:szCs w:val="21"/>
    </w:rPr>
  </w:style>
  <w:style w:type="paragraph" w:customStyle="1" w:styleId="172">
    <w:name w:val="表正文"/>
    <w:basedOn w:val="15"/>
    <w:qFormat/>
    <w:uiPriority w:val="0"/>
    <w:pPr>
      <w:spacing w:after="120" w:line="240" w:lineRule="auto"/>
    </w:pPr>
    <w:rPr>
      <w:rFonts w:ascii="宋体" w:hAnsi="宋体"/>
      <w:bCs/>
    </w:rPr>
  </w:style>
  <w:style w:type="character" w:customStyle="1" w:styleId="173">
    <w:name w:val="文档结构图 Char"/>
    <w:basedOn w:val="53"/>
    <w:link w:val="20"/>
    <w:uiPriority w:val="0"/>
    <w:rPr>
      <w:kern w:val="2"/>
      <w:sz w:val="21"/>
      <w:szCs w:val="24"/>
      <w:shd w:val="clear" w:color="auto" w:fill="000080"/>
    </w:rPr>
  </w:style>
  <w:style w:type="paragraph" w:customStyle="1" w:styleId="174">
    <w:name w:val="应填表格"/>
    <w:basedOn w:val="1"/>
    <w:qFormat/>
    <w:uiPriority w:val="0"/>
    <w:pPr>
      <w:adjustRightInd w:val="0"/>
      <w:spacing w:before="40" w:after="40"/>
      <w:jc w:val="left"/>
      <w:textAlignment w:val="baseline"/>
    </w:pPr>
    <w:rPr>
      <w:kern w:val="0"/>
      <w:sz w:val="24"/>
      <w:szCs w:val="20"/>
    </w:rPr>
  </w:style>
  <w:style w:type="paragraph" w:customStyle="1" w:styleId="175">
    <w:name w:val="Char Char Char Char Char Char"/>
    <w:basedOn w:val="1"/>
    <w:next w:val="16"/>
    <w:qFormat/>
    <w:uiPriority w:val="0"/>
  </w:style>
  <w:style w:type="character" w:customStyle="1" w:styleId="176">
    <w:name w:val="宏文本 Char"/>
    <w:basedOn w:val="53"/>
    <w:link w:val="16"/>
    <w:uiPriority w:val="0"/>
    <w:rPr>
      <w:rFonts w:ascii="Courier New" w:hAnsi="Courier New" w:cs="Courier New"/>
      <w:kern w:val="2"/>
      <w:sz w:val="24"/>
      <w:szCs w:val="24"/>
      <w:lang w:val="en-US" w:eastAsia="zh-CN" w:bidi="ar-SA"/>
    </w:rPr>
  </w:style>
  <w:style w:type="paragraph" w:customStyle="1" w:styleId="177">
    <w:name w:val="表格标题"/>
    <w:basedOn w:val="1"/>
    <w:next w:val="1"/>
    <w:qFormat/>
    <w:uiPriority w:val="0"/>
    <w:pPr>
      <w:spacing w:before="120"/>
      <w:jc w:val="center"/>
    </w:pPr>
    <w:rPr>
      <w:sz w:val="24"/>
      <w:szCs w:val="20"/>
    </w:rPr>
  </w:style>
  <w:style w:type="character" w:customStyle="1" w:styleId="178">
    <w:name w:val="蒲正文 Char"/>
    <w:link w:val="179"/>
    <w:qFormat/>
    <w:uiPriority w:val="0"/>
    <w:rPr>
      <w:rFonts w:ascii="仿宋_GB2312" w:hAnsi="宋体" w:eastAsia="仿宋_GB2312"/>
      <w:sz w:val="24"/>
    </w:rPr>
  </w:style>
  <w:style w:type="paragraph" w:customStyle="1" w:styleId="179">
    <w:name w:val="蒲正文"/>
    <w:basedOn w:val="1"/>
    <w:link w:val="178"/>
    <w:qFormat/>
    <w:uiPriority w:val="0"/>
    <w:pPr>
      <w:adjustRightInd w:val="0"/>
      <w:snapToGrid w:val="0"/>
      <w:spacing w:line="360" w:lineRule="auto"/>
      <w:ind w:firstLine="480" w:firstLineChars="200"/>
    </w:pPr>
    <w:rPr>
      <w:rFonts w:ascii="仿宋_GB2312" w:hAnsi="宋体" w:eastAsia="仿宋_GB2312"/>
      <w:kern w:val="0"/>
      <w:sz w:val="24"/>
      <w:szCs w:val="20"/>
    </w:rPr>
  </w:style>
  <w:style w:type="paragraph" w:customStyle="1" w:styleId="180">
    <w:name w:val="环表头"/>
    <w:basedOn w:val="1"/>
    <w:qFormat/>
    <w:uiPriority w:val="0"/>
    <w:pPr>
      <w:widowControl/>
      <w:suppressAutoHyphens/>
      <w:adjustRightInd w:val="0"/>
      <w:spacing w:line="360" w:lineRule="exact"/>
      <w:jc w:val="center"/>
      <w:textAlignment w:val="baseline"/>
    </w:pPr>
    <w:rPr>
      <w:rFonts w:eastAsia="黑体"/>
      <w:kern w:val="0"/>
      <w:sz w:val="24"/>
    </w:rPr>
  </w:style>
  <w:style w:type="paragraph" w:customStyle="1" w:styleId="181">
    <w:name w:val="Char1 Char Char Char"/>
    <w:basedOn w:val="1"/>
    <w:uiPriority w:val="0"/>
    <w:pPr>
      <w:widowControl/>
      <w:adjustRightInd w:val="0"/>
      <w:snapToGrid w:val="0"/>
      <w:spacing w:line="360" w:lineRule="auto"/>
      <w:textAlignment w:val="center"/>
    </w:pPr>
    <w:rPr>
      <w:kern w:val="0"/>
      <w:sz w:val="24"/>
    </w:rPr>
  </w:style>
  <w:style w:type="character" w:customStyle="1" w:styleId="182">
    <w:name w:val="普通文字 Char Char Char Char"/>
    <w:uiPriority w:val="0"/>
    <w:rPr>
      <w:rFonts w:ascii="宋体" w:hAnsi="Courier New"/>
      <w:kern w:val="2"/>
      <w:sz w:val="21"/>
    </w:rPr>
  </w:style>
  <w:style w:type="paragraph" w:customStyle="1" w:styleId="183">
    <w:name w:val="dc正文"/>
    <w:basedOn w:val="1"/>
    <w:link w:val="184"/>
    <w:uiPriority w:val="0"/>
    <w:pPr>
      <w:spacing w:line="420" w:lineRule="exact"/>
      <w:ind w:firstLine="480" w:firstLineChars="200"/>
    </w:pPr>
    <w:rPr>
      <w:rFonts w:ascii="宋体" w:hAnsi="宋体"/>
      <w:sz w:val="24"/>
      <w:szCs w:val="20"/>
    </w:rPr>
  </w:style>
  <w:style w:type="character" w:customStyle="1" w:styleId="184">
    <w:name w:val="dc正文 Char"/>
    <w:link w:val="183"/>
    <w:uiPriority w:val="0"/>
    <w:rPr>
      <w:rFonts w:ascii="宋体" w:hAnsi="宋体" w:cs="宋体"/>
      <w:kern w:val="2"/>
      <w:sz w:val="24"/>
    </w:rPr>
  </w:style>
  <w:style w:type="paragraph" w:customStyle="1" w:styleId="185">
    <w:name w:val="Bt1.1"/>
    <w:basedOn w:val="3"/>
    <w:next w:val="1"/>
    <w:uiPriority w:val="0"/>
    <w:pPr>
      <w:adjustRightInd w:val="0"/>
      <w:spacing w:before="0" w:after="0" w:line="360" w:lineRule="auto"/>
      <w:jc w:val="left"/>
    </w:pPr>
    <w:rPr>
      <w:rFonts w:ascii="Times New Roman" w:hAnsi="Times New Roman" w:eastAsia="宋体"/>
      <w:bCs w:val="0"/>
      <w:snapToGrid w:val="0"/>
      <w:sz w:val="28"/>
      <w:szCs w:val="28"/>
    </w:rPr>
  </w:style>
  <w:style w:type="character" w:customStyle="1" w:styleId="186">
    <w:name w:val="正文-xin Char Char"/>
    <w:link w:val="187"/>
    <w:uiPriority w:val="0"/>
    <w:rPr>
      <w:bCs/>
      <w:color w:val="0000FF"/>
      <w:kern w:val="2"/>
      <w:sz w:val="24"/>
      <w:szCs w:val="24"/>
    </w:rPr>
  </w:style>
  <w:style w:type="paragraph" w:customStyle="1" w:styleId="187">
    <w:name w:val="正文-xin"/>
    <w:basedOn w:val="1"/>
    <w:next w:val="1"/>
    <w:link w:val="186"/>
    <w:uiPriority w:val="0"/>
    <w:pPr>
      <w:tabs>
        <w:tab w:val="left" w:pos="360"/>
        <w:tab w:val="left" w:pos="540"/>
      </w:tabs>
      <w:adjustRightInd w:val="0"/>
      <w:spacing w:line="360" w:lineRule="auto"/>
      <w:ind w:firstLine="480" w:firstLineChars="200"/>
    </w:pPr>
    <w:rPr>
      <w:bCs/>
      <w:color w:val="0000FF"/>
      <w:sz w:val="24"/>
    </w:rPr>
  </w:style>
  <w:style w:type="paragraph" w:customStyle="1" w:styleId="188">
    <w:name w:val="表格标题-3"/>
    <w:basedOn w:val="1"/>
    <w:next w:val="30"/>
    <w:uiPriority w:val="0"/>
    <w:pPr>
      <w:adjustRightInd w:val="0"/>
      <w:snapToGrid w:val="0"/>
      <w:spacing w:line="360" w:lineRule="auto"/>
      <w:jc w:val="center"/>
    </w:pPr>
    <w:rPr>
      <w:rFonts w:ascii="宋体" w:hAnsi="宋体"/>
      <w:b/>
      <w:sz w:val="24"/>
      <w:szCs w:val="21"/>
    </w:rPr>
  </w:style>
  <w:style w:type="character" w:customStyle="1" w:styleId="189">
    <w:name w:val="样式2 Char Char"/>
    <w:link w:val="190"/>
    <w:uiPriority w:val="0"/>
    <w:rPr>
      <w:rFonts w:eastAsia="仿宋_GB2312"/>
      <w:sz w:val="28"/>
    </w:rPr>
  </w:style>
  <w:style w:type="paragraph" w:customStyle="1" w:styleId="190">
    <w:name w:val="样式2"/>
    <w:basedOn w:val="1"/>
    <w:link w:val="189"/>
    <w:uiPriority w:val="0"/>
    <w:pPr>
      <w:spacing w:line="360" w:lineRule="auto"/>
      <w:ind w:firstLine="420" w:firstLineChars="200"/>
    </w:pPr>
    <w:rPr>
      <w:rFonts w:eastAsia="仿宋_GB2312"/>
      <w:kern w:val="0"/>
      <w:sz w:val="28"/>
      <w:szCs w:val="20"/>
    </w:rPr>
  </w:style>
  <w:style w:type="paragraph" w:customStyle="1" w:styleId="191">
    <w:name w:val="正文-欣欣"/>
    <w:basedOn w:val="1"/>
    <w:next w:val="1"/>
    <w:qFormat/>
    <w:uiPriority w:val="0"/>
    <w:pPr>
      <w:spacing w:line="360" w:lineRule="auto"/>
      <w:ind w:firstLine="480" w:firstLineChars="200"/>
      <w:jc w:val="left"/>
    </w:pPr>
    <w:rPr>
      <w:bCs/>
      <w:sz w:val="24"/>
    </w:rPr>
  </w:style>
  <w:style w:type="paragraph" w:customStyle="1" w:styleId="192">
    <w:name w:val="表头"/>
    <w:basedOn w:val="1"/>
    <w:next w:val="1"/>
    <w:link w:val="193"/>
    <w:qFormat/>
    <w:uiPriority w:val="0"/>
    <w:pPr>
      <w:tabs>
        <w:tab w:val="left" w:pos="7380"/>
      </w:tabs>
      <w:snapToGrid w:val="0"/>
      <w:spacing w:line="480" w:lineRule="exact"/>
      <w:jc w:val="center"/>
    </w:pPr>
    <w:rPr>
      <w:b/>
      <w:sz w:val="24"/>
      <w:szCs w:val="20"/>
    </w:rPr>
  </w:style>
  <w:style w:type="character" w:customStyle="1" w:styleId="193">
    <w:name w:val="表头[858D7CFB-ED40-4347-BF05-701D383B685F]"/>
    <w:link w:val="192"/>
    <w:qFormat/>
    <w:uiPriority w:val="0"/>
    <w:rPr>
      <w:b/>
      <w:kern w:val="2"/>
      <w:sz w:val="24"/>
    </w:rPr>
  </w:style>
  <w:style w:type="paragraph" w:customStyle="1" w:styleId="194">
    <w:name w:val="Char Char Char Char Char Char Char Char Char1 Char Char Char Char Char Char Char Char Char Char Char Char1 Char Char Char Char"/>
    <w:basedOn w:val="1"/>
    <w:uiPriority w:val="0"/>
    <w:rPr>
      <w:rFonts w:ascii="宋体" w:hAnsi="宋体" w:cs="Courier New"/>
      <w:sz w:val="32"/>
      <w:szCs w:val="32"/>
    </w:rPr>
  </w:style>
  <w:style w:type="character" w:customStyle="1" w:styleId="195">
    <w:name w:val="标题 Char"/>
    <w:basedOn w:val="53"/>
    <w:link w:val="52"/>
    <w:uiPriority w:val="10"/>
    <w:rPr>
      <w:rFonts w:ascii="Cambria" w:hAnsi="Cambria"/>
      <w:b/>
      <w:bCs/>
      <w:kern w:val="2"/>
      <w:sz w:val="32"/>
      <w:szCs w:val="32"/>
    </w:rPr>
  </w:style>
  <w:style w:type="character" w:customStyle="1" w:styleId="196">
    <w:name w:val="报告 Char1"/>
    <w:uiPriority w:val="0"/>
    <w:rPr>
      <w:rFonts w:eastAsia="宋体"/>
      <w:bCs/>
      <w:sz w:val="24"/>
      <w:szCs w:val="24"/>
    </w:rPr>
  </w:style>
  <w:style w:type="paragraph" w:customStyle="1" w:styleId="197">
    <w:name w:val="小四+首行缩进"/>
    <w:basedOn w:val="1"/>
    <w:link w:val="198"/>
    <w:uiPriority w:val="0"/>
    <w:pPr>
      <w:spacing w:line="360" w:lineRule="auto"/>
      <w:ind w:firstLine="482"/>
    </w:pPr>
    <w:rPr>
      <w:rFonts w:ascii="宋体" w:hAnsi="宋体"/>
      <w:sz w:val="24"/>
      <w:szCs w:val="20"/>
    </w:rPr>
  </w:style>
  <w:style w:type="character" w:customStyle="1" w:styleId="198">
    <w:name w:val="小四+首行缩进 Char2"/>
    <w:link w:val="197"/>
    <w:uiPriority w:val="0"/>
    <w:rPr>
      <w:rFonts w:ascii="宋体" w:hAnsi="宋体"/>
      <w:kern w:val="2"/>
      <w:sz w:val="24"/>
    </w:rPr>
  </w:style>
  <w:style w:type="paragraph" w:customStyle="1" w:styleId="199">
    <w:name w:val="8--"/>
    <w:basedOn w:val="1"/>
    <w:uiPriority w:val="0"/>
    <w:pPr>
      <w:adjustRightInd w:val="0"/>
      <w:spacing w:line="360" w:lineRule="atLeast"/>
      <w:jc w:val="left"/>
      <w:textAlignment w:val="baseline"/>
    </w:pPr>
    <w:rPr>
      <w:kern w:val="0"/>
      <w:sz w:val="24"/>
      <w:szCs w:val="20"/>
    </w:rPr>
  </w:style>
  <w:style w:type="character" w:customStyle="1" w:styleId="200">
    <w:name w:val="正文文本 2 Char"/>
    <w:basedOn w:val="53"/>
    <w:link w:val="48"/>
    <w:uiPriority w:val="0"/>
    <w:rPr>
      <w:rFonts w:ascii="仿宋_GB2312" w:eastAsia="仿宋_GB2312"/>
      <w:sz w:val="21"/>
    </w:rPr>
  </w:style>
  <w:style w:type="paragraph" w:customStyle="1" w:styleId="201">
    <w:name w:val="xl30"/>
    <w:basedOn w:val="1"/>
    <w:uiPriority w:val="0"/>
    <w:pPr>
      <w:widowControl/>
      <w:pBdr>
        <w:left w:val="single" w:color="auto" w:sz="12" w:space="0"/>
        <w:right w:val="single" w:color="auto" w:sz="4" w:space="0"/>
      </w:pBdr>
      <w:spacing w:before="100" w:after="100"/>
      <w:jc w:val="center"/>
    </w:pPr>
    <w:rPr>
      <w:rFonts w:ascii="宋体" w:hAnsi="宋体"/>
      <w:kern w:val="0"/>
      <w:sz w:val="24"/>
      <w:szCs w:val="20"/>
    </w:rPr>
  </w:style>
  <w:style w:type="paragraph" w:customStyle="1" w:styleId="202">
    <w:name w:val="环评正文"/>
    <w:basedOn w:val="2"/>
    <w:link w:val="203"/>
    <w:uiPriority w:val="0"/>
    <w:pPr>
      <w:keepNext w:val="0"/>
      <w:tabs>
        <w:tab w:val="left" w:pos="432"/>
      </w:tabs>
      <w:spacing w:line="240" w:lineRule="auto"/>
      <w:ind w:left="432" w:firstLine="440" w:firstLineChars="200"/>
      <w:jc w:val="both"/>
      <w:outlineLvl w:val="9"/>
    </w:pPr>
    <w:rPr>
      <w:rFonts w:hAnsi="宋体"/>
      <w:bCs/>
      <w:color w:val="0000FF"/>
      <w:sz w:val="22"/>
      <w:szCs w:val="22"/>
    </w:rPr>
  </w:style>
  <w:style w:type="character" w:customStyle="1" w:styleId="203">
    <w:name w:val="环评正文 Char"/>
    <w:link w:val="202"/>
    <w:uiPriority w:val="0"/>
    <w:rPr>
      <w:rFonts w:hAnsi="宋体"/>
      <w:bCs/>
      <w:color w:val="0000FF"/>
      <w:kern w:val="2"/>
      <w:sz w:val="22"/>
      <w:szCs w:val="22"/>
    </w:rPr>
  </w:style>
  <w:style w:type="paragraph" w:customStyle="1" w:styleId="204">
    <w:name w:val="常用封面编制单位"/>
    <w:basedOn w:val="1"/>
    <w:next w:val="1"/>
    <w:link w:val="205"/>
    <w:uiPriority w:val="0"/>
    <w:pPr>
      <w:spacing w:line="360" w:lineRule="auto"/>
      <w:jc w:val="center"/>
    </w:pPr>
    <w:rPr>
      <w:rFonts w:ascii="宋体" w:hAnsi="新宋体" w:eastAsia="华文新魏"/>
      <w:b/>
      <w:sz w:val="32"/>
    </w:rPr>
  </w:style>
  <w:style w:type="character" w:customStyle="1" w:styleId="205">
    <w:name w:val="常用封面编制单位 Char"/>
    <w:link w:val="204"/>
    <w:uiPriority w:val="0"/>
    <w:rPr>
      <w:rFonts w:ascii="宋体" w:hAnsi="新宋体" w:eastAsia="华文新魏"/>
      <w:b/>
      <w:kern w:val="2"/>
      <w:sz w:val="32"/>
      <w:szCs w:val="24"/>
    </w:rPr>
  </w:style>
  <w:style w:type="character" w:customStyle="1" w:styleId="206">
    <w:name w:val="标题 4 Char1"/>
    <w:uiPriority w:val="0"/>
    <w:rPr>
      <w:rFonts w:ascii="Arial" w:hAnsi="Arial" w:eastAsia="黑体"/>
      <w:b/>
      <w:bCs/>
      <w:kern w:val="2"/>
      <w:sz w:val="28"/>
      <w:szCs w:val="28"/>
      <w:lang w:val="en-US" w:eastAsia="zh-CN" w:bidi="ar-SA"/>
    </w:rPr>
  </w:style>
  <w:style w:type="character" w:customStyle="1" w:styleId="207">
    <w:name w:val="标题 5 Char1"/>
    <w:uiPriority w:val="0"/>
    <w:rPr>
      <w:rFonts w:ascii="宋体" w:eastAsia="宋体"/>
      <w:b/>
      <w:kern w:val="2"/>
      <w:sz w:val="24"/>
      <w:szCs w:val="21"/>
      <w:lang w:val="en-US" w:eastAsia="zh-CN" w:bidi="ar-SA"/>
    </w:rPr>
  </w:style>
  <w:style w:type="paragraph" w:customStyle="1" w:styleId="208">
    <w:name w:val="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正文+"/>
    <w:basedOn w:val="1"/>
    <w:uiPriority w:val="0"/>
    <w:pPr>
      <w:spacing w:line="480" w:lineRule="exact"/>
      <w:ind w:firstLine="480" w:firstLineChars="200"/>
    </w:pPr>
    <w:rPr>
      <w:sz w:val="24"/>
    </w:rPr>
  </w:style>
  <w:style w:type="paragraph" w:customStyle="1" w:styleId="210">
    <w:name w:val="样式 表题 + 五号 首行缩进:  2 字符"/>
    <w:basedOn w:val="104"/>
    <w:uiPriority w:val="0"/>
    <w:pPr>
      <w:widowControl w:val="0"/>
    </w:pPr>
    <w:rPr>
      <w:rFonts w:hAnsi="Times New Roman" w:cs="宋体"/>
      <w:bCs/>
      <w:szCs w:val="20"/>
    </w:rPr>
  </w:style>
  <w:style w:type="character" w:customStyle="1" w:styleId="211">
    <w:name w:val="标题4 Char Char"/>
    <w:uiPriority w:val="0"/>
    <w:rPr>
      <w:rFonts w:eastAsia="宋体"/>
      <w:b/>
      <w:sz w:val="24"/>
      <w:szCs w:val="24"/>
      <w:lang w:val="en-US" w:eastAsia="zh-CN" w:bidi="ar-SA"/>
    </w:rPr>
  </w:style>
  <w:style w:type="character" w:customStyle="1" w:styleId="212">
    <w:name w:val="标题 5 Char Char"/>
    <w:uiPriority w:val="0"/>
    <w:rPr>
      <w:rFonts w:ascii="宋体" w:eastAsia="宋体"/>
      <w:b/>
      <w:kern w:val="2"/>
      <w:sz w:val="24"/>
      <w:lang w:val="en-US" w:eastAsia="zh-CN" w:bidi="ar-SA"/>
    </w:rPr>
  </w:style>
  <w:style w:type="character" w:customStyle="1" w:styleId="213">
    <w:name w:val="报告正文 Char Char"/>
    <w:link w:val="214"/>
    <w:uiPriority w:val="0"/>
    <w:rPr>
      <w:rFonts w:ascii="宋体" w:hAnsi="Courier New"/>
      <w:kern w:val="2"/>
      <w:sz w:val="24"/>
    </w:rPr>
  </w:style>
  <w:style w:type="paragraph" w:customStyle="1" w:styleId="214">
    <w:name w:val="报告正文"/>
    <w:basedOn w:val="30"/>
    <w:link w:val="213"/>
    <w:qFormat/>
    <w:uiPriority w:val="0"/>
    <w:pPr>
      <w:adjustRightInd w:val="0"/>
      <w:spacing w:line="400" w:lineRule="exact"/>
      <w:ind w:firstLine="510" w:firstLineChars="200"/>
      <w:jc w:val="left"/>
    </w:pPr>
    <w:rPr>
      <w:sz w:val="24"/>
    </w:rPr>
  </w:style>
  <w:style w:type="character" w:customStyle="1" w:styleId="215">
    <w:name w:val="样式 正文文本 + 首行缩进:  2 字符1 Char Char"/>
    <w:link w:val="216"/>
    <w:uiPriority w:val="0"/>
    <w:rPr>
      <w:rFonts w:cs="宋体"/>
      <w:kern w:val="2"/>
      <w:sz w:val="24"/>
      <w:szCs w:val="24"/>
    </w:rPr>
  </w:style>
  <w:style w:type="paragraph" w:customStyle="1" w:styleId="216">
    <w:name w:val="样式 正文文本 + 首行缩进:  2 字符1"/>
    <w:basedOn w:val="15"/>
    <w:link w:val="215"/>
    <w:uiPriority w:val="0"/>
    <w:pPr>
      <w:spacing w:line="360" w:lineRule="auto"/>
      <w:jc w:val="left"/>
    </w:pPr>
  </w:style>
  <w:style w:type="character" w:customStyle="1" w:styleId="217">
    <w:name w:val="x正文 Char1"/>
    <w:link w:val="218"/>
    <w:uiPriority w:val="0"/>
    <w:rPr>
      <w:kern w:val="2"/>
      <w:sz w:val="24"/>
      <w:szCs w:val="24"/>
    </w:rPr>
  </w:style>
  <w:style w:type="paragraph" w:customStyle="1" w:styleId="218">
    <w:name w:val="x正文"/>
    <w:basedOn w:val="1"/>
    <w:link w:val="217"/>
    <w:uiPriority w:val="0"/>
    <w:pPr>
      <w:spacing w:line="360" w:lineRule="auto"/>
      <w:ind w:firstLine="480" w:firstLineChars="200"/>
      <w:jc w:val="left"/>
    </w:pPr>
    <w:rPr>
      <w:sz w:val="24"/>
    </w:rPr>
  </w:style>
  <w:style w:type="character" w:customStyle="1" w:styleId="219">
    <w:name w:val="表格 Char Char"/>
    <w:uiPriority w:val="0"/>
    <w:rPr>
      <w:sz w:val="21"/>
      <w:szCs w:val="24"/>
    </w:rPr>
  </w:style>
  <w:style w:type="character" w:customStyle="1" w:styleId="220">
    <w:name w:val="样式 小四 Char Char"/>
    <w:link w:val="221"/>
    <w:uiPriority w:val="0"/>
    <w:rPr>
      <w:kern w:val="2"/>
      <w:sz w:val="24"/>
      <w:szCs w:val="24"/>
    </w:rPr>
  </w:style>
  <w:style w:type="paragraph" w:customStyle="1" w:styleId="221">
    <w:name w:val="样式 小四"/>
    <w:basedOn w:val="1"/>
    <w:link w:val="220"/>
    <w:uiPriority w:val="0"/>
    <w:pPr>
      <w:spacing w:line="360" w:lineRule="auto"/>
      <w:ind w:firstLine="480" w:firstLineChars="200"/>
      <w:jc w:val="left"/>
    </w:pPr>
    <w:rPr>
      <w:sz w:val="24"/>
    </w:rPr>
  </w:style>
  <w:style w:type="character" w:customStyle="1" w:styleId="222">
    <w:name w:val="白鹤滩标题 2 Char"/>
    <w:uiPriority w:val="0"/>
    <w:rPr>
      <w:rFonts w:ascii="Arial" w:hAnsi="Arial" w:eastAsia="黑体" w:cs="Times New Roman"/>
      <w:b/>
      <w:bCs/>
      <w:sz w:val="32"/>
      <w:szCs w:val="32"/>
    </w:rPr>
  </w:style>
  <w:style w:type="character" w:customStyle="1" w:styleId="223">
    <w:name w:val="标题四 Char Char"/>
    <w:link w:val="224"/>
    <w:uiPriority w:val="0"/>
    <w:rPr>
      <w:rFonts w:ascii="宋体" w:hAnsi="宋体" w:cs="宋体"/>
      <w:b/>
      <w:bCs/>
      <w:kern w:val="2"/>
      <w:sz w:val="24"/>
    </w:rPr>
  </w:style>
  <w:style w:type="paragraph" w:customStyle="1" w:styleId="224">
    <w:name w:val="标题四"/>
    <w:basedOn w:val="1"/>
    <w:next w:val="15"/>
    <w:link w:val="223"/>
    <w:uiPriority w:val="0"/>
    <w:pPr>
      <w:spacing w:line="360" w:lineRule="auto"/>
      <w:ind w:firstLine="480" w:firstLineChars="200"/>
      <w:jc w:val="left"/>
    </w:pPr>
    <w:rPr>
      <w:rFonts w:ascii="宋体" w:hAnsi="宋体"/>
      <w:b/>
      <w:bCs/>
      <w:sz w:val="24"/>
      <w:szCs w:val="20"/>
    </w:rPr>
  </w:style>
  <w:style w:type="character" w:customStyle="1" w:styleId="225">
    <w:name w:val="图表说明 Char"/>
    <w:uiPriority w:val="0"/>
    <w:rPr>
      <w:rFonts w:ascii="宋体" w:hAnsi="Plotter" w:eastAsia="宋体" w:cs="Times New Roman"/>
      <w:sz w:val="24"/>
      <w:szCs w:val="21"/>
    </w:rPr>
  </w:style>
  <w:style w:type="character" w:customStyle="1" w:styleId="226">
    <w:name w:val="标题 3 Char Char1"/>
    <w:uiPriority w:val="0"/>
    <w:rPr>
      <w:rFonts w:eastAsia="宋体"/>
      <w:b/>
      <w:bCs/>
      <w:kern w:val="2"/>
      <w:sz w:val="28"/>
      <w:szCs w:val="32"/>
      <w:lang w:val="en-US" w:eastAsia="zh-CN" w:bidi="ar-SA"/>
    </w:rPr>
  </w:style>
  <w:style w:type="character" w:customStyle="1" w:styleId="227">
    <w:name w:val="x正文 Char Char"/>
    <w:uiPriority w:val="0"/>
    <w:rPr>
      <w:rFonts w:eastAsia="宋体"/>
      <w:kern w:val="2"/>
      <w:sz w:val="24"/>
      <w:szCs w:val="24"/>
      <w:lang w:val="en-US" w:eastAsia="zh-CN" w:bidi="ar-SA"/>
    </w:rPr>
  </w:style>
  <w:style w:type="character" w:customStyle="1" w:styleId="228">
    <w:name w:val="样式 宋体 小四 Char"/>
    <w:uiPriority w:val="0"/>
    <w:rPr>
      <w:rFonts w:ascii="ti" w:hAnsi="ti" w:eastAsia="宋体"/>
      <w:kern w:val="2"/>
      <w:sz w:val="24"/>
      <w:szCs w:val="24"/>
      <w:lang w:val="en-US" w:eastAsia="zh-CN" w:bidi="ar-SA"/>
    </w:rPr>
  </w:style>
  <w:style w:type="character" w:customStyle="1" w:styleId="229">
    <w:name w:val="样式 样式 正文文本1 + 首行缩进:  2 字符 + Arial1 Char Char"/>
    <w:link w:val="230"/>
    <w:uiPriority w:val="0"/>
    <w:rPr>
      <w:rFonts w:cs="宋体"/>
      <w:kern w:val="2"/>
      <w:sz w:val="24"/>
      <w:szCs w:val="24"/>
    </w:rPr>
  </w:style>
  <w:style w:type="paragraph" w:customStyle="1" w:styleId="230">
    <w:name w:val="样式 样式 正文文本1 + 首行缩进:  2 字符 + Arial1"/>
    <w:basedOn w:val="1"/>
    <w:link w:val="229"/>
    <w:uiPriority w:val="0"/>
    <w:pPr>
      <w:spacing w:line="360" w:lineRule="auto"/>
      <w:ind w:firstLine="480" w:firstLineChars="200"/>
      <w:jc w:val="left"/>
    </w:pPr>
    <w:rPr>
      <w:sz w:val="24"/>
    </w:rPr>
  </w:style>
  <w:style w:type="character" w:customStyle="1" w:styleId="231">
    <w:name w:val="x表头 Char Char"/>
    <w:link w:val="232"/>
    <w:uiPriority w:val="0"/>
    <w:rPr>
      <w:b/>
      <w:kern w:val="2"/>
      <w:sz w:val="24"/>
      <w:szCs w:val="24"/>
    </w:rPr>
  </w:style>
  <w:style w:type="paragraph" w:customStyle="1" w:styleId="232">
    <w:name w:val="x表头"/>
    <w:basedOn w:val="218"/>
    <w:link w:val="231"/>
    <w:uiPriority w:val="0"/>
    <w:pPr>
      <w:spacing w:beforeLines="50"/>
      <w:ind w:firstLine="200"/>
    </w:pPr>
    <w:rPr>
      <w:b/>
    </w:rPr>
  </w:style>
  <w:style w:type="character" w:customStyle="1" w:styleId="233">
    <w:name w:val="三级标题 Char3"/>
    <w:uiPriority w:val="0"/>
    <w:rPr>
      <w:rFonts w:eastAsia="宋体"/>
      <w:b/>
      <w:bCs/>
      <w:kern w:val="2"/>
      <w:sz w:val="32"/>
      <w:szCs w:val="32"/>
      <w:lang w:val="en-US" w:eastAsia="zh-CN" w:bidi="ar-SA"/>
    </w:rPr>
  </w:style>
  <w:style w:type="character" w:customStyle="1" w:styleId="234">
    <w:name w:val="标题 1 Char Char"/>
    <w:uiPriority w:val="0"/>
    <w:rPr>
      <w:rFonts w:eastAsia="宋体"/>
      <w:b/>
      <w:bCs/>
      <w:kern w:val="44"/>
      <w:sz w:val="44"/>
      <w:szCs w:val="44"/>
      <w:lang w:val="en-US" w:eastAsia="zh-CN" w:bidi="ar-SA"/>
    </w:rPr>
  </w:style>
  <w:style w:type="character" w:customStyle="1" w:styleId="235">
    <w:name w:val="样式 标题 2白鹤滩标题 2标题 2 Char Char Char Char Char Char Char标题 21标题... Char Char"/>
    <w:basedOn w:val="53"/>
    <w:link w:val="236"/>
    <w:uiPriority w:val="0"/>
    <w:rPr>
      <w:rFonts w:ascii="Arial" w:hAnsi="Arial" w:eastAsia="黑体"/>
      <w:b/>
      <w:bCs/>
      <w:kern w:val="2"/>
      <w:sz w:val="32"/>
      <w:szCs w:val="32"/>
    </w:rPr>
  </w:style>
  <w:style w:type="paragraph" w:customStyle="1" w:styleId="236">
    <w:name w:val="样式 标题 2白鹤滩标题 2标题 2 Char Char Char Char Char Char Char标题 21标题..."/>
    <w:basedOn w:val="3"/>
    <w:link w:val="235"/>
    <w:uiPriority w:val="0"/>
    <w:pPr>
      <w:spacing w:before="100" w:after="100" w:line="360" w:lineRule="auto"/>
      <w:ind w:firstLine="200" w:firstLineChars="200"/>
      <w:jc w:val="left"/>
    </w:pPr>
  </w:style>
  <w:style w:type="character" w:customStyle="1" w:styleId="237">
    <w:name w:val="样式 x正文 + 黑色 左侧:  -0.19 厘米 右侧:  -0.19 厘米 Char Char"/>
    <w:link w:val="238"/>
    <w:uiPriority w:val="0"/>
    <w:rPr>
      <w:rFonts w:cs="宋体"/>
      <w:color w:val="000000"/>
      <w:kern w:val="2"/>
      <w:sz w:val="24"/>
      <w:szCs w:val="24"/>
    </w:rPr>
  </w:style>
  <w:style w:type="paragraph" w:customStyle="1" w:styleId="238">
    <w:name w:val="样式 x正文 + 黑色 左侧:  -0.19 厘米 右侧:  -0.19 厘米"/>
    <w:basedOn w:val="218"/>
    <w:link w:val="237"/>
    <w:uiPriority w:val="0"/>
    <w:pPr>
      <w:ind w:firstLine="200"/>
    </w:pPr>
    <w:rPr>
      <w:color w:val="000000"/>
    </w:rPr>
  </w:style>
  <w:style w:type="character" w:customStyle="1" w:styleId="239">
    <w:name w:val="样式 方正书宋简体 Char Char Char Char Char Char Char"/>
    <w:link w:val="240"/>
    <w:uiPriority w:val="0"/>
    <w:rPr>
      <w:rFonts w:ascii="方正书宋简体"/>
      <w:kern w:val="2"/>
      <w:sz w:val="24"/>
    </w:rPr>
  </w:style>
  <w:style w:type="paragraph" w:customStyle="1" w:styleId="240">
    <w:name w:val="样式 方正书宋简体 Char Char Char Char Char"/>
    <w:basedOn w:val="1"/>
    <w:link w:val="239"/>
    <w:uiPriority w:val="0"/>
    <w:pPr>
      <w:spacing w:line="360" w:lineRule="auto"/>
      <w:ind w:right="-2" w:firstLine="523" w:firstLineChars="218"/>
      <w:jc w:val="left"/>
    </w:pPr>
    <w:rPr>
      <w:rFonts w:ascii="方正书宋简体"/>
      <w:sz w:val="24"/>
      <w:szCs w:val="20"/>
    </w:rPr>
  </w:style>
  <w:style w:type="character" w:customStyle="1" w:styleId="241">
    <w:name w:val="标题 1 Char Char Char"/>
    <w:uiPriority w:val="0"/>
    <w:rPr>
      <w:rFonts w:eastAsia="宋体"/>
      <w:b/>
      <w:bCs/>
      <w:kern w:val="44"/>
      <w:sz w:val="44"/>
      <w:szCs w:val="44"/>
      <w:lang w:val="en-US" w:eastAsia="zh-CN" w:bidi="ar-SA"/>
    </w:rPr>
  </w:style>
  <w:style w:type="character" w:customStyle="1" w:styleId="242">
    <w:name w:val="白鹤滩标题 2 Char1"/>
    <w:uiPriority w:val="0"/>
    <w:rPr>
      <w:rFonts w:ascii="Arial" w:hAnsi="Arial" w:eastAsia="黑体"/>
      <w:b/>
      <w:bCs/>
      <w:kern w:val="2"/>
      <w:sz w:val="32"/>
      <w:szCs w:val="32"/>
      <w:lang w:val="en-US" w:eastAsia="zh-CN" w:bidi="ar-SA"/>
    </w:rPr>
  </w:style>
  <w:style w:type="character" w:customStyle="1" w:styleId="243">
    <w:name w:val="三级标题 Char"/>
    <w:uiPriority w:val="0"/>
    <w:rPr>
      <w:rFonts w:ascii="Times New Roman" w:hAnsi="Times New Roman" w:eastAsia="宋体" w:cs="Times New Roman"/>
      <w:b/>
      <w:bCs/>
      <w:sz w:val="30"/>
      <w:szCs w:val="32"/>
    </w:rPr>
  </w:style>
  <w:style w:type="character" w:customStyle="1" w:styleId="244">
    <w:name w:val="样式 正文文本 + 首行缩进:  2 字符 Char Char"/>
    <w:link w:val="245"/>
    <w:uiPriority w:val="0"/>
    <w:rPr>
      <w:rFonts w:cs="宋体"/>
      <w:kern w:val="2"/>
      <w:sz w:val="24"/>
      <w:szCs w:val="24"/>
    </w:rPr>
  </w:style>
  <w:style w:type="paragraph" w:customStyle="1" w:styleId="245">
    <w:name w:val="样式 正文文本 + 首行缩进:  2 字符"/>
    <w:basedOn w:val="15"/>
    <w:link w:val="244"/>
    <w:uiPriority w:val="0"/>
    <w:pPr>
      <w:spacing w:line="360" w:lineRule="auto"/>
      <w:jc w:val="left"/>
    </w:pPr>
  </w:style>
  <w:style w:type="character" w:customStyle="1" w:styleId="246">
    <w:name w:val="样式 样式 正文文本 + 首行缩进:  2 字符 + 宋体 Char Char"/>
    <w:link w:val="247"/>
    <w:uiPriority w:val="0"/>
    <w:rPr>
      <w:rFonts w:ascii="ti" w:hAnsi="ti" w:cs="宋体"/>
      <w:kern w:val="2"/>
      <w:sz w:val="24"/>
      <w:szCs w:val="24"/>
    </w:rPr>
  </w:style>
  <w:style w:type="paragraph" w:customStyle="1" w:styleId="247">
    <w:name w:val="样式 样式 正文文本 + 首行缩进:  2 字符 + 宋体"/>
    <w:basedOn w:val="245"/>
    <w:link w:val="246"/>
    <w:uiPriority w:val="0"/>
    <w:rPr>
      <w:rFonts w:ascii="ti" w:hAnsi="ti"/>
    </w:rPr>
  </w:style>
  <w:style w:type="character" w:customStyle="1" w:styleId="248">
    <w:name w:val="样式 宋体 小四 Char Char"/>
    <w:link w:val="249"/>
    <w:uiPriority w:val="0"/>
    <w:rPr>
      <w:rFonts w:ascii="ti" w:hAnsi="ti"/>
      <w:kern w:val="2"/>
      <w:sz w:val="24"/>
      <w:szCs w:val="24"/>
    </w:rPr>
  </w:style>
  <w:style w:type="paragraph" w:customStyle="1" w:styleId="249">
    <w:name w:val="样式 宋体 小四"/>
    <w:basedOn w:val="1"/>
    <w:link w:val="248"/>
    <w:uiPriority w:val="0"/>
    <w:pPr>
      <w:spacing w:line="360" w:lineRule="auto"/>
      <w:ind w:firstLine="200" w:firstLineChars="200"/>
      <w:jc w:val="left"/>
    </w:pPr>
    <w:rPr>
      <w:rFonts w:ascii="ti" w:hAnsi="ti"/>
      <w:sz w:val="24"/>
    </w:rPr>
  </w:style>
  <w:style w:type="paragraph" w:customStyle="1" w:styleId="250">
    <w:name w:val="样式 样式 首行缩进:  2 字符 + 首行缩进:  2 字符"/>
    <w:basedOn w:val="1"/>
    <w:uiPriority w:val="0"/>
    <w:pPr>
      <w:spacing w:line="360" w:lineRule="auto"/>
      <w:ind w:firstLine="480" w:firstLineChars="200"/>
      <w:jc w:val="left"/>
    </w:pPr>
    <w:rPr>
      <w:rFonts w:hAnsi="宋体"/>
      <w:color w:val="000000"/>
      <w:sz w:val="24"/>
      <w:szCs w:val="21"/>
    </w:rPr>
  </w:style>
  <w:style w:type="paragraph" w:customStyle="1" w:styleId="251">
    <w:name w:val="样式 样式 样式 正文文本 + 首行缩进:  2 字符 + 首行缩进:  2 字符 + 首行缩进:  2 字符"/>
    <w:basedOn w:val="1"/>
    <w:uiPriority w:val="0"/>
    <w:pPr>
      <w:spacing w:line="360" w:lineRule="auto"/>
      <w:ind w:firstLine="200" w:firstLineChars="200"/>
      <w:jc w:val="left"/>
    </w:pPr>
    <w:rPr>
      <w:rFonts w:cs="宋体"/>
      <w:sz w:val="24"/>
      <w:szCs w:val="20"/>
    </w:rPr>
  </w:style>
  <w:style w:type="paragraph" w:customStyle="1" w:styleId="252">
    <w:name w:val="样式 x表头 + 黑色 段前: 0.5 行"/>
    <w:basedOn w:val="232"/>
    <w:uiPriority w:val="0"/>
    <w:pPr>
      <w:spacing w:beforeLines="0"/>
      <w:ind w:firstLine="964" w:firstLineChars="400"/>
      <w:jc w:val="center"/>
    </w:pPr>
    <w:rPr>
      <w:rFonts w:eastAsia="黑体" w:cs="宋体"/>
      <w:bCs/>
      <w:color w:val="000000"/>
      <w:kern w:val="0"/>
      <w:szCs w:val="20"/>
    </w:rPr>
  </w:style>
  <w:style w:type="paragraph" w:customStyle="1" w:styleId="253">
    <w:name w:val="x标题2"/>
    <w:basedOn w:val="3"/>
    <w:uiPriority w:val="0"/>
    <w:pPr>
      <w:widowControl/>
      <w:spacing w:beforeLines="50" w:after="0" w:line="360" w:lineRule="auto"/>
      <w:ind w:firstLine="200" w:firstLineChars="200"/>
      <w:jc w:val="left"/>
    </w:pPr>
    <w:rPr>
      <w:rFonts w:ascii="Times New Roman" w:hAnsi="Times New Roman" w:eastAsia="宋体"/>
      <w:bCs w:val="0"/>
      <w:kern w:val="0"/>
      <w:sz w:val="30"/>
      <w:szCs w:val="30"/>
    </w:rPr>
  </w:style>
  <w:style w:type="paragraph" w:customStyle="1" w:styleId="254">
    <w:name w:val="样式 小四 行距: 多倍行距 1.3 字行"/>
    <w:basedOn w:val="1"/>
    <w:uiPriority w:val="0"/>
    <w:pPr>
      <w:spacing w:line="360" w:lineRule="auto"/>
      <w:ind w:firstLine="200" w:firstLineChars="200"/>
      <w:jc w:val="left"/>
    </w:pPr>
    <w:rPr>
      <w:rFonts w:cs="宋体"/>
      <w:sz w:val="24"/>
      <w:szCs w:val="20"/>
    </w:rPr>
  </w:style>
  <w:style w:type="paragraph" w:customStyle="1" w:styleId="255">
    <w:name w:val="样式 标题4 + 黑色"/>
    <w:basedOn w:val="4"/>
    <w:uiPriority w:val="0"/>
    <w:pPr>
      <w:keepNext w:val="0"/>
      <w:keepLines w:val="0"/>
      <w:adjustRightInd w:val="0"/>
      <w:spacing w:before="0" w:after="0" w:line="360" w:lineRule="auto"/>
      <w:ind w:firstLine="480" w:firstLineChars="200"/>
      <w:jc w:val="left"/>
      <w:textAlignment w:val="baseline"/>
      <w:outlineLvl w:val="9"/>
    </w:pPr>
    <w:rPr>
      <w:color w:val="000000"/>
      <w:kern w:val="0"/>
      <w:sz w:val="24"/>
      <w:szCs w:val="24"/>
    </w:rPr>
  </w:style>
  <w:style w:type="paragraph" w:customStyle="1" w:styleId="256">
    <w:name w:val="样式 x表头 + (中文) 黑体 五号 非加粗 黑色 行距: 单倍行距"/>
    <w:basedOn w:val="232"/>
    <w:uiPriority w:val="0"/>
    <w:pPr>
      <w:spacing w:line="240" w:lineRule="auto"/>
      <w:ind w:firstLine="1254" w:firstLineChars="597"/>
      <w:jc w:val="center"/>
    </w:pPr>
    <w:rPr>
      <w:rFonts w:eastAsia="黑体" w:cs="宋体"/>
      <w:color w:val="000000"/>
      <w:szCs w:val="20"/>
    </w:rPr>
  </w:style>
  <w:style w:type="paragraph" w:customStyle="1" w:styleId="257">
    <w:name w:val="样式 (符号) 宋体 行距: 最小值 12 磅1"/>
    <w:basedOn w:val="1"/>
    <w:uiPriority w:val="0"/>
    <w:pPr>
      <w:spacing w:line="240" w:lineRule="atLeast"/>
      <w:ind w:right="-191" w:rightChars="-91" w:firstLine="480" w:firstLineChars="200"/>
      <w:jc w:val="left"/>
    </w:pPr>
    <w:rPr>
      <w:rFonts w:ascii="ti" w:hAnsi="ti" w:cs="宋体"/>
      <w:sz w:val="24"/>
      <w:szCs w:val="20"/>
    </w:rPr>
  </w:style>
  <w:style w:type="paragraph" w:customStyle="1" w:styleId="258">
    <w:name w:val="样式 样式 样式 样式 样式 宋体 小四 行距: 1.5 倍行距 + 首行缩进:  2 字符 + 首行缩进:  2 字符 + 首..."/>
    <w:basedOn w:val="1"/>
    <w:uiPriority w:val="0"/>
    <w:pPr>
      <w:spacing w:line="360" w:lineRule="auto"/>
      <w:ind w:firstLine="200" w:firstLineChars="200"/>
      <w:jc w:val="left"/>
    </w:pPr>
    <w:rPr>
      <w:rFonts w:cs="宋体"/>
      <w:sz w:val="24"/>
      <w:szCs w:val="20"/>
    </w:rPr>
  </w:style>
  <w:style w:type="paragraph" w:customStyle="1" w:styleId="259">
    <w:name w:val="样式 小四 行距: 1.5 倍行距"/>
    <w:basedOn w:val="1"/>
    <w:uiPriority w:val="0"/>
    <w:pPr>
      <w:spacing w:line="360" w:lineRule="auto"/>
      <w:ind w:firstLine="200" w:firstLineChars="200"/>
      <w:jc w:val="left"/>
    </w:pPr>
    <w:rPr>
      <w:rFonts w:cs="宋体"/>
      <w:sz w:val="24"/>
      <w:szCs w:val="20"/>
    </w:rPr>
  </w:style>
  <w:style w:type="paragraph" w:customStyle="1" w:styleId="260">
    <w:name w:val="样式 样式 样式 样式 样式 正文文本 + 首行缩进:  2 字符 + 首行缩进:  2 字符 + 首行缩进:  2 字符 + ..."/>
    <w:basedOn w:val="261"/>
    <w:uiPriority w:val="0"/>
  </w:style>
  <w:style w:type="paragraph" w:customStyle="1" w:styleId="261">
    <w:name w:val="样式 样式 样式 样式 正文文本 + 首行缩进:  2 字符 + 首行缩进:  2 字符 + 首行缩进:  2 字符 + 加粗..."/>
    <w:basedOn w:val="251"/>
    <w:uiPriority w:val="0"/>
    <w:rPr>
      <w:b/>
      <w:bCs/>
    </w:rPr>
  </w:style>
  <w:style w:type="paragraph" w:customStyle="1" w:styleId="262">
    <w:name w:val="样式 正文文本 + (符号) 宋体 居中 首行缩进:  2 字符"/>
    <w:basedOn w:val="15"/>
    <w:uiPriority w:val="0"/>
    <w:pPr>
      <w:adjustRightInd w:val="0"/>
      <w:snapToGrid w:val="0"/>
      <w:spacing w:line="360" w:lineRule="auto"/>
      <w:jc w:val="center"/>
    </w:pPr>
    <w:rPr>
      <w:rFonts w:hAnsi="宋体" w:cs="宋体"/>
      <w:szCs w:val="20"/>
    </w:rPr>
  </w:style>
  <w:style w:type="paragraph" w:customStyle="1" w:styleId="263">
    <w:name w:val="样式 样式 样式 正文文本 + 首行缩进:  2 字符 + 首行缩进:  2 字符 + 加粗 首行缩进:  2 字符"/>
    <w:basedOn w:val="264"/>
    <w:uiPriority w:val="0"/>
    <w:rPr>
      <w:b/>
      <w:bCs/>
    </w:rPr>
  </w:style>
  <w:style w:type="paragraph" w:customStyle="1" w:styleId="264">
    <w:name w:val="样式 样式 正文文本 + 首行缩进:  2 字符 + 首行缩进:  2 字符"/>
    <w:basedOn w:val="245"/>
    <w:uiPriority w:val="0"/>
  </w:style>
  <w:style w:type="paragraph" w:customStyle="1" w:styleId="265">
    <w:name w:val="样式 样式 正文文本 + 首行缩进:  2 字符 + 两端对齐 首行缩进:  2 字符 行距: 多倍行距 1.3 字行"/>
    <w:basedOn w:val="245"/>
    <w:uiPriority w:val="0"/>
  </w:style>
  <w:style w:type="paragraph" w:customStyle="1" w:styleId="266">
    <w:name w:val="样式 样式 正文文本 + 首行缩进:  2 字符 + 首行缩进:  2 字符1"/>
    <w:basedOn w:val="245"/>
    <w:uiPriority w:val="0"/>
    <w:pPr>
      <w:ind w:firstLine="480"/>
    </w:pPr>
  </w:style>
  <w:style w:type="paragraph" w:customStyle="1" w:styleId="267">
    <w:name w:val="x标题3"/>
    <w:basedOn w:val="4"/>
    <w:uiPriority w:val="0"/>
    <w:pPr>
      <w:spacing w:before="0" w:after="0" w:line="360" w:lineRule="auto"/>
      <w:ind w:firstLine="200" w:firstLineChars="200"/>
      <w:jc w:val="left"/>
    </w:pPr>
    <w:rPr>
      <w:sz w:val="28"/>
      <w:szCs w:val="21"/>
    </w:rPr>
  </w:style>
  <w:style w:type="paragraph" w:customStyle="1" w:styleId="268">
    <w:name w:val="注释文字"/>
    <w:basedOn w:val="1"/>
    <w:uiPriority w:val="0"/>
    <w:pPr>
      <w:adjustRightInd w:val="0"/>
      <w:snapToGrid w:val="0"/>
      <w:ind w:firstLine="200" w:firstLineChars="200"/>
      <w:jc w:val="left"/>
    </w:pPr>
    <w:rPr>
      <w:sz w:val="18"/>
    </w:rPr>
  </w:style>
  <w:style w:type="paragraph" w:customStyle="1" w:styleId="269">
    <w:name w:val="小金正文"/>
    <w:basedOn w:val="1"/>
    <w:uiPriority w:val="0"/>
    <w:pPr>
      <w:adjustRightInd w:val="0"/>
      <w:snapToGrid w:val="0"/>
      <w:spacing w:line="360" w:lineRule="auto"/>
      <w:ind w:firstLine="200" w:firstLineChars="200"/>
      <w:jc w:val="left"/>
    </w:pPr>
    <w:rPr>
      <w:sz w:val="24"/>
      <w:szCs w:val="21"/>
    </w:rPr>
  </w:style>
  <w:style w:type="paragraph" w:customStyle="1" w:styleId="270">
    <w:name w:val="小表文"/>
    <w:basedOn w:val="1"/>
    <w:uiPriority w:val="0"/>
    <w:pPr>
      <w:widowControl/>
      <w:adjustRightInd w:val="0"/>
      <w:snapToGrid w:val="0"/>
      <w:spacing w:before="20" w:line="360" w:lineRule="auto"/>
      <w:ind w:firstLine="480" w:firstLineChars="200"/>
      <w:jc w:val="left"/>
    </w:pPr>
    <w:rPr>
      <w:kern w:val="0"/>
      <w:sz w:val="18"/>
      <w:szCs w:val="18"/>
    </w:rPr>
  </w:style>
  <w:style w:type="paragraph" w:customStyle="1" w:styleId="271">
    <w:name w:val="样式 样式 样式 样式 正文文本 + 首行缩进:  2 字符 + 首行缩进:  2 字符 + 首行缩进:  2 字符 + 首行缩..."/>
    <w:basedOn w:val="251"/>
    <w:uiPriority w:val="0"/>
  </w:style>
  <w:style w:type="paragraph" w:customStyle="1" w:styleId="272">
    <w:name w:val="样式 (符号) 宋体 11 磅 居中"/>
    <w:basedOn w:val="1"/>
    <w:uiPriority w:val="0"/>
    <w:pPr>
      <w:spacing w:line="360" w:lineRule="auto"/>
      <w:ind w:firstLine="480" w:firstLineChars="200"/>
      <w:jc w:val="center"/>
    </w:pPr>
    <w:rPr>
      <w:rFonts w:cs="宋体"/>
      <w:kern w:val="0"/>
      <w:sz w:val="22"/>
      <w:szCs w:val="20"/>
    </w:rPr>
  </w:style>
  <w:style w:type="paragraph" w:customStyle="1" w:styleId="273">
    <w:name w:val="样式 样式 样式 样式 正文文本 + 首行缩进:  2 字符 + 首行缩进:  2 字符 + 加粗 首行缩进:  2 字符 + ..."/>
    <w:basedOn w:val="263"/>
    <w:uiPriority w:val="0"/>
  </w:style>
  <w:style w:type="paragraph" w:customStyle="1" w:styleId="274">
    <w:name w:val="样式 样式 宋体 小四 + 首行缩进:  2 字符"/>
    <w:basedOn w:val="249"/>
    <w:uiPriority w:val="0"/>
    <w:rPr>
      <w:rFonts w:ascii="Times New Roman" w:hAnsi="Times New Roman" w:cs="宋体"/>
      <w:szCs w:val="20"/>
    </w:rPr>
  </w:style>
  <w:style w:type="paragraph" w:customStyle="1" w:styleId="275">
    <w:name w:val="样式 (符号) 宋体 行距: 最小值 12 磅"/>
    <w:basedOn w:val="1"/>
    <w:uiPriority w:val="0"/>
    <w:pPr>
      <w:spacing w:line="240" w:lineRule="atLeast"/>
      <w:ind w:firstLine="480" w:firstLineChars="200"/>
      <w:jc w:val="left"/>
    </w:pPr>
    <w:rPr>
      <w:rFonts w:ascii="ti" w:hAnsi="ti" w:cs="宋体"/>
      <w:sz w:val="24"/>
      <w:szCs w:val="20"/>
    </w:rPr>
  </w:style>
  <w:style w:type="paragraph" w:customStyle="1" w:styleId="276">
    <w:name w:val="x标题1"/>
    <w:basedOn w:val="2"/>
    <w:uiPriority w:val="0"/>
    <w:pPr>
      <w:keepLines/>
      <w:spacing w:before="340" w:after="330" w:line="576" w:lineRule="auto"/>
      <w:ind w:firstLine="200" w:firstLineChars="200"/>
    </w:pPr>
    <w:rPr>
      <w:b/>
      <w:bCs/>
      <w:kern w:val="44"/>
      <w:sz w:val="44"/>
      <w:szCs w:val="44"/>
    </w:rPr>
  </w:style>
  <w:style w:type="character" w:customStyle="1" w:styleId="277">
    <w:name w:val="综合规划正文格式 Char Char"/>
    <w:link w:val="278"/>
    <w:uiPriority w:val="0"/>
    <w:rPr>
      <w:sz w:val="24"/>
      <w:szCs w:val="24"/>
    </w:rPr>
  </w:style>
  <w:style w:type="paragraph" w:customStyle="1" w:styleId="278">
    <w:name w:val="综合规划正文格式"/>
    <w:basedOn w:val="1"/>
    <w:link w:val="277"/>
    <w:qFormat/>
    <w:uiPriority w:val="0"/>
    <w:pPr>
      <w:spacing w:line="360" w:lineRule="auto"/>
      <w:ind w:firstLine="200" w:firstLineChars="200"/>
      <w:jc w:val="left"/>
    </w:pPr>
    <w:rPr>
      <w:kern w:val="0"/>
      <w:sz w:val="24"/>
    </w:rPr>
  </w:style>
  <w:style w:type="paragraph" w:styleId="279">
    <w:name w:val="No Spacing"/>
    <w:basedOn w:val="1"/>
    <w:link w:val="280"/>
    <w:qFormat/>
    <w:uiPriority w:val="1"/>
    <w:pPr>
      <w:adjustRightInd w:val="0"/>
      <w:snapToGrid w:val="0"/>
      <w:spacing w:line="320" w:lineRule="exact"/>
      <w:jc w:val="center"/>
      <w:textAlignment w:val="baseline"/>
    </w:pPr>
    <w:rPr>
      <w:kern w:val="0"/>
      <w:szCs w:val="21"/>
    </w:rPr>
  </w:style>
  <w:style w:type="character" w:customStyle="1" w:styleId="280">
    <w:name w:val="无间隔 Char"/>
    <w:link w:val="279"/>
    <w:uiPriority w:val="1"/>
    <w:rPr>
      <w:sz w:val="21"/>
      <w:szCs w:val="21"/>
    </w:rPr>
  </w:style>
  <w:style w:type="character" w:customStyle="1" w:styleId="281">
    <w:name w:val="页眉 Char1"/>
    <w:basedOn w:val="53"/>
    <w:uiPriority w:val="99"/>
    <w:rPr>
      <w:rFonts w:ascii="Times New Roman" w:hAnsi="Times New Roman" w:eastAsia="宋体" w:cs="Times New Roman"/>
      <w:sz w:val="18"/>
      <w:szCs w:val="18"/>
    </w:rPr>
  </w:style>
  <w:style w:type="paragraph" w:styleId="282">
    <w:name w:val="List Paragraph"/>
    <w:basedOn w:val="1"/>
    <w:qFormat/>
    <w:uiPriority w:val="34"/>
    <w:pPr>
      <w:ind w:firstLine="420" w:firstLineChars="200"/>
    </w:pPr>
  </w:style>
  <w:style w:type="paragraph" w:customStyle="1" w:styleId="283">
    <w:name w:val="正文表格"/>
    <w:basedOn w:val="1"/>
    <w:link w:val="284"/>
    <w:qFormat/>
    <w:uiPriority w:val="0"/>
    <w:pPr>
      <w:spacing w:line="400" w:lineRule="exact"/>
      <w:jc w:val="center"/>
    </w:pPr>
    <w:rPr>
      <w:szCs w:val="21"/>
    </w:rPr>
  </w:style>
  <w:style w:type="character" w:customStyle="1" w:styleId="284">
    <w:name w:val="正文表格 Char"/>
    <w:link w:val="283"/>
    <w:uiPriority w:val="0"/>
    <w:rPr>
      <w:kern w:val="2"/>
      <w:sz w:val="21"/>
      <w:szCs w:val="21"/>
    </w:rPr>
  </w:style>
  <w:style w:type="paragraph" w:customStyle="1" w:styleId="285">
    <w:name w:val="1、正文"/>
    <w:basedOn w:val="1"/>
    <w:qFormat/>
    <w:uiPriority w:val="0"/>
    <w:pPr>
      <w:adjustRightInd w:val="0"/>
      <w:snapToGrid w:val="0"/>
      <w:spacing w:line="360" w:lineRule="auto"/>
      <w:ind w:firstLine="200" w:firstLineChars="200"/>
    </w:pPr>
    <w:rPr>
      <w:sz w:val="24"/>
    </w:rPr>
  </w:style>
  <w:style w:type="paragraph" w:customStyle="1" w:styleId="286">
    <w:name w:val="3、表内字"/>
    <w:basedOn w:val="1"/>
    <w:qFormat/>
    <w:uiPriority w:val="0"/>
    <w:pPr>
      <w:adjustRightInd w:val="0"/>
      <w:snapToGrid w:val="0"/>
      <w:jc w:val="center"/>
    </w:pPr>
    <w:rPr>
      <w:szCs w:val="21"/>
    </w:rPr>
  </w:style>
  <w:style w:type="paragraph" w:customStyle="1" w:styleId="287">
    <w:name w:val="2、表名"/>
    <w:basedOn w:val="1"/>
    <w:qFormat/>
    <w:uiPriority w:val="0"/>
    <w:pPr>
      <w:adjustRightInd w:val="0"/>
      <w:snapToGrid w:val="0"/>
      <w:spacing w:beforeLines="50"/>
      <w:jc w:val="center"/>
    </w:pPr>
    <w:rPr>
      <w:b/>
      <w:bCs/>
      <w:szCs w:val="21"/>
    </w:rPr>
  </w:style>
  <w:style w:type="character" w:customStyle="1" w:styleId="288">
    <w:name w:val="Intense Emphasis"/>
    <w:qFormat/>
    <w:uiPriority w:val="0"/>
    <w:rPr>
      <w:b/>
      <w:i/>
      <w:color w:val="auto"/>
    </w:rPr>
  </w:style>
  <w:style w:type="paragraph" w:customStyle="1" w:styleId="289">
    <w:name w:val="vsbcontent_end"/>
    <w:basedOn w:val="1"/>
    <w:uiPriority w:val="0"/>
    <w:pPr>
      <w:widowControl/>
      <w:spacing w:before="100" w:beforeAutospacing="1" w:after="100" w:afterAutospacing="1"/>
      <w:jc w:val="left"/>
    </w:pPr>
    <w:rPr>
      <w:rFonts w:ascii="宋体" w:hAnsi="宋体" w:cs="宋体"/>
      <w:kern w:val="0"/>
      <w:sz w:val="24"/>
    </w:rPr>
  </w:style>
  <w:style w:type="paragraph" w:customStyle="1" w:styleId="290">
    <w:name w:val="A-正文"/>
    <w:basedOn w:val="1"/>
    <w:link w:val="291"/>
    <w:qFormat/>
    <w:uiPriority w:val="0"/>
    <w:pPr>
      <w:widowControl/>
      <w:adjustRightInd w:val="0"/>
      <w:snapToGrid w:val="0"/>
      <w:spacing w:line="360" w:lineRule="auto"/>
      <w:ind w:firstLine="480" w:firstLineChars="200"/>
    </w:pPr>
    <w:rPr>
      <w:color w:val="00B050"/>
      <w:sz w:val="24"/>
    </w:rPr>
  </w:style>
  <w:style w:type="character" w:customStyle="1" w:styleId="291">
    <w:name w:val="A-正文 Char"/>
    <w:link w:val="290"/>
    <w:uiPriority w:val="0"/>
    <w:rPr>
      <w:color w:val="00B050"/>
      <w:kern w:val="2"/>
      <w:sz w:val="24"/>
      <w:szCs w:val="24"/>
    </w:rPr>
  </w:style>
  <w:style w:type="paragraph" w:customStyle="1" w:styleId="292">
    <w:name w:val="4、图名"/>
    <w:basedOn w:val="1"/>
    <w:qFormat/>
    <w:uiPriority w:val="0"/>
    <w:pPr>
      <w:autoSpaceDE w:val="0"/>
      <w:autoSpaceDN w:val="0"/>
      <w:adjustRightInd w:val="0"/>
      <w:snapToGrid w:val="0"/>
      <w:spacing w:afterLines="50"/>
      <w:jc w:val="center"/>
    </w:pPr>
    <w:rPr>
      <w:b/>
      <w:szCs w:val="21"/>
    </w:rPr>
  </w:style>
  <w:style w:type="character" w:styleId="293">
    <w:name w:val="Placeholder Text"/>
    <w:basedOn w:val="53"/>
    <w:uiPriority w:val="99"/>
    <w:rPr>
      <w:color w:val="808080"/>
    </w:rPr>
  </w:style>
  <w:style w:type="character" w:customStyle="1" w:styleId="294">
    <w:name w:val="报告表正文 Char Char"/>
    <w:uiPriority w:val="0"/>
    <w:rPr>
      <w:sz w:val="24"/>
    </w:rPr>
  </w:style>
  <w:style w:type="character" w:customStyle="1" w:styleId="295">
    <w:name w:val="表头-lcc Char Char"/>
    <w:link w:val="296"/>
    <w:uiPriority w:val="0"/>
    <w:rPr>
      <w:b/>
      <w:szCs w:val="21"/>
    </w:rPr>
  </w:style>
  <w:style w:type="paragraph" w:customStyle="1" w:styleId="296">
    <w:name w:val="表头-lcc"/>
    <w:basedOn w:val="1"/>
    <w:link w:val="295"/>
    <w:qFormat/>
    <w:uiPriority w:val="0"/>
    <w:pPr>
      <w:jc w:val="center"/>
    </w:pPr>
    <w:rPr>
      <w:b/>
      <w:kern w:val="0"/>
      <w:sz w:val="20"/>
      <w:szCs w:val="21"/>
    </w:rPr>
  </w:style>
  <w:style w:type="character" w:customStyle="1" w:styleId="297">
    <w:name w:val="环评正文 Char Char"/>
    <w:uiPriority w:val="0"/>
    <w:rPr>
      <w:rFonts w:eastAsia="宋体"/>
      <w:sz w:val="24"/>
    </w:rPr>
  </w:style>
  <w:style w:type="paragraph" w:customStyle="1" w:styleId="298">
    <w:name w:val="Revision"/>
    <w:hidden/>
    <w:uiPriority w:val="99"/>
    <w:rPr>
      <w:rFonts w:ascii="Times New Roman" w:hAnsi="Times New Roman" w:eastAsia="宋体" w:cs="Times New Roman"/>
      <w:kern w:val="2"/>
      <w:sz w:val="21"/>
      <w:szCs w:val="24"/>
      <w:lang w:val="en-US" w:eastAsia="zh-CN" w:bidi="ar-SA"/>
    </w:rPr>
  </w:style>
  <w:style w:type="character" w:customStyle="1" w:styleId="299">
    <w:name w:val="脚注文本 Char"/>
    <w:link w:val="42"/>
    <w:uiPriority w:val="0"/>
    <w:rPr>
      <w:kern w:val="2"/>
      <w:sz w:val="18"/>
      <w:szCs w:val="18"/>
    </w:rPr>
  </w:style>
  <w:style w:type="character" w:customStyle="1" w:styleId="300">
    <w:name w:val="headline-content2"/>
    <w:basedOn w:val="53"/>
    <w:uiPriority w:val="0"/>
  </w:style>
  <w:style w:type="character" w:customStyle="1" w:styleId="301">
    <w:name w:val="报告 Char Char"/>
    <w:uiPriority w:val="0"/>
    <w:rPr>
      <w:rFonts w:ascii="TimesNewRoman" w:hAnsi="TimesNewRoman" w:eastAsia="宋体"/>
      <w:sz w:val="24"/>
      <w:lang w:val="en-US" w:eastAsia="zh-CN" w:bidi="ar-SA"/>
    </w:rPr>
  </w:style>
  <w:style w:type="paragraph" w:customStyle="1" w:styleId="302">
    <w:name w:val="图表标题"/>
    <w:basedOn w:val="1"/>
    <w:next w:val="168"/>
    <w:uiPriority w:val="0"/>
    <w:pPr>
      <w:adjustRightInd w:val="0"/>
      <w:snapToGrid w:val="0"/>
      <w:spacing w:line="360" w:lineRule="auto"/>
      <w:ind w:firstLine="480"/>
      <w:jc w:val="center"/>
    </w:pPr>
    <w:rPr>
      <w:rFonts w:ascii="黑体" w:hAnsi="宋体" w:eastAsia="黑体"/>
      <w:bCs/>
      <w:snapToGrid w:val="0"/>
      <w:sz w:val="24"/>
    </w:rPr>
  </w:style>
  <w:style w:type="paragraph" w:customStyle="1" w:styleId="303">
    <w:name w:val="Char4 Char Char Char Char Char Char1"/>
    <w:basedOn w:val="1"/>
    <w:uiPriority w:val="0"/>
    <w:pPr>
      <w:spacing w:line="360" w:lineRule="auto"/>
      <w:ind w:firstLine="200" w:firstLineChars="200"/>
    </w:pPr>
    <w:rPr>
      <w:rFonts w:ascii="宋体" w:hAnsi="宋体" w:cs="宋体"/>
      <w:sz w:val="24"/>
    </w:rPr>
  </w:style>
  <w:style w:type="paragraph" w:customStyle="1" w:styleId="304">
    <w:name w:val="Char Char Char Char"/>
    <w:basedOn w:val="1"/>
    <w:uiPriority w:val="0"/>
  </w:style>
  <w:style w:type="paragraph" w:customStyle="1" w:styleId="305">
    <w:name w:val="Char Char Char Char2"/>
    <w:basedOn w:val="1"/>
    <w:uiPriority w:val="0"/>
    <w:pPr>
      <w:tabs>
        <w:tab w:val="left" w:pos="360"/>
      </w:tabs>
    </w:pPr>
    <w:rPr>
      <w:sz w:val="24"/>
    </w:rPr>
  </w:style>
  <w:style w:type="paragraph" w:customStyle="1" w:styleId="306">
    <w:name w:val="Char Char Char Char Char Char1 Char"/>
    <w:basedOn w:val="1"/>
    <w:uiPriority w:val="0"/>
    <w:rPr>
      <w:sz w:val="24"/>
    </w:rPr>
  </w:style>
  <w:style w:type="paragraph" w:customStyle="1" w:styleId="307">
    <w:name w:val="表文"/>
    <w:basedOn w:val="1"/>
    <w:qFormat/>
    <w:uiPriority w:val="0"/>
    <w:pPr>
      <w:spacing w:beforeLines="20" w:afterLines="20"/>
      <w:jc w:val="center"/>
    </w:pPr>
  </w:style>
  <w:style w:type="paragraph" w:customStyle="1" w:styleId="308">
    <w:name w:val="xl31"/>
    <w:basedOn w:val="1"/>
    <w:uiPriority w:val="0"/>
    <w:pPr>
      <w:widowControl/>
      <w:spacing w:before="100" w:beforeAutospacing="1" w:after="100" w:afterAutospacing="1"/>
      <w:jc w:val="center"/>
      <w:textAlignment w:val="center"/>
    </w:pPr>
    <w:rPr>
      <w:rFonts w:ascii="Arial Unicode MS" w:hAnsi="Arial Unicode MS" w:eastAsia="Arial Unicode MS"/>
      <w:kern w:val="0"/>
      <w:sz w:val="24"/>
    </w:rPr>
  </w:style>
  <w:style w:type="character" w:customStyle="1" w:styleId="309">
    <w:name w:val="脚注文本 Char1"/>
    <w:basedOn w:val="53"/>
    <w:link w:val="42"/>
    <w:uiPriority w:val="99"/>
    <w:rPr>
      <w:kern w:val="2"/>
      <w:sz w:val="18"/>
      <w:szCs w:val="18"/>
    </w:rPr>
  </w:style>
  <w:style w:type="paragraph" w:customStyle="1" w:styleId="310">
    <w:name w:val="默认段落字体 Para Char"/>
    <w:basedOn w:val="1"/>
    <w:qFormat/>
    <w:uiPriority w:val="0"/>
    <w:rPr>
      <w:rFonts w:ascii="宋体"/>
      <w:sz w:val="28"/>
    </w:rPr>
  </w:style>
  <w:style w:type="paragraph" w:customStyle="1" w:styleId="311">
    <w:name w:val="Char Char2"/>
    <w:basedOn w:val="1"/>
    <w:uiPriority w:val="0"/>
  </w:style>
  <w:style w:type="paragraph" w:customStyle="1" w:styleId="312">
    <w:name w:val="pic-info"/>
    <w:basedOn w:val="1"/>
    <w:uiPriority w:val="0"/>
    <w:pPr>
      <w:widowControl/>
      <w:spacing w:before="100" w:beforeAutospacing="1" w:after="100" w:afterAutospacing="1"/>
      <w:jc w:val="left"/>
    </w:pPr>
    <w:rPr>
      <w:rFonts w:ascii="宋体" w:hAnsi="宋体" w:cs="宋体"/>
      <w:kern w:val="0"/>
      <w:sz w:val="24"/>
    </w:rPr>
  </w:style>
  <w:style w:type="paragraph" w:customStyle="1" w:styleId="313">
    <w:name w:val="3级"/>
    <w:basedOn w:val="1"/>
    <w:uiPriority w:val="0"/>
    <w:pPr>
      <w:spacing w:line="360" w:lineRule="auto"/>
      <w:outlineLvl w:val="2"/>
    </w:pPr>
    <w:rPr>
      <w:rFonts w:ascii="宋体" w:hAnsi="宋体"/>
      <w:b/>
      <w:sz w:val="30"/>
      <w:szCs w:val="20"/>
    </w:rPr>
  </w:style>
  <w:style w:type="paragraph" w:customStyle="1" w:styleId="314">
    <w:name w:val="Char1"/>
    <w:basedOn w:val="1"/>
    <w:uiPriority w:val="0"/>
    <w:pPr>
      <w:ind w:left="510"/>
    </w:pPr>
    <w:rPr>
      <w:rFonts w:ascii="宋体" w:hAnsi="宋体"/>
      <w:color w:val="000000"/>
      <w:kern w:val="0"/>
      <w:sz w:val="24"/>
      <w:szCs w:val="20"/>
    </w:rPr>
  </w:style>
  <w:style w:type="paragraph" w:customStyle="1" w:styleId="315">
    <w:name w:val="album-div"/>
    <w:basedOn w:val="1"/>
    <w:uiPriority w:val="0"/>
    <w:pPr>
      <w:widowControl/>
      <w:spacing w:before="100" w:beforeAutospacing="1" w:after="100" w:afterAutospacing="1"/>
      <w:jc w:val="left"/>
    </w:pPr>
    <w:rPr>
      <w:rFonts w:ascii="宋体" w:hAnsi="宋体" w:cs="宋体"/>
      <w:kern w:val="0"/>
      <w:sz w:val="24"/>
    </w:rPr>
  </w:style>
  <w:style w:type="character" w:customStyle="1" w:styleId="316">
    <w:name w:val="title11"/>
    <w:uiPriority w:val="0"/>
  </w:style>
  <w:style w:type="character" w:customStyle="1" w:styleId="317">
    <w:name w:val="count4"/>
    <w:uiPriority w:val="0"/>
  </w:style>
  <w:style w:type="character" w:customStyle="1" w:styleId="318">
    <w:name w:val="text_edit1"/>
    <w:uiPriority w:val="0"/>
    <w:rPr>
      <w:color w:val="3366CC"/>
      <w:sz w:val="18"/>
      <w:szCs w:val="18"/>
    </w:rPr>
  </w:style>
  <w:style w:type="paragraph" w:customStyle="1" w:styleId="319">
    <w:name w:val="正文1"/>
    <w:basedOn w:val="1"/>
    <w:link w:val="320"/>
    <w:uiPriority w:val="0"/>
    <w:pPr>
      <w:spacing w:line="360" w:lineRule="auto"/>
      <w:ind w:firstLine="480" w:firstLineChars="200"/>
    </w:pPr>
    <w:rPr>
      <w:rFonts w:ascii="宋体" w:hAnsi="宋体"/>
      <w:sz w:val="24"/>
    </w:rPr>
  </w:style>
  <w:style w:type="character" w:customStyle="1" w:styleId="320">
    <w:name w:val="正文 Char"/>
    <w:link w:val="319"/>
    <w:uiPriority w:val="0"/>
    <w:rPr>
      <w:rFonts w:ascii="宋体" w:hAnsi="宋体"/>
      <w:kern w:val="2"/>
      <w:sz w:val="24"/>
      <w:szCs w:val="24"/>
    </w:rPr>
  </w:style>
  <w:style w:type="character" w:customStyle="1" w:styleId="321">
    <w:name w:val="正文文本缩进 Char1"/>
    <w:uiPriority w:val="0"/>
    <w:rPr>
      <w:kern w:val="2"/>
      <w:sz w:val="21"/>
      <w:szCs w:val="24"/>
    </w:rPr>
  </w:style>
  <w:style w:type="character" w:customStyle="1" w:styleId="322">
    <w:name w:val="段 Char"/>
    <w:link w:val="323"/>
    <w:uiPriority w:val="0"/>
    <w:rPr>
      <w:rFonts w:ascii="宋体"/>
      <w:sz w:val="21"/>
      <w:lang w:val="en-US" w:eastAsia="zh-CN" w:bidi="ar-SA"/>
    </w:rPr>
  </w:style>
  <w:style w:type="paragraph" w:customStyle="1" w:styleId="323">
    <w:name w:val="段"/>
    <w:link w:val="322"/>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24">
    <w:name w:val="Char Char Char Char Char Char2"/>
    <w:basedOn w:val="1"/>
    <w:uiPriority w:val="0"/>
    <w:rPr>
      <w:sz w:val="24"/>
    </w:rPr>
  </w:style>
  <w:style w:type="paragraph" w:customStyle="1" w:styleId="325">
    <w:name w:val="样式13"/>
    <w:basedOn w:val="1"/>
    <w:uiPriority w:val="0"/>
    <w:pPr>
      <w:spacing w:line="360" w:lineRule="auto"/>
      <w:ind w:firstLine="480" w:firstLineChars="200"/>
    </w:pPr>
    <w:rPr>
      <w:rFonts w:ascii="Arial" w:hAnsi="Arial" w:cs="Arial"/>
      <w:sz w:val="24"/>
    </w:rPr>
  </w:style>
  <w:style w:type="paragraph" w:customStyle="1" w:styleId="326">
    <w:name w:val="表"/>
    <w:basedOn w:val="1"/>
    <w:uiPriority w:val="0"/>
    <w:pPr>
      <w:spacing w:line="320" w:lineRule="atLeast"/>
      <w:jc w:val="center"/>
    </w:pPr>
    <w:rPr>
      <w:szCs w:val="20"/>
    </w:rPr>
  </w:style>
  <w:style w:type="paragraph" w:customStyle="1" w:styleId="327">
    <w:name w:val="xl63"/>
    <w:basedOn w:val="1"/>
    <w:uiPriority w:val="0"/>
    <w:pPr>
      <w:widowControl/>
      <w:spacing w:before="100" w:after="100"/>
      <w:jc w:val="center"/>
      <w:textAlignment w:val="center"/>
    </w:pPr>
    <w:rPr>
      <w:rFonts w:hint="eastAsia" w:ascii="黑体" w:hAnsi="宋体" w:eastAsia="黑体"/>
      <w:kern w:val="0"/>
      <w:sz w:val="24"/>
      <w:szCs w:val="20"/>
    </w:rPr>
  </w:style>
  <w:style w:type="paragraph" w:customStyle="1" w:styleId="328">
    <w:name w:val="君邦正文"/>
    <w:uiPriority w:val="0"/>
    <w:pPr>
      <w:spacing w:line="360" w:lineRule="auto"/>
      <w:ind w:left="-4" w:leftChars="-2" w:firstLine="480" w:firstLineChars="200"/>
      <w:jc w:val="both"/>
    </w:pPr>
    <w:rPr>
      <w:rFonts w:ascii="宋体" w:hAnsi="宋体" w:eastAsia="宋体" w:cs="Times New Roman"/>
      <w:kern w:val="2"/>
      <w:sz w:val="24"/>
      <w:lang w:val="en-US" w:eastAsia="zh-CN" w:bidi="ar-SA"/>
    </w:rPr>
  </w:style>
  <w:style w:type="paragraph" w:customStyle="1" w:styleId="329">
    <w:name w:val="Char Char8 Char Char"/>
    <w:basedOn w:val="1"/>
    <w:uiPriority w:val="0"/>
    <w:pPr>
      <w:spacing w:line="360" w:lineRule="auto"/>
      <w:ind w:firstLine="200" w:firstLineChars="200"/>
    </w:pPr>
  </w:style>
  <w:style w:type="paragraph" w:customStyle="1" w:styleId="330">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31">
    <w:name w:val="Char Char"/>
    <w:basedOn w:val="1"/>
    <w:uiPriority w:val="0"/>
    <w:pPr>
      <w:ind w:left="510"/>
    </w:pPr>
    <w:rPr>
      <w:rFonts w:ascii="宋体" w:hAnsi="宋体"/>
      <w:color w:val="000000"/>
      <w:kern w:val="0"/>
      <w:sz w:val="24"/>
      <w:szCs w:val="20"/>
    </w:rPr>
  </w:style>
  <w:style w:type="paragraph" w:customStyle="1" w:styleId="332">
    <w:name w:val="样式17"/>
    <w:basedOn w:val="325"/>
    <w:link w:val="563"/>
    <w:uiPriority w:val="0"/>
  </w:style>
  <w:style w:type="paragraph" w:customStyle="1" w:styleId="333">
    <w:name w:val="Char Char2 Char Char Char Char"/>
    <w:basedOn w:val="1"/>
    <w:uiPriority w:val="0"/>
  </w:style>
  <w:style w:type="paragraph" w:customStyle="1" w:styleId="334">
    <w:name w:val="样式3"/>
    <w:basedOn w:val="1"/>
    <w:qFormat/>
    <w:uiPriority w:val="0"/>
    <w:pPr>
      <w:adjustRightInd w:val="0"/>
      <w:snapToGrid w:val="0"/>
      <w:spacing w:line="280" w:lineRule="exact"/>
    </w:pPr>
    <w:rPr>
      <w:bCs/>
      <w:snapToGrid w:val="0"/>
      <w:kern w:val="0"/>
      <w:szCs w:val="21"/>
    </w:rPr>
  </w:style>
  <w:style w:type="paragraph" w:customStyle="1" w:styleId="335">
    <w:name w:val="新正文样式"/>
    <w:basedOn w:val="1"/>
    <w:uiPriority w:val="0"/>
    <w:pPr>
      <w:spacing w:line="360" w:lineRule="auto"/>
    </w:pPr>
    <w:rPr>
      <w:spacing w:val="20"/>
      <w:sz w:val="24"/>
      <w:szCs w:val="20"/>
    </w:rPr>
  </w:style>
  <w:style w:type="character" w:customStyle="1" w:styleId="336">
    <w:name w:val="正文文本 3 Char"/>
    <w:uiPriority w:val="0"/>
    <w:rPr>
      <w:rFonts w:eastAsia="宋体"/>
      <w:kern w:val="2"/>
      <w:sz w:val="16"/>
      <w:szCs w:val="16"/>
      <w:lang w:val="en-US" w:eastAsia="zh-CN" w:bidi="ar-SA"/>
    </w:rPr>
  </w:style>
  <w:style w:type="paragraph" w:customStyle="1" w:styleId="337">
    <w:name w:val="表内"/>
    <w:basedOn w:val="1"/>
    <w:uiPriority w:val="0"/>
    <w:pPr>
      <w:jc w:val="center"/>
    </w:pPr>
  </w:style>
  <w:style w:type="character" w:customStyle="1" w:styleId="338">
    <w:name w:val="标准正文 Char"/>
    <w:link w:val="339"/>
    <w:uiPriority w:val="0"/>
    <w:rPr>
      <w:sz w:val="24"/>
      <w:szCs w:val="24"/>
      <w:lang w:val="en-US" w:eastAsia="zh-CN" w:bidi="ar-SA"/>
    </w:rPr>
  </w:style>
  <w:style w:type="paragraph" w:customStyle="1" w:styleId="339">
    <w:name w:val="标准正文"/>
    <w:link w:val="338"/>
    <w:uiPriority w:val="0"/>
    <w:pPr>
      <w:keepNext/>
      <w:keepLines/>
      <w:snapToGrid w:val="0"/>
      <w:spacing w:beforeLines="50" w:afterLines="50" w:line="360" w:lineRule="auto"/>
      <w:ind w:firstLine="200" w:firstLineChars="200"/>
      <w:jc w:val="both"/>
    </w:pPr>
    <w:rPr>
      <w:rFonts w:ascii="Times New Roman" w:hAnsi="Times New Roman" w:eastAsia="宋体" w:cs="Times New Roman"/>
      <w:sz w:val="24"/>
      <w:szCs w:val="24"/>
      <w:lang w:val="en-US" w:eastAsia="zh-CN" w:bidi="ar-SA"/>
    </w:rPr>
  </w:style>
  <w:style w:type="character" w:customStyle="1" w:styleId="340">
    <w:name w:val="fontstyle01"/>
    <w:basedOn w:val="53"/>
    <w:uiPriority w:val="0"/>
    <w:rPr>
      <w:rFonts w:hint="default" w:ascii="TimesNewRomanPS-ItalicMT" w:hAnsi="TimesNewRomanPS-ItalicMT"/>
      <w:i/>
      <w:iCs/>
      <w:color w:val="000000"/>
      <w:sz w:val="24"/>
      <w:szCs w:val="24"/>
    </w:rPr>
  </w:style>
  <w:style w:type="character" w:customStyle="1" w:styleId="341">
    <w:name w:val="fontstyle21"/>
    <w:basedOn w:val="53"/>
    <w:uiPriority w:val="0"/>
    <w:rPr>
      <w:rFonts w:hint="default" w:ascii="SymbolMT" w:hAnsi="SymbolMT"/>
      <w:color w:val="000000"/>
      <w:sz w:val="24"/>
      <w:szCs w:val="24"/>
    </w:rPr>
  </w:style>
  <w:style w:type="character" w:customStyle="1" w:styleId="342">
    <w:name w:val="fontstyle31"/>
    <w:basedOn w:val="53"/>
    <w:uiPriority w:val="0"/>
    <w:rPr>
      <w:rFonts w:hint="eastAsia" w:ascii="TimesNewRomanPSMT" w:eastAsia="TimesNewRomanPSMT"/>
      <w:color w:val="000000"/>
      <w:sz w:val="14"/>
      <w:szCs w:val="14"/>
    </w:rPr>
  </w:style>
  <w:style w:type="paragraph" w:customStyle="1" w:styleId="343">
    <w:name w:val="中文报告书样式"/>
    <w:basedOn w:val="1"/>
    <w:qFormat/>
    <w:uiPriority w:val="0"/>
    <w:pPr>
      <w:widowControl/>
      <w:adjustRightInd w:val="0"/>
      <w:snapToGrid w:val="0"/>
      <w:spacing w:line="480" w:lineRule="atLeast"/>
      <w:ind w:firstLine="200" w:firstLineChars="200"/>
      <w:jc w:val="left"/>
      <w:textAlignment w:val="baseline"/>
    </w:pPr>
    <w:rPr>
      <w:snapToGrid w:val="0"/>
      <w:kern w:val="0"/>
      <w:sz w:val="24"/>
      <w:szCs w:val="20"/>
    </w:rPr>
  </w:style>
  <w:style w:type="paragraph" w:customStyle="1" w:styleId="344">
    <w:name w:val="正文01"/>
    <w:basedOn w:val="1"/>
    <w:uiPriority w:val="0"/>
    <w:pPr>
      <w:widowControl/>
      <w:adjustRightInd w:val="0"/>
      <w:snapToGrid w:val="0"/>
      <w:spacing w:before="60" w:line="460" w:lineRule="exact"/>
      <w:ind w:firstLine="200" w:firstLineChars="200"/>
      <w:jc w:val="left"/>
    </w:pPr>
    <w:rPr>
      <w:kern w:val="0"/>
      <w:sz w:val="24"/>
      <w:szCs w:val="20"/>
    </w:rPr>
  </w:style>
  <w:style w:type="paragraph" w:customStyle="1" w:styleId="345">
    <w:name w:val="样式 正文首行缩进:  2 字符 + 首行缩进:  2 字符"/>
    <w:basedOn w:val="1"/>
    <w:uiPriority w:val="0"/>
    <w:pPr>
      <w:spacing w:line="360" w:lineRule="auto"/>
      <w:ind w:firstLine="480" w:firstLineChars="200"/>
    </w:pPr>
    <w:rPr>
      <w:rFonts w:cs="宋体"/>
      <w:sz w:val="24"/>
      <w:szCs w:val="20"/>
    </w:rPr>
  </w:style>
  <w:style w:type="character" w:customStyle="1" w:styleId="346">
    <w:name w:val="fontborder"/>
    <w:qFormat/>
    <w:uiPriority w:val="0"/>
    <w:rPr>
      <w:bdr w:val="single" w:color="000000" w:sz="6" w:space="0"/>
    </w:rPr>
  </w:style>
  <w:style w:type="character" w:customStyle="1" w:styleId="347">
    <w:name w:val="fontstrikethrough"/>
    <w:qFormat/>
    <w:uiPriority w:val="0"/>
    <w:rPr>
      <w:strike/>
    </w:rPr>
  </w:style>
  <w:style w:type="character" w:customStyle="1" w:styleId="348">
    <w:name w:val="apple-converted-space"/>
    <w:qFormat/>
    <w:uiPriority w:val="0"/>
  </w:style>
  <w:style w:type="character" w:customStyle="1" w:styleId="349">
    <w:name w:val="普通文字 Char Char1"/>
    <w:uiPriority w:val="0"/>
    <w:rPr>
      <w:rFonts w:ascii="宋体" w:hAnsi="Courier New" w:cs="Courier New"/>
      <w:kern w:val="2"/>
      <w:sz w:val="21"/>
      <w:szCs w:val="21"/>
    </w:rPr>
  </w:style>
  <w:style w:type="paragraph" w:customStyle="1" w:styleId="35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1">
    <w:name w:val="Char Char Char1 Char Char Char Char Char Char Char Char Char Char Char Char1 Char Char Char2 Char Char Char Char"/>
    <w:basedOn w:val="1"/>
    <w:uiPriority w:val="0"/>
    <w:pPr>
      <w:spacing w:line="360" w:lineRule="auto"/>
      <w:ind w:firstLine="200" w:firstLineChars="200"/>
    </w:pPr>
    <w:rPr>
      <w:rFonts w:ascii="宋体" w:hAnsi="宋体" w:cs="宋体"/>
      <w:sz w:val="24"/>
    </w:rPr>
  </w:style>
  <w:style w:type="paragraph" w:customStyle="1" w:styleId="352">
    <w:name w:val="_Style 2"/>
    <w:qFormat/>
    <w:uiPriority w:val="1"/>
    <w:pPr>
      <w:widowControl w:val="0"/>
      <w:spacing w:line="340" w:lineRule="exact"/>
      <w:jc w:val="center"/>
    </w:pPr>
    <w:rPr>
      <w:rFonts w:ascii="Times New Roman" w:hAnsi="Times New Roman" w:eastAsia="宋体" w:cs="Times New Roman"/>
      <w:kern w:val="2"/>
      <w:sz w:val="21"/>
      <w:szCs w:val="22"/>
      <w:lang w:val="en-US" w:eastAsia="zh-CN" w:bidi="ar-SA"/>
    </w:rPr>
  </w:style>
  <w:style w:type="paragraph" w:customStyle="1" w:styleId="353">
    <w:name w:val="Char1 Char Char Char1"/>
    <w:basedOn w:val="1"/>
    <w:qFormat/>
    <w:uiPriority w:val="0"/>
  </w:style>
  <w:style w:type="character" w:customStyle="1" w:styleId="354">
    <w:name w:val="px141"/>
    <w:basedOn w:val="53"/>
    <w:uiPriority w:val="0"/>
    <w:rPr>
      <w:rFonts w:hint="default" w:ascii="ˎ̥" w:hAnsi="ˎ̥"/>
      <w:sz w:val="18"/>
      <w:szCs w:val="18"/>
    </w:rPr>
  </w:style>
  <w:style w:type="paragraph" w:customStyle="1" w:styleId="355">
    <w:name w:val="正文 首行缩进:  2 字符"/>
    <w:basedOn w:val="1"/>
    <w:uiPriority w:val="0"/>
    <w:pPr>
      <w:adjustRightInd w:val="0"/>
      <w:snapToGrid w:val="0"/>
      <w:spacing w:line="360" w:lineRule="auto"/>
      <w:jc w:val="left"/>
    </w:pPr>
    <w:rPr>
      <w:rFonts w:ascii="宋体" w:hAnsi="宋体"/>
      <w:snapToGrid w:val="0"/>
      <w:spacing w:val="4"/>
      <w:kern w:val="0"/>
      <w:sz w:val="24"/>
    </w:rPr>
  </w:style>
  <w:style w:type="paragraph" w:customStyle="1" w:styleId="356">
    <w:name w:val="样式 表头 + 段前: 0.5 行"/>
    <w:basedOn w:val="192"/>
    <w:uiPriority w:val="0"/>
    <w:pPr>
      <w:tabs>
        <w:tab w:val="clear" w:pos="7380"/>
      </w:tabs>
      <w:adjustRightInd w:val="0"/>
      <w:spacing w:beforeLines="30" w:line="360" w:lineRule="exact"/>
    </w:pPr>
    <w:rPr>
      <w:rFonts w:cs="宋体"/>
      <w:color w:val="000000"/>
      <w:kern w:val="0"/>
    </w:rPr>
  </w:style>
  <w:style w:type="paragraph" w:customStyle="1" w:styleId="357">
    <w:name w:val="新格式表"/>
    <w:basedOn w:val="1"/>
    <w:uiPriority w:val="0"/>
    <w:pPr>
      <w:adjustRightInd w:val="0"/>
      <w:snapToGrid w:val="0"/>
      <w:spacing w:line="0" w:lineRule="atLeast"/>
      <w:jc w:val="center"/>
    </w:pPr>
    <w:rPr>
      <w:bCs/>
      <w:snapToGrid w:val="0"/>
      <w:color w:val="000000"/>
      <w:szCs w:val="21"/>
    </w:rPr>
  </w:style>
  <w:style w:type="character" w:customStyle="1" w:styleId="358">
    <w:name w:val="Char Char1"/>
    <w:uiPriority w:val="0"/>
    <w:rPr>
      <w:rFonts w:ascii="宋体" w:hAnsi="Courier New" w:eastAsia="宋体"/>
      <w:kern w:val="2"/>
      <w:sz w:val="21"/>
      <w:lang w:val="en-US" w:eastAsia="zh-CN" w:bidi="ar-SA"/>
    </w:rPr>
  </w:style>
  <w:style w:type="paragraph" w:customStyle="1" w:styleId="359">
    <w:name w:val="Char Char Char Char Char Char Char"/>
    <w:basedOn w:val="1"/>
    <w:uiPriority w:val="0"/>
    <w:rPr>
      <w:sz w:val="24"/>
    </w:rPr>
  </w:style>
  <w:style w:type="character" w:customStyle="1" w:styleId="360">
    <w:name w:val="Char Char6"/>
    <w:uiPriority w:val="0"/>
    <w:rPr>
      <w:kern w:val="2"/>
      <w:sz w:val="21"/>
      <w:szCs w:val="24"/>
    </w:rPr>
  </w:style>
  <w:style w:type="paragraph" w:customStyle="1" w:styleId="361">
    <w:name w:val="表格标题-5"/>
    <w:basedOn w:val="1"/>
    <w:next w:val="1"/>
    <w:uiPriority w:val="0"/>
    <w:pPr>
      <w:numPr>
        <w:ilvl w:val="0"/>
        <w:numId w:val="2"/>
      </w:numPr>
      <w:adjustRightInd w:val="0"/>
      <w:snapToGrid w:val="0"/>
      <w:spacing w:line="360" w:lineRule="auto"/>
      <w:jc w:val="center"/>
    </w:pPr>
    <w:rPr>
      <w:rFonts w:eastAsia="黑体"/>
      <w:sz w:val="24"/>
    </w:rPr>
  </w:style>
  <w:style w:type="paragraph" w:customStyle="1" w:styleId="362">
    <w:name w:val="标准"/>
    <w:basedOn w:val="1"/>
    <w:uiPriority w:val="0"/>
    <w:pPr>
      <w:adjustRightInd w:val="0"/>
      <w:spacing w:line="312" w:lineRule="atLeast"/>
      <w:jc w:val="left"/>
      <w:textAlignment w:val="baseline"/>
    </w:pPr>
    <w:rPr>
      <w:rFonts w:ascii="楷体_GB2312" w:hAnsi="Script" w:eastAsia="楷体_GB2312"/>
      <w:kern w:val="0"/>
      <w:sz w:val="24"/>
      <w:szCs w:val="20"/>
    </w:rPr>
  </w:style>
  <w:style w:type="character" w:customStyle="1" w:styleId="363">
    <w:name w:val="报告正文 Char"/>
    <w:uiPriority w:val="0"/>
    <w:rPr>
      <w:rFonts w:ascii="宋体" w:hAnsi="宋体"/>
      <w:kern w:val="2"/>
      <w:sz w:val="24"/>
    </w:rPr>
  </w:style>
  <w:style w:type="character" w:customStyle="1" w:styleId="364">
    <w:name w:val="font01"/>
    <w:qFormat/>
    <w:uiPriority w:val="0"/>
    <w:rPr>
      <w:rFonts w:hint="eastAsia" w:ascii="宋体" w:hAnsi="宋体" w:eastAsia="宋体" w:cs="宋体"/>
      <w:color w:val="000000"/>
      <w:sz w:val="21"/>
      <w:szCs w:val="21"/>
      <w:u w:val="none"/>
    </w:rPr>
  </w:style>
  <w:style w:type="character" w:customStyle="1" w:styleId="365">
    <w:name w:val="Char Char25"/>
    <w:qFormat/>
    <w:uiPriority w:val="0"/>
    <w:rPr>
      <w:rFonts w:eastAsia="华文中宋"/>
      <w:bCs/>
      <w:kern w:val="2"/>
      <w:sz w:val="24"/>
      <w:szCs w:val="24"/>
      <w:lang w:val="en-US" w:eastAsia="zh-CN" w:bidi="ar-SA"/>
    </w:rPr>
  </w:style>
  <w:style w:type="character" w:customStyle="1" w:styleId="366">
    <w:name w:val="font_2"/>
    <w:basedOn w:val="53"/>
    <w:qFormat/>
    <w:uiPriority w:val="0"/>
  </w:style>
  <w:style w:type="character" w:customStyle="1" w:styleId="367">
    <w:name w:val="表题 Char Char1"/>
    <w:qFormat/>
    <w:uiPriority w:val="0"/>
    <w:rPr>
      <w:rFonts w:eastAsia="黑体"/>
      <w:kern w:val="2"/>
      <w:sz w:val="24"/>
      <w:lang w:val="en-US" w:eastAsia="zh-CN" w:bidi="ar-SA"/>
    </w:rPr>
  </w:style>
  <w:style w:type="character" w:customStyle="1" w:styleId="368">
    <w:name w:val="三级 Char"/>
    <w:link w:val="369"/>
    <w:qFormat/>
    <w:uiPriority w:val="0"/>
    <w:rPr>
      <w:rFonts w:eastAsia="黑体"/>
      <w:b/>
      <w:sz w:val="28"/>
      <w:szCs w:val="28"/>
    </w:rPr>
  </w:style>
  <w:style w:type="paragraph" w:customStyle="1" w:styleId="369">
    <w:name w:val="三级"/>
    <w:basedOn w:val="4"/>
    <w:link w:val="368"/>
    <w:qFormat/>
    <w:uiPriority w:val="0"/>
    <w:pPr>
      <w:adjustRightInd w:val="0"/>
      <w:snapToGrid w:val="0"/>
      <w:spacing w:before="120" w:after="120" w:line="500" w:lineRule="exact"/>
      <w:ind w:firstLine="643" w:firstLineChars="200"/>
      <w:jc w:val="left"/>
    </w:pPr>
    <w:rPr>
      <w:rFonts w:eastAsia="黑体"/>
      <w:bCs w:val="0"/>
      <w:kern w:val="0"/>
      <w:sz w:val="28"/>
      <w:szCs w:val="28"/>
    </w:rPr>
  </w:style>
  <w:style w:type="character" w:customStyle="1" w:styleId="370">
    <w:name w:val="font21"/>
    <w:qFormat/>
    <w:uiPriority w:val="0"/>
    <w:rPr>
      <w:rFonts w:hint="eastAsia" w:ascii="宋体" w:hAnsi="宋体" w:eastAsia="宋体" w:cs="宋体"/>
      <w:b/>
      <w:color w:val="000000"/>
      <w:sz w:val="24"/>
      <w:szCs w:val="24"/>
      <w:u w:val="none"/>
    </w:rPr>
  </w:style>
  <w:style w:type="character" w:customStyle="1" w:styleId="371">
    <w:name w:val="font31"/>
    <w:qFormat/>
    <w:uiPriority w:val="0"/>
    <w:rPr>
      <w:rFonts w:hint="eastAsia" w:ascii="宋体" w:hAnsi="宋体" w:eastAsia="宋体" w:cs="宋体"/>
      <w:b/>
      <w:color w:val="000000"/>
      <w:sz w:val="20"/>
      <w:szCs w:val="20"/>
      <w:u w:val="none"/>
    </w:rPr>
  </w:style>
  <w:style w:type="paragraph" w:customStyle="1" w:styleId="372">
    <w:name w:val="_Style 1"/>
    <w:qFormat/>
    <w:uiPriority w:val="1"/>
    <w:pPr>
      <w:widowControl w:val="0"/>
      <w:jc w:val="center"/>
    </w:pPr>
    <w:rPr>
      <w:rFonts w:ascii="Times New Roman" w:hAnsi="Times New Roman" w:eastAsia="宋体" w:cs="Times New Roman"/>
      <w:kern w:val="2"/>
      <w:sz w:val="21"/>
      <w:szCs w:val="24"/>
      <w:lang w:val="en-US" w:eastAsia="zh-CN" w:bidi="ar-SA"/>
    </w:rPr>
  </w:style>
  <w:style w:type="paragraph" w:customStyle="1" w:styleId="373">
    <w:name w:val="表内文字"/>
    <w:basedOn w:val="1"/>
    <w:qFormat/>
    <w:uiPriority w:val="0"/>
    <w:pPr>
      <w:adjustRightInd w:val="0"/>
      <w:snapToGrid w:val="0"/>
      <w:spacing w:line="360" w:lineRule="auto"/>
      <w:ind w:firstLine="643" w:firstLineChars="200"/>
      <w:jc w:val="center"/>
    </w:pPr>
    <w:rPr>
      <w:rFonts w:ascii="宋体"/>
    </w:rPr>
  </w:style>
  <w:style w:type="paragraph" w:customStyle="1" w:styleId="374">
    <w:name w:val="标题02"/>
    <w:basedOn w:val="1"/>
    <w:next w:val="1"/>
    <w:qFormat/>
    <w:uiPriority w:val="0"/>
    <w:pPr>
      <w:adjustRightInd w:val="0"/>
      <w:snapToGrid w:val="0"/>
      <w:spacing w:line="440" w:lineRule="atLeast"/>
      <w:ind w:firstLine="643" w:firstLineChars="200"/>
      <w:outlineLvl w:val="1"/>
    </w:pPr>
    <w:rPr>
      <w:b/>
      <w:sz w:val="24"/>
      <w:szCs w:val="20"/>
    </w:rPr>
  </w:style>
  <w:style w:type="paragraph" w:customStyle="1" w:styleId="375">
    <w:name w:val="Char Char Char Char Char Char Char Char Char Char Char Char Char Char Char Char Char Char1 Char Char Char Char Char Char Char"/>
    <w:basedOn w:val="1"/>
    <w:qFormat/>
    <w:uiPriority w:val="0"/>
    <w:pPr>
      <w:adjustRightInd w:val="0"/>
      <w:snapToGrid w:val="0"/>
      <w:spacing w:line="360" w:lineRule="auto"/>
      <w:ind w:firstLine="643" w:firstLineChars="200"/>
    </w:pPr>
    <w:rPr>
      <w:sz w:val="24"/>
    </w:rPr>
  </w:style>
  <w:style w:type="paragraph" w:customStyle="1" w:styleId="376">
    <w:name w:val="Char Char Char Char Char Char Char Char Char1 Char Char Char Char Char Char Char Char Char Char Char Char1 Char Char Char Char1"/>
    <w:basedOn w:val="1"/>
    <w:qFormat/>
    <w:uiPriority w:val="0"/>
    <w:pPr>
      <w:adjustRightInd w:val="0"/>
      <w:snapToGrid w:val="0"/>
      <w:spacing w:line="360" w:lineRule="auto"/>
      <w:ind w:firstLine="643" w:firstLineChars="200"/>
    </w:pPr>
    <w:rPr>
      <w:rFonts w:ascii="宋体" w:hAnsi="宋体" w:cs="Courier New"/>
      <w:sz w:val="32"/>
      <w:szCs w:val="32"/>
    </w:rPr>
  </w:style>
  <w:style w:type="paragraph" w:customStyle="1" w:styleId="377">
    <w:name w:val="Char Char Char Char Char Char Char Char Char Char1 Char Char Char Char"/>
    <w:basedOn w:val="1"/>
    <w:qFormat/>
    <w:uiPriority w:val="0"/>
    <w:pPr>
      <w:adjustRightInd w:val="0"/>
      <w:snapToGrid w:val="0"/>
      <w:spacing w:line="360" w:lineRule="auto"/>
      <w:ind w:firstLine="200" w:firstLineChars="200"/>
    </w:pPr>
    <w:rPr>
      <w:sz w:val="24"/>
    </w:rPr>
  </w:style>
  <w:style w:type="paragraph" w:customStyle="1" w:styleId="378">
    <w:name w:val="8.1.1b Char Char Char Char Char Char Char Char Char Char"/>
    <w:next w:val="1"/>
    <w:qFormat/>
    <w:uiPriority w:val="0"/>
    <w:pPr>
      <w:snapToGrid w:val="0"/>
      <w:spacing w:beforeLines="50" w:afterLines="50"/>
    </w:pPr>
    <w:rPr>
      <w:rFonts w:ascii="Times New Roman" w:hAnsi="Times New Roman" w:eastAsia="华文中宋" w:cs="Times New Roman"/>
      <w:b/>
      <w:kern w:val="2"/>
      <w:sz w:val="28"/>
      <w:szCs w:val="28"/>
      <w:lang w:val="en-US" w:eastAsia="zh-CN" w:bidi="ar-SA"/>
    </w:rPr>
  </w:style>
  <w:style w:type="paragraph" w:customStyle="1" w:styleId="379">
    <w:name w:val="content"/>
    <w:basedOn w:val="1"/>
    <w:qFormat/>
    <w:uiPriority w:val="0"/>
    <w:pPr>
      <w:widowControl/>
      <w:adjustRightInd w:val="0"/>
      <w:snapToGrid w:val="0"/>
      <w:spacing w:before="100" w:beforeAutospacing="1" w:after="100" w:afterAutospacing="1" w:line="360" w:lineRule="auto"/>
      <w:ind w:firstLine="643" w:firstLineChars="200"/>
    </w:pPr>
    <w:rPr>
      <w:rFonts w:ascii="宋体" w:hAnsi="宋体"/>
      <w:kern w:val="0"/>
      <w:sz w:val="18"/>
      <w:szCs w:val="18"/>
    </w:rPr>
  </w:style>
  <w:style w:type="character" w:customStyle="1" w:styleId="380">
    <w:name w:val="宏文本 字符"/>
    <w:basedOn w:val="53"/>
    <w:link w:val="381"/>
    <w:uiPriority w:val="0"/>
    <w:rPr>
      <w:rFonts w:ascii="Courier New" w:hAnsi="Courier New" w:cs="Courier New"/>
      <w:kern w:val="2"/>
      <w:sz w:val="24"/>
      <w:szCs w:val="24"/>
      <w:lang w:val="en-US" w:eastAsia="zh-CN" w:bidi="ar-SA"/>
    </w:rPr>
  </w:style>
  <w:style w:type="paragraph" w:customStyle="1" w:styleId="381">
    <w:name w:val="宏文本1"/>
    <w:link w:val="38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382">
    <w:name w:val="我的样式1 Char"/>
    <w:basedOn w:val="53"/>
    <w:link w:val="383"/>
    <w:uiPriority w:val="0"/>
    <w:rPr>
      <w:rFonts w:ascii="宋体" w:hAnsi="宋体"/>
      <w:bCs/>
      <w:kern w:val="2"/>
      <w:sz w:val="24"/>
      <w:szCs w:val="24"/>
    </w:rPr>
  </w:style>
  <w:style w:type="paragraph" w:customStyle="1" w:styleId="383">
    <w:name w:val="我的样式1"/>
    <w:basedOn w:val="1"/>
    <w:link w:val="382"/>
    <w:uiPriority w:val="0"/>
    <w:pPr>
      <w:spacing w:line="360" w:lineRule="auto"/>
      <w:ind w:firstLine="200" w:firstLineChars="200"/>
      <w:jc w:val="left"/>
    </w:pPr>
    <w:rPr>
      <w:rFonts w:ascii="宋体" w:hAnsi="宋体"/>
      <w:bCs/>
      <w:sz w:val="24"/>
    </w:rPr>
  </w:style>
  <w:style w:type="character" w:customStyle="1" w:styleId="384">
    <w:name w:val="正文00 Char"/>
    <w:link w:val="385"/>
    <w:uiPriority w:val="0"/>
    <w:rPr>
      <w:color w:val="0000FF"/>
      <w:sz w:val="24"/>
      <w:szCs w:val="24"/>
      <w:lang w:val="en-US" w:eastAsia="zh-CN" w:bidi="ar-SA"/>
    </w:rPr>
  </w:style>
  <w:style w:type="paragraph" w:customStyle="1" w:styleId="385">
    <w:name w:val="正文00"/>
    <w:link w:val="384"/>
    <w:qFormat/>
    <w:uiPriority w:val="0"/>
    <w:pPr>
      <w:overflowPunct w:val="0"/>
      <w:topLinePunct/>
      <w:adjustRightInd w:val="0"/>
      <w:snapToGrid w:val="0"/>
      <w:spacing w:line="460" w:lineRule="exact"/>
      <w:ind w:firstLine="200" w:firstLineChars="200"/>
      <w:jc w:val="both"/>
    </w:pPr>
    <w:rPr>
      <w:rFonts w:ascii="Times New Roman" w:hAnsi="Times New Roman" w:eastAsia="宋体" w:cs="Times New Roman"/>
      <w:color w:val="0000FF"/>
      <w:sz w:val="24"/>
      <w:szCs w:val="24"/>
      <w:lang w:val="en-US" w:eastAsia="zh-CN" w:bidi="ar-SA"/>
    </w:rPr>
  </w:style>
  <w:style w:type="character" w:customStyle="1" w:styleId="386">
    <w:name w:val="正文缩进 字符"/>
    <w:link w:val="387"/>
    <w:uiPriority w:val="0"/>
    <w:rPr>
      <w:sz w:val="24"/>
      <w:szCs w:val="24"/>
    </w:rPr>
  </w:style>
  <w:style w:type="paragraph" w:customStyle="1" w:styleId="387">
    <w:name w:val="正文缩进2"/>
    <w:basedOn w:val="1"/>
    <w:link w:val="386"/>
    <w:uiPriority w:val="0"/>
    <w:pPr>
      <w:adjustRightInd w:val="0"/>
      <w:snapToGrid w:val="0"/>
      <w:spacing w:line="360" w:lineRule="auto"/>
      <w:ind w:firstLine="420" w:firstLineChars="200"/>
      <w:jc w:val="left"/>
    </w:pPr>
    <w:rPr>
      <w:kern w:val="0"/>
      <w:sz w:val="24"/>
    </w:rPr>
  </w:style>
  <w:style w:type="character" w:customStyle="1" w:styleId="388">
    <w:name w:val="表格内容 Char Char Char Char Char"/>
    <w:uiPriority w:val="0"/>
    <w:rPr>
      <w:rFonts w:ascii="Times New Roman" w:hAnsi="Times New Roman" w:eastAsia="宋体" w:cs="Times New Roman"/>
      <w:bCs/>
      <w:sz w:val="21"/>
      <w:szCs w:val="20"/>
    </w:rPr>
  </w:style>
  <w:style w:type="character" w:customStyle="1" w:styleId="389">
    <w:name w:val="表头 Char Char"/>
    <w:uiPriority w:val="0"/>
    <w:rPr>
      <w:rFonts w:ascii="宋体" w:hAnsi="宋体"/>
      <w:b/>
      <w:bCs/>
      <w:szCs w:val="21"/>
    </w:rPr>
  </w:style>
  <w:style w:type="character" w:customStyle="1" w:styleId="390">
    <w:name w:val="headline-content"/>
    <w:uiPriority w:val="0"/>
  </w:style>
  <w:style w:type="character" w:customStyle="1" w:styleId="391">
    <w:name w:val="不明显参考1"/>
    <w:uiPriority w:val="0"/>
    <w:rPr>
      <w:smallCaps/>
      <w:color w:val="C0504D"/>
      <w:u w:val="single"/>
    </w:rPr>
  </w:style>
  <w:style w:type="character" w:customStyle="1" w:styleId="392">
    <w:name w:val="真·小标题 Char"/>
    <w:link w:val="393"/>
    <w:uiPriority w:val="0"/>
    <w:rPr>
      <w:rFonts w:eastAsia="黑体"/>
      <w:sz w:val="24"/>
      <w:szCs w:val="24"/>
    </w:rPr>
  </w:style>
  <w:style w:type="paragraph" w:customStyle="1" w:styleId="393">
    <w:name w:val="真·小标题"/>
    <w:basedOn w:val="1"/>
    <w:next w:val="1"/>
    <w:link w:val="392"/>
    <w:uiPriority w:val="0"/>
    <w:pPr>
      <w:adjustRightInd w:val="0"/>
      <w:snapToGrid w:val="0"/>
      <w:spacing w:line="360" w:lineRule="auto"/>
      <w:ind w:firstLine="200" w:firstLineChars="200"/>
      <w:jc w:val="left"/>
    </w:pPr>
    <w:rPr>
      <w:rFonts w:eastAsia="黑体"/>
      <w:kern w:val="0"/>
      <w:sz w:val="24"/>
    </w:rPr>
  </w:style>
  <w:style w:type="character" w:customStyle="1" w:styleId="394">
    <w:name w:val="articlebody1"/>
    <w:uiPriority w:val="0"/>
    <w:rPr>
      <w:sz w:val="21"/>
      <w:szCs w:val="21"/>
    </w:rPr>
  </w:style>
  <w:style w:type="character" w:customStyle="1" w:styleId="395">
    <w:name w:val="明显引用 Char"/>
    <w:uiPriority w:val="0"/>
    <w:rPr>
      <w:b/>
      <w:bCs/>
      <w:iCs/>
      <w:kern w:val="2"/>
      <w:sz w:val="21"/>
      <w:szCs w:val="24"/>
    </w:rPr>
  </w:style>
  <w:style w:type="character" w:customStyle="1" w:styleId="396">
    <w:name w:val="主要文字 Char Char"/>
    <w:link w:val="397"/>
    <w:uiPriority w:val="0"/>
    <w:rPr>
      <w:rFonts w:cs="宋体"/>
      <w:kern w:val="24"/>
      <w:sz w:val="28"/>
      <w:szCs w:val="24"/>
    </w:rPr>
  </w:style>
  <w:style w:type="paragraph" w:customStyle="1" w:styleId="397">
    <w:name w:val="主要文字"/>
    <w:basedOn w:val="1"/>
    <w:link w:val="396"/>
    <w:uiPriority w:val="0"/>
    <w:pPr>
      <w:widowControl/>
      <w:adjustRightInd w:val="0"/>
      <w:snapToGrid w:val="0"/>
      <w:spacing w:line="560" w:lineRule="exact"/>
      <w:ind w:firstLine="200" w:firstLineChars="200"/>
      <w:jc w:val="left"/>
    </w:pPr>
    <w:rPr>
      <w:kern w:val="24"/>
      <w:sz w:val="28"/>
    </w:rPr>
  </w:style>
  <w:style w:type="character" w:customStyle="1" w:styleId="398">
    <w:name w:val="批注引用1"/>
    <w:basedOn w:val="53"/>
    <w:uiPriority w:val="0"/>
    <w:rPr>
      <w:sz w:val="21"/>
      <w:szCs w:val="21"/>
    </w:rPr>
  </w:style>
  <w:style w:type="character" w:customStyle="1" w:styleId="399">
    <w:name w:val="批注主题 字符"/>
    <w:basedOn w:val="101"/>
    <w:link w:val="400"/>
    <w:uiPriority w:val="0"/>
    <w:rPr>
      <w:b/>
      <w:bCs/>
    </w:rPr>
  </w:style>
  <w:style w:type="paragraph" w:customStyle="1" w:styleId="400">
    <w:name w:val="批注主题1"/>
    <w:basedOn w:val="12"/>
    <w:next w:val="12"/>
    <w:link w:val="399"/>
    <w:uiPriority w:val="0"/>
    <w:pPr>
      <w:adjustRightInd w:val="0"/>
      <w:snapToGrid w:val="0"/>
    </w:pPr>
    <w:rPr>
      <w:b/>
      <w:bCs/>
    </w:rPr>
  </w:style>
  <w:style w:type="character" w:customStyle="1" w:styleId="401">
    <w:name w:val="纯文本 字符"/>
    <w:basedOn w:val="53"/>
    <w:link w:val="402"/>
    <w:uiPriority w:val="0"/>
    <w:rPr>
      <w:rFonts w:ascii="宋体" w:hAnsi="Courier New"/>
      <w:kern w:val="2"/>
      <w:sz w:val="24"/>
      <w:szCs w:val="21"/>
    </w:rPr>
  </w:style>
  <w:style w:type="paragraph" w:customStyle="1" w:styleId="402">
    <w:name w:val="纯文本2"/>
    <w:basedOn w:val="1"/>
    <w:link w:val="401"/>
    <w:uiPriority w:val="0"/>
    <w:pPr>
      <w:adjustRightInd w:val="0"/>
      <w:snapToGrid w:val="0"/>
      <w:spacing w:line="360" w:lineRule="auto"/>
      <w:ind w:firstLine="200" w:firstLineChars="200"/>
      <w:jc w:val="left"/>
    </w:pPr>
    <w:rPr>
      <w:rFonts w:ascii="宋体" w:hAnsi="Courier New"/>
      <w:sz w:val="24"/>
      <w:szCs w:val="21"/>
    </w:rPr>
  </w:style>
  <w:style w:type="character" w:customStyle="1" w:styleId="403">
    <w:name w:val="文档结构图 字符"/>
    <w:basedOn w:val="53"/>
    <w:link w:val="404"/>
    <w:uiPriority w:val="0"/>
    <w:rPr>
      <w:rFonts w:cs="宋体"/>
      <w:kern w:val="2"/>
      <w:sz w:val="24"/>
      <w:szCs w:val="24"/>
      <w:shd w:val="clear" w:color="auto" w:fill="000080"/>
    </w:rPr>
  </w:style>
  <w:style w:type="paragraph" w:customStyle="1" w:styleId="404">
    <w:name w:val="文档结构图1"/>
    <w:basedOn w:val="1"/>
    <w:link w:val="403"/>
    <w:uiPriority w:val="0"/>
    <w:pPr>
      <w:shd w:val="clear" w:color="auto" w:fill="000080"/>
      <w:adjustRightInd w:val="0"/>
      <w:snapToGrid w:val="0"/>
      <w:spacing w:line="360" w:lineRule="auto"/>
      <w:ind w:firstLine="200" w:firstLineChars="200"/>
      <w:jc w:val="left"/>
    </w:pPr>
    <w:rPr>
      <w:rFonts w:cs="宋体"/>
      <w:sz w:val="24"/>
      <w:shd w:val="clear" w:color="auto" w:fill="000080"/>
    </w:rPr>
  </w:style>
  <w:style w:type="character" w:customStyle="1" w:styleId="405">
    <w:name w:val="正文文本缩进 2 字符"/>
    <w:link w:val="406"/>
    <w:uiPriority w:val="0"/>
    <w:rPr>
      <w:sz w:val="24"/>
      <w:szCs w:val="24"/>
    </w:rPr>
  </w:style>
  <w:style w:type="paragraph" w:customStyle="1" w:styleId="406">
    <w:name w:val="正文文本缩进 21"/>
    <w:basedOn w:val="1"/>
    <w:link w:val="405"/>
    <w:uiPriority w:val="0"/>
    <w:pPr>
      <w:adjustRightInd w:val="0"/>
      <w:snapToGrid w:val="0"/>
      <w:spacing w:after="120" w:line="480" w:lineRule="auto"/>
      <w:ind w:left="420" w:leftChars="200" w:firstLine="200" w:firstLineChars="200"/>
      <w:jc w:val="left"/>
    </w:pPr>
    <w:rPr>
      <w:kern w:val="0"/>
      <w:sz w:val="24"/>
    </w:rPr>
  </w:style>
  <w:style w:type="character" w:customStyle="1" w:styleId="407">
    <w:name w:val="Char Char7"/>
    <w:uiPriority w:val="0"/>
    <w:rPr>
      <w:rFonts w:eastAsia="黑体"/>
      <w:sz w:val="24"/>
    </w:rPr>
  </w:style>
  <w:style w:type="character" w:customStyle="1" w:styleId="408">
    <w:name w:val="我的样式 Char"/>
    <w:link w:val="409"/>
    <w:uiPriority w:val="0"/>
    <w:rPr>
      <w:snapToGrid w:val="0"/>
      <w:sz w:val="28"/>
    </w:rPr>
  </w:style>
  <w:style w:type="paragraph" w:customStyle="1" w:styleId="409">
    <w:name w:val="我的样式"/>
    <w:basedOn w:val="1"/>
    <w:link w:val="408"/>
    <w:uiPriority w:val="0"/>
    <w:pPr>
      <w:adjustRightInd w:val="0"/>
      <w:snapToGrid w:val="0"/>
      <w:spacing w:line="360" w:lineRule="auto"/>
      <w:ind w:firstLine="200" w:firstLineChars="200"/>
      <w:jc w:val="left"/>
      <w:textAlignment w:val="baseline"/>
    </w:pPr>
    <w:rPr>
      <w:snapToGrid w:val="0"/>
      <w:kern w:val="0"/>
      <w:sz w:val="28"/>
      <w:szCs w:val="20"/>
    </w:rPr>
  </w:style>
  <w:style w:type="character" w:customStyle="1" w:styleId="410">
    <w:name w:val="正文文本缩进 字符"/>
    <w:link w:val="411"/>
    <w:uiPriority w:val="0"/>
    <w:rPr>
      <w:sz w:val="24"/>
      <w:szCs w:val="24"/>
    </w:rPr>
  </w:style>
  <w:style w:type="paragraph" w:customStyle="1" w:styleId="411">
    <w:name w:val="正文文本缩进1"/>
    <w:basedOn w:val="1"/>
    <w:link w:val="410"/>
    <w:uiPriority w:val="0"/>
    <w:pPr>
      <w:adjustRightInd w:val="0"/>
      <w:snapToGrid w:val="0"/>
      <w:spacing w:after="120" w:line="360" w:lineRule="auto"/>
      <w:ind w:left="420" w:leftChars="200" w:firstLine="200" w:firstLineChars="200"/>
      <w:jc w:val="left"/>
    </w:pPr>
    <w:rPr>
      <w:kern w:val="0"/>
      <w:sz w:val="24"/>
    </w:rPr>
  </w:style>
  <w:style w:type="paragraph" w:customStyle="1" w:styleId="412">
    <w:name w:val="无间隔1"/>
    <w:uiPriority w:val="0"/>
    <w:pPr>
      <w:adjustRightInd w:val="0"/>
      <w:snapToGrid w:val="0"/>
      <w:spacing w:line="360" w:lineRule="auto"/>
    </w:pPr>
    <w:rPr>
      <w:rFonts w:ascii="Times New Roman" w:hAnsi="Times New Roman" w:eastAsia="黑体" w:cs="Times New Roman"/>
      <w:sz w:val="24"/>
      <w:lang w:val="en-US" w:eastAsia="zh-CN" w:bidi="ar-SA"/>
    </w:rPr>
  </w:style>
  <w:style w:type="paragraph" w:customStyle="1" w:styleId="413">
    <w:name w:val="正文2"/>
    <w:basedOn w:val="1"/>
    <w:uiPriority w:val="0"/>
    <w:pPr>
      <w:adjustRightInd w:val="0"/>
      <w:snapToGrid w:val="0"/>
      <w:spacing w:line="440" w:lineRule="atLeast"/>
      <w:ind w:firstLine="567"/>
      <w:jc w:val="left"/>
    </w:pPr>
    <w:rPr>
      <w:sz w:val="24"/>
      <w:szCs w:val="20"/>
    </w:rPr>
  </w:style>
  <w:style w:type="paragraph" w:customStyle="1" w:styleId="414">
    <w:name w:val="Char Char Char Char Char Char Char1"/>
    <w:basedOn w:val="1"/>
    <w:uiPriority w:val="0"/>
    <w:pPr>
      <w:adjustRightInd w:val="0"/>
      <w:snapToGrid w:val="0"/>
      <w:jc w:val="left"/>
    </w:pPr>
    <w:rPr>
      <w:rFonts w:cs="宋体"/>
      <w:sz w:val="24"/>
    </w:rPr>
  </w:style>
  <w:style w:type="paragraph" w:customStyle="1" w:styleId="415">
    <w:name w:val="样式9"/>
    <w:basedOn w:val="1"/>
    <w:uiPriority w:val="0"/>
    <w:pPr>
      <w:adjustRightInd w:val="0"/>
      <w:snapToGrid w:val="0"/>
      <w:spacing w:beforeLines="50" w:afterLines="50" w:line="460" w:lineRule="exact"/>
      <w:ind w:firstLine="480" w:firstLineChars="200"/>
      <w:jc w:val="left"/>
    </w:pPr>
    <w:rPr>
      <w:rFonts w:ascii="宋体"/>
      <w:sz w:val="24"/>
      <w:szCs w:val="20"/>
    </w:rPr>
  </w:style>
  <w:style w:type="paragraph" w:customStyle="1" w:styleId="416">
    <w:name w:val="三章正文"/>
    <w:basedOn w:val="15"/>
    <w:uiPriority w:val="0"/>
    <w:pPr>
      <w:adjustRightInd w:val="0"/>
      <w:snapToGrid w:val="0"/>
      <w:spacing w:line="360" w:lineRule="auto"/>
      <w:jc w:val="left"/>
    </w:pPr>
    <w:rPr>
      <w:kern w:val="0"/>
      <w:szCs w:val="20"/>
    </w:rPr>
  </w:style>
  <w:style w:type="paragraph" w:customStyle="1" w:styleId="417">
    <w:name w:val="普通(网站)1"/>
    <w:basedOn w:val="1"/>
    <w:uiPriority w:val="0"/>
    <w:pPr>
      <w:widowControl/>
      <w:adjustRightInd w:val="0"/>
      <w:snapToGrid w:val="0"/>
      <w:spacing w:line="288" w:lineRule="atLeast"/>
      <w:jc w:val="left"/>
    </w:pPr>
    <w:rPr>
      <w:rFonts w:ascii="Verdana" w:hAnsi="Verdana" w:cs="宋体"/>
      <w:color w:val="444444"/>
      <w:kern w:val="0"/>
      <w:sz w:val="20"/>
      <w:szCs w:val="20"/>
    </w:rPr>
  </w:style>
  <w:style w:type="paragraph" w:customStyle="1" w:styleId="418">
    <w:name w:val="真·标题"/>
    <w:uiPriority w:val="0"/>
    <w:pPr>
      <w:adjustRightInd w:val="0"/>
      <w:snapToGrid w:val="0"/>
      <w:spacing w:line="360" w:lineRule="auto"/>
      <w:ind w:firstLine="200" w:firstLineChars="200"/>
      <w:jc w:val="both"/>
    </w:pPr>
    <w:rPr>
      <w:rFonts w:ascii="Times New Roman" w:hAnsi="Times New Roman" w:eastAsia="黑体" w:cs="Times New Roman"/>
      <w:kern w:val="2"/>
      <w:sz w:val="24"/>
      <w:lang w:val="en-US" w:eastAsia="zh-CN" w:bidi="ar-SA"/>
    </w:rPr>
  </w:style>
  <w:style w:type="paragraph" w:customStyle="1" w:styleId="419">
    <w:name w:val="Char Char Char Char Char Char1"/>
    <w:basedOn w:val="1"/>
    <w:next w:val="381"/>
    <w:uiPriority w:val="0"/>
    <w:pPr>
      <w:adjustRightInd w:val="0"/>
      <w:snapToGrid w:val="0"/>
      <w:jc w:val="left"/>
    </w:pPr>
    <w:rPr>
      <w:sz w:val="28"/>
      <w:szCs w:val="28"/>
    </w:rPr>
  </w:style>
  <w:style w:type="paragraph" w:customStyle="1" w:styleId="420">
    <w:name w:val="p15"/>
    <w:basedOn w:val="1"/>
    <w:uiPriority w:val="0"/>
    <w:pPr>
      <w:widowControl/>
      <w:adjustRightInd w:val="0"/>
      <w:snapToGrid w:val="0"/>
      <w:jc w:val="center"/>
    </w:pPr>
    <w:rPr>
      <w:rFonts w:cs="宋体"/>
      <w:kern w:val="0"/>
      <w:sz w:val="24"/>
      <w:szCs w:val="21"/>
    </w:rPr>
  </w:style>
  <w:style w:type="paragraph" w:customStyle="1" w:styleId="421">
    <w:name w:val="小四正文格式"/>
    <w:basedOn w:val="1"/>
    <w:uiPriority w:val="0"/>
    <w:pPr>
      <w:widowControl/>
      <w:adjustRightInd w:val="0"/>
      <w:snapToGrid w:val="0"/>
      <w:spacing w:after="200" w:line="360" w:lineRule="auto"/>
      <w:ind w:firstLine="200" w:firstLineChars="200"/>
      <w:jc w:val="left"/>
    </w:pPr>
    <w:rPr>
      <w:rFonts w:ascii="宋体" w:hAnsi="Tahoma" w:eastAsia="微软雅黑"/>
      <w:kern w:val="0"/>
      <w:sz w:val="24"/>
    </w:rPr>
  </w:style>
  <w:style w:type="paragraph" w:customStyle="1" w:styleId="422">
    <w:name w:val="Table Paragraph"/>
    <w:basedOn w:val="1"/>
    <w:qFormat/>
    <w:uiPriority w:val="0"/>
    <w:pPr>
      <w:widowControl/>
      <w:adjustRightInd w:val="0"/>
      <w:snapToGrid w:val="0"/>
      <w:spacing w:after="200"/>
      <w:jc w:val="left"/>
    </w:pPr>
    <w:rPr>
      <w:rFonts w:ascii="Tahoma" w:hAnsi="Tahoma" w:eastAsia="微软雅黑"/>
      <w:kern w:val="0"/>
      <w:sz w:val="22"/>
      <w:szCs w:val="22"/>
    </w:rPr>
  </w:style>
  <w:style w:type="paragraph" w:customStyle="1" w:styleId="423">
    <w:name w:val="无间隔11"/>
    <w:uiPriority w:val="0"/>
    <w:pPr>
      <w:adjustRightInd w:val="0"/>
      <w:snapToGrid w:val="0"/>
      <w:spacing w:line="360" w:lineRule="auto"/>
    </w:pPr>
    <w:rPr>
      <w:rFonts w:ascii="Times New Roman" w:hAnsi="Times New Roman" w:eastAsia="黑体" w:cs="Times New Roman"/>
      <w:sz w:val="24"/>
      <w:szCs w:val="22"/>
      <w:lang w:val="en-US" w:eastAsia="zh-CN" w:bidi="ar-SA"/>
    </w:rPr>
  </w:style>
  <w:style w:type="paragraph" w:customStyle="1" w:styleId="424">
    <w:name w:val="真·表头"/>
    <w:basedOn w:val="1"/>
    <w:uiPriority w:val="0"/>
    <w:pPr>
      <w:adjustRightInd w:val="0"/>
      <w:snapToGrid w:val="0"/>
      <w:spacing w:beforeLines="50" w:line="360" w:lineRule="auto"/>
      <w:jc w:val="center"/>
    </w:pPr>
    <w:rPr>
      <w:rFonts w:eastAsia="黑体"/>
      <w:sz w:val="24"/>
      <w:szCs w:val="30"/>
    </w:rPr>
  </w:style>
  <w:style w:type="paragraph" w:customStyle="1" w:styleId="425">
    <w:name w:val="album-div1"/>
    <w:basedOn w:val="1"/>
    <w:uiPriority w:val="0"/>
    <w:pPr>
      <w:widowControl/>
      <w:shd w:val="clear" w:color="auto" w:fill="FFFFFF"/>
      <w:adjustRightInd w:val="0"/>
      <w:snapToGrid w:val="0"/>
      <w:spacing w:before="100" w:beforeAutospacing="1" w:after="100" w:afterAutospacing="1"/>
      <w:jc w:val="left"/>
    </w:pPr>
    <w:rPr>
      <w:rFonts w:ascii="宋体" w:hAnsi="宋体" w:cs="宋体"/>
      <w:kern w:val="0"/>
      <w:sz w:val="24"/>
    </w:rPr>
  </w:style>
  <w:style w:type="paragraph" w:customStyle="1" w:styleId="426">
    <w:name w:val="1、表内字"/>
    <w:basedOn w:val="1"/>
    <w:uiPriority w:val="0"/>
    <w:pPr>
      <w:adjustRightInd w:val="0"/>
      <w:snapToGrid w:val="0"/>
      <w:jc w:val="center"/>
    </w:pPr>
    <w:rPr>
      <w:sz w:val="24"/>
      <w:szCs w:val="21"/>
    </w:rPr>
  </w:style>
  <w:style w:type="paragraph" w:customStyle="1" w:styleId="427">
    <w:name w:val="样式 正文文本缩进 3 + 12 磅 左侧:  2 字符"/>
    <w:basedOn w:val="428"/>
    <w:uiPriority w:val="0"/>
    <w:pPr>
      <w:spacing w:after="120" w:line="360" w:lineRule="auto"/>
      <w:ind w:firstLine="200"/>
    </w:pPr>
    <w:rPr>
      <w:rFonts w:ascii="Times New Roman" w:cs="PMingLiU"/>
      <w:szCs w:val="20"/>
    </w:rPr>
  </w:style>
  <w:style w:type="paragraph" w:customStyle="1" w:styleId="428">
    <w:name w:val="正文文本缩进 31"/>
    <w:basedOn w:val="1"/>
    <w:uiPriority w:val="0"/>
    <w:pPr>
      <w:widowControl/>
      <w:adjustRightInd w:val="0"/>
      <w:snapToGrid w:val="0"/>
      <w:spacing w:after="200" w:line="500" w:lineRule="exact"/>
      <w:ind w:firstLine="480" w:firstLineChars="200"/>
      <w:jc w:val="left"/>
    </w:pPr>
    <w:rPr>
      <w:rFonts w:ascii="宋体" w:hAnsi="Tahoma" w:eastAsia="微软雅黑"/>
      <w:kern w:val="0"/>
      <w:sz w:val="24"/>
      <w:szCs w:val="22"/>
    </w:rPr>
  </w:style>
  <w:style w:type="paragraph" w:customStyle="1" w:styleId="429">
    <w:name w:val="自定义缩进"/>
    <w:basedOn w:val="1"/>
    <w:uiPriority w:val="0"/>
    <w:pPr>
      <w:keepNext/>
      <w:spacing w:line="336" w:lineRule="auto"/>
      <w:ind w:firstLine="480" w:firstLineChars="200"/>
      <w:jc w:val="left"/>
    </w:pPr>
    <w:rPr>
      <w:rFonts w:ascii="宋体" w:hAnsi="宋体"/>
      <w:color w:val="000000"/>
      <w:kern w:val="0"/>
      <w:sz w:val="24"/>
    </w:rPr>
  </w:style>
  <w:style w:type="paragraph" w:customStyle="1" w:styleId="430">
    <w:name w:val="图件标题"/>
    <w:basedOn w:val="1"/>
    <w:uiPriority w:val="0"/>
    <w:pPr>
      <w:adjustRightInd w:val="0"/>
      <w:snapToGrid w:val="0"/>
      <w:spacing w:before="60"/>
      <w:jc w:val="center"/>
    </w:pPr>
    <w:rPr>
      <w:rFonts w:ascii="黑体" w:hAnsi="Arial Unicode MS"/>
      <w:b/>
      <w:sz w:val="24"/>
    </w:rPr>
  </w:style>
  <w:style w:type="paragraph" w:customStyle="1" w:styleId="431">
    <w:name w:val="表格首行"/>
    <w:basedOn w:val="1"/>
    <w:next w:val="1"/>
    <w:uiPriority w:val="0"/>
    <w:pPr>
      <w:adjustRightInd w:val="0"/>
      <w:snapToGrid w:val="0"/>
      <w:jc w:val="center"/>
    </w:pPr>
    <w:rPr>
      <w:rFonts w:cs="宋体"/>
      <w:b/>
      <w:sz w:val="24"/>
      <w:szCs w:val="20"/>
    </w:rPr>
  </w:style>
  <w:style w:type="paragraph" w:customStyle="1" w:styleId="432">
    <w:name w:val="列出段落2"/>
    <w:basedOn w:val="1"/>
    <w:uiPriority w:val="0"/>
    <w:pPr>
      <w:adjustRightInd w:val="0"/>
      <w:snapToGrid w:val="0"/>
      <w:jc w:val="center"/>
    </w:pPr>
  </w:style>
  <w:style w:type="paragraph" w:customStyle="1" w:styleId="433">
    <w:name w:val="Char11"/>
    <w:basedOn w:val="1"/>
    <w:uiPriority w:val="0"/>
    <w:pPr>
      <w:adjustRightInd w:val="0"/>
      <w:snapToGrid w:val="0"/>
      <w:jc w:val="left"/>
    </w:pPr>
    <w:rPr>
      <w:rFonts w:cs="宋体"/>
      <w:sz w:val="24"/>
    </w:rPr>
  </w:style>
  <w:style w:type="paragraph" w:customStyle="1" w:styleId="434">
    <w:name w:val="p16"/>
    <w:basedOn w:val="1"/>
    <w:uiPriority w:val="0"/>
    <w:pPr>
      <w:widowControl/>
      <w:adjustRightInd w:val="0"/>
      <w:snapToGrid w:val="0"/>
      <w:jc w:val="center"/>
    </w:pPr>
    <w:rPr>
      <w:rFonts w:cs="宋体"/>
      <w:b/>
      <w:bCs/>
      <w:kern w:val="0"/>
      <w:sz w:val="24"/>
    </w:rPr>
  </w:style>
  <w:style w:type="paragraph" w:customStyle="1" w:styleId="435">
    <w:name w:val="表内容"/>
    <w:basedOn w:val="1"/>
    <w:link w:val="522"/>
    <w:qFormat/>
    <w:uiPriority w:val="0"/>
    <w:pPr>
      <w:widowControl/>
      <w:adjustRightInd w:val="0"/>
      <w:snapToGrid w:val="0"/>
      <w:spacing w:after="200" w:line="360" w:lineRule="auto"/>
      <w:ind w:firstLine="200" w:firstLineChars="200"/>
      <w:jc w:val="center"/>
    </w:pPr>
    <w:rPr>
      <w:rFonts w:ascii="宋体" w:hAnsi="宋体" w:eastAsia="微软雅黑"/>
      <w:kern w:val="0"/>
      <w:sz w:val="22"/>
      <w:szCs w:val="21"/>
    </w:rPr>
  </w:style>
  <w:style w:type="paragraph" w:customStyle="1" w:styleId="436">
    <w:name w:val="列表1"/>
    <w:basedOn w:val="1"/>
    <w:uiPriority w:val="0"/>
    <w:pPr>
      <w:adjustRightInd w:val="0"/>
      <w:snapToGrid w:val="0"/>
      <w:spacing w:line="360" w:lineRule="auto"/>
      <w:ind w:left="200" w:hanging="200" w:hangingChars="200"/>
      <w:jc w:val="left"/>
    </w:pPr>
    <w:rPr>
      <w:rFonts w:cs="宋体"/>
      <w:sz w:val="24"/>
    </w:rPr>
  </w:style>
  <w:style w:type="paragraph" w:customStyle="1" w:styleId="437">
    <w:name w:val="真·正文"/>
    <w:basedOn w:val="1"/>
    <w:next w:val="169"/>
    <w:uiPriority w:val="0"/>
    <w:pPr>
      <w:adjustRightInd w:val="0"/>
      <w:snapToGrid w:val="0"/>
      <w:spacing w:line="360" w:lineRule="auto"/>
      <w:ind w:firstLine="200" w:firstLineChars="200"/>
      <w:jc w:val="left"/>
    </w:pPr>
    <w:rPr>
      <w:sz w:val="24"/>
      <w:szCs w:val="21"/>
    </w:rPr>
  </w:style>
  <w:style w:type="paragraph" w:customStyle="1" w:styleId="438">
    <w:name w:val="Char Char Char"/>
    <w:basedOn w:val="1"/>
    <w:uiPriority w:val="0"/>
  </w:style>
  <w:style w:type="paragraph" w:customStyle="1" w:styleId="439">
    <w:name w:val="列出段落3"/>
    <w:basedOn w:val="1"/>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40">
    <w:name w:val="列出段落1"/>
    <w:basedOn w:val="1"/>
    <w:uiPriority w:val="0"/>
    <w:pPr>
      <w:adjustRightInd w:val="0"/>
      <w:snapToGrid w:val="0"/>
      <w:jc w:val="center"/>
    </w:pPr>
  </w:style>
  <w:style w:type="paragraph" w:customStyle="1" w:styleId="441">
    <w:name w:val="y正文"/>
    <w:uiPriority w:val="0"/>
    <w:pPr>
      <w:spacing w:line="360" w:lineRule="auto"/>
      <w:ind w:firstLine="480" w:firstLineChars="200"/>
      <w:jc w:val="both"/>
    </w:pPr>
    <w:rPr>
      <w:rFonts w:ascii="Times New Roman" w:hAnsi="Times New Roman" w:eastAsia="宋体" w:cs="Times New Roman"/>
      <w:kern w:val="2"/>
      <w:sz w:val="24"/>
      <w:lang w:val="en-US" w:eastAsia="zh-CN" w:bidi="ar-SA"/>
    </w:rPr>
  </w:style>
  <w:style w:type="paragraph" w:customStyle="1" w:styleId="442">
    <w:name w:val="正文内容"/>
    <w:basedOn w:val="1"/>
    <w:uiPriority w:val="0"/>
    <w:pPr>
      <w:widowControl/>
      <w:adjustRightInd w:val="0"/>
      <w:snapToGrid w:val="0"/>
      <w:spacing w:after="200" w:line="500" w:lineRule="exact"/>
      <w:ind w:firstLine="200" w:firstLineChars="200"/>
      <w:jc w:val="left"/>
    </w:pPr>
    <w:rPr>
      <w:rFonts w:eastAsia="微软雅黑"/>
      <w:kern w:val="0"/>
      <w:sz w:val="24"/>
    </w:rPr>
  </w:style>
  <w:style w:type="paragraph" w:customStyle="1" w:styleId="443">
    <w:name w:val="正文-蓝色"/>
    <w:basedOn w:val="1"/>
    <w:uiPriority w:val="0"/>
    <w:pPr>
      <w:widowControl/>
      <w:adjustRightInd w:val="0"/>
      <w:snapToGrid w:val="0"/>
      <w:spacing w:after="200" w:line="360" w:lineRule="auto"/>
      <w:ind w:firstLine="200" w:firstLineChars="200"/>
      <w:jc w:val="left"/>
    </w:pPr>
    <w:rPr>
      <w:rFonts w:ascii="Tahoma" w:hAnsi="Tahoma" w:eastAsia="微软雅黑"/>
      <w:color w:val="0000FF"/>
      <w:kern w:val="0"/>
      <w:sz w:val="22"/>
      <w:szCs w:val="28"/>
    </w:rPr>
  </w:style>
  <w:style w:type="paragraph" w:customStyle="1" w:styleId="444">
    <w:name w:val="正文文字111"/>
    <w:basedOn w:val="1"/>
    <w:uiPriority w:val="0"/>
    <w:pPr>
      <w:adjustRightInd w:val="0"/>
      <w:snapToGrid w:val="0"/>
      <w:spacing w:line="440" w:lineRule="exact"/>
      <w:ind w:firstLine="510"/>
      <w:jc w:val="left"/>
    </w:pPr>
    <w:rPr>
      <w:rFonts w:ascii="宋体" w:hAnsi="宋体"/>
      <w:sz w:val="24"/>
      <w:szCs w:val="20"/>
    </w:rPr>
  </w:style>
  <w:style w:type="paragraph" w:customStyle="1" w:styleId="445">
    <w:name w:val="1 Char"/>
    <w:basedOn w:val="1"/>
    <w:uiPriority w:val="0"/>
    <w:rPr>
      <w:sz w:val="24"/>
    </w:rPr>
  </w:style>
  <w:style w:type="paragraph" w:customStyle="1" w:styleId="446">
    <w:name w:val="西峪"/>
    <w:basedOn w:val="1"/>
    <w:uiPriority w:val="0"/>
    <w:pPr>
      <w:adjustRightInd w:val="0"/>
      <w:snapToGrid w:val="0"/>
      <w:spacing w:line="312" w:lineRule="auto"/>
      <w:ind w:firstLine="549" w:firstLineChars="200"/>
    </w:pPr>
    <w:rPr>
      <w:sz w:val="28"/>
    </w:rPr>
  </w:style>
  <w:style w:type="paragraph" w:customStyle="1" w:styleId="447">
    <w:name w:val="Char4 Char Char Char"/>
    <w:basedOn w:val="1"/>
    <w:semiHidden/>
    <w:uiPriority w:val="0"/>
    <w:pPr>
      <w:adjustRightInd w:val="0"/>
      <w:snapToGrid w:val="0"/>
      <w:spacing w:line="360" w:lineRule="auto"/>
      <w:ind w:firstLine="200" w:firstLineChars="200"/>
    </w:pPr>
    <w:rPr>
      <w:rFonts w:ascii="宋体" w:hAnsi="宋体" w:cs="宋体"/>
      <w:sz w:val="24"/>
      <w:szCs w:val="26"/>
    </w:rPr>
  </w:style>
  <w:style w:type="paragraph" w:customStyle="1" w:styleId="448">
    <w:name w:val="样式10"/>
    <w:basedOn w:val="1"/>
    <w:uiPriority w:val="0"/>
    <w:pPr>
      <w:adjustRightInd w:val="0"/>
      <w:snapToGrid w:val="0"/>
      <w:spacing w:line="320" w:lineRule="exact"/>
      <w:jc w:val="center"/>
    </w:pPr>
    <w:rPr>
      <w:rFonts w:eastAsia="Times New Roman"/>
      <w:sz w:val="22"/>
      <w:szCs w:val="22"/>
    </w:rPr>
  </w:style>
  <w:style w:type="paragraph" w:customStyle="1" w:styleId="449">
    <w:name w:val="样式11"/>
    <w:basedOn w:val="1"/>
    <w:uiPriority w:val="0"/>
    <w:pPr>
      <w:adjustRightInd w:val="0"/>
      <w:snapToGrid w:val="0"/>
      <w:spacing w:line="240" w:lineRule="exact"/>
      <w:ind w:firstLine="200" w:firstLineChars="200"/>
    </w:pPr>
    <w:rPr>
      <w:sz w:val="18"/>
      <w:szCs w:val="18"/>
    </w:rPr>
  </w:style>
  <w:style w:type="paragraph" w:customStyle="1" w:styleId="450">
    <w:name w:val="样式12"/>
    <w:basedOn w:val="1"/>
    <w:uiPriority w:val="0"/>
    <w:pPr>
      <w:adjustRightInd w:val="0"/>
      <w:snapToGrid w:val="0"/>
      <w:spacing w:line="480" w:lineRule="exact"/>
      <w:ind w:firstLine="500" w:firstLineChars="500"/>
      <w:jc w:val="left"/>
    </w:pPr>
    <w:rPr>
      <w:sz w:val="26"/>
      <w:szCs w:val="26"/>
    </w:rPr>
  </w:style>
  <w:style w:type="paragraph" w:customStyle="1" w:styleId="451">
    <w:name w:val="xl29"/>
    <w:basedOn w:val="1"/>
    <w:uiPriority w:val="0"/>
    <w:pPr>
      <w:widowControl/>
      <w:pBdr>
        <w:left w:val="single" w:color="auto" w:sz="4" w:space="0"/>
        <w:bottom w:val="single" w:color="auto" w:sz="4" w:space="0"/>
      </w:pBdr>
      <w:spacing w:before="100" w:beforeAutospacing="1" w:after="100" w:afterAutospacing="1"/>
      <w:textAlignment w:val="top"/>
    </w:pPr>
    <w:rPr>
      <w:kern w:val="0"/>
      <w:szCs w:val="21"/>
    </w:rPr>
  </w:style>
  <w:style w:type="paragraph" w:customStyle="1" w:styleId="452">
    <w:name w:val="标题1"/>
    <w:basedOn w:val="1"/>
    <w:next w:val="1"/>
    <w:uiPriority w:val="0"/>
    <w:pPr>
      <w:tabs>
        <w:tab w:val="left" w:pos="0"/>
      </w:tabs>
      <w:spacing w:line="440" w:lineRule="exact"/>
    </w:pPr>
    <w:rPr>
      <w:sz w:val="24"/>
      <w:szCs w:val="20"/>
    </w:rPr>
  </w:style>
  <w:style w:type="paragraph" w:customStyle="1" w:styleId="453">
    <w:name w:val="xl27"/>
    <w:basedOn w:val="1"/>
    <w:uiPriority w:val="0"/>
    <w:pPr>
      <w:widowControl/>
      <w:pBdr>
        <w:bottom w:val="single" w:color="auto" w:sz="4" w:space="0"/>
        <w:right w:val="single" w:color="auto" w:sz="4" w:space="0"/>
      </w:pBdr>
      <w:spacing w:before="100" w:beforeAutospacing="1" w:after="100" w:afterAutospacing="1"/>
      <w:jc w:val="center"/>
    </w:pPr>
    <w:rPr>
      <w:rFonts w:ascii="UniversalMath1 BT" w:hAnsi="UniversalMath1 BT" w:eastAsia="Arial Unicode MS"/>
      <w:kern w:val="0"/>
      <w:szCs w:val="21"/>
    </w:rPr>
  </w:style>
  <w:style w:type="character" w:customStyle="1" w:styleId="454">
    <w:name w:val="批注主题 Char1"/>
    <w:uiPriority w:val="0"/>
    <w:rPr>
      <w:b/>
      <w:bCs/>
    </w:rPr>
  </w:style>
  <w:style w:type="character" w:customStyle="1" w:styleId="455">
    <w:name w:val="-表题 Char"/>
    <w:link w:val="456"/>
    <w:uiPriority w:val="0"/>
    <w:rPr>
      <w:b/>
      <w:kern w:val="2"/>
      <w:sz w:val="21"/>
      <w:szCs w:val="24"/>
    </w:rPr>
  </w:style>
  <w:style w:type="paragraph" w:customStyle="1" w:styleId="456">
    <w:name w:val="-表题"/>
    <w:next w:val="1"/>
    <w:link w:val="455"/>
    <w:uiPriority w:val="0"/>
    <w:pPr>
      <w:spacing w:line="480" w:lineRule="exact"/>
      <w:jc w:val="center"/>
    </w:pPr>
    <w:rPr>
      <w:rFonts w:ascii="Times New Roman" w:hAnsi="Times New Roman" w:eastAsia="宋体" w:cs="Times New Roman"/>
      <w:b/>
      <w:kern w:val="2"/>
      <w:sz w:val="21"/>
      <w:szCs w:val="24"/>
      <w:lang w:val="en-US" w:eastAsia="zh-CN" w:bidi="ar-SA"/>
    </w:rPr>
  </w:style>
  <w:style w:type="paragraph" w:customStyle="1" w:styleId="457">
    <w:name w:val="表名"/>
    <w:basedOn w:val="1"/>
    <w:link w:val="544"/>
    <w:qFormat/>
    <w:uiPriority w:val="0"/>
    <w:pPr>
      <w:widowControl/>
      <w:overflowPunct w:val="0"/>
      <w:autoSpaceDE w:val="0"/>
      <w:autoSpaceDN w:val="0"/>
      <w:adjustRightInd w:val="0"/>
      <w:spacing w:line="500" w:lineRule="exact"/>
      <w:ind w:firstLine="482" w:firstLineChars="200"/>
      <w:textAlignment w:val="baseline"/>
    </w:pPr>
    <w:rPr>
      <w:b/>
      <w:bCs/>
      <w:color w:val="000000"/>
      <w:sz w:val="24"/>
    </w:rPr>
  </w:style>
  <w:style w:type="paragraph" w:customStyle="1" w:styleId="458">
    <w:name w:val="a1样式1"/>
    <w:basedOn w:val="1"/>
    <w:link w:val="553"/>
    <w:uiPriority w:val="0"/>
    <w:pPr>
      <w:widowControl/>
      <w:topLinePunct/>
      <w:spacing w:beforeLines="50" w:afterLines="50" w:line="360" w:lineRule="auto"/>
      <w:ind w:right="-61" w:rightChars="-26" w:firstLine="480" w:firstLineChars="200"/>
    </w:pPr>
    <w:rPr>
      <w:rFonts w:ascii="宋体" w:hAnsi="宋体" w:eastAsia="Times New Roman" w:cs="宋体"/>
      <w:kern w:val="0"/>
      <w:sz w:val="24"/>
    </w:rPr>
  </w:style>
  <w:style w:type="paragraph" w:customStyle="1" w:styleId="459">
    <w:name w:val="haydonli"/>
    <w:basedOn w:val="1"/>
    <w:uiPriority w:val="0"/>
    <w:pPr>
      <w:snapToGrid w:val="0"/>
      <w:spacing w:line="360" w:lineRule="auto"/>
      <w:ind w:firstLine="200" w:firstLineChars="200"/>
    </w:pPr>
    <w:rPr>
      <w:sz w:val="24"/>
    </w:rPr>
  </w:style>
  <w:style w:type="paragraph" w:customStyle="1" w:styleId="460">
    <w:name w:val="4"/>
    <w:basedOn w:val="1"/>
    <w:next w:val="24"/>
    <w:uiPriority w:val="0"/>
    <w:pPr>
      <w:ind w:firstLine="540"/>
    </w:pPr>
    <w:rPr>
      <w:rFonts w:ascii="宋体" w:hAnsi="宋体" w:cs="宋体"/>
      <w:sz w:val="28"/>
      <w:szCs w:val="28"/>
    </w:rPr>
  </w:style>
  <w:style w:type="character" w:customStyle="1" w:styleId="461">
    <w:name w:val="15"/>
    <w:basedOn w:val="53"/>
    <w:uiPriority w:val="0"/>
    <w:rPr>
      <w:rFonts w:hint="eastAsia" w:ascii="宋体" w:hAnsi="宋体" w:eastAsia="宋体"/>
      <w:kern w:val="2"/>
      <w:sz w:val="24"/>
      <w:szCs w:val="24"/>
    </w:rPr>
  </w:style>
  <w:style w:type="character" w:customStyle="1" w:styleId="462">
    <w:name w:val="16"/>
    <w:basedOn w:val="53"/>
    <w:uiPriority w:val="0"/>
    <w:rPr>
      <w:rFonts w:hint="default" w:ascii="Times New Roman" w:hAnsi="Times New Roman" w:cs="Times New Roman"/>
      <w:color w:val="808080"/>
    </w:rPr>
  </w:style>
  <w:style w:type="paragraph" w:customStyle="1" w:styleId="463">
    <w:name w:val="样式6"/>
    <w:basedOn w:val="334"/>
    <w:qFormat/>
    <w:uiPriority w:val="0"/>
    <w:pPr>
      <w:spacing w:line="460" w:lineRule="exact"/>
      <w:ind w:firstLine="1200" w:firstLineChars="500"/>
    </w:pPr>
    <w:rPr>
      <w:rFonts w:ascii="Arial" w:hAnsi="Arial" w:cs="Arial"/>
      <w:bCs w:val="0"/>
      <w:snapToGrid/>
      <w:kern w:val="2"/>
      <w:sz w:val="24"/>
      <w:szCs w:val="24"/>
    </w:rPr>
  </w:style>
  <w:style w:type="paragraph" w:customStyle="1" w:styleId="464">
    <w:name w:val="插表样式"/>
    <w:basedOn w:val="1"/>
    <w:qFormat/>
    <w:uiPriority w:val="0"/>
    <w:pPr>
      <w:spacing w:line="360" w:lineRule="auto"/>
      <w:ind w:firstLine="480" w:firstLineChars="200"/>
      <w:jc w:val="center"/>
    </w:pPr>
    <w:rPr>
      <w:rFonts w:ascii="黑体" w:hAnsi="黑体" w:eastAsia="黑体" w:cs="宋体"/>
      <w:sz w:val="24"/>
      <w:szCs w:val="20"/>
    </w:rPr>
  </w:style>
  <w:style w:type="paragraph" w:customStyle="1" w:styleId="465">
    <w:name w:val="6表格"/>
    <w:basedOn w:val="1"/>
    <w:uiPriority w:val="0"/>
    <w:pPr>
      <w:adjustRightInd w:val="0"/>
      <w:snapToGrid w:val="0"/>
      <w:spacing w:before="120" w:line="360" w:lineRule="auto"/>
      <w:jc w:val="center"/>
    </w:pPr>
    <w:rPr>
      <w:snapToGrid w:val="0"/>
      <w:kern w:val="0"/>
      <w:sz w:val="24"/>
      <w:szCs w:val="20"/>
    </w:rPr>
  </w:style>
  <w:style w:type="paragraph" w:customStyle="1" w:styleId="466">
    <w:name w:val="Char12"/>
    <w:basedOn w:val="1"/>
    <w:uiPriority w:val="0"/>
    <w:pPr>
      <w:ind w:left="510"/>
    </w:pPr>
    <w:rPr>
      <w:rFonts w:ascii="宋体" w:hAnsi="宋体"/>
      <w:color w:val="000000"/>
      <w:kern w:val="0"/>
      <w:sz w:val="24"/>
      <w:szCs w:val="20"/>
    </w:rPr>
  </w:style>
  <w:style w:type="paragraph" w:customStyle="1" w:styleId="467">
    <w:name w:val="Char Char4"/>
    <w:basedOn w:val="1"/>
    <w:uiPriority w:val="0"/>
    <w:pPr>
      <w:ind w:left="510"/>
    </w:pPr>
    <w:rPr>
      <w:rFonts w:ascii="宋体" w:hAnsi="宋体"/>
      <w:color w:val="000000"/>
      <w:kern w:val="0"/>
      <w:sz w:val="24"/>
      <w:szCs w:val="20"/>
    </w:rPr>
  </w:style>
  <w:style w:type="paragraph" w:customStyle="1" w:styleId="468">
    <w:name w:val="Char Char Char Char1"/>
    <w:basedOn w:val="1"/>
    <w:uiPriority w:val="0"/>
    <w:pPr>
      <w:tabs>
        <w:tab w:val="left" w:pos="360"/>
      </w:tabs>
    </w:pPr>
    <w:rPr>
      <w:sz w:val="24"/>
    </w:rPr>
  </w:style>
  <w:style w:type="paragraph" w:customStyle="1" w:styleId="469">
    <w:name w:val="Char Char2 Char Char Char Char1"/>
    <w:basedOn w:val="1"/>
    <w:uiPriority w:val="0"/>
  </w:style>
  <w:style w:type="paragraph" w:customStyle="1" w:styleId="470">
    <w:name w:val="Char Char8 Char Char1"/>
    <w:basedOn w:val="1"/>
    <w:uiPriority w:val="0"/>
    <w:pPr>
      <w:spacing w:line="360" w:lineRule="auto"/>
      <w:ind w:firstLine="200" w:firstLineChars="200"/>
    </w:pPr>
  </w:style>
  <w:style w:type="paragraph" w:customStyle="1" w:styleId="471">
    <w:name w:val="图文框"/>
    <w:basedOn w:val="1"/>
    <w:uiPriority w:val="0"/>
    <w:pPr>
      <w:autoSpaceDE w:val="0"/>
      <w:autoSpaceDN w:val="0"/>
      <w:adjustRightInd w:val="0"/>
      <w:snapToGrid w:val="0"/>
      <w:spacing w:before="36" w:after="36" w:line="240" w:lineRule="exact"/>
      <w:jc w:val="center"/>
      <w:textAlignment w:val="baseline"/>
    </w:pPr>
    <w:rPr>
      <w:color w:val="000000"/>
      <w:szCs w:val="21"/>
    </w:rPr>
  </w:style>
  <w:style w:type="paragraph" w:customStyle="1" w:styleId="472">
    <w:name w:val="Char"/>
    <w:basedOn w:val="1"/>
    <w:uiPriority w:val="0"/>
  </w:style>
  <w:style w:type="paragraph" w:customStyle="1" w:styleId="473">
    <w:name w:val="Char Char21"/>
    <w:basedOn w:val="1"/>
    <w:uiPriority w:val="0"/>
  </w:style>
  <w:style w:type="paragraph" w:customStyle="1" w:styleId="474">
    <w:name w:val="Char Char Char Char Char Char1 Char1"/>
    <w:basedOn w:val="1"/>
    <w:uiPriority w:val="0"/>
    <w:rPr>
      <w:sz w:val="24"/>
    </w:rPr>
  </w:style>
  <w:style w:type="paragraph" w:customStyle="1" w:styleId="475">
    <w:name w:val="Char Char Char Char Char Char3"/>
    <w:basedOn w:val="1"/>
    <w:uiPriority w:val="0"/>
    <w:rPr>
      <w:sz w:val="24"/>
    </w:rPr>
  </w:style>
  <w:style w:type="paragraph" w:customStyle="1" w:styleId="476">
    <w:name w:val="_Style 466"/>
    <w:unhideWhenUsed/>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77">
    <w:name w:val="Char Char Char Char Char Char4"/>
    <w:basedOn w:val="1"/>
    <w:uiPriority w:val="0"/>
    <w:rPr>
      <w:sz w:val="24"/>
    </w:rPr>
  </w:style>
  <w:style w:type="paragraph" w:customStyle="1" w:styleId="478">
    <w:name w:val="Char13"/>
    <w:basedOn w:val="1"/>
    <w:uiPriority w:val="0"/>
    <w:pPr>
      <w:ind w:left="510"/>
    </w:pPr>
    <w:rPr>
      <w:rFonts w:ascii="宋体" w:hAnsi="宋体"/>
      <w:color w:val="000000"/>
      <w:kern w:val="0"/>
      <w:sz w:val="24"/>
      <w:szCs w:val="20"/>
    </w:rPr>
  </w:style>
  <w:style w:type="paragraph" w:customStyle="1" w:styleId="479">
    <w:name w:val="Char Char5"/>
    <w:basedOn w:val="1"/>
    <w:uiPriority w:val="0"/>
    <w:pPr>
      <w:ind w:left="510"/>
    </w:pPr>
    <w:rPr>
      <w:rFonts w:ascii="宋体" w:hAnsi="宋体"/>
      <w:color w:val="000000"/>
      <w:kern w:val="0"/>
      <w:sz w:val="24"/>
      <w:szCs w:val="20"/>
    </w:rPr>
  </w:style>
  <w:style w:type="character" w:customStyle="1" w:styleId="480">
    <w:name w:val="页脚 Char1"/>
    <w:basedOn w:val="53"/>
    <w:semiHidden/>
    <w:uiPriority w:val="99"/>
    <w:rPr>
      <w:kern w:val="2"/>
      <w:sz w:val="18"/>
      <w:szCs w:val="18"/>
    </w:rPr>
  </w:style>
  <w:style w:type="paragraph" w:customStyle="1" w:styleId="481">
    <w:name w:val="Char Char Char1 Char Char Char Char Char Char Char Char Char Char Char Char1 Char Char Char2 Char Char Char Char1"/>
    <w:basedOn w:val="1"/>
    <w:uiPriority w:val="0"/>
    <w:pPr>
      <w:spacing w:line="360" w:lineRule="auto"/>
      <w:ind w:firstLine="200" w:firstLineChars="200"/>
    </w:pPr>
    <w:rPr>
      <w:rFonts w:ascii="宋体" w:hAnsi="宋体" w:cs="宋体"/>
      <w:sz w:val="24"/>
    </w:rPr>
  </w:style>
  <w:style w:type="paragraph" w:customStyle="1" w:styleId="482">
    <w:name w:val="Char3"/>
    <w:basedOn w:val="1"/>
    <w:uiPriority w:val="0"/>
  </w:style>
  <w:style w:type="paragraph" w:customStyle="1" w:styleId="483">
    <w:name w:val="Char Char2 Char Char Char Char2"/>
    <w:basedOn w:val="1"/>
    <w:uiPriority w:val="0"/>
  </w:style>
  <w:style w:type="paragraph" w:customStyle="1" w:styleId="484">
    <w:name w:val="Char Char8 Char Char2"/>
    <w:basedOn w:val="1"/>
    <w:uiPriority w:val="0"/>
    <w:pPr>
      <w:spacing w:line="360" w:lineRule="auto"/>
      <w:ind w:firstLine="200" w:firstLineChars="200"/>
    </w:pPr>
  </w:style>
  <w:style w:type="paragraph" w:customStyle="1" w:styleId="485">
    <w:name w:val="Char Char Char Char3"/>
    <w:basedOn w:val="1"/>
    <w:uiPriority w:val="0"/>
    <w:pPr>
      <w:tabs>
        <w:tab w:val="left" w:pos="360"/>
      </w:tabs>
    </w:pPr>
    <w:rPr>
      <w:sz w:val="24"/>
    </w:rPr>
  </w:style>
  <w:style w:type="paragraph" w:customStyle="1" w:styleId="486">
    <w:name w:val="Char Char Char Char Char Char1 Char2"/>
    <w:basedOn w:val="1"/>
    <w:uiPriority w:val="0"/>
    <w:rPr>
      <w:sz w:val="24"/>
    </w:rPr>
  </w:style>
  <w:style w:type="paragraph" w:customStyle="1" w:styleId="487">
    <w:name w:val="Char Char22"/>
    <w:basedOn w:val="1"/>
    <w:uiPriority w:val="0"/>
  </w:style>
  <w:style w:type="character" w:customStyle="1" w:styleId="488">
    <w:name w:val="Char Char31"/>
    <w:uiPriority w:val="0"/>
    <w:rPr>
      <w:rFonts w:eastAsia="宋体"/>
      <w:kern w:val="2"/>
      <w:sz w:val="21"/>
      <w:szCs w:val="24"/>
      <w:lang w:val="en-US" w:eastAsia="zh-CN" w:bidi="ar-SA"/>
    </w:rPr>
  </w:style>
  <w:style w:type="character" w:customStyle="1" w:styleId="489">
    <w:name w:val="Char Char11"/>
    <w:uiPriority w:val="0"/>
    <w:rPr>
      <w:rFonts w:ascii="宋体" w:hAnsi="Courier New" w:eastAsia="宋体"/>
      <w:kern w:val="2"/>
      <w:sz w:val="21"/>
      <w:lang w:val="en-US" w:eastAsia="zh-CN" w:bidi="ar-SA"/>
    </w:rPr>
  </w:style>
  <w:style w:type="paragraph" w:customStyle="1" w:styleId="490">
    <w:name w:val="Char Char Char Char Char Char Char2"/>
    <w:basedOn w:val="1"/>
    <w:uiPriority w:val="0"/>
    <w:rPr>
      <w:sz w:val="24"/>
    </w:rPr>
  </w:style>
  <w:style w:type="character" w:customStyle="1" w:styleId="491">
    <w:name w:val="Char Char61"/>
    <w:uiPriority w:val="0"/>
    <w:rPr>
      <w:kern w:val="2"/>
      <w:sz w:val="21"/>
      <w:szCs w:val="24"/>
    </w:rPr>
  </w:style>
  <w:style w:type="paragraph" w:customStyle="1" w:styleId="492">
    <w:name w:val="Char Char1 Char Char"/>
    <w:basedOn w:val="1"/>
    <w:semiHidden/>
    <w:uiPriority w:val="0"/>
    <w:pPr>
      <w:ind w:left="510"/>
    </w:pPr>
    <w:rPr>
      <w:sz w:val="24"/>
      <w:szCs w:val="21"/>
    </w:rPr>
  </w:style>
  <w:style w:type="paragraph" w:customStyle="1" w:styleId="493">
    <w:name w:val="D表内"/>
    <w:basedOn w:val="1"/>
    <w:qFormat/>
    <w:uiPriority w:val="0"/>
    <w:pPr>
      <w:spacing w:before="40" w:after="40"/>
      <w:jc w:val="center"/>
    </w:pPr>
    <w:rPr>
      <w:szCs w:val="21"/>
    </w:rPr>
  </w:style>
  <w:style w:type="paragraph" w:customStyle="1" w:styleId="494">
    <w:name w:val="ZH表头"/>
    <w:basedOn w:val="1"/>
    <w:qFormat/>
    <w:uiPriority w:val="0"/>
    <w:pPr>
      <w:spacing w:beforeLines="50" w:line="360" w:lineRule="auto"/>
      <w:jc w:val="center"/>
    </w:pPr>
    <w:rPr>
      <w:b/>
    </w:rPr>
  </w:style>
  <w:style w:type="paragraph" w:customStyle="1" w:styleId="495">
    <w:name w:val="Char4"/>
    <w:basedOn w:val="1"/>
    <w:uiPriority w:val="0"/>
    <w:rPr>
      <w:sz w:val="24"/>
    </w:rPr>
  </w:style>
  <w:style w:type="paragraph" w:customStyle="1" w:styleId="496">
    <w:name w:val="Char1 Char Char Char2"/>
    <w:basedOn w:val="1"/>
    <w:uiPriority w:val="0"/>
    <w:pPr>
      <w:widowControl/>
      <w:adjustRightInd w:val="0"/>
      <w:snapToGrid w:val="0"/>
      <w:spacing w:line="360" w:lineRule="auto"/>
      <w:textAlignment w:val="center"/>
    </w:pPr>
    <w:rPr>
      <w:kern w:val="0"/>
      <w:sz w:val="24"/>
    </w:rPr>
  </w:style>
  <w:style w:type="paragraph" w:customStyle="1" w:styleId="497">
    <w:name w:val="Char14"/>
    <w:basedOn w:val="1"/>
    <w:uiPriority w:val="0"/>
  </w:style>
  <w:style w:type="paragraph" w:customStyle="1" w:styleId="498">
    <w:name w:val="Char Char Char1"/>
    <w:basedOn w:val="1"/>
    <w:uiPriority w:val="0"/>
  </w:style>
  <w:style w:type="paragraph" w:customStyle="1" w:styleId="499">
    <w:name w:val="Char Char Char Char Char Char Char Char Char1 Char Char Char Char Char Char Char Char Char Char Char Char1 Char Char Char Char2"/>
    <w:basedOn w:val="1"/>
    <w:uiPriority w:val="0"/>
    <w:rPr>
      <w:rFonts w:ascii="宋体" w:hAnsi="宋体" w:cs="Courier New"/>
      <w:sz w:val="32"/>
      <w:szCs w:val="32"/>
    </w:rPr>
  </w:style>
  <w:style w:type="paragraph" w:customStyle="1" w:styleId="500">
    <w:name w:val="文本框"/>
    <w:basedOn w:val="1"/>
    <w:uiPriority w:val="0"/>
    <w:pPr>
      <w:adjustRightInd w:val="0"/>
      <w:snapToGrid w:val="0"/>
      <w:spacing w:after="6"/>
      <w:jc w:val="center"/>
    </w:pPr>
    <w:rPr>
      <w:rFonts w:eastAsia="仿宋_GB2312"/>
    </w:rPr>
  </w:style>
  <w:style w:type="paragraph" w:customStyle="1" w:styleId="501">
    <w:name w:val="xz标题2"/>
    <w:basedOn w:val="1"/>
    <w:uiPriority w:val="0"/>
    <w:pPr>
      <w:adjustRightInd w:val="0"/>
      <w:spacing w:line="312" w:lineRule="atLeast"/>
      <w:textAlignment w:val="baseline"/>
    </w:pPr>
    <w:rPr>
      <w:rFonts w:hint="eastAsia" w:ascii="黑体" w:eastAsia="黑体"/>
      <w:b/>
      <w:kern w:val="0"/>
      <w:sz w:val="30"/>
      <w:szCs w:val="20"/>
    </w:rPr>
  </w:style>
  <w:style w:type="paragraph" w:customStyle="1" w:styleId="502">
    <w:name w:val="Char Char Char Char Char Char Char Char Char Char Char"/>
    <w:basedOn w:val="1"/>
    <w:uiPriority w:val="0"/>
    <w:rPr>
      <w:sz w:val="24"/>
    </w:rPr>
  </w:style>
  <w:style w:type="paragraph" w:customStyle="1" w:styleId="503">
    <w:name w:val="Char Char Char1 Char Char Char Char Char Char Char Char Char Char Char Char Char"/>
    <w:basedOn w:val="1"/>
    <w:uiPriority w:val="0"/>
  </w:style>
  <w:style w:type="character" w:customStyle="1" w:styleId="504">
    <w:name w:val="标题2 Char Char"/>
    <w:uiPriority w:val="0"/>
    <w:rPr>
      <w:rFonts w:ascii="Arial" w:hAnsi="Arial"/>
      <w:b/>
      <w:kern w:val="2"/>
      <w:sz w:val="28"/>
      <w:szCs w:val="32"/>
    </w:rPr>
  </w:style>
  <w:style w:type="paragraph" w:customStyle="1" w:styleId="505">
    <w:name w:val="xl24"/>
    <w:basedOn w:val="1"/>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506">
    <w:name w:val="xl33"/>
    <w:basedOn w:val="1"/>
    <w:uiPriority w:val="0"/>
    <w:pPr>
      <w:widowControl/>
      <w:pBdr>
        <w:bottom w:val="single" w:color="auto" w:sz="4" w:space="0"/>
        <w:right w:val="single" w:color="auto" w:sz="4" w:space="0"/>
      </w:pBdr>
      <w:spacing w:before="100" w:beforeAutospacing="1" w:after="100" w:afterAutospacing="1"/>
    </w:pPr>
    <w:rPr>
      <w:kern w:val="0"/>
      <w:sz w:val="28"/>
      <w:szCs w:val="28"/>
    </w:rPr>
  </w:style>
  <w:style w:type="character" w:customStyle="1" w:styleId="507">
    <w:name w:val="stylee"/>
    <w:uiPriority w:val="0"/>
  </w:style>
  <w:style w:type="paragraph" w:customStyle="1" w:styleId="508">
    <w:name w:val="xl39"/>
    <w:basedOn w:val="1"/>
    <w:uiPriority w:val="0"/>
    <w:pPr>
      <w:widowControl/>
      <w:pBdr>
        <w:bottom w:val="single" w:color="000000" w:sz="4" w:space="0"/>
        <w:right w:val="single" w:color="000000" w:sz="4" w:space="0"/>
      </w:pBdr>
      <w:spacing w:before="100" w:beforeAutospacing="1" w:after="100" w:afterAutospacing="1"/>
      <w:jc w:val="center"/>
    </w:pPr>
    <w:rPr>
      <w:kern w:val="0"/>
      <w:sz w:val="28"/>
      <w:szCs w:val="28"/>
    </w:rPr>
  </w:style>
  <w:style w:type="paragraph" w:customStyle="1" w:styleId="509">
    <w:name w:val="TOC Heading"/>
    <w:basedOn w:val="2"/>
    <w:next w:val="1"/>
    <w:qFormat/>
    <w:uiPriority w:val="0"/>
    <w:pPr>
      <w:keepLines/>
      <w:widowControl/>
      <w:spacing w:before="480" w:line="276" w:lineRule="auto"/>
      <w:jc w:val="left"/>
      <w:outlineLvl w:val="9"/>
    </w:pPr>
    <w:rPr>
      <w:rFonts w:ascii="Cambria" w:hAnsi="Cambria"/>
      <w:b/>
      <w:bCs/>
      <w:color w:val="365F91"/>
      <w:kern w:val="0"/>
      <w:szCs w:val="28"/>
    </w:rPr>
  </w:style>
  <w:style w:type="paragraph" w:customStyle="1" w:styleId="510">
    <w:name w:val="Char Char Char1 Char"/>
    <w:basedOn w:val="1"/>
    <w:uiPriority w:val="0"/>
    <w:pPr>
      <w:spacing w:line="360" w:lineRule="auto"/>
      <w:ind w:firstLine="200" w:firstLineChars="200"/>
    </w:pPr>
    <w:rPr>
      <w:rFonts w:ascii="宋体" w:hAnsi="宋体" w:cs="宋体"/>
      <w:sz w:val="24"/>
    </w:rPr>
  </w:style>
  <w:style w:type="paragraph" w:customStyle="1" w:styleId="511">
    <w:name w:val="reader-word-layer reader-word-s1-19"/>
    <w:basedOn w:val="1"/>
    <w:uiPriority w:val="0"/>
    <w:pPr>
      <w:widowControl/>
      <w:spacing w:before="100" w:beforeAutospacing="1" w:after="100" w:afterAutospacing="1"/>
      <w:jc w:val="left"/>
    </w:pPr>
    <w:rPr>
      <w:rFonts w:ascii="宋体" w:hAnsi="宋体" w:cs="宋体"/>
      <w:kern w:val="0"/>
      <w:sz w:val="24"/>
    </w:rPr>
  </w:style>
  <w:style w:type="paragraph" w:customStyle="1" w:styleId="512">
    <w:name w:val="reader-word-layer reader-word-s1-14"/>
    <w:basedOn w:val="1"/>
    <w:uiPriority w:val="0"/>
    <w:pPr>
      <w:widowControl/>
      <w:spacing w:before="100" w:beforeAutospacing="1" w:after="100" w:afterAutospacing="1"/>
      <w:jc w:val="left"/>
    </w:pPr>
    <w:rPr>
      <w:rFonts w:ascii="宋体" w:hAnsi="宋体" w:cs="宋体"/>
      <w:kern w:val="0"/>
      <w:sz w:val="24"/>
    </w:rPr>
  </w:style>
  <w:style w:type="paragraph" w:customStyle="1" w:styleId="513">
    <w:name w:val="reader-word-layer reader-word-s1-33"/>
    <w:basedOn w:val="1"/>
    <w:uiPriority w:val="0"/>
    <w:pPr>
      <w:widowControl/>
      <w:spacing w:before="100" w:beforeAutospacing="1" w:after="100" w:afterAutospacing="1"/>
      <w:jc w:val="left"/>
    </w:pPr>
    <w:rPr>
      <w:rFonts w:ascii="宋体" w:hAnsi="宋体" w:cs="宋体"/>
      <w:kern w:val="0"/>
      <w:sz w:val="24"/>
    </w:rPr>
  </w:style>
  <w:style w:type="paragraph" w:customStyle="1" w:styleId="514">
    <w:name w:val="reader-word-layer reader-word-s1-13"/>
    <w:basedOn w:val="1"/>
    <w:uiPriority w:val="0"/>
    <w:pPr>
      <w:widowControl/>
      <w:spacing w:before="100" w:beforeAutospacing="1" w:after="100" w:afterAutospacing="1"/>
      <w:jc w:val="left"/>
    </w:pPr>
    <w:rPr>
      <w:rFonts w:ascii="宋体" w:hAnsi="宋体" w:cs="宋体"/>
      <w:kern w:val="0"/>
      <w:sz w:val="24"/>
    </w:rPr>
  </w:style>
  <w:style w:type="paragraph" w:customStyle="1" w:styleId="515">
    <w:name w:val="reader-word-layer reader-word-s1-34"/>
    <w:basedOn w:val="1"/>
    <w:uiPriority w:val="0"/>
    <w:pPr>
      <w:widowControl/>
      <w:spacing w:before="100" w:beforeAutospacing="1" w:after="100" w:afterAutospacing="1"/>
      <w:jc w:val="left"/>
    </w:pPr>
    <w:rPr>
      <w:rFonts w:ascii="宋体" w:hAnsi="宋体" w:cs="宋体"/>
      <w:kern w:val="0"/>
      <w:sz w:val="24"/>
    </w:rPr>
  </w:style>
  <w:style w:type="paragraph" w:customStyle="1" w:styleId="516">
    <w:name w:val="reader-word-layer reader-word-s1-30"/>
    <w:basedOn w:val="1"/>
    <w:uiPriority w:val="0"/>
    <w:pPr>
      <w:widowControl/>
      <w:spacing w:before="100" w:beforeAutospacing="1" w:after="100" w:afterAutospacing="1"/>
      <w:jc w:val="left"/>
    </w:pPr>
    <w:rPr>
      <w:rFonts w:ascii="宋体" w:hAnsi="宋体" w:cs="宋体"/>
      <w:kern w:val="0"/>
      <w:sz w:val="24"/>
    </w:rPr>
  </w:style>
  <w:style w:type="paragraph" w:customStyle="1" w:styleId="517">
    <w:name w:val="reader-word-layer reader-word-s1-26"/>
    <w:basedOn w:val="1"/>
    <w:uiPriority w:val="0"/>
    <w:pPr>
      <w:widowControl/>
      <w:spacing w:before="100" w:beforeAutospacing="1" w:after="100" w:afterAutospacing="1"/>
      <w:jc w:val="left"/>
    </w:pPr>
    <w:rPr>
      <w:rFonts w:ascii="宋体" w:hAnsi="宋体" w:cs="宋体"/>
      <w:kern w:val="0"/>
      <w:sz w:val="24"/>
    </w:rPr>
  </w:style>
  <w:style w:type="character" w:customStyle="1" w:styleId="518">
    <w:name w:val="con2"/>
    <w:uiPriority w:val="0"/>
  </w:style>
  <w:style w:type="paragraph" w:customStyle="1" w:styleId="519">
    <w:name w:val="reader-word-layer"/>
    <w:basedOn w:val="1"/>
    <w:uiPriority w:val="0"/>
    <w:pPr>
      <w:widowControl/>
      <w:spacing w:before="100" w:beforeAutospacing="1" w:after="100" w:afterAutospacing="1"/>
      <w:jc w:val="left"/>
    </w:pPr>
    <w:rPr>
      <w:rFonts w:ascii="宋体" w:hAnsi="宋体" w:cs="宋体"/>
      <w:kern w:val="0"/>
      <w:sz w:val="24"/>
    </w:rPr>
  </w:style>
  <w:style w:type="character" w:customStyle="1" w:styleId="520">
    <w:name w:val="副标题 Char"/>
    <w:basedOn w:val="53"/>
    <w:link w:val="40"/>
    <w:uiPriority w:val="11"/>
    <w:rPr>
      <w:rFonts w:asciiTheme="majorHAnsi" w:hAnsiTheme="majorHAnsi" w:cstheme="majorBidi"/>
      <w:b/>
      <w:bCs/>
      <w:kern w:val="28"/>
      <w:sz w:val="32"/>
      <w:szCs w:val="32"/>
    </w:rPr>
  </w:style>
  <w:style w:type="paragraph" w:customStyle="1" w:styleId="521">
    <w:name w:val="char"/>
    <w:basedOn w:val="1"/>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522">
    <w:name w:val="表内容 Char"/>
    <w:link w:val="435"/>
    <w:uiPriority w:val="0"/>
    <w:rPr>
      <w:rFonts w:ascii="宋体" w:hAnsi="宋体" w:eastAsia="微软雅黑"/>
      <w:sz w:val="22"/>
      <w:szCs w:val="21"/>
    </w:rPr>
  </w:style>
  <w:style w:type="character" w:customStyle="1" w:styleId="523">
    <w:name w:val="Char Char23"/>
    <w:uiPriority w:val="0"/>
    <w:rPr>
      <w:rFonts w:ascii="宋体" w:hAnsi="Courier New"/>
      <w:kern w:val="2"/>
      <w:sz w:val="21"/>
    </w:rPr>
  </w:style>
  <w:style w:type="character" w:customStyle="1" w:styleId="524">
    <w:name w:val="bds_nopic2"/>
    <w:basedOn w:val="53"/>
    <w:uiPriority w:val="0"/>
  </w:style>
  <w:style w:type="character" w:customStyle="1" w:styleId="525">
    <w:name w:val="wen21"/>
    <w:uiPriority w:val="0"/>
    <w:rPr>
      <w:color w:val="000000"/>
      <w:spacing w:val="260"/>
      <w:sz w:val="18"/>
      <w:szCs w:val="18"/>
    </w:rPr>
  </w:style>
  <w:style w:type="character" w:customStyle="1" w:styleId="526">
    <w:name w:val="bds_more2"/>
    <w:basedOn w:val="53"/>
    <w:uiPriority w:val="0"/>
  </w:style>
  <w:style w:type="character" w:customStyle="1" w:styleId="527">
    <w:name w:val="ask-title"/>
    <w:qFormat/>
    <w:uiPriority w:val="0"/>
    <w:rPr>
      <w:szCs w:val="21"/>
    </w:rPr>
  </w:style>
  <w:style w:type="character" w:customStyle="1" w:styleId="528">
    <w:name w:val="bds_nopic"/>
    <w:basedOn w:val="53"/>
    <w:uiPriority w:val="0"/>
  </w:style>
  <w:style w:type="character" w:customStyle="1" w:styleId="529">
    <w:name w:val="表头 Char"/>
    <w:uiPriority w:val="0"/>
    <w:rPr>
      <w:rFonts w:eastAsia="宋体"/>
      <w:b/>
      <w:kern w:val="2"/>
      <w:sz w:val="24"/>
      <w:szCs w:val="24"/>
      <w:lang w:val="en-US" w:eastAsia="zh-CN" w:bidi="ar-SA"/>
    </w:rPr>
  </w:style>
  <w:style w:type="character" w:customStyle="1" w:styleId="530">
    <w:name w:val="151"/>
    <w:uiPriority w:val="0"/>
    <w:rPr>
      <w:color w:val="0033CC"/>
      <w:spacing w:val="384"/>
      <w:sz w:val="23"/>
      <w:szCs w:val="23"/>
    </w:rPr>
  </w:style>
  <w:style w:type="character" w:customStyle="1" w:styleId="531">
    <w:name w:val="bds_more1"/>
    <w:basedOn w:val="53"/>
    <w:uiPriority w:val="0"/>
  </w:style>
  <w:style w:type="character" w:customStyle="1" w:styleId="532">
    <w:name w:val="样式1 Char"/>
    <w:link w:val="157"/>
    <w:uiPriority w:val="0"/>
    <w:rPr>
      <w:rFonts w:ascii="宋体" w:hAnsi="宋体"/>
      <w:sz w:val="28"/>
    </w:rPr>
  </w:style>
  <w:style w:type="character" w:customStyle="1" w:styleId="533">
    <w:name w:val="bds_nopic1"/>
    <w:basedOn w:val="53"/>
    <w:uiPriority w:val="0"/>
  </w:style>
  <w:style w:type="character" w:customStyle="1" w:styleId="534">
    <w:name w:val="bds_more"/>
    <w:uiPriority w:val="0"/>
    <w:rPr>
      <w:rFonts w:hint="eastAsia" w:ascii="宋体" w:hAnsi="宋体" w:eastAsia="宋体" w:cs="宋体"/>
    </w:rPr>
  </w:style>
  <w:style w:type="paragraph" w:customStyle="1" w:styleId="535">
    <w:name w:val="Char15"/>
    <w:basedOn w:val="1"/>
    <w:uiPriority w:val="0"/>
    <w:pPr>
      <w:ind w:left="510"/>
    </w:pPr>
    <w:rPr>
      <w:szCs w:val="21"/>
    </w:rPr>
  </w:style>
  <w:style w:type="paragraph" w:customStyle="1" w:styleId="536">
    <w:name w:val="Char5"/>
    <w:basedOn w:val="1"/>
    <w:uiPriority w:val="0"/>
    <w:rPr>
      <w:sz w:val="24"/>
    </w:rPr>
  </w:style>
  <w:style w:type="paragraph" w:customStyle="1" w:styleId="537">
    <w:name w:val="简单回函地址"/>
    <w:basedOn w:val="1"/>
    <w:qFormat/>
    <w:uiPriority w:val="0"/>
  </w:style>
  <w:style w:type="paragraph" w:customStyle="1" w:styleId="538">
    <w:name w:val="Char Char Char Char Char Char5"/>
    <w:basedOn w:val="1"/>
    <w:uiPriority w:val="0"/>
    <w:rPr>
      <w:sz w:val="24"/>
    </w:rPr>
  </w:style>
  <w:style w:type="paragraph" w:customStyle="1" w:styleId="539">
    <w:name w:val="hypr"/>
    <w:basedOn w:val="1"/>
    <w:uiPriority w:val="0"/>
    <w:pPr>
      <w:jc w:val="left"/>
    </w:pPr>
    <w:rPr>
      <w:kern w:val="0"/>
    </w:rPr>
  </w:style>
  <w:style w:type="paragraph" w:customStyle="1" w:styleId="540">
    <w:name w:val="z正文 Char Char Char"/>
    <w:basedOn w:val="1"/>
    <w:uiPriority w:val="0"/>
    <w:pPr>
      <w:spacing w:line="360" w:lineRule="auto"/>
      <w:ind w:firstLine="200" w:firstLineChars="200"/>
    </w:pPr>
    <w:rPr>
      <w:rFonts w:ascii="宋体" w:hAnsi="宋体" w:eastAsia="仿宋_GB2312" w:cs="宋体"/>
      <w:sz w:val="28"/>
      <w:szCs w:val="28"/>
    </w:rPr>
  </w:style>
  <w:style w:type="character" w:customStyle="1" w:styleId="541">
    <w:name w:val="style101"/>
    <w:uiPriority w:val="0"/>
    <w:rPr>
      <w:color w:val="000000"/>
    </w:rPr>
  </w:style>
  <w:style w:type="character" w:customStyle="1" w:styleId="542">
    <w:name w:val="样式44 Char"/>
    <w:link w:val="543"/>
    <w:uiPriority w:val="0"/>
    <w:rPr>
      <w:color w:val="000000"/>
      <w:sz w:val="24"/>
    </w:rPr>
  </w:style>
  <w:style w:type="paragraph" w:customStyle="1" w:styleId="543">
    <w:name w:val="样式44"/>
    <w:basedOn w:val="1"/>
    <w:link w:val="542"/>
    <w:uiPriority w:val="0"/>
    <w:pPr>
      <w:spacing w:before="120" w:after="120" w:line="360" w:lineRule="auto"/>
      <w:ind w:firstLine="480" w:firstLineChars="200"/>
    </w:pPr>
    <w:rPr>
      <w:color w:val="000000"/>
      <w:kern w:val="0"/>
      <w:sz w:val="24"/>
      <w:szCs w:val="20"/>
    </w:rPr>
  </w:style>
  <w:style w:type="character" w:customStyle="1" w:styleId="544">
    <w:name w:val="表名 Char"/>
    <w:link w:val="457"/>
    <w:uiPriority w:val="0"/>
    <w:rPr>
      <w:b/>
      <w:bCs/>
      <w:color w:val="000000"/>
      <w:kern w:val="2"/>
      <w:sz w:val="24"/>
      <w:szCs w:val="24"/>
    </w:rPr>
  </w:style>
  <w:style w:type="character" w:customStyle="1" w:styleId="545">
    <w:name w:val="国表文 Char"/>
    <w:link w:val="546"/>
    <w:uiPriority w:val="0"/>
    <w:rPr>
      <w:kern w:val="2"/>
      <w:sz w:val="21"/>
      <w:szCs w:val="21"/>
    </w:rPr>
  </w:style>
  <w:style w:type="paragraph" w:customStyle="1" w:styleId="546">
    <w:name w:val="国表文"/>
    <w:basedOn w:val="1"/>
    <w:link w:val="545"/>
    <w:qFormat/>
    <w:uiPriority w:val="0"/>
    <w:pPr>
      <w:jc w:val="center"/>
    </w:pPr>
    <w:rPr>
      <w:szCs w:val="21"/>
    </w:rPr>
  </w:style>
  <w:style w:type="character" w:customStyle="1" w:styleId="547">
    <w:name w:val="国表名 Char"/>
    <w:link w:val="548"/>
    <w:uiPriority w:val="0"/>
    <w:rPr>
      <w:rFonts w:eastAsia="黑体"/>
      <w:bCs/>
      <w:kern w:val="2"/>
      <w:sz w:val="24"/>
      <w:szCs w:val="21"/>
    </w:rPr>
  </w:style>
  <w:style w:type="paragraph" w:customStyle="1" w:styleId="548">
    <w:name w:val="国表名"/>
    <w:basedOn w:val="1"/>
    <w:link w:val="547"/>
    <w:qFormat/>
    <w:uiPriority w:val="0"/>
    <w:pPr>
      <w:spacing w:line="360" w:lineRule="auto"/>
      <w:jc w:val="center"/>
    </w:pPr>
    <w:rPr>
      <w:rFonts w:eastAsia="黑体"/>
      <w:bCs/>
      <w:sz w:val="24"/>
      <w:szCs w:val="21"/>
    </w:rPr>
  </w:style>
  <w:style w:type="character" w:customStyle="1" w:styleId="549">
    <w:name w:val="viewthreadtxt"/>
    <w:basedOn w:val="53"/>
    <w:uiPriority w:val="0"/>
  </w:style>
  <w:style w:type="character" w:customStyle="1" w:styleId="550">
    <w:name w:val="批注文字 Char1"/>
    <w:basedOn w:val="53"/>
    <w:uiPriority w:val="0"/>
    <w:rPr>
      <w:rFonts w:hint="default" w:ascii="Calibri" w:hAnsi="Calibri" w:cs="Calibri"/>
      <w:kern w:val="2"/>
      <w:sz w:val="21"/>
      <w:szCs w:val="24"/>
    </w:rPr>
  </w:style>
  <w:style w:type="character" w:customStyle="1" w:styleId="551">
    <w:name w:val="style211"/>
    <w:uiPriority w:val="0"/>
    <w:rPr>
      <w:color w:val="000000"/>
    </w:rPr>
  </w:style>
  <w:style w:type="character" w:customStyle="1" w:styleId="552">
    <w:name w:val="unnamed2"/>
    <w:basedOn w:val="53"/>
    <w:uiPriority w:val="0"/>
  </w:style>
  <w:style w:type="character" w:customStyle="1" w:styleId="553">
    <w:name w:val="a1样式1 Char Char"/>
    <w:link w:val="458"/>
    <w:uiPriority w:val="0"/>
    <w:rPr>
      <w:rFonts w:ascii="宋体" w:hAnsi="宋体" w:eastAsia="Times New Roman" w:cs="宋体"/>
      <w:sz w:val="24"/>
      <w:szCs w:val="24"/>
    </w:rPr>
  </w:style>
  <w:style w:type="character" w:customStyle="1" w:styleId="554">
    <w:name w:val="Char Char Char Char11"/>
    <w:uiPriority w:val="0"/>
    <w:rPr>
      <w:rFonts w:ascii="宋体" w:eastAsia="宋体"/>
      <w:kern w:val="2"/>
      <w:sz w:val="24"/>
      <w:lang w:val="en-US" w:eastAsia="zh-CN"/>
    </w:rPr>
  </w:style>
  <w:style w:type="character" w:customStyle="1" w:styleId="555">
    <w:name w:val="标题 Char1"/>
    <w:basedOn w:val="53"/>
    <w:uiPriority w:val="0"/>
    <w:rPr>
      <w:rFonts w:ascii="Cambria" w:hAnsi="Cambria" w:cs="Times New Roman"/>
      <w:b/>
      <w:bCs/>
      <w:kern w:val="2"/>
      <w:sz w:val="32"/>
      <w:szCs w:val="32"/>
    </w:rPr>
  </w:style>
  <w:style w:type="character" w:customStyle="1" w:styleId="556">
    <w:name w:val="正文首行缩进 Char"/>
    <w:basedOn w:val="110"/>
    <w:link w:val="14"/>
    <w:uiPriority w:val="0"/>
    <w:rPr>
      <w:sz w:val="21"/>
    </w:rPr>
  </w:style>
  <w:style w:type="character" w:customStyle="1" w:styleId="557">
    <w:name w:val="px14"/>
    <w:basedOn w:val="53"/>
    <w:uiPriority w:val="0"/>
  </w:style>
  <w:style w:type="character" w:customStyle="1" w:styleId="558">
    <w:name w:val="3zw1"/>
    <w:uiPriority w:val="0"/>
    <w:rPr>
      <w:color w:val="000000"/>
      <w:sz w:val="21"/>
      <w:szCs w:val="21"/>
    </w:rPr>
  </w:style>
  <w:style w:type="character" w:customStyle="1" w:styleId="559">
    <w:name w:val="style4"/>
    <w:basedOn w:val="53"/>
    <w:uiPriority w:val="0"/>
  </w:style>
  <w:style w:type="character" w:customStyle="1" w:styleId="560">
    <w:name w:val="正文首行缩进 2 Char"/>
    <w:link w:val="36"/>
    <w:uiPriority w:val="0"/>
    <w:rPr>
      <w:kern w:val="2"/>
      <w:sz w:val="21"/>
      <w:szCs w:val="24"/>
    </w:rPr>
  </w:style>
  <w:style w:type="character" w:customStyle="1" w:styleId="561">
    <w:name w:val="国正文 Char"/>
    <w:link w:val="562"/>
    <w:uiPriority w:val="0"/>
    <w:rPr>
      <w:kern w:val="2"/>
      <w:sz w:val="24"/>
      <w:szCs w:val="24"/>
    </w:rPr>
  </w:style>
  <w:style w:type="paragraph" w:customStyle="1" w:styleId="562">
    <w:name w:val="国正文"/>
    <w:basedOn w:val="1"/>
    <w:link w:val="561"/>
    <w:qFormat/>
    <w:uiPriority w:val="0"/>
    <w:pPr>
      <w:spacing w:line="360" w:lineRule="auto"/>
      <w:ind w:firstLine="480" w:firstLineChars="200"/>
    </w:pPr>
    <w:rPr>
      <w:sz w:val="24"/>
    </w:rPr>
  </w:style>
  <w:style w:type="character" w:customStyle="1" w:styleId="563">
    <w:name w:val="样式17 Char Char"/>
    <w:link w:val="332"/>
    <w:uiPriority w:val="0"/>
    <w:rPr>
      <w:rFonts w:ascii="Arial" w:hAnsi="Arial" w:cs="Arial"/>
      <w:kern w:val="2"/>
      <w:sz w:val="24"/>
      <w:szCs w:val="24"/>
    </w:rPr>
  </w:style>
  <w:style w:type="character" w:customStyle="1" w:styleId="564">
    <w:name w:val="ca-111"/>
    <w:uiPriority w:val="0"/>
    <w:rPr>
      <w:rFonts w:hint="eastAsia" w:ascii="宋体" w:hAnsi="宋体" w:eastAsia="宋体"/>
      <w:sz w:val="24"/>
      <w:szCs w:val="24"/>
    </w:rPr>
  </w:style>
  <w:style w:type="character" w:customStyle="1" w:styleId="565">
    <w:name w:val="正文首行缩进 2 Char1"/>
    <w:basedOn w:val="118"/>
    <w:link w:val="36"/>
    <w:uiPriority w:val="0"/>
    <w:rPr>
      <w:sz w:val="21"/>
      <w:szCs w:val="24"/>
    </w:rPr>
  </w:style>
  <w:style w:type="paragraph" w:customStyle="1" w:styleId="566">
    <w:name w:val="Char Char Char Char4"/>
    <w:basedOn w:val="1"/>
    <w:semiHidden/>
    <w:uiPriority w:val="0"/>
    <w:pPr>
      <w:spacing w:line="540" w:lineRule="exact"/>
    </w:pPr>
    <w:rPr>
      <w:rFonts w:ascii="楷体_GB2312" w:eastAsia="楷体_GB2312"/>
      <w:kern w:val="0"/>
      <w:sz w:val="28"/>
    </w:rPr>
  </w:style>
  <w:style w:type="paragraph" w:customStyle="1" w:styleId="567">
    <w:name w:val="Char1 Char Char Char3"/>
    <w:basedOn w:val="1"/>
    <w:uiPriority w:val="0"/>
  </w:style>
  <w:style w:type="paragraph" w:customStyle="1" w:styleId="568">
    <w:name w:val="Char Char Char Char Char Char Char3"/>
    <w:basedOn w:val="1"/>
    <w:uiPriority w:val="0"/>
    <w:pPr>
      <w:widowControl/>
      <w:spacing w:after="160" w:line="240" w:lineRule="exact"/>
      <w:jc w:val="left"/>
    </w:pPr>
    <w:rPr>
      <w:rFonts w:ascii="Verdana" w:hAnsi="Verdana"/>
      <w:kern w:val="0"/>
      <w:sz w:val="20"/>
      <w:szCs w:val="20"/>
      <w:lang w:eastAsia="en-US"/>
    </w:rPr>
  </w:style>
  <w:style w:type="paragraph" w:customStyle="1" w:styleId="569">
    <w:name w:val="xyb自建正文"/>
    <w:basedOn w:val="1"/>
    <w:uiPriority w:val="0"/>
    <w:pPr>
      <w:spacing w:line="360" w:lineRule="auto"/>
      <w:ind w:firstLine="480" w:firstLineChars="200"/>
      <w:textAlignment w:val="baseline"/>
    </w:pPr>
    <w:rPr>
      <w:snapToGrid w:val="0"/>
      <w:color w:val="0000FF"/>
      <w:kern w:val="0"/>
      <w:sz w:val="24"/>
      <w:szCs w:val="20"/>
    </w:rPr>
  </w:style>
  <w:style w:type="paragraph" w:customStyle="1" w:styleId="570">
    <w:name w:val="表号"/>
    <w:basedOn w:val="21"/>
    <w:uiPriority w:val="0"/>
    <w:pPr>
      <w:spacing w:line="400" w:lineRule="exact"/>
      <w:ind w:left="0" w:leftChars="0"/>
      <w:jc w:val="center"/>
    </w:pPr>
    <w:rPr>
      <w:rFonts w:ascii="黑体" w:hAnsi="宋体" w:eastAsia="黑体"/>
      <w:bCs/>
      <w:color w:val="000000"/>
      <w:szCs w:val="21"/>
    </w:rPr>
  </w:style>
  <w:style w:type="paragraph" w:customStyle="1" w:styleId="571">
    <w:name w:val="Char4 Char Char Char Char Char Char11"/>
    <w:basedOn w:val="1"/>
    <w:uiPriority w:val="0"/>
    <w:pPr>
      <w:spacing w:line="360" w:lineRule="auto"/>
      <w:ind w:firstLine="200" w:firstLineChars="200"/>
    </w:pPr>
    <w:rPr>
      <w:rFonts w:ascii="宋体" w:hAnsi="宋体" w:cs="宋体"/>
      <w:sz w:val="24"/>
    </w:rPr>
  </w:style>
  <w:style w:type="paragraph" w:customStyle="1" w:styleId="572">
    <w:name w:val="流程图"/>
    <w:basedOn w:val="1"/>
    <w:uiPriority w:val="0"/>
    <w:pPr>
      <w:tabs>
        <w:tab w:val="center" w:pos="0"/>
      </w:tabs>
    </w:pPr>
    <w:rPr>
      <w:rFonts w:eastAsia="楷体_GB2312"/>
      <w:sz w:val="24"/>
      <w:szCs w:val="20"/>
    </w:rPr>
  </w:style>
  <w:style w:type="paragraph" w:customStyle="1" w:styleId="573">
    <w:name w:val="样式 表头 + 自动设置 Char"/>
    <w:basedOn w:val="192"/>
    <w:uiPriority w:val="0"/>
    <w:pPr>
      <w:tabs>
        <w:tab w:val="left" w:pos="2520"/>
        <w:tab w:val="clear" w:pos="7380"/>
      </w:tabs>
      <w:snapToGrid/>
      <w:spacing w:beforeLines="100" w:afterLines="50" w:line="240" w:lineRule="exact"/>
      <w:outlineLvl w:val="4"/>
    </w:pPr>
    <w:rPr>
      <w:rFonts w:ascii="黑体" w:hAnsi="宋体" w:eastAsia="黑体"/>
      <w:b w:val="0"/>
      <w:bCs/>
      <w:color w:val="000000"/>
      <w:position w:val="10"/>
      <w:sz w:val="21"/>
      <w:szCs w:val="24"/>
    </w:rPr>
  </w:style>
  <w:style w:type="paragraph" w:customStyle="1" w:styleId="574">
    <w:name w:val="表格 32"/>
    <w:basedOn w:val="1"/>
    <w:uiPriority w:val="0"/>
    <w:pPr>
      <w:autoSpaceDE w:val="0"/>
      <w:autoSpaceDN w:val="0"/>
      <w:adjustRightInd w:val="0"/>
      <w:jc w:val="center"/>
      <w:textAlignment w:val="baseline"/>
    </w:pPr>
    <w:rPr>
      <w:rFonts w:eastAsia="楷体_GB2312"/>
      <w:kern w:val="0"/>
      <w:sz w:val="24"/>
      <w:szCs w:val="20"/>
    </w:rPr>
  </w:style>
  <w:style w:type="paragraph" w:customStyle="1" w:styleId="575">
    <w:name w:val="二级无标题条"/>
    <w:basedOn w:val="1"/>
    <w:uiPriority w:val="0"/>
  </w:style>
  <w:style w:type="paragraph" w:customStyle="1" w:styleId="576">
    <w:name w:val="0"/>
    <w:basedOn w:val="1"/>
    <w:uiPriority w:val="0"/>
    <w:pPr>
      <w:widowControl/>
      <w:snapToGrid w:val="0"/>
      <w:jc w:val="left"/>
    </w:pPr>
    <w:rPr>
      <w:kern w:val="0"/>
      <w:sz w:val="20"/>
      <w:szCs w:val="20"/>
    </w:rPr>
  </w:style>
  <w:style w:type="paragraph" w:customStyle="1" w:styleId="577">
    <w:name w:val="样式1正文 Char Char"/>
    <w:basedOn w:val="1"/>
    <w:uiPriority w:val="0"/>
    <w:pPr>
      <w:spacing w:line="640" w:lineRule="exact"/>
      <w:ind w:firstLine="520" w:firstLineChars="200"/>
      <w:jc w:val="left"/>
    </w:pPr>
    <w:rPr>
      <w:rFonts w:ascii="宋体" w:hAnsi="宋体"/>
      <w:spacing w:val="-10"/>
      <w:sz w:val="28"/>
      <w:szCs w:val="20"/>
      <w:lang w:val="en-GB"/>
    </w:rPr>
  </w:style>
  <w:style w:type="paragraph" w:customStyle="1" w:styleId="578">
    <w:name w:val="样式 正文文本缩进正文文字缩进正文文字缩进1 + 首行缩进:  0.98 厘米 Char"/>
    <w:basedOn w:val="24"/>
    <w:uiPriority w:val="0"/>
    <w:pPr>
      <w:snapToGrid w:val="0"/>
      <w:ind w:firstLine="0" w:firstLineChars="0"/>
    </w:pPr>
    <w:rPr>
      <w:rFonts w:ascii="宋体" w:hAnsi="宋体"/>
      <w:b/>
      <w:kern w:val="0"/>
      <w:szCs w:val="24"/>
    </w:rPr>
  </w:style>
  <w:style w:type="paragraph" w:customStyle="1" w:styleId="579">
    <w:name w:val="用户1"/>
    <w:basedOn w:val="1"/>
    <w:uiPriority w:val="0"/>
    <w:pPr>
      <w:spacing w:line="500" w:lineRule="exact"/>
      <w:ind w:firstLine="635"/>
    </w:pPr>
    <w:rPr>
      <w:rFonts w:eastAsia="楷体_GB2312"/>
      <w:sz w:val="32"/>
      <w:szCs w:val="20"/>
    </w:rPr>
  </w:style>
  <w:style w:type="paragraph" w:customStyle="1" w:styleId="580">
    <w:name w:val="xl42"/>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Cs w:val="21"/>
    </w:rPr>
  </w:style>
  <w:style w:type="paragraph" w:customStyle="1" w:styleId="581">
    <w:name w:val="1文章"/>
    <w:basedOn w:val="1"/>
    <w:uiPriority w:val="0"/>
    <w:pPr>
      <w:snapToGrid w:val="0"/>
      <w:spacing w:line="360" w:lineRule="auto"/>
      <w:ind w:firstLine="573"/>
    </w:pPr>
    <w:rPr>
      <w:rFonts w:eastAsia="仿宋_GB2312"/>
      <w:sz w:val="28"/>
      <w:szCs w:val="20"/>
    </w:rPr>
  </w:style>
  <w:style w:type="paragraph" w:customStyle="1" w:styleId="582">
    <w:name w:val="报告书表格"/>
    <w:basedOn w:val="1"/>
    <w:uiPriority w:val="0"/>
    <w:pPr>
      <w:adjustRightInd w:val="0"/>
      <w:spacing w:before="60" w:after="60" w:line="240" w:lineRule="atLeast"/>
      <w:jc w:val="center"/>
      <w:textAlignment w:val="baseline"/>
    </w:pPr>
    <w:rPr>
      <w:kern w:val="0"/>
      <w:szCs w:val="20"/>
    </w:rPr>
  </w:style>
  <w:style w:type="paragraph" w:customStyle="1" w:styleId="583">
    <w:name w:val="表1表2"/>
    <w:basedOn w:val="1"/>
    <w:uiPriority w:val="0"/>
    <w:pPr>
      <w:autoSpaceDE w:val="0"/>
      <w:autoSpaceDN w:val="0"/>
      <w:adjustRightInd w:val="0"/>
      <w:jc w:val="center"/>
      <w:textAlignment w:val="center"/>
    </w:pPr>
    <w:rPr>
      <w:rFonts w:eastAsia="仿宋_GB2312"/>
      <w:kern w:val="0"/>
    </w:rPr>
  </w:style>
  <w:style w:type="paragraph" w:customStyle="1" w:styleId="584">
    <w:name w:val="Char Char Char1 Char1"/>
    <w:basedOn w:val="1"/>
    <w:uiPriority w:val="0"/>
    <w:rPr>
      <w:sz w:val="24"/>
    </w:rPr>
  </w:style>
  <w:style w:type="paragraph" w:customStyle="1" w:styleId="585">
    <w:name w:val="Char Char Char3 Char Char Char Char Char Char Char Char Char Char"/>
    <w:basedOn w:val="1"/>
    <w:uiPriority w:val="0"/>
    <w:rPr>
      <w:szCs w:val="20"/>
    </w:rPr>
  </w:style>
  <w:style w:type="paragraph" w:customStyle="1" w:styleId="586">
    <w:name w:val="Char3 Char Char Char"/>
    <w:basedOn w:val="1"/>
    <w:uiPriority w:val="0"/>
    <w:rPr>
      <w:szCs w:val="20"/>
    </w:rPr>
  </w:style>
  <w:style w:type="paragraph" w:customStyle="1" w:styleId="587">
    <w:name w:val="表格正文"/>
    <w:basedOn w:val="1"/>
    <w:uiPriority w:val="0"/>
    <w:pPr>
      <w:adjustRightInd w:val="0"/>
      <w:spacing w:line="0" w:lineRule="atLeast"/>
      <w:textAlignment w:val="baseline"/>
    </w:pPr>
    <w:rPr>
      <w:szCs w:val="20"/>
    </w:rPr>
  </w:style>
  <w:style w:type="paragraph" w:customStyle="1" w:styleId="588">
    <w:name w:val="样式 样式 样式 样式 乐山-正文 Char + 首行缩进:  2 字符 + 首行缩进:  2 字符 + 首行缩进:  2 字符..."/>
    <w:basedOn w:val="1"/>
    <w:uiPriority w:val="0"/>
    <w:pPr>
      <w:spacing w:line="480" w:lineRule="exact"/>
      <w:ind w:firstLine="200" w:firstLineChars="200"/>
    </w:pPr>
    <w:rPr>
      <w:rFonts w:ascii="Arial" w:hAnsi="Arial" w:eastAsia="华文细黑" w:cs="宋体"/>
      <w:sz w:val="24"/>
      <w:szCs w:val="20"/>
    </w:rPr>
  </w:style>
  <w:style w:type="paragraph" w:customStyle="1" w:styleId="589">
    <w:name w:val="Char Char32"/>
    <w:basedOn w:val="1"/>
    <w:uiPriority w:val="0"/>
    <w:pPr>
      <w:widowControl/>
      <w:spacing w:after="160" w:line="240" w:lineRule="exact"/>
      <w:jc w:val="left"/>
    </w:pPr>
    <w:rPr>
      <w:szCs w:val="20"/>
    </w:rPr>
  </w:style>
  <w:style w:type="paragraph" w:customStyle="1" w:styleId="590">
    <w:name w:val="Char Char Char Char Char Char Char Char Char Char Char Char Char"/>
    <w:basedOn w:val="1"/>
    <w:uiPriority w:val="0"/>
    <w:rPr>
      <w:sz w:val="24"/>
    </w:rPr>
  </w:style>
  <w:style w:type="paragraph" w:customStyle="1" w:styleId="591">
    <w:name w:val="表格 23"/>
    <w:basedOn w:val="1"/>
    <w:uiPriority w:val="0"/>
    <w:pPr>
      <w:spacing w:beforeLines="50" w:line="300" w:lineRule="auto"/>
      <w:jc w:val="center"/>
    </w:pPr>
    <w:rPr>
      <w:szCs w:val="21"/>
    </w:rPr>
  </w:style>
  <w:style w:type="paragraph" w:customStyle="1" w:styleId="592">
    <w:name w:val="中文报告书"/>
    <w:basedOn w:val="1"/>
    <w:uiPriority w:val="0"/>
    <w:pPr>
      <w:adjustRightInd w:val="0"/>
      <w:spacing w:after="80" w:line="420" w:lineRule="atLeast"/>
      <w:jc w:val="left"/>
      <w:textAlignment w:val="baseline"/>
    </w:pPr>
    <w:rPr>
      <w:kern w:val="0"/>
      <w:sz w:val="24"/>
      <w:szCs w:val="20"/>
    </w:rPr>
  </w:style>
  <w:style w:type="paragraph" w:customStyle="1" w:styleId="593">
    <w:name w:val="1表格头"/>
    <w:basedOn w:val="169"/>
    <w:uiPriority w:val="0"/>
    <w:rPr>
      <w:sz w:val="24"/>
    </w:rPr>
  </w:style>
  <w:style w:type="character" w:customStyle="1" w:styleId="594">
    <w:name w:val="tpc_content1"/>
    <w:uiPriority w:val="0"/>
    <w:rPr>
      <w:sz w:val="20"/>
      <w:szCs w:val="20"/>
    </w:rPr>
  </w:style>
  <w:style w:type="character" w:customStyle="1" w:styleId="595">
    <w:name w:val="样式 报告书正文 + 首行缩进:  2 字符 Char1"/>
    <w:uiPriority w:val="0"/>
    <w:rPr>
      <w:rFonts w:eastAsia="宋体" w:cs="宋体"/>
      <w:b/>
      <w:bCs/>
      <w:color w:val="000000"/>
      <w:kern w:val="2"/>
      <w:sz w:val="24"/>
      <w:szCs w:val="24"/>
      <w:lang w:val="en-US" w:eastAsia="zh-CN" w:bidi="ar-SA"/>
    </w:rPr>
  </w:style>
  <w:style w:type="character" w:customStyle="1" w:styleId="596">
    <w:name w:val="标题 1 Char1"/>
    <w:uiPriority w:val="0"/>
    <w:rPr>
      <w:kern w:val="2"/>
      <w:sz w:val="28"/>
      <w:szCs w:val="24"/>
    </w:rPr>
  </w:style>
  <w:style w:type="character" w:customStyle="1" w:styleId="597">
    <w:name w:val="正文文字1 Char"/>
    <w:link w:val="598"/>
    <w:uiPriority w:val="0"/>
    <w:rPr>
      <w:rFonts w:eastAsia="华文中宋"/>
      <w:kern w:val="2"/>
      <w:sz w:val="24"/>
      <w:szCs w:val="24"/>
    </w:rPr>
  </w:style>
  <w:style w:type="paragraph" w:customStyle="1" w:styleId="598">
    <w:name w:val="正文文字1"/>
    <w:basedOn w:val="1"/>
    <w:link w:val="597"/>
    <w:uiPriority w:val="0"/>
    <w:pPr>
      <w:snapToGrid w:val="0"/>
      <w:spacing w:line="312" w:lineRule="auto"/>
      <w:ind w:firstLine="200" w:firstLineChars="200"/>
    </w:pPr>
    <w:rPr>
      <w:rFonts w:eastAsia="华文中宋"/>
      <w:sz w:val="24"/>
    </w:rPr>
  </w:style>
  <w:style w:type="character" w:customStyle="1" w:styleId="599">
    <w:name w:val="样式 表头 + 小四 Char"/>
    <w:link w:val="600"/>
    <w:uiPriority w:val="0"/>
    <w:rPr>
      <w:b/>
      <w:bCs/>
      <w:kern w:val="2"/>
      <w:sz w:val="24"/>
      <w:szCs w:val="24"/>
    </w:rPr>
  </w:style>
  <w:style w:type="paragraph" w:customStyle="1" w:styleId="600">
    <w:name w:val="样式 表头 + 小四"/>
    <w:basedOn w:val="1"/>
    <w:link w:val="599"/>
    <w:uiPriority w:val="0"/>
    <w:pPr>
      <w:spacing w:beforeLines="50" w:afterLines="50"/>
      <w:jc w:val="center"/>
    </w:pPr>
    <w:rPr>
      <w:b/>
      <w:bCs/>
      <w:sz w:val="24"/>
    </w:rPr>
  </w:style>
  <w:style w:type="character" w:customStyle="1" w:styleId="601">
    <w:name w:val="news-body-text"/>
    <w:basedOn w:val="53"/>
    <w:uiPriority w:val="0"/>
  </w:style>
  <w:style w:type="character" w:customStyle="1" w:styleId="602">
    <w:name w:val="德胜正文 Char"/>
    <w:link w:val="603"/>
    <w:uiPriority w:val="0"/>
    <w:rPr>
      <w:rFonts w:cs="宋体"/>
      <w:snapToGrid w:val="0"/>
      <w:color w:val="0000FF"/>
      <w:sz w:val="24"/>
      <w:szCs w:val="24"/>
    </w:rPr>
  </w:style>
  <w:style w:type="paragraph" w:customStyle="1" w:styleId="603">
    <w:name w:val="德胜正文"/>
    <w:basedOn w:val="1"/>
    <w:link w:val="602"/>
    <w:uiPriority w:val="0"/>
    <w:pPr>
      <w:adjustRightInd w:val="0"/>
      <w:snapToGrid w:val="0"/>
      <w:spacing w:line="360" w:lineRule="auto"/>
      <w:ind w:firstLine="200" w:firstLineChars="200"/>
    </w:pPr>
    <w:rPr>
      <w:rFonts w:cs="宋体"/>
      <w:snapToGrid w:val="0"/>
      <w:color w:val="0000FF"/>
      <w:kern w:val="0"/>
      <w:sz w:val="24"/>
    </w:rPr>
  </w:style>
  <w:style w:type="paragraph" w:customStyle="1" w:styleId="604">
    <w:name w:val="Char21"/>
    <w:basedOn w:val="1"/>
    <w:uiPriority w:val="0"/>
    <w:pPr>
      <w:tabs>
        <w:tab w:val="left" w:pos="360"/>
        <w:tab w:val="left" w:pos="720"/>
      </w:tabs>
    </w:pPr>
  </w:style>
  <w:style w:type="paragraph" w:customStyle="1" w:styleId="605">
    <w:name w:val="Char6"/>
    <w:basedOn w:val="1"/>
    <w:uiPriority w:val="0"/>
  </w:style>
  <w:style w:type="paragraph" w:customStyle="1" w:styleId="606">
    <w:name w:val="Char16"/>
    <w:basedOn w:val="1"/>
    <w:semiHidden/>
    <w:uiPriority w:val="0"/>
    <w:pPr>
      <w:ind w:left="510"/>
    </w:pPr>
    <w:rPr>
      <w:szCs w:val="21"/>
    </w:rPr>
  </w:style>
  <w:style w:type="paragraph" w:customStyle="1" w:styleId="607">
    <w:name w:val="图名"/>
    <w:basedOn w:val="45"/>
    <w:uiPriority w:val="0"/>
    <w:pPr>
      <w:ind w:left="0" w:leftChars="0" w:firstLine="0" w:firstLineChars="0"/>
      <w:jc w:val="center"/>
    </w:pPr>
    <w:rPr>
      <w:rFonts w:ascii="仿宋_GB2312" w:eastAsia="仿宋_GB2312"/>
      <w:color w:val="000000"/>
      <w:sz w:val="28"/>
      <w:szCs w:val="20"/>
    </w:rPr>
  </w:style>
  <w:style w:type="paragraph" w:customStyle="1" w:styleId="608">
    <w:name w:val="样式 样式 报告书正文 + 首行缩进:  2 字符 + 加粗 自动设置"/>
    <w:basedOn w:val="609"/>
    <w:uiPriority w:val="0"/>
    <w:pPr>
      <w:tabs>
        <w:tab w:val="left" w:pos="6300"/>
      </w:tabs>
      <w:spacing w:line="440" w:lineRule="exact"/>
    </w:pPr>
    <w:rPr>
      <w:bCs/>
      <w:color w:val="auto"/>
      <w:szCs w:val="24"/>
    </w:rPr>
  </w:style>
  <w:style w:type="paragraph" w:customStyle="1" w:styleId="609">
    <w:name w:val="样式 报告书正文 + 首行缩进:  2 字符"/>
    <w:basedOn w:val="1"/>
    <w:uiPriority w:val="0"/>
    <w:pPr>
      <w:tabs>
        <w:tab w:val="left" w:pos="6300"/>
      </w:tabs>
      <w:ind w:firstLine="480" w:firstLineChars="200"/>
    </w:pPr>
    <w:rPr>
      <w:rFonts w:cs="宋体"/>
      <w:b/>
      <w:color w:val="000000"/>
      <w:sz w:val="24"/>
      <w:szCs w:val="20"/>
    </w:rPr>
  </w:style>
  <w:style w:type="paragraph" w:customStyle="1" w:styleId="610">
    <w:name w:val="Char Char1 Char Char1"/>
    <w:basedOn w:val="1"/>
    <w:semiHidden/>
    <w:uiPriority w:val="0"/>
    <w:pPr>
      <w:ind w:left="510"/>
    </w:pPr>
    <w:rPr>
      <w:sz w:val="24"/>
      <w:szCs w:val="21"/>
    </w:rPr>
  </w:style>
  <w:style w:type="paragraph" w:customStyle="1" w:styleId="611">
    <w:name w:val="Char Char3 Char Char Char Char"/>
    <w:basedOn w:val="1"/>
    <w:semiHidden/>
    <w:uiPriority w:val="0"/>
    <w:pPr>
      <w:ind w:left="510"/>
    </w:pPr>
    <w:rPr>
      <w:szCs w:val="21"/>
    </w:rPr>
  </w:style>
  <w:style w:type="paragraph" w:customStyle="1" w:styleId="612">
    <w:name w:val="Char Char1 Char Char Char Char Char Char"/>
    <w:basedOn w:val="1"/>
    <w:uiPriority w:val="0"/>
    <w:rPr>
      <w:szCs w:val="20"/>
    </w:rPr>
  </w:style>
  <w:style w:type="paragraph" w:customStyle="1" w:styleId="613">
    <w:name w:val="Char Char3 Char Char"/>
    <w:basedOn w:val="1"/>
    <w:semiHidden/>
    <w:uiPriority w:val="0"/>
    <w:pPr>
      <w:ind w:left="510"/>
    </w:pPr>
    <w:rPr>
      <w:szCs w:val="21"/>
    </w:rPr>
  </w:style>
  <w:style w:type="paragraph" w:customStyle="1" w:styleId="614">
    <w:name w:val="Char Char Char Char Char Char6"/>
    <w:basedOn w:val="1"/>
    <w:uiPriority w:val="0"/>
    <w:rPr>
      <w:szCs w:val="20"/>
    </w:rPr>
  </w:style>
  <w:style w:type="paragraph" w:customStyle="1" w:styleId="615">
    <w:name w:val="纯文本3"/>
    <w:basedOn w:val="1"/>
    <w:uiPriority w:val="0"/>
    <w:pPr>
      <w:adjustRightInd w:val="0"/>
      <w:textAlignment w:val="baseline"/>
    </w:pPr>
    <w:rPr>
      <w:rFonts w:ascii="宋体" w:hAnsi="Courier New"/>
      <w:szCs w:val="20"/>
    </w:rPr>
  </w:style>
  <w:style w:type="paragraph" w:customStyle="1" w:styleId="616">
    <w:name w:val="样式 表格 32 + 首行缩进:  2 字符"/>
    <w:basedOn w:val="1"/>
    <w:uiPriority w:val="0"/>
    <w:pPr>
      <w:autoSpaceDE w:val="0"/>
      <w:autoSpaceDN w:val="0"/>
      <w:adjustRightInd w:val="0"/>
      <w:spacing w:line="0" w:lineRule="atLeast"/>
      <w:jc w:val="center"/>
      <w:textAlignment w:val="baseline"/>
    </w:pPr>
    <w:rPr>
      <w:rFonts w:cs="宋体"/>
      <w:kern w:val="0"/>
      <w:szCs w:val="21"/>
    </w:rPr>
  </w:style>
  <w:style w:type="table" w:customStyle="1" w:styleId="617">
    <w:name w:val="网格型2"/>
    <w:basedOn w:val="69"/>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18">
    <w:name w:val="页面 7"/>
    <w:basedOn w:val="1"/>
    <w:qFormat/>
    <w:uiPriority w:val="0"/>
    <w:pPr>
      <w:autoSpaceDE w:val="0"/>
      <w:autoSpaceDN w:val="0"/>
      <w:adjustRightInd w:val="0"/>
      <w:spacing w:before="120" w:after="120"/>
      <w:jc w:val="center"/>
      <w:textAlignment w:val="baseline"/>
    </w:pPr>
    <w:rPr>
      <w:rFonts w:ascii="宋体" w:hAnsi="Impact"/>
      <w:kern w:val="24"/>
      <w:sz w:val="32"/>
      <w:szCs w:val="20"/>
    </w:rPr>
  </w:style>
  <w:style w:type="paragraph" w:customStyle="1" w:styleId="619">
    <w:name w:val="表格1"/>
    <w:basedOn w:val="1"/>
    <w:next w:val="1"/>
    <w:qFormat/>
    <w:uiPriority w:val="0"/>
    <w:pPr>
      <w:topLinePunct/>
      <w:autoSpaceDE w:val="0"/>
      <w:autoSpaceDN w:val="0"/>
      <w:adjustRightInd w:val="0"/>
      <w:jc w:val="center"/>
      <w:textAlignment w:val="baseline"/>
    </w:pPr>
    <w:rPr>
      <w:rFonts w:ascii="宋体" w:hAnsi="Impact"/>
      <w:kern w:val="24"/>
      <w:sz w:val="28"/>
      <w:szCs w:val="20"/>
    </w:rPr>
  </w:style>
  <w:style w:type="character" w:customStyle="1" w:styleId="620">
    <w:name w:val="无"/>
    <w:qFormat/>
    <w:uiPriority w:val="0"/>
  </w:style>
  <w:style w:type="paragraph" w:customStyle="1" w:styleId="621">
    <w:name w:val="表格2"/>
    <w:basedOn w:val="619"/>
    <w:next w:val="1"/>
    <w:qFormat/>
    <w:uiPriority w:val="0"/>
    <w:rPr>
      <w:position w:val="-28"/>
      <w:sz w:val="21"/>
    </w:rPr>
  </w:style>
  <w:style w:type="paragraph" w:customStyle="1" w:styleId="622">
    <w:name w:val="表头样式"/>
    <w:basedOn w:val="1"/>
    <w:qFormat/>
    <w:uiPriority w:val="0"/>
    <w:pPr>
      <w:spacing w:before="50" w:beforeLines="50" w:after="50" w:afterLines="50" w:line="360" w:lineRule="auto"/>
      <w:ind w:firstLine="200" w:firstLineChars="200"/>
      <w:jc w:val="center"/>
    </w:pPr>
    <w:rPr>
      <w:b/>
      <w:sz w:val="24"/>
      <w:szCs w:val="21"/>
    </w:rPr>
  </w:style>
  <w:style w:type="table" w:customStyle="1" w:styleId="623">
    <w:name w:val="网格型1"/>
    <w:basedOn w:val="69"/>
    <w:qFormat/>
    <w:uiPriority w:val="0"/>
    <w:rPr>
      <w:rFonts w:ascii="Calibri" w:hAnsi="Calibri" w:cs="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24">
    <w:name w:val="Normal_97"/>
    <w:qFormat/>
    <w:uiPriority w:val="0"/>
    <w:pPr>
      <w:spacing w:before="120" w:after="240"/>
      <w:jc w:val="both"/>
    </w:pPr>
    <w:rPr>
      <w:rFonts w:ascii="Calibri" w:hAnsi="Calibri" w:eastAsia="Calibri" w:cs="Times New Roman"/>
      <w:sz w:val="22"/>
      <w:szCs w:val="22"/>
      <w:lang w:val="ru-RU" w:eastAsia="en-US" w:bidi="ar-SA"/>
    </w:rPr>
  </w:style>
  <w:style w:type="paragraph" w:customStyle="1" w:styleId="625">
    <w:name w:val="Normal_98"/>
    <w:qFormat/>
    <w:uiPriority w:val="0"/>
    <w:pPr>
      <w:spacing w:before="120" w:after="240"/>
      <w:jc w:val="both"/>
    </w:pPr>
    <w:rPr>
      <w:rFonts w:ascii="Calibri" w:hAnsi="Calibri" w:eastAsia="Calibri" w:cs="Times New Roman"/>
      <w:sz w:val="22"/>
      <w:szCs w:val="22"/>
      <w:lang w:val="ru-RU" w:eastAsia="en-US" w:bidi="ar-SA"/>
    </w:rPr>
  </w:style>
  <w:style w:type="paragraph" w:customStyle="1" w:styleId="626">
    <w:name w:val=" Char"/>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18.png"/><Relationship Id="rId51" Type="http://schemas.openxmlformats.org/officeDocument/2006/relationships/image" Target="media/image17.wmf"/><Relationship Id="rId50" Type="http://schemas.openxmlformats.org/officeDocument/2006/relationships/image" Target="media/image16.wmf"/><Relationship Id="rId5" Type="http://schemas.openxmlformats.org/officeDocument/2006/relationships/header" Target="header3.xml"/><Relationship Id="rId49" Type="http://schemas.openxmlformats.org/officeDocument/2006/relationships/oleObject" Target="embeddings/oleObject8.bin"/><Relationship Id="rId48" Type="http://schemas.openxmlformats.org/officeDocument/2006/relationships/image" Target="media/image15.wmf"/><Relationship Id="rId47" Type="http://schemas.openxmlformats.org/officeDocument/2006/relationships/oleObject" Target="embeddings/oleObject7.bin"/><Relationship Id="rId46" Type="http://schemas.openxmlformats.org/officeDocument/2006/relationships/image" Target="media/image14.wmf"/><Relationship Id="rId45" Type="http://schemas.openxmlformats.org/officeDocument/2006/relationships/oleObject" Target="embeddings/oleObject6.bin"/><Relationship Id="rId44" Type="http://schemas.openxmlformats.org/officeDocument/2006/relationships/image" Target="media/image13.wmf"/><Relationship Id="rId43" Type="http://schemas.openxmlformats.org/officeDocument/2006/relationships/oleObject" Target="embeddings/oleObject5.bin"/><Relationship Id="rId42" Type="http://schemas.openxmlformats.org/officeDocument/2006/relationships/image" Target="media/image12.wmf"/><Relationship Id="rId41" Type="http://schemas.openxmlformats.org/officeDocument/2006/relationships/oleObject" Target="embeddings/oleObject4.bin"/><Relationship Id="rId40" Type="http://schemas.openxmlformats.org/officeDocument/2006/relationships/image" Target="media/image11.wmf"/><Relationship Id="rId4" Type="http://schemas.openxmlformats.org/officeDocument/2006/relationships/header" Target="header2.xml"/><Relationship Id="rId39" Type="http://schemas.openxmlformats.org/officeDocument/2006/relationships/oleObject" Target="embeddings/oleObject3.bin"/><Relationship Id="rId38" Type="http://schemas.openxmlformats.org/officeDocument/2006/relationships/image" Target="media/image10.wmf"/><Relationship Id="rId37" Type="http://schemas.openxmlformats.org/officeDocument/2006/relationships/image" Target="media/image9.png"/><Relationship Id="rId36" Type="http://schemas.openxmlformats.org/officeDocument/2006/relationships/image" Target="media/image8.jpeg"/><Relationship Id="rId35" Type="http://schemas.openxmlformats.org/officeDocument/2006/relationships/image" Target="media/image7.jpeg"/><Relationship Id="rId34" Type="http://schemas.openxmlformats.org/officeDocument/2006/relationships/image" Target="media/image6.png"/><Relationship Id="rId33" Type="http://schemas.openxmlformats.org/officeDocument/2006/relationships/image" Target="media/image5.png"/><Relationship Id="rId32" Type="http://schemas.openxmlformats.org/officeDocument/2006/relationships/image" Target="media/image4.png"/><Relationship Id="rId31" Type="http://schemas.openxmlformats.org/officeDocument/2006/relationships/image" Target="media/image3.e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emf"/><Relationship Id="rId27" Type="http://schemas.openxmlformats.org/officeDocument/2006/relationships/oleObject" Target="embeddings/oleObject1.bin"/><Relationship Id="rId26" Type="http://schemas.openxmlformats.org/officeDocument/2006/relationships/theme" Target="theme/theme1.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64</Words>
  <Characters>366</Characters>
  <Lines>3</Lines>
  <Paragraphs>1</Paragraphs>
  <TotalTime>1</TotalTime>
  <ScaleCrop>false</ScaleCrop>
  <LinksUpToDate>false</LinksUpToDate>
  <CharactersWithSpaces>429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2019-06-13T06:43:00Z</dcterms:created>
  <dc:creator>User</dc:creator>
  <cp:lastModifiedBy>Administrator</cp:lastModifiedBy>
  <cp:lastPrinted>2019-05-05T01:28:00Z</cp:lastPrinted>
  <dcterms:modified xsi:type="dcterms:W3CDTF">2019-08-09T09:26:43Z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