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乐山市市中区大气环境质量强化管控方案</w:t>
      </w:r>
    </w:p>
    <w:p>
      <w:pPr>
        <w:spacing w:line="60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征求意见</w:t>
      </w:r>
      <w:bookmarkStart w:id="0" w:name="_GoBack"/>
      <w:bookmarkEnd w:id="0"/>
      <w:r>
        <w:rPr>
          <w:rFonts w:hint="eastAsia" w:ascii="楷体_GB2312" w:hAnsi="楷体_GB2312" w:eastAsia="楷体_GB2312" w:cs="楷体_GB2312"/>
          <w:sz w:val="32"/>
          <w:szCs w:val="32"/>
        </w:rPr>
        <w:t>稿）</w:t>
      </w:r>
    </w:p>
    <w:p>
      <w:pPr>
        <w:spacing w:line="560" w:lineRule="exact"/>
        <w:ind w:firstLine="880" w:firstLineChars="200"/>
        <w:rPr>
          <w:rFonts w:ascii="黑体" w:hAnsi="黑体" w:eastAsia="黑体"/>
          <w:sz w:val="44"/>
          <w:szCs w:val="44"/>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2019年1月3日以来，我区出现持续性污染天气，导致2019年</w:t>
      </w:r>
      <w:r>
        <w:rPr>
          <w:rFonts w:hint="eastAsia" w:ascii="仿宋_GB2312" w:eastAsia="仿宋_GB2312"/>
          <w:color w:val="000000" w:themeColor="text1"/>
          <w:sz w:val="32"/>
          <w:szCs w:val="32"/>
          <w14:textFill>
            <w14:solidFill>
              <w14:schemeClr w14:val="tx1"/>
            </w14:solidFill>
          </w14:textFill>
        </w:rPr>
        <w:t>大气污染防治开局不利。截至2019年6月20日，乐山市主城区环境空气质量常态化管控目标较去年同期相比出现恶化趋势，影响全年目标任务完成，也不符合市委、市政府对乐山国内旅游首选地的定位。为扭转严峻形势，减少大气污染物累积，结合市中区实际制定本方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一、2019年环境空气质量常态化管控目标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PM</w:t>
      </w:r>
      <w:r>
        <w:rPr>
          <w:rFonts w:hint="eastAsia" w:ascii="仿宋_GB2312" w:eastAsia="仿宋_GB2312"/>
          <w:sz w:val="32"/>
          <w:szCs w:val="32"/>
          <w:vertAlign w:val="subscript"/>
        </w:rPr>
        <w:t>2.5</w:t>
      </w:r>
      <w:r>
        <w:rPr>
          <w:rFonts w:hint="eastAsia" w:ascii="仿宋_GB2312" w:eastAsia="仿宋_GB2312"/>
          <w:sz w:val="32"/>
          <w:szCs w:val="32"/>
        </w:rPr>
        <w:t>年均浓度≤42.8微克/立方米，优良天数率≥83.9%（307天）。</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二、2019年市中区环境空气质量状况</w:t>
      </w:r>
    </w:p>
    <w:p>
      <w:pPr>
        <w:spacing w:line="560" w:lineRule="exact"/>
        <w:ind w:firstLine="640" w:firstLineChars="200"/>
        <w:rPr>
          <w:rFonts w:ascii="仿宋_GB2312" w:eastAsia="仿宋_GB2312"/>
          <w:sz w:val="32"/>
          <w:szCs w:val="32"/>
        </w:rPr>
      </w:pPr>
      <w:r>
        <w:rPr>
          <w:rFonts w:hint="eastAsia" w:ascii="仿宋_GB2312" w:hAnsi="黑体" w:eastAsia="仿宋_GB2312"/>
          <w:sz w:val="32"/>
          <w:szCs w:val="32"/>
        </w:rPr>
        <w:t>2019年以来，截止6月20日，中心城区环境空气质量监测天数为171天，其中污染天数42天，同比增加3天；</w:t>
      </w:r>
      <w:r>
        <w:rPr>
          <w:rFonts w:hint="eastAsia" w:ascii="仿宋_GB2312" w:eastAsia="仿宋_GB2312"/>
          <w:sz w:val="32"/>
          <w:szCs w:val="32"/>
        </w:rPr>
        <w:t>PM</w:t>
      </w:r>
      <w:r>
        <w:rPr>
          <w:rFonts w:hint="eastAsia" w:ascii="仿宋_GB2312" w:eastAsia="仿宋_GB2312"/>
          <w:sz w:val="32"/>
          <w:szCs w:val="32"/>
          <w:vertAlign w:val="subscript"/>
        </w:rPr>
        <w:t>2.5</w:t>
      </w:r>
      <w:r>
        <w:rPr>
          <w:rFonts w:hint="eastAsia" w:ascii="仿宋_GB2312" w:eastAsia="仿宋_GB2312"/>
          <w:sz w:val="32"/>
          <w:szCs w:val="32"/>
        </w:rPr>
        <w:t>平均浓度52微克/立方米，同比上升2微克/立方米。</w:t>
      </w:r>
    </w:p>
    <w:p>
      <w:pPr>
        <w:spacing w:line="560" w:lineRule="exact"/>
        <w:ind w:firstLine="640" w:firstLineChars="200"/>
        <w:rPr>
          <w:rFonts w:ascii="仿宋_GB2312" w:hAnsi="黑体" w:eastAsia="仿宋_GB2312"/>
          <w:sz w:val="32"/>
          <w:szCs w:val="32"/>
        </w:rPr>
      </w:pPr>
      <w:r>
        <w:rPr>
          <w:rFonts w:hint="eastAsia" w:ascii="仿宋_GB2312" w:eastAsia="仿宋_GB2312"/>
          <w:sz w:val="32"/>
          <w:szCs w:val="32"/>
        </w:rPr>
        <w:t>在</w:t>
      </w:r>
      <w:r>
        <w:rPr>
          <w:rFonts w:hint="eastAsia" w:ascii="仿宋_GB2312" w:hAnsi="黑体" w:eastAsia="仿宋_GB2312"/>
          <w:sz w:val="32"/>
          <w:szCs w:val="32"/>
        </w:rPr>
        <w:t>2019年环境空气质量管控目标比2018年更严格的基础上，同期环境空气质量出现恶化趋势。</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三、管控措施</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（一）强化工业企业污染物管控</w:t>
      </w:r>
    </w:p>
    <w:p>
      <w:pPr>
        <w:spacing w:line="560" w:lineRule="exact"/>
        <w:ind w:firstLine="640" w:firstLineChars="200"/>
        <w:rPr>
          <w:rFonts w:ascii="仿宋_GB2312" w:hAnsi="Calibri" w:eastAsia="仿宋_GB2312" w:cs="Times New Roman"/>
          <w:sz w:val="32"/>
          <w:szCs w:val="32"/>
        </w:rPr>
      </w:pPr>
      <w:r>
        <w:rPr>
          <w:rFonts w:hint="eastAsia" w:ascii="仿宋_GB2312" w:eastAsia="仿宋_GB2312"/>
          <w:sz w:val="32"/>
          <w:szCs w:val="32"/>
        </w:rPr>
        <w:t>1.严格落实《乐山市市中区人民政府办公室关于印发&lt;乐山市市中区重污染天气预防和应急预案（2018年修订）&gt;的通知》（乐中府办函〔2018〕47号），凡是列入工业源应急减排清单企业的一律严格落实管控要求。</w:t>
      </w:r>
      <w:r>
        <w:rPr>
          <w:rFonts w:hint="eastAsia" w:ascii="仿宋_GB2312" w:hAnsi="Calibri" w:eastAsia="仿宋_GB2312" w:cs="Times New Roman"/>
          <w:sz w:val="32"/>
          <w:szCs w:val="32"/>
        </w:rPr>
        <w:t>〔责任单位：区经济和信息化局</w:t>
      </w:r>
      <w:r>
        <w:rPr>
          <w:rFonts w:hint="eastAsia" w:ascii="仿宋_GB2312" w:eastAsia="仿宋_GB2312"/>
          <w:sz w:val="32"/>
          <w:szCs w:val="32"/>
        </w:rPr>
        <w:t>、区生态环境局</w:t>
      </w:r>
      <w:r>
        <w:rPr>
          <w:rFonts w:hint="eastAsia" w:ascii="仿宋_GB2312" w:hAnsi="Calibri" w:eastAsia="仿宋_GB2312" w:cs="Times New Roman"/>
          <w:sz w:val="32"/>
          <w:szCs w:val="32"/>
        </w:rPr>
        <w:t>，各乡镇人民政府、街道办事处〕</w:t>
      </w:r>
    </w:p>
    <w:p>
      <w:pPr>
        <w:spacing w:line="560" w:lineRule="exact"/>
        <w:ind w:firstLine="640" w:firstLineChars="200"/>
        <w:rPr>
          <w:rFonts w:ascii="仿宋_GB2312" w:eastAsia="仿宋_GB2312"/>
          <w:sz w:val="32"/>
          <w:szCs w:val="32"/>
        </w:rPr>
      </w:pPr>
      <w:r>
        <w:rPr>
          <w:rFonts w:hint="eastAsia" w:ascii="仿宋_GB2312" w:hAnsi="Calibri" w:eastAsia="仿宋_GB2312" w:cs="Times New Roman"/>
          <w:sz w:val="32"/>
          <w:szCs w:val="32"/>
        </w:rPr>
        <w:t>2.涉及大气污染物排放的重点企业，加大监测频次。强化企业自行监测自主意识，每季度抽取20%已领排污许可证重点企业自行监测情况进行监督检查。〔责任单位：区生态环境局〕</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（二）加大城市精细化管理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1.强化货运车辆绕行限行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严格按照《关于印发〈乐山市重污染天气中心城区货车限行绕行工作方案〉的通知》（乐重污染天气指〔2018〕3号）实施重污染天气期间中心城区货车限行绕行工作。各执勤点设置限行绕线警示标识标牌，落实执勤人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通棉路与成乐高速乐山北站（棉竹站）交叉口。管控峨眉、夹江方向经乐夹路驶往或途径乐山城区方向的货车。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省道306线乐峨路徐浩大桥西侧。管控峨眉、沙湾、市中区苏稽镇方向驶往或途径乐山城区方向的货车。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省道104线乐五路与乐自高速大佛站连接线交叉口。管控沐川、犍为、五通方向经乐五路驶往乐山城区方向的货车。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省道305线市中区茅桥段与乐自高速茅桥站交叉口。管控荣县、井研方向经省道305线驶往或途径乐山城区方向的货车。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乐井路马儿山路口。管控井研、市中区土主镇方向经乐井路驶往乐山城区方向的货车。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苏沙路与乐雅高速苏稽站连接线处交叉口。管控沙湾、市中区水口方向经苏沙路驶往或途径乐山城区方向的货车。</w:t>
      </w:r>
    </w:p>
    <w:p>
      <w:pPr>
        <w:spacing w:line="560" w:lineRule="exact"/>
        <w:rPr>
          <w:rFonts w:ascii="仿宋_GB2312" w:eastAsia="仿宋_GB2312"/>
          <w:sz w:val="32"/>
          <w:szCs w:val="32"/>
        </w:rPr>
      </w:pPr>
      <w:r>
        <w:rPr>
          <w:rFonts w:hint="eastAsia" w:ascii="仿宋_GB2312" w:hAnsi="Calibri" w:eastAsia="仿宋_GB2312" w:cs="Times New Roman"/>
          <w:sz w:val="32"/>
          <w:szCs w:val="32"/>
        </w:rPr>
        <w:t>〔责任单位：区</w:t>
      </w:r>
      <w:r>
        <w:rPr>
          <w:rFonts w:hint="eastAsia" w:ascii="仿宋_GB2312" w:eastAsia="仿宋_GB2312"/>
          <w:sz w:val="32"/>
          <w:szCs w:val="32"/>
        </w:rPr>
        <w:t>公安分局、交警二大队、区交通运输局</w:t>
      </w:r>
      <w:r>
        <w:rPr>
          <w:rFonts w:hint="eastAsia" w:ascii="仿宋_GB2312" w:hAnsi="Calibri" w:eastAsia="仿宋_GB2312" w:cs="Times New Roman"/>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2.强化道路扬尘防治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强化市中区管辖区域道路清扫保洁，适度增加清扫冲洗频次，重点加强省道305线市中区段、碧山路、桃源路、凌云路、关牟大道，乐五路、苏沙路、老乐峨路、老乐夹路市中区段和乐井快速通道主城区至土主段等过境道路。强化行道树、绿化带冲洗力度，未冲洗干净前不得开展树枝修剪。</w:t>
      </w:r>
      <w:r>
        <w:rPr>
          <w:rFonts w:hint="eastAsia" w:ascii="仿宋_GB2312" w:hAnsi="Calibri" w:eastAsia="仿宋_GB2312" w:cs="Times New Roman"/>
          <w:sz w:val="32"/>
          <w:szCs w:val="32"/>
        </w:rPr>
        <w:t>〔责任单位：区</w:t>
      </w:r>
      <w:r>
        <w:rPr>
          <w:rFonts w:hint="eastAsia" w:ascii="仿宋_GB2312" w:eastAsia="仿宋_GB2312"/>
          <w:sz w:val="32"/>
          <w:szCs w:val="32"/>
        </w:rPr>
        <w:t>交通运输局、区市容管理局</w:t>
      </w:r>
      <w:r>
        <w:rPr>
          <w:rFonts w:hint="eastAsia" w:ascii="仿宋_GB2312" w:hAnsi="Calibri" w:eastAsia="仿宋_GB2312" w:cs="Times New Roman"/>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3.强化施工扬尘防治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管辖范围内所有建筑工地严格落实“六必须、六不准”和“六个百分百”措施，在重污染天气期间停止室外喷涂、粉刷、切割、护坡喷浆、建筑拆除作业；停止土石方作业；停止商品混凝土的拌和、运输。〔责任单位：区住房和城乡建设局、区交通运输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重污染天气期间中心城区砂石厂（场）除保障市内民生工程、抢险工程外，全部停止开采、加工生产、外运。</w:t>
      </w:r>
      <w:r>
        <w:rPr>
          <w:rFonts w:hint="eastAsia" w:ascii="仿宋_GB2312" w:hAnsi="Calibri" w:eastAsia="仿宋_GB2312" w:cs="Times New Roman"/>
          <w:sz w:val="32"/>
          <w:szCs w:val="32"/>
        </w:rPr>
        <w:t>〔责任单位：</w:t>
      </w:r>
      <w:r>
        <w:rPr>
          <w:rFonts w:hint="eastAsia" w:ascii="仿宋_GB2312" w:eastAsia="仿宋_GB2312"/>
          <w:sz w:val="32"/>
          <w:szCs w:val="32"/>
        </w:rPr>
        <w:t>区水务局、区生态环境局</w:t>
      </w:r>
      <w:r>
        <w:rPr>
          <w:rFonts w:hint="eastAsia" w:ascii="仿宋_GB2312" w:hAnsi="Calibri" w:eastAsia="仿宋_GB2312" w:cs="Times New Roman"/>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4.露天焚烧管控</w:t>
      </w:r>
    </w:p>
    <w:p>
      <w:pPr>
        <w:spacing w:line="560" w:lineRule="exact"/>
        <w:ind w:firstLine="640" w:firstLineChars="200"/>
        <w:rPr>
          <w:rFonts w:ascii="仿宋_GB2312"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增加巡查频次，确保无垃圾、树叶、秸秆焚烧、炼山造林行为发生。</w:t>
      </w:r>
      <w:r>
        <w:rPr>
          <w:rFonts w:hint="eastAsia" w:ascii="仿宋_GB2312" w:hAnsi="Calibri" w:eastAsia="仿宋_GB2312" w:cs="Times New Roman"/>
          <w:sz w:val="32"/>
          <w:szCs w:val="32"/>
        </w:rPr>
        <w:t>〔责</w:t>
      </w:r>
      <w:r>
        <w:rPr>
          <w:rFonts w:hint="eastAsia" w:ascii="仿宋_GB2312" w:hAnsi="Calibri" w:eastAsia="仿宋_GB2312" w:cs="Times New Roman"/>
          <w:color w:val="000000" w:themeColor="text1"/>
          <w:sz w:val="32"/>
          <w:szCs w:val="32"/>
          <w14:textFill>
            <w14:solidFill>
              <w14:schemeClr w14:val="tx1"/>
            </w14:solidFill>
          </w14:textFill>
        </w:rPr>
        <w:t>任单位：</w:t>
      </w:r>
      <w:r>
        <w:rPr>
          <w:rFonts w:hint="eastAsia" w:ascii="仿宋_GB2312" w:eastAsia="仿宋_GB2312"/>
          <w:color w:val="000000" w:themeColor="text1"/>
          <w:sz w:val="32"/>
          <w:szCs w:val="32"/>
          <w14:textFill>
            <w14:solidFill>
              <w14:schemeClr w14:val="tx1"/>
            </w14:solidFill>
          </w14:textFill>
        </w:rPr>
        <w:t>区农业农村局、区生态环境局、区自然资源局，各乡镇、街道办事处</w:t>
      </w:r>
      <w:r>
        <w:rPr>
          <w:rFonts w:hint="eastAsia" w:ascii="仿宋_GB2312" w:hAnsi="Calibri" w:eastAsia="仿宋_GB2312" w:cs="Times New Roman"/>
          <w:color w:val="000000" w:themeColor="text1"/>
          <w:sz w:val="32"/>
          <w:szCs w:val="32"/>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5.熏制腌腊制品管控</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安排人员，加强巡查，中心城区范围内严禁在小区内、街道边、楼房顶等地方熏制腌腊制品，减少大气污染。</w:t>
      </w:r>
      <w:r>
        <w:rPr>
          <w:rFonts w:hint="eastAsia" w:ascii="仿宋_GB2312" w:hAnsi="Calibri" w:eastAsia="仿宋_GB2312" w:cs="Times New Roman"/>
          <w:color w:val="000000" w:themeColor="text1"/>
          <w:sz w:val="32"/>
          <w:szCs w:val="32"/>
          <w14:textFill>
            <w14:solidFill>
              <w14:schemeClr w14:val="tx1"/>
            </w14:solidFill>
          </w14:textFill>
        </w:rPr>
        <w:t>〔责任单位：</w:t>
      </w:r>
      <w:r>
        <w:rPr>
          <w:rFonts w:hint="eastAsia" w:ascii="仿宋_GB2312" w:eastAsia="仿宋_GB2312"/>
          <w:color w:val="000000" w:themeColor="text1"/>
          <w:sz w:val="32"/>
          <w:szCs w:val="32"/>
          <w14:textFill>
            <w14:solidFill>
              <w14:schemeClr w14:val="tx1"/>
            </w14:solidFill>
          </w14:textFill>
        </w:rPr>
        <w:t>相关乡镇、各街道办事处</w:t>
      </w:r>
      <w:r>
        <w:rPr>
          <w:rFonts w:hint="eastAsia" w:ascii="仿宋_GB2312" w:hAnsi="Calibri" w:eastAsia="仿宋_GB2312" w:cs="Times New Roman"/>
          <w:color w:val="000000" w:themeColor="text1"/>
          <w:sz w:val="32"/>
          <w:szCs w:val="32"/>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6.强化烟花爆竹管控</w:t>
      </w:r>
    </w:p>
    <w:p>
      <w:pPr>
        <w:spacing w:line="560" w:lineRule="exact"/>
        <w:ind w:firstLine="640" w:firstLineChars="200"/>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严格落实烟花爆竹禁燃禁放的相关规定，对禁止区域内烟花爆竹销售点进行关停取缔，对违规燃放烟花爆竹的行为进行严肃查处。结合乡镇规划布局，科学调整我区烟花爆竹禁燃禁放区域。</w:t>
      </w:r>
      <w:r>
        <w:rPr>
          <w:rFonts w:hint="eastAsia" w:ascii="仿宋_GB2312" w:hAnsi="Calibri" w:eastAsia="仿宋_GB2312" w:cs="Times New Roman"/>
          <w:color w:val="000000" w:themeColor="text1"/>
          <w:sz w:val="32"/>
          <w:szCs w:val="32"/>
          <w14:textFill>
            <w14:solidFill>
              <w14:schemeClr w14:val="tx1"/>
            </w14:solidFill>
          </w14:textFill>
        </w:rPr>
        <w:t>〔责任单位：</w:t>
      </w:r>
      <w:r>
        <w:rPr>
          <w:rFonts w:hint="eastAsia" w:ascii="仿宋_GB2312" w:eastAsia="仿宋_GB2312"/>
          <w:color w:val="000000" w:themeColor="text1"/>
          <w:sz w:val="32"/>
          <w:szCs w:val="32"/>
          <w14:textFill>
            <w14:solidFill>
              <w14:schemeClr w14:val="tx1"/>
            </w14:solidFill>
          </w14:textFill>
        </w:rPr>
        <w:t>区应急管理局、区公安分局</w:t>
      </w:r>
      <w:r>
        <w:rPr>
          <w:rFonts w:hint="eastAsia" w:ascii="仿宋_GB2312" w:hAnsi="Calibri" w:eastAsia="仿宋_GB2312" w:cs="Times New Roman"/>
          <w:color w:val="000000" w:themeColor="text1"/>
          <w:sz w:val="32"/>
          <w:szCs w:val="32"/>
          <w14:textFill>
            <w14:solidFill>
              <w14:schemeClr w14:val="tx1"/>
            </w14:solidFill>
          </w14:textFill>
        </w:rPr>
        <w:t>〕</w:t>
      </w:r>
    </w:p>
    <w:p>
      <w:pPr>
        <w:spacing w:line="560" w:lineRule="exact"/>
        <w:ind w:firstLine="640" w:firstLineChars="200"/>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7.餐饮油烟管控</w:t>
      </w:r>
    </w:p>
    <w:p>
      <w:pPr>
        <w:spacing w:line="560" w:lineRule="exact"/>
        <w:ind w:firstLine="640" w:firstLineChars="200"/>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对中心城区范围内的餐饮店进行常态化管理，凡是采取煎、炒、烤等烹饪方式的餐饮店全部加装油烟净化设施，油烟滤芯每年至少更换一次。〔责任单位：各街道办事处（城管大队）〕</w:t>
      </w:r>
    </w:p>
    <w:p>
      <w:pPr>
        <w:spacing w:line="560" w:lineRule="exact"/>
        <w:ind w:firstLine="640" w:firstLineChars="200"/>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8.高污染燃料管控</w:t>
      </w:r>
    </w:p>
    <w:p>
      <w:pPr>
        <w:spacing w:line="560" w:lineRule="exact"/>
        <w:ind w:firstLine="640" w:firstLineChars="200"/>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中心城区范围内所有经营场所及个人禁止使用蜂窝煤、散烧煤、生物质等高污染燃料，全部替换为天然气、液化气、电等清洁能源。〔责任单位：各街道办事处（城管大队）〕</w:t>
      </w:r>
    </w:p>
    <w:p>
      <w:pPr>
        <w:spacing w:line="560" w:lineRule="exact"/>
        <w:ind w:firstLine="640" w:firstLineChars="200"/>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sz w:val="32"/>
          <w:szCs w:val="32"/>
        </w:rPr>
        <w:t>依法查处中心城区范围内违规销售高污染燃料的行为。</w:t>
      </w:r>
      <w:r>
        <w:rPr>
          <w:rFonts w:hint="eastAsia" w:ascii="仿宋_GB2312" w:hAnsi="Calibri" w:eastAsia="仿宋_GB2312" w:cs="Times New Roman"/>
          <w:color w:val="000000" w:themeColor="text1"/>
          <w:sz w:val="32"/>
          <w:szCs w:val="32"/>
          <w14:textFill>
            <w14:solidFill>
              <w14:schemeClr w14:val="tx1"/>
            </w14:solidFill>
          </w14:textFill>
        </w:rPr>
        <w:t>〔责任单位：区市场监管局〕</w:t>
      </w:r>
    </w:p>
    <w:p>
      <w:pPr>
        <w:spacing w:line="560"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（三）实施中心城区大气污染物易累积区域的疏解与管控</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经初步调查，结合中心城区地形地势、人员活动、车辆密集度和长期以来的监测数据，中心城区有三个区域大气污染物极易累积。因此建议在三个区域附近划定核心管控区，核心管控区范围内不再新批采取煎、炒、烤烹饪方式的餐饮项目和涉及喷漆的汽修项目，已有采取煎、炒、烤烹饪方式的餐饮项目严格执行前面要求的餐饮油烟管控措施，同时部分符合搬迁条件的餐饮项目和汽修项目逐步搬迁出核心管控区。〔责任单位：区行</w:t>
      </w:r>
      <w:r>
        <w:rPr>
          <w:rFonts w:hint="eastAsia" w:ascii="仿宋_GB2312" w:eastAsia="仿宋_GB2312"/>
          <w:sz w:val="32"/>
          <w:szCs w:val="32"/>
        </w:rPr>
        <w:t>政审批局、区市场监管局、区交通运输局，</w:t>
      </w:r>
      <w:r>
        <w:rPr>
          <w:rFonts w:hint="eastAsia" w:ascii="仿宋_GB2312" w:eastAsia="仿宋_GB2312"/>
          <w:color w:val="000000" w:themeColor="text1"/>
          <w:sz w:val="32"/>
          <w:szCs w:val="32"/>
          <w14:textFill>
            <w14:solidFill>
              <w14:schemeClr w14:val="tx1"/>
            </w14:solidFill>
          </w14:textFill>
        </w:rPr>
        <w:t>相关街道办事处（城管大队）〕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核心管控区范围划定：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1.天星路、龙游路、嘉祥路、龙鹤街的包围区域。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2.嘉定北路、柏杨路、春华路、百禄路的包围区域。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3.海棠路从黄家山至金海棠宾馆路口两侧100米。</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（四）提高监测预警能力建设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区将进一步完善市中区大气网格化监测点位建设，在市中区重点区域、城区周边主要污染物传输通道及童家镇、剑峰乡、白马镇等12个乡镇设置网格化监测微站，同市级网格化微站互补，形成上下一体、边中结合的大气监测网络。〔责任单位：区生态环境局，相关乡镇〕</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四、强化督查督办</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各乡镇、街道和区级相关部门要加强监督检查力度，对重污染天气预防与应急预案落实不到位、治污设施运行不正常、污染物超标排放等问题，坚决“零容忍”，一律依法严肃查处，对屡次违法、长期违法的采取最严厉措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区重污染天气应急指挥部办公室要会同区政府督查室组织开展监督检查，对各乡镇、街道和区级相关部门落实情况开展全覆盖督查，建立问题台账，及时通报。</w:t>
      </w:r>
    </w:p>
    <w:p>
      <w:pPr>
        <w:spacing w:line="560" w:lineRule="exact"/>
        <w:ind w:firstLine="640" w:firstLineChars="200"/>
      </w:pPr>
      <w:r>
        <w:rPr>
          <w:rFonts w:hint="eastAsia" w:ascii="仿宋_GB2312" w:eastAsia="仿宋_GB2312"/>
          <w:sz w:val="32"/>
          <w:szCs w:val="32"/>
        </w:rPr>
        <w:t>对重污染天气管控工作责任不实、行动缓慢、力度偏软等问题，移送纪检监察部门严肃追责问责。</w:t>
      </w:r>
    </w:p>
    <w:sectPr>
      <w:headerReference r:id="rId3" w:type="default"/>
      <w:footerReference r:id="rId4" w:type="default"/>
      <w:footerReference r:id="rId5"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-73660</wp:posOffset>
              </wp:positionV>
              <wp:extent cx="1828800" cy="2844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844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5.8pt;height:22.4pt;width:144pt;mso-position-horizontal:outside;mso-position-horizontal-relative:margin;mso-wrap-style:none;z-index:251658240;mso-width-relative:page;mso-height-relative:page;" filled="f" stroked="f" coordsize="21600,21600" o:gfxdata="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FkO+V1wAAAAcBAAAPAAAAAAAA&#10;AAEAIAAAACIAAABkcnMvZG93bnJldi54bWxQSwECFAAUAAAACACHTuJAgDRs6xMCAAAGBAAADgAA&#10;AAAAAAABACAAAAAmAQAAZHJzL2Uyb0RvYy54bWxQSwUGAAAAAAYABgBZAQAAqwUAAAAA&#10;">
              <v:fill on="f" focussize="0,0"/>
              <v:stroke on="f" weight="0.5pt"/>
              <v:imagedata o:title=""/>
              <o:lock v:ext="edit" aspectratio="f"/>
              <v:textbox inset="0mm,0mm,0mm,0mm">
                <w:txbxContent>
                  <w:p>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94F"/>
    <w:rsid w:val="00036151"/>
    <w:rsid w:val="00065566"/>
    <w:rsid w:val="000B2C0D"/>
    <w:rsid w:val="000C3E73"/>
    <w:rsid w:val="00115A41"/>
    <w:rsid w:val="00124681"/>
    <w:rsid w:val="00172725"/>
    <w:rsid w:val="001750E5"/>
    <w:rsid w:val="00187F33"/>
    <w:rsid w:val="001A47CF"/>
    <w:rsid w:val="001B5668"/>
    <w:rsid w:val="001E2461"/>
    <w:rsid w:val="00230202"/>
    <w:rsid w:val="00241C48"/>
    <w:rsid w:val="00245890"/>
    <w:rsid w:val="00283E9D"/>
    <w:rsid w:val="002924C9"/>
    <w:rsid w:val="002A6354"/>
    <w:rsid w:val="002A7FC8"/>
    <w:rsid w:val="002B194F"/>
    <w:rsid w:val="002B2745"/>
    <w:rsid w:val="002B2FA8"/>
    <w:rsid w:val="002C0669"/>
    <w:rsid w:val="002F1B58"/>
    <w:rsid w:val="0030417D"/>
    <w:rsid w:val="00331470"/>
    <w:rsid w:val="00340A45"/>
    <w:rsid w:val="00347DC1"/>
    <w:rsid w:val="00366D89"/>
    <w:rsid w:val="003813B2"/>
    <w:rsid w:val="00393B43"/>
    <w:rsid w:val="003B1015"/>
    <w:rsid w:val="003D77BA"/>
    <w:rsid w:val="003E437E"/>
    <w:rsid w:val="003E67A7"/>
    <w:rsid w:val="00416DB5"/>
    <w:rsid w:val="00425B43"/>
    <w:rsid w:val="00455A7A"/>
    <w:rsid w:val="004722E5"/>
    <w:rsid w:val="004764B0"/>
    <w:rsid w:val="004A0F6B"/>
    <w:rsid w:val="004E4D18"/>
    <w:rsid w:val="004E7C24"/>
    <w:rsid w:val="005012C5"/>
    <w:rsid w:val="00525F95"/>
    <w:rsid w:val="005300A7"/>
    <w:rsid w:val="00547347"/>
    <w:rsid w:val="00573BA6"/>
    <w:rsid w:val="005A0483"/>
    <w:rsid w:val="005B036F"/>
    <w:rsid w:val="005C2C17"/>
    <w:rsid w:val="005D5CEE"/>
    <w:rsid w:val="00606EC9"/>
    <w:rsid w:val="00640EB8"/>
    <w:rsid w:val="00642307"/>
    <w:rsid w:val="00647F2B"/>
    <w:rsid w:val="00662B7B"/>
    <w:rsid w:val="006A0FA9"/>
    <w:rsid w:val="006A2F40"/>
    <w:rsid w:val="006A3F7C"/>
    <w:rsid w:val="006C6974"/>
    <w:rsid w:val="00721AAC"/>
    <w:rsid w:val="007432BB"/>
    <w:rsid w:val="00771000"/>
    <w:rsid w:val="007B1910"/>
    <w:rsid w:val="007C5C59"/>
    <w:rsid w:val="007D746A"/>
    <w:rsid w:val="0083064A"/>
    <w:rsid w:val="008F3CFF"/>
    <w:rsid w:val="0090669A"/>
    <w:rsid w:val="0091427D"/>
    <w:rsid w:val="00940D78"/>
    <w:rsid w:val="00965979"/>
    <w:rsid w:val="009B0774"/>
    <w:rsid w:val="009F7643"/>
    <w:rsid w:val="00A15301"/>
    <w:rsid w:val="00A16DA3"/>
    <w:rsid w:val="00A66291"/>
    <w:rsid w:val="00A67BAE"/>
    <w:rsid w:val="00AB30BA"/>
    <w:rsid w:val="00AC6200"/>
    <w:rsid w:val="00AF76BA"/>
    <w:rsid w:val="00B05518"/>
    <w:rsid w:val="00B5597D"/>
    <w:rsid w:val="00B95213"/>
    <w:rsid w:val="00BA76EE"/>
    <w:rsid w:val="00BC5806"/>
    <w:rsid w:val="00BD5B3B"/>
    <w:rsid w:val="00BF3C01"/>
    <w:rsid w:val="00BF6258"/>
    <w:rsid w:val="00C00825"/>
    <w:rsid w:val="00C27305"/>
    <w:rsid w:val="00C46553"/>
    <w:rsid w:val="00C70978"/>
    <w:rsid w:val="00D45887"/>
    <w:rsid w:val="00D70052"/>
    <w:rsid w:val="00DE7410"/>
    <w:rsid w:val="00EC0478"/>
    <w:rsid w:val="00EF3B91"/>
    <w:rsid w:val="00F2738B"/>
    <w:rsid w:val="00F45837"/>
    <w:rsid w:val="00F80EB0"/>
    <w:rsid w:val="00F83BF8"/>
    <w:rsid w:val="00FB1621"/>
    <w:rsid w:val="00FC329B"/>
    <w:rsid w:val="00FE6755"/>
    <w:rsid w:val="00FF74B8"/>
    <w:rsid w:val="017954DD"/>
    <w:rsid w:val="11CE2E57"/>
    <w:rsid w:val="1CA42E2A"/>
    <w:rsid w:val="2CA45FC0"/>
    <w:rsid w:val="371C08D0"/>
    <w:rsid w:val="3ED379C7"/>
    <w:rsid w:val="42AA7C8B"/>
    <w:rsid w:val="447B7CEB"/>
    <w:rsid w:val="4D5717E8"/>
    <w:rsid w:val="4DD54A3A"/>
    <w:rsid w:val="4EAE574E"/>
    <w:rsid w:val="5339510B"/>
    <w:rsid w:val="5454596A"/>
    <w:rsid w:val="57986178"/>
    <w:rsid w:val="59104DFC"/>
    <w:rsid w:val="603E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b/>
      <w:bCs/>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390</Words>
  <Characters>2229</Characters>
  <Lines>18</Lines>
  <Paragraphs>5</Paragraphs>
  <TotalTime>66</TotalTime>
  <ScaleCrop>false</ScaleCrop>
  <LinksUpToDate>false</LinksUpToDate>
  <CharactersWithSpaces>2614</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2019-03-13T06:17:00Z</dcterms:created>
  <dc:creator>微软用户</dc:creator>
  <cp:lastModifiedBy>Administrator</cp:lastModifiedBy>
  <cp:lastPrinted>2019-05-08T09:32:00Z</cp:lastPrinted>
  <dcterms:modified xsi:type="dcterms:W3CDTF">2019-06-25T10:00:10Z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