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ascii="仿宋_GB2312" w:hAnsi="宋体" w:eastAsia="仿宋_GB2312" w:cs="宋体"/>
          <w:b/>
          <w:bCs/>
          <w:color w:val="000000" w:themeColor="text1"/>
          <w:kern w:val="0"/>
          <w:sz w:val="28"/>
          <w:szCs w:val="28"/>
        </w:rPr>
      </w:pPr>
      <w:r>
        <w:rPr>
          <w:rFonts w:hint="eastAsia" w:ascii="仿宋_GB2312" w:hAnsi="宋体" w:eastAsia="仿宋_GB2312" w:cs="宋体"/>
          <w:b/>
          <w:bCs/>
          <w:color w:val="000000" w:themeColor="text1"/>
          <w:kern w:val="0"/>
          <w:sz w:val="28"/>
          <w:szCs w:val="28"/>
        </w:rPr>
        <w:t>乐山市市中区</w:t>
      </w:r>
      <w:r>
        <w:rPr>
          <w:rFonts w:hint="eastAsia" w:ascii="仿宋_GB2312" w:hAnsi="宋体" w:eastAsia="仿宋_GB2312" w:cs="宋体"/>
          <w:b/>
          <w:bCs/>
          <w:color w:val="000000" w:themeColor="text1"/>
          <w:kern w:val="0"/>
          <w:sz w:val="28"/>
          <w:szCs w:val="28"/>
          <w:lang w:eastAsia="zh-CN"/>
        </w:rPr>
        <w:t>生态环境</w:t>
      </w:r>
      <w:bookmarkStart w:id="27" w:name="_GoBack"/>
      <w:bookmarkEnd w:id="27"/>
      <w:r>
        <w:rPr>
          <w:rFonts w:hint="eastAsia" w:ascii="仿宋_GB2312" w:hAnsi="宋体" w:eastAsia="仿宋_GB2312" w:cs="宋体"/>
          <w:b/>
          <w:bCs/>
          <w:color w:val="000000" w:themeColor="text1"/>
          <w:kern w:val="0"/>
          <w:sz w:val="28"/>
          <w:szCs w:val="28"/>
        </w:rPr>
        <w:t xml:space="preserve">局关于建设项目环境影响评价文件受理情况的公示 </w:t>
      </w:r>
    </w:p>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2019-5-5</w:t>
      </w:r>
    </w:p>
    <w:p>
      <w:pPr>
        <w:widowControl/>
        <w:ind w:firstLine="420"/>
        <w:jc w:val="left"/>
        <w:rPr>
          <w:rFonts w:ascii="宋体" w:hAnsi="宋体" w:cs="宋体"/>
          <w:color w:val="000000" w:themeColor="text1"/>
          <w:kern w:val="0"/>
          <w:sz w:val="24"/>
        </w:rPr>
      </w:pPr>
      <w:r>
        <w:rPr>
          <w:rFonts w:hint="eastAsia" w:ascii="宋体" w:hAnsi="宋体" w:cs="宋体"/>
          <w:color w:val="000000" w:themeColor="text1"/>
          <w:kern w:val="0"/>
          <w:sz w:val="24"/>
        </w:rPr>
        <w:t>根据建设项目环境影响评价审批程序的有关规定，2019年5月5日我局受理1个建设项目环境影响评价文件。现将受理情况予以公示，公示期为2019年5月5日－2019年5月16日（10个工作日）。</w:t>
      </w:r>
    </w:p>
    <w:p>
      <w:pPr>
        <w:widowControl/>
        <w:ind w:firstLine="420"/>
        <w:jc w:val="left"/>
        <w:rPr>
          <w:rFonts w:ascii="宋体" w:hAnsi="宋体" w:cs="宋体"/>
          <w:color w:val="000000" w:themeColor="text1"/>
          <w:kern w:val="0"/>
          <w:sz w:val="24"/>
        </w:rPr>
      </w:pPr>
      <w:r>
        <w:rPr>
          <w:rFonts w:hint="eastAsia" w:ascii="宋体" w:hAnsi="宋体" w:cs="宋体"/>
          <w:color w:val="000000" w:themeColor="text1"/>
          <w:kern w:val="0"/>
          <w:sz w:val="24"/>
        </w:rPr>
        <w:t>　　联系电话：0833－2103779</w:t>
      </w:r>
    </w:p>
    <w:p>
      <w:pPr>
        <w:widowControl/>
        <w:ind w:firstLine="420"/>
        <w:jc w:val="left"/>
        <w:rPr>
          <w:rFonts w:ascii="宋体" w:hAnsi="宋体" w:cs="宋体"/>
          <w:color w:val="000000" w:themeColor="text1"/>
          <w:kern w:val="0"/>
          <w:sz w:val="24"/>
        </w:rPr>
      </w:pPr>
      <w:r>
        <w:rPr>
          <w:rFonts w:hint="eastAsia" w:ascii="宋体" w:hAnsi="宋体" w:cs="宋体"/>
          <w:color w:val="000000" w:themeColor="text1"/>
          <w:kern w:val="0"/>
          <w:sz w:val="24"/>
        </w:rPr>
        <w:t>　　传 　 真：0833-2133332</w:t>
      </w:r>
    </w:p>
    <w:p>
      <w:pPr>
        <w:widowControl/>
        <w:ind w:firstLine="420"/>
        <w:jc w:val="left"/>
        <w:rPr>
          <w:rFonts w:ascii="宋体" w:hAnsi="宋体" w:cs="宋体"/>
          <w:color w:val="000000" w:themeColor="text1"/>
          <w:kern w:val="0"/>
          <w:sz w:val="24"/>
        </w:rPr>
      </w:pPr>
      <w:r>
        <w:rPr>
          <w:rFonts w:hint="eastAsia" w:ascii="宋体" w:hAnsi="宋体" w:cs="宋体"/>
          <w:color w:val="000000" w:themeColor="text1"/>
          <w:kern w:val="0"/>
          <w:sz w:val="24"/>
        </w:rPr>
        <w:t>　　通讯地址：乐山市市中区白燕路830号</w:t>
      </w:r>
    </w:p>
    <w:p>
      <w:pPr>
        <w:widowControl/>
        <w:ind w:firstLine="900" w:firstLineChars="375"/>
        <w:jc w:val="left"/>
        <w:rPr>
          <w:rFonts w:ascii="宋体" w:hAnsi="宋体" w:cs="宋体"/>
          <w:color w:val="000000" w:themeColor="text1"/>
          <w:kern w:val="0"/>
          <w:sz w:val="24"/>
        </w:rPr>
      </w:pPr>
      <w:r>
        <w:rPr>
          <w:rFonts w:hint="eastAsia" w:ascii="宋体" w:hAnsi="宋体" w:cs="宋体"/>
          <w:color w:val="000000" w:themeColor="text1"/>
          <w:kern w:val="0"/>
          <w:sz w:val="24"/>
        </w:rPr>
        <w:t>邮政编码：614000</w:t>
      </w:r>
    </w:p>
    <w:tbl>
      <w:tblPr>
        <w:tblStyle w:val="53"/>
        <w:tblW w:w="15344" w:type="dxa"/>
        <w:jc w:val="center"/>
        <w:tblInd w:w="-3153" w:type="dxa"/>
        <w:tblLayout w:type="fixed"/>
        <w:tblCellMar>
          <w:top w:w="0" w:type="dxa"/>
          <w:left w:w="0" w:type="dxa"/>
          <w:bottom w:w="0" w:type="dxa"/>
          <w:right w:w="0" w:type="dxa"/>
        </w:tblCellMar>
      </w:tblPr>
      <w:tblGrid>
        <w:gridCol w:w="772"/>
        <w:gridCol w:w="2806"/>
        <w:gridCol w:w="3245"/>
        <w:gridCol w:w="2976"/>
        <w:gridCol w:w="4218"/>
        <w:gridCol w:w="1327"/>
      </w:tblGrid>
      <w:tr>
        <w:tblPrEx>
          <w:tblLayout w:type="fixed"/>
          <w:tblCellMar>
            <w:top w:w="0" w:type="dxa"/>
            <w:left w:w="0" w:type="dxa"/>
            <w:bottom w:w="0" w:type="dxa"/>
            <w:right w:w="0" w:type="dxa"/>
          </w:tblCellMar>
        </w:tblPrEx>
        <w:trPr>
          <w:cantSplit/>
          <w:trHeight w:val="803" w:hRule="atLeast"/>
          <w:tblHeader/>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themeColor="text1"/>
                <w:kern w:val="0"/>
                <w:sz w:val="24"/>
              </w:rPr>
            </w:pPr>
            <w:r>
              <w:rPr>
                <w:rFonts w:hint="eastAsia" w:ascii="宋体" w:hAnsi="宋体" w:cs="宋体"/>
                <w:b/>
                <w:bCs/>
                <w:color w:val="000000" w:themeColor="text1"/>
                <w:kern w:val="0"/>
              </w:rPr>
              <w:t>序号</w:t>
            </w:r>
          </w:p>
        </w:tc>
        <w:tc>
          <w:tcPr>
            <w:tcW w:w="2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themeColor="text1"/>
                <w:kern w:val="0"/>
                <w:sz w:val="24"/>
              </w:rPr>
            </w:pPr>
            <w:r>
              <w:rPr>
                <w:rFonts w:hint="eastAsia" w:ascii="宋体" w:hAnsi="宋体" w:cs="宋体"/>
                <w:b/>
                <w:bCs/>
                <w:color w:val="000000" w:themeColor="text1"/>
                <w:kern w:val="0"/>
              </w:rPr>
              <w:t>项目名称</w:t>
            </w:r>
          </w:p>
        </w:tc>
        <w:tc>
          <w:tcPr>
            <w:tcW w:w="32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themeColor="text1"/>
                <w:kern w:val="0"/>
                <w:sz w:val="24"/>
              </w:rPr>
            </w:pPr>
            <w:r>
              <w:rPr>
                <w:rFonts w:hint="eastAsia" w:ascii="宋体" w:hAnsi="宋体" w:cs="宋体"/>
                <w:b/>
                <w:bCs/>
                <w:color w:val="000000" w:themeColor="text1"/>
                <w:kern w:val="0"/>
              </w:rPr>
              <w:t>建设地点</w:t>
            </w:r>
          </w:p>
        </w:tc>
        <w:tc>
          <w:tcPr>
            <w:tcW w:w="29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themeColor="text1"/>
                <w:kern w:val="0"/>
                <w:sz w:val="24"/>
              </w:rPr>
            </w:pPr>
            <w:r>
              <w:rPr>
                <w:rFonts w:hint="eastAsia" w:ascii="宋体" w:hAnsi="宋体" w:cs="宋体"/>
                <w:b/>
                <w:bCs/>
                <w:color w:val="000000" w:themeColor="text1"/>
                <w:kern w:val="0"/>
              </w:rPr>
              <w:t>建设单位</w:t>
            </w:r>
          </w:p>
        </w:tc>
        <w:tc>
          <w:tcPr>
            <w:tcW w:w="42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themeColor="text1"/>
                <w:kern w:val="0"/>
                <w:sz w:val="24"/>
              </w:rPr>
            </w:pPr>
            <w:r>
              <w:rPr>
                <w:rFonts w:hint="eastAsia" w:ascii="宋体" w:hAnsi="宋体" w:cs="宋体"/>
                <w:b/>
                <w:bCs/>
                <w:color w:val="000000" w:themeColor="text1"/>
                <w:kern w:val="0"/>
              </w:rPr>
              <w:t>环境影响评价机构</w:t>
            </w:r>
          </w:p>
        </w:tc>
        <w:tc>
          <w:tcPr>
            <w:tcW w:w="13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themeColor="text1"/>
                <w:kern w:val="0"/>
                <w:sz w:val="24"/>
              </w:rPr>
            </w:pPr>
            <w:r>
              <w:rPr>
                <w:rFonts w:hint="eastAsia" w:ascii="宋体" w:hAnsi="宋体" w:cs="宋体"/>
                <w:b/>
                <w:bCs/>
                <w:color w:val="000000" w:themeColor="text1"/>
                <w:kern w:val="0"/>
              </w:rPr>
              <w:t>受理日期</w:t>
            </w:r>
          </w:p>
        </w:tc>
      </w:tr>
      <w:tr>
        <w:tblPrEx>
          <w:tblLayout w:type="fixed"/>
          <w:tblCellMar>
            <w:top w:w="0" w:type="dxa"/>
            <w:left w:w="0" w:type="dxa"/>
            <w:bottom w:w="0" w:type="dxa"/>
            <w:right w:w="0" w:type="dxa"/>
          </w:tblCellMar>
        </w:tblPrEx>
        <w:trPr>
          <w:cantSplit/>
          <w:trHeight w:val="925" w:hRule="atLeast"/>
          <w:tblHeader/>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bCs/>
                <w:color w:val="000000" w:themeColor="text1"/>
                <w:sz w:val="18"/>
                <w:szCs w:val="18"/>
              </w:rPr>
            </w:pPr>
            <w:r>
              <w:rPr>
                <w:rFonts w:hint="eastAsia"/>
                <w:bCs/>
                <w:color w:val="000000" w:themeColor="text1"/>
                <w:sz w:val="18"/>
                <w:szCs w:val="18"/>
              </w:rPr>
              <w:t>1</w:t>
            </w:r>
          </w:p>
        </w:tc>
        <w:tc>
          <w:tcPr>
            <w:tcW w:w="2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sz w:val="24"/>
              </w:rPr>
            </w:pPr>
            <w:r>
              <w:rPr>
                <w:rFonts w:hint="eastAsia"/>
                <w:color w:val="000000" w:themeColor="text1"/>
                <w:sz w:val="24"/>
              </w:rPr>
              <w:t>提高铸铁锅表面防锈性能技术改造升级项目</w:t>
            </w:r>
          </w:p>
        </w:tc>
        <w:tc>
          <w:tcPr>
            <w:tcW w:w="32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sz w:val="24"/>
              </w:rPr>
            </w:pPr>
            <w:r>
              <w:rPr>
                <w:rFonts w:hint="eastAsia"/>
                <w:color w:val="000000" w:themeColor="text1"/>
                <w:sz w:val="24"/>
              </w:rPr>
              <w:t>乐山市工业集中区振兴大道3</w:t>
            </w:r>
            <w:r>
              <w:rPr>
                <w:color w:val="000000" w:themeColor="text1"/>
                <w:sz w:val="24"/>
              </w:rPr>
              <w:t>99号</w:t>
            </w:r>
          </w:p>
        </w:tc>
        <w:tc>
          <w:tcPr>
            <w:tcW w:w="29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sz w:val="24"/>
              </w:rPr>
            </w:pPr>
            <w:r>
              <w:rPr>
                <w:rFonts w:hint="eastAsia"/>
                <w:color w:val="000000" w:themeColor="text1"/>
                <w:sz w:val="24"/>
              </w:rPr>
              <w:t>乐山豪森锅具有限公司</w:t>
            </w:r>
          </w:p>
        </w:tc>
        <w:tc>
          <w:tcPr>
            <w:tcW w:w="42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sz w:val="24"/>
              </w:rPr>
            </w:pPr>
            <w:r>
              <w:rPr>
                <w:rFonts w:hint="eastAsia"/>
                <w:color w:val="000000" w:themeColor="text1"/>
                <w:sz w:val="24"/>
              </w:rPr>
              <w:t>重庆智力环境开发策划咨询有限公司</w:t>
            </w:r>
          </w:p>
        </w:tc>
        <w:tc>
          <w:tcPr>
            <w:tcW w:w="13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color w:val="000000" w:themeColor="text1"/>
                <w:sz w:val="24"/>
              </w:rPr>
            </w:pPr>
            <w:r>
              <w:rPr>
                <w:rFonts w:hint="eastAsia"/>
                <w:color w:val="000000" w:themeColor="text1"/>
                <w:sz w:val="24"/>
              </w:rPr>
              <w:t>2019-5-5</w:t>
            </w:r>
          </w:p>
        </w:tc>
      </w:tr>
    </w:tbl>
    <w:p>
      <w:pPr>
        <w:spacing w:line="360" w:lineRule="auto"/>
        <w:rPr>
          <w:color w:val="000000" w:themeColor="text1"/>
          <w:sz w:val="72"/>
          <w:szCs w:val="72"/>
        </w:rPr>
        <w:sectPr>
          <w:endnotePr>
            <w:numFmt w:val="decimal"/>
          </w:endnotePr>
          <w:pgSz w:w="16838" w:h="11906" w:orient="landscape"/>
          <w:pgMar w:top="1800" w:right="1440" w:bottom="1800" w:left="1440" w:header="851" w:footer="992" w:gutter="0"/>
          <w:pgNumType w:fmt="numberInDash" w:start="1"/>
          <w:cols w:space="720" w:num="1"/>
          <w:docGrid w:type="lines" w:linePitch="312" w:charSpace="0"/>
        </w:sectPr>
      </w:pPr>
      <w:r>
        <w:rPr>
          <w:rFonts w:hint="eastAsia" w:ascii="宋体" w:hAnsi="宋体" w:cs="宋体"/>
          <w:color w:val="000000" w:themeColor="text1"/>
          <w:kern w:val="0"/>
          <w:szCs w:val="21"/>
        </w:rPr>
        <w:t>注：根据《建设项目环境影响评价政府信息公开指南（试行）》的有关规定，上述环境影响报告书、表不含涉及国家秘密、商业秘密、个人隐私以及涉及国家安全、公共安全、经济安全和社会稳定的内容。</w:t>
      </w:r>
    </w:p>
    <w:p>
      <w:pPr>
        <w:spacing w:before="2400"/>
        <w:jc w:val="center"/>
        <w:rPr>
          <w:b/>
          <w:spacing w:val="-20"/>
          <w:sz w:val="72"/>
        </w:rPr>
      </w:pPr>
      <w:r>
        <w:rPr>
          <w:b/>
          <w:color w:val="000000" w:themeColor="text1"/>
          <w:sz w:val="52"/>
        </w:rPr>
        <w:tab/>
      </w:r>
      <w:r>
        <w:rPr>
          <w:rFonts w:hint="eastAsia"/>
          <w:b/>
          <w:color w:val="0000FF"/>
          <w:sz w:val="52"/>
        </w:rPr>
        <w:t xml:space="preserve">    </w:t>
      </w:r>
      <w:r>
        <w:rPr>
          <w:rFonts w:hint="eastAsia"/>
          <w:b/>
          <w:spacing w:val="-20"/>
          <w:sz w:val="72"/>
        </w:rPr>
        <w:t>建设项目环境影响报告表</w:t>
      </w:r>
    </w:p>
    <w:p>
      <w:pPr>
        <w:jc w:val="center"/>
        <w:outlineLvl w:val="0"/>
        <w:rPr>
          <w:b/>
          <w:sz w:val="36"/>
        </w:rPr>
      </w:pPr>
      <w:r>
        <w:rPr>
          <w:rFonts w:hint="eastAsia"/>
          <w:b/>
          <w:sz w:val="36"/>
        </w:rPr>
        <w:t>（送审本）</w:t>
      </w:r>
    </w:p>
    <w:p>
      <w:pPr>
        <w:spacing w:line="360" w:lineRule="auto"/>
        <w:rPr>
          <w:sz w:val="36"/>
          <w:u w:val="single"/>
        </w:rPr>
      </w:pPr>
    </w:p>
    <w:p>
      <w:pPr>
        <w:spacing w:line="360" w:lineRule="auto"/>
        <w:rPr>
          <w:sz w:val="36"/>
          <w:u w:val="single"/>
        </w:rPr>
      </w:pPr>
    </w:p>
    <w:p>
      <w:pPr>
        <w:spacing w:line="360" w:lineRule="auto"/>
        <w:rPr>
          <w:sz w:val="36"/>
          <w:u w:val="single"/>
        </w:rPr>
      </w:pPr>
    </w:p>
    <w:p>
      <w:pPr>
        <w:spacing w:line="360" w:lineRule="auto"/>
        <w:rPr>
          <w:sz w:val="36"/>
          <w:u w:val="single"/>
        </w:rPr>
      </w:pPr>
    </w:p>
    <w:p>
      <w:pPr>
        <w:spacing w:line="360" w:lineRule="auto"/>
        <w:rPr>
          <w:sz w:val="36"/>
          <w:u w:val="single"/>
        </w:rPr>
      </w:pPr>
    </w:p>
    <w:p>
      <w:pPr>
        <w:jc w:val="center"/>
        <w:rPr>
          <w:b/>
          <w:sz w:val="72"/>
        </w:rPr>
      </w:pPr>
    </w:p>
    <w:p>
      <w:pPr>
        <w:spacing w:line="360" w:lineRule="auto"/>
        <w:rPr>
          <w:b/>
          <w:sz w:val="32"/>
        </w:rPr>
      </w:pPr>
      <w:r>
        <w:rPr>
          <w:sz w:val="32"/>
        </w:rPr>
        <w:t xml:space="preserve">  </w:t>
      </w:r>
      <w:r>
        <w:rPr>
          <w:b/>
          <w:sz w:val="32"/>
        </w:rPr>
        <w:t xml:space="preserve"> </w:t>
      </w:r>
      <w:r>
        <w:rPr>
          <w:rFonts w:hint="eastAsia"/>
          <w:b/>
          <w:sz w:val="32"/>
        </w:rPr>
        <w:t>项目名称</w:t>
      </w:r>
      <w:r>
        <w:rPr>
          <w:b/>
          <w:sz w:val="32"/>
        </w:rPr>
        <w:t>:</w:t>
      </w:r>
      <w:r>
        <w:rPr>
          <w:rFonts w:hint="eastAsia"/>
          <w:b/>
          <w:sz w:val="32"/>
        </w:rPr>
        <w:t xml:space="preserve"> </w:t>
      </w:r>
      <w:r>
        <w:rPr>
          <w:rFonts w:hint="eastAsia"/>
          <w:b/>
          <w:sz w:val="32"/>
          <w:u w:val="single"/>
        </w:rPr>
        <w:t xml:space="preserve">  </w:t>
      </w:r>
      <w:r>
        <w:rPr>
          <w:b/>
          <w:sz w:val="32"/>
          <w:u w:val="single"/>
        </w:rPr>
        <w:t xml:space="preserve"> </w:t>
      </w:r>
      <w:r>
        <w:rPr>
          <w:rFonts w:hint="eastAsia" w:ascii="宋体" w:hAnsi="宋体"/>
          <w:b/>
          <w:bCs/>
          <w:sz w:val="32"/>
          <w:u w:val="single"/>
        </w:rPr>
        <w:t xml:space="preserve">提高铸铁锅表面防锈性能技术改造升级项目   </w:t>
      </w:r>
    </w:p>
    <w:p>
      <w:pPr>
        <w:spacing w:line="360" w:lineRule="auto"/>
        <w:rPr>
          <w:b/>
          <w:sz w:val="32"/>
          <w:u w:val="single"/>
        </w:rPr>
      </w:pPr>
      <w:r>
        <w:rPr>
          <w:b/>
          <w:sz w:val="32"/>
        </w:rPr>
        <w:t xml:space="preserve">   </w:t>
      </w:r>
      <w:r>
        <w:rPr>
          <w:rFonts w:hint="eastAsia"/>
          <w:b/>
          <w:sz w:val="32"/>
        </w:rPr>
        <w:t>建设单位</w:t>
      </w:r>
      <w:r>
        <w:rPr>
          <w:b/>
          <w:sz w:val="32"/>
        </w:rPr>
        <w:t>(</w:t>
      </w:r>
      <w:r>
        <w:rPr>
          <w:rFonts w:hint="eastAsia"/>
          <w:b/>
          <w:sz w:val="32"/>
        </w:rPr>
        <w:t>盖章</w:t>
      </w:r>
      <w:r>
        <w:rPr>
          <w:b/>
          <w:sz w:val="32"/>
        </w:rPr>
        <w:t>):</w:t>
      </w:r>
      <w:r>
        <w:rPr>
          <w:b/>
          <w:sz w:val="32"/>
          <w:u w:val="single"/>
        </w:rPr>
        <w:t xml:space="preserve">  </w:t>
      </w:r>
      <w:r>
        <w:rPr>
          <w:rFonts w:hint="eastAsia"/>
          <w:b/>
          <w:sz w:val="32"/>
          <w:u w:val="single"/>
        </w:rPr>
        <w:t xml:space="preserve">       乐山豪森锅具有限公司        </w:t>
      </w:r>
    </w:p>
    <w:p>
      <w:pPr>
        <w:spacing w:line="360" w:lineRule="auto"/>
        <w:rPr>
          <w:sz w:val="32"/>
          <w:u w:val="single"/>
        </w:rPr>
      </w:pPr>
    </w:p>
    <w:p>
      <w:pPr>
        <w:spacing w:line="360" w:lineRule="auto"/>
        <w:rPr>
          <w:sz w:val="32"/>
          <w:u w:val="single"/>
        </w:rPr>
      </w:pPr>
    </w:p>
    <w:p>
      <w:pPr>
        <w:spacing w:line="360" w:lineRule="auto"/>
        <w:rPr>
          <w:sz w:val="32"/>
          <w:u w:val="single"/>
        </w:rPr>
      </w:pPr>
    </w:p>
    <w:p>
      <w:pPr>
        <w:spacing w:line="360" w:lineRule="auto"/>
        <w:rPr>
          <w:sz w:val="32"/>
          <w:u w:val="single"/>
        </w:rPr>
      </w:pPr>
    </w:p>
    <w:p>
      <w:pPr>
        <w:spacing w:line="360" w:lineRule="auto"/>
        <w:ind w:firstLine="1108" w:firstLineChars="345"/>
        <w:rPr>
          <w:b/>
          <w:sz w:val="32"/>
        </w:rPr>
      </w:pPr>
      <w:r>
        <w:rPr>
          <w:rFonts w:hint="eastAsia"/>
          <w:b/>
          <w:sz w:val="32"/>
        </w:rPr>
        <w:t>编制单位：重庆智力环境开发策划咨询有限公司</w:t>
      </w:r>
    </w:p>
    <w:p>
      <w:pPr>
        <w:spacing w:line="360" w:lineRule="auto"/>
        <w:jc w:val="center"/>
        <w:rPr>
          <w:b/>
          <w:sz w:val="32"/>
        </w:rPr>
      </w:pPr>
      <w:r>
        <w:rPr>
          <w:rFonts w:hint="eastAsia"/>
          <w:b/>
          <w:sz w:val="32"/>
        </w:rPr>
        <w:t>编制时间：二零一九 年 四 月</w:t>
      </w:r>
    </w:p>
    <w:p>
      <w:pPr>
        <w:spacing w:line="360" w:lineRule="auto"/>
        <w:jc w:val="center"/>
        <w:rPr>
          <w:b/>
          <w:sz w:val="32"/>
        </w:rPr>
      </w:pPr>
      <w:r>
        <w:rPr>
          <w:b/>
          <w:sz w:val="32"/>
        </w:rPr>
        <w:t xml:space="preserve">    </w:t>
      </w:r>
    </w:p>
    <w:p>
      <w:pPr>
        <w:spacing w:line="456" w:lineRule="auto"/>
        <w:jc w:val="center"/>
        <w:rPr>
          <w:b/>
          <w:sz w:val="44"/>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701" w:left="1418" w:header="851" w:footer="992" w:gutter="0"/>
          <w:cols w:space="720" w:num="1"/>
          <w:titlePg/>
          <w:docGrid w:type="lines" w:linePitch="312" w:charSpace="0"/>
        </w:sect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jc w:val="center"/>
        <w:rPr>
          <w:b/>
          <w:sz w:val="30"/>
        </w:rPr>
      </w:pPr>
      <w:r>
        <w:rPr>
          <w:b/>
          <w:sz w:val="30"/>
        </w:rPr>
        <w:t>《建设项目环境影响报告表》编制说明</w:t>
      </w:r>
    </w:p>
    <w:p>
      <w:pPr>
        <w:spacing w:line="456" w:lineRule="auto"/>
      </w:pPr>
    </w:p>
    <w:p>
      <w:pPr>
        <w:spacing w:line="456" w:lineRule="auto"/>
        <w:ind w:firstLine="482"/>
        <w:rPr>
          <w:spacing w:val="12"/>
          <w:sz w:val="24"/>
        </w:rPr>
      </w:pPr>
      <w:r>
        <w:rPr>
          <w:spacing w:val="12"/>
          <w:sz w:val="24"/>
        </w:rPr>
        <w:t>《建设项目环境影响报告表》由具有从事环境影响评价工作资质的单位编制。</w:t>
      </w:r>
    </w:p>
    <w:p>
      <w:pPr>
        <w:spacing w:line="456" w:lineRule="auto"/>
        <w:ind w:firstLine="482"/>
        <w:rPr>
          <w:spacing w:val="12"/>
          <w:sz w:val="24"/>
        </w:rPr>
      </w:pPr>
      <w:r>
        <w:rPr>
          <w:spacing w:val="12"/>
          <w:sz w:val="24"/>
        </w:rPr>
        <w:t>1. 项目名称——指项目立项批复时的名称，应不超过30个字(两个英文字段作一个汉字)。</w:t>
      </w:r>
    </w:p>
    <w:p>
      <w:pPr>
        <w:spacing w:line="456" w:lineRule="auto"/>
        <w:ind w:firstLine="482"/>
        <w:rPr>
          <w:spacing w:val="12"/>
          <w:sz w:val="24"/>
        </w:rPr>
      </w:pPr>
      <w:r>
        <w:rPr>
          <w:spacing w:val="12"/>
          <w:sz w:val="24"/>
        </w:rPr>
        <w:t>2. 建设地点——指项目所在地的名称，公路、铁路应填写起止地点。</w:t>
      </w:r>
    </w:p>
    <w:p>
      <w:pPr>
        <w:spacing w:line="456" w:lineRule="auto"/>
        <w:ind w:firstLine="482"/>
        <w:rPr>
          <w:spacing w:val="12"/>
          <w:sz w:val="24"/>
        </w:rPr>
      </w:pPr>
      <w:r>
        <w:rPr>
          <w:spacing w:val="12"/>
          <w:sz w:val="24"/>
        </w:rPr>
        <w:t>3. 行业类别——按国标填写</w:t>
      </w:r>
    </w:p>
    <w:p>
      <w:pPr>
        <w:spacing w:line="456" w:lineRule="auto"/>
        <w:ind w:firstLine="482"/>
        <w:rPr>
          <w:spacing w:val="12"/>
          <w:sz w:val="24"/>
        </w:rPr>
      </w:pPr>
      <w:r>
        <w:rPr>
          <w:spacing w:val="12"/>
          <w:sz w:val="24"/>
        </w:rPr>
        <w:t>4. 总投资——指项目投资总额。</w:t>
      </w:r>
    </w:p>
    <w:p>
      <w:pPr>
        <w:spacing w:line="456" w:lineRule="auto"/>
        <w:ind w:firstLine="482"/>
        <w:rPr>
          <w:spacing w:val="12"/>
          <w:sz w:val="24"/>
        </w:rPr>
      </w:pPr>
      <w:r>
        <w:rPr>
          <w:spacing w:val="12"/>
          <w:sz w:val="24"/>
        </w:rPr>
        <w:t>5. 主要环境保护目标——指项目区周围一定范围内集中居民住宅区、学校、医院、保护文物、风景名胜区、水源地和生态敏感点等，应尽可能给出保护目标、性质、规模和距厂界距离等。</w:t>
      </w:r>
    </w:p>
    <w:p>
      <w:pPr>
        <w:spacing w:line="456" w:lineRule="auto"/>
        <w:ind w:firstLine="482"/>
        <w:rPr>
          <w:spacing w:val="12"/>
          <w:sz w:val="24"/>
        </w:rPr>
      </w:pPr>
      <w:r>
        <w:rPr>
          <w:spacing w:val="12"/>
          <w:sz w:val="24"/>
        </w:rPr>
        <w:t>6. 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456" w:lineRule="auto"/>
        <w:ind w:firstLine="482"/>
        <w:rPr>
          <w:spacing w:val="12"/>
          <w:sz w:val="24"/>
        </w:rPr>
      </w:pPr>
      <w:r>
        <w:rPr>
          <w:spacing w:val="12"/>
          <w:sz w:val="24"/>
        </w:rPr>
        <w:t>7. 预审意见——由行业主管部门填写答复意见，无主管部门项目，可不填。</w:t>
      </w:r>
    </w:p>
    <w:p>
      <w:pPr>
        <w:spacing w:line="456" w:lineRule="auto"/>
        <w:ind w:firstLine="482"/>
        <w:rPr>
          <w:spacing w:val="12"/>
          <w:sz w:val="24"/>
        </w:rPr>
      </w:pPr>
      <w:r>
        <w:rPr>
          <w:spacing w:val="12"/>
          <w:sz w:val="24"/>
        </w:rPr>
        <w:t>8. 审批意见——由负责审批该项目的环境保护行政主管部门批复。</w:t>
      </w:r>
    </w:p>
    <w:p>
      <w:pPr>
        <w:spacing w:line="456" w:lineRule="auto"/>
        <w:rPr>
          <w:sz w:val="24"/>
        </w:rPr>
      </w:pPr>
    </w:p>
    <w:p>
      <w:pPr>
        <w:spacing w:line="360" w:lineRule="auto"/>
        <w:rPr>
          <w:b/>
          <w:sz w:val="44"/>
          <w:u w:val="single"/>
        </w:rPr>
      </w:pPr>
    </w:p>
    <w:p>
      <w:pPr>
        <w:spacing w:line="360" w:lineRule="auto"/>
        <w:rPr>
          <w:b/>
          <w:sz w:val="44"/>
          <w:u w:val="single"/>
        </w:rPr>
      </w:pPr>
    </w:p>
    <w:p>
      <w:pPr>
        <w:spacing w:line="400" w:lineRule="exact"/>
        <w:rPr>
          <w:b/>
          <w:sz w:val="44"/>
          <w:u w:val="single"/>
        </w:rPr>
      </w:pPr>
    </w:p>
    <w:p>
      <w:pPr>
        <w:spacing w:line="456" w:lineRule="auto"/>
        <w:rPr>
          <w:b/>
          <w:sz w:val="44"/>
          <w:u w:val="single"/>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sectPr>
          <w:pgSz w:w="11906" w:h="16838"/>
          <w:pgMar w:top="1418" w:right="1418" w:bottom="1701" w:left="1418" w:header="851" w:footer="992" w:gutter="0"/>
          <w:pgNumType w:start="1"/>
          <w:cols w:space="720" w:num="1"/>
          <w:docGrid w:type="lines" w:linePitch="312" w:charSpace="0"/>
        </w:sectPr>
      </w:pPr>
    </w:p>
    <w:p>
      <w:pPr>
        <w:pStyle w:val="3"/>
        <w:jc w:val="both"/>
        <w:rPr>
          <w:rFonts w:ascii="宋体" w:hAnsi="宋体" w:cs="宋体"/>
          <w:b/>
          <w:bCs/>
          <w:sz w:val="30"/>
          <w:szCs w:val="30"/>
        </w:rPr>
      </w:pPr>
      <w:r>
        <w:rPr>
          <w:rFonts w:hint="eastAsia" w:ascii="宋体" w:hAnsi="宋体" w:cs="宋体"/>
          <w:b/>
          <w:bCs/>
          <w:sz w:val="30"/>
          <w:szCs w:val="30"/>
        </w:rPr>
        <w:t>表一、建设项目基本情况</w:t>
      </w:r>
    </w:p>
    <w:tbl>
      <w:tblPr>
        <w:tblStyle w:val="53"/>
        <w:tblW w:w="946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532"/>
        <w:gridCol w:w="808"/>
        <w:gridCol w:w="900"/>
        <w:gridCol w:w="784"/>
        <w:gridCol w:w="100"/>
        <w:gridCol w:w="556"/>
        <w:gridCol w:w="840"/>
        <w:gridCol w:w="1320"/>
        <w:gridCol w:w="18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1368" w:type="dxa"/>
            <w:tcBorders>
              <w:top w:val="single" w:color="auto" w:sz="12" w:space="0"/>
              <w:left w:val="single" w:color="auto" w:sz="12" w:space="0"/>
            </w:tcBorders>
          </w:tcPr>
          <w:p>
            <w:pPr>
              <w:pStyle w:val="122"/>
              <w:spacing w:line="240" w:lineRule="atLeast"/>
              <w:jc w:val="center"/>
              <w:rPr>
                <w:szCs w:val="24"/>
              </w:rPr>
            </w:pPr>
            <w:r>
              <w:rPr>
                <w:szCs w:val="24"/>
              </w:rPr>
              <w:t>项目名称</w:t>
            </w:r>
          </w:p>
        </w:tc>
        <w:tc>
          <w:tcPr>
            <w:tcW w:w="8100" w:type="dxa"/>
            <w:gridSpan w:val="10"/>
            <w:tcBorders>
              <w:top w:val="single" w:color="auto" w:sz="12" w:space="0"/>
              <w:right w:val="single" w:color="auto" w:sz="12" w:space="0"/>
            </w:tcBorders>
            <w:vAlign w:val="center"/>
          </w:tcPr>
          <w:p>
            <w:pPr>
              <w:pStyle w:val="122"/>
              <w:spacing w:line="240" w:lineRule="atLeast"/>
              <w:rPr>
                <w:szCs w:val="24"/>
              </w:rPr>
            </w:pPr>
            <w:r>
              <w:rPr>
                <w:rFonts w:hint="eastAsia"/>
                <w:szCs w:val="24"/>
              </w:rPr>
              <w:t>提高铸铁锅表面防锈性能技术改造升级项目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trPr>
        <w:tc>
          <w:tcPr>
            <w:tcW w:w="1368" w:type="dxa"/>
            <w:tcBorders>
              <w:left w:val="single" w:color="auto" w:sz="12" w:space="0"/>
            </w:tcBorders>
          </w:tcPr>
          <w:p>
            <w:pPr>
              <w:pStyle w:val="122"/>
              <w:spacing w:line="240" w:lineRule="atLeast"/>
              <w:jc w:val="center"/>
              <w:rPr>
                <w:szCs w:val="24"/>
              </w:rPr>
            </w:pPr>
            <w:r>
              <w:rPr>
                <w:szCs w:val="24"/>
              </w:rPr>
              <w:t>建设单位</w:t>
            </w:r>
          </w:p>
        </w:tc>
        <w:tc>
          <w:tcPr>
            <w:tcW w:w="8100" w:type="dxa"/>
            <w:gridSpan w:val="10"/>
            <w:tcBorders>
              <w:right w:val="single" w:color="auto" w:sz="12" w:space="0"/>
            </w:tcBorders>
            <w:vAlign w:val="center"/>
          </w:tcPr>
          <w:p>
            <w:pPr>
              <w:pStyle w:val="122"/>
              <w:spacing w:line="240" w:lineRule="atLeast"/>
              <w:rPr>
                <w:szCs w:val="24"/>
              </w:rPr>
            </w:pPr>
            <w:r>
              <w:rPr>
                <w:szCs w:val="24"/>
              </w:rPr>
              <w:t>乐山豪森锅具有限公司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368" w:type="dxa"/>
            <w:tcBorders>
              <w:left w:val="single" w:color="auto" w:sz="12" w:space="0"/>
            </w:tcBorders>
            <w:vAlign w:val="center"/>
          </w:tcPr>
          <w:p>
            <w:pPr>
              <w:spacing w:line="240" w:lineRule="atLeast"/>
              <w:jc w:val="center"/>
              <w:rPr>
                <w:sz w:val="24"/>
              </w:rPr>
            </w:pPr>
            <w:r>
              <w:rPr>
                <w:sz w:val="24"/>
              </w:rPr>
              <w:t>法人代表</w:t>
            </w:r>
          </w:p>
        </w:tc>
        <w:tc>
          <w:tcPr>
            <w:tcW w:w="4124" w:type="dxa"/>
            <w:gridSpan w:val="5"/>
            <w:vAlign w:val="center"/>
          </w:tcPr>
          <w:p>
            <w:pPr>
              <w:spacing w:line="240" w:lineRule="atLeast"/>
              <w:jc w:val="center"/>
              <w:rPr>
                <w:sz w:val="24"/>
              </w:rPr>
            </w:pPr>
            <w:r>
              <w:rPr>
                <w:rFonts w:hint="eastAsia"/>
                <w:sz w:val="24"/>
              </w:rPr>
              <w:t>周文豪</w:t>
            </w:r>
          </w:p>
        </w:tc>
        <w:tc>
          <w:tcPr>
            <w:tcW w:w="1396" w:type="dxa"/>
            <w:gridSpan w:val="2"/>
            <w:vAlign w:val="center"/>
          </w:tcPr>
          <w:p>
            <w:pPr>
              <w:spacing w:line="240" w:lineRule="atLeast"/>
              <w:jc w:val="center"/>
              <w:rPr>
                <w:sz w:val="24"/>
              </w:rPr>
            </w:pPr>
            <w:r>
              <w:rPr>
                <w:sz w:val="24"/>
              </w:rPr>
              <w:t>联系人</w:t>
            </w:r>
          </w:p>
        </w:tc>
        <w:tc>
          <w:tcPr>
            <w:tcW w:w="2580" w:type="dxa"/>
            <w:gridSpan w:val="3"/>
            <w:tcBorders>
              <w:right w:val="single" w:color="auto" w:sz="12" w:space="0"/>
            </w:tcBorders>
            <w:vAlign w:val="center"/>
          </w:tcPr>
          <w:p>
            <w:pPr>
              <w:spacing w:line="240" w:lineRule="atLeast"/>
              <w:jc w:val="center"/>
              <w:rPr>
                <w:sz w:val="24"/>
              </w:rPr>
            </w:pPr>
            <w:r>
              <w:rPr>
                <w:rFonts w:hint="eastAsia"/>
                <w:sz w:val="24"/>
              </w:rPr>
              <w:t>徐美琼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68" w:type="dxa"/>
            <w:tcBorders>
              <w:left w:val="single" w:color="auto" w:sz="12" w:space="0"/>
            </w:tcBorders>
          </w:tcPr>
          <w:p>
            <w:pPr>
              <w:pStyle w:val="122"/>
              <w:spacing w:line="240" w:lineRule="atLeast"/>
              <w:jc w:val="center"/>
              <w:rPr>
                <w:szCs w:val="24"/>
              </w:rPr>
            </w:pPr>
            <w:r>
              <w:rPr>
                <w:szCs w:val="24"/>
              </w:rPr>
              <w:t>通讯地址</w:t>
            </w:r>
          </w:p>
        </w:tc>
        <w:tc>
          <w:tcPr>
            <w:tcW w:w="8100" w:type="dxa"/>
            <w:gridSpan w:val="10"/>
            <w:tcBorders>
              <w:right w:val="single" w:color="auto" w:sz="12" w:space="0"/>
            </w:tcBorders>
            <w:vAlign w:val="center"/>
          </w:tcPr>
          <w:p>
            <w:pPr>
              <w:pStyle w:val="122"/>
              <w:spacing w:line="240" w:lineRule="atLeast"/>
              <w:jc w:val="center"/>
              <w:rPr>
                <w:szCs w:val="24"/>
              </w:rPr>
            </w:pPr>
            <w:r>
              <w:rPr>
                <w:rFonts w:hint="eastAsia"/>
                <w:szCs w:val="24"/>
              </w:rPr>
              <w:t>乐山市工业集中区振兴大道3</w:t>
            </w:r>
            <w:r>
              <w:rPr>
                <w:szCs w:val="24"/>
              </w:rPr>
              <w:t>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68" w:type="dxa"/>
            <w:tcBorders>
              <w:left w:val="single" w:color="auto" w:sz="12" w:space="0"/>
            </w:tcBorders>
          </w:tcPr>
          <w:p>
            <w:pPr>
              <w:pStyle w:val="122"/>
              <w:spacing w:line="240" w:lineRule="atLeast"/>
              <w:jc w:val="center"/>
              <w:rPr>
                <w:szCs w:val="24"/>
              </w:rPr>
            </w:pPr>
            <w:r>
              <w:rPr>
                <w:szCs w:val="24"/>
              </w:rPr>
              <w:t>联系电话</w:t>
            </w:r>
          </w:p>
        </w:tc>
        <w:tc>
          <w:tcPr>
            <w:tcW w:w="2340" w:type="dxa"/>
            <w:gridSpan w:val="2"/>
            <w:vAlign w:val="center"/>
          </w:tcPr>
          <w:p>
            <w:pPr>
              <w:pStyle w:val="122"/>
              <w:spacing w:line="240" w:lineRule="atLeast"/>
              <w:rPr>
                <w:szCs w:val="24"/>
              </w:rPr>
            </w:pPr>
            <w:r>
              <w:rPr>
                <w:rFonts w:eastAsia="楷体_GB2312"/>
              </w:rPr>
              <w:t>18080615030</w:t>
            </w:r>
          </w:p>
        </w:tc>
        <w:tc>
          <w:tcPr>
            <w:tcW w:w="900" w:type="dxa"/>
          </w:tcPr>
          <w:p>
            <w:pPr>
              <w:pStyle w:val="122"/>
              <w:spacing w:line="240" w:lineRule="atLeast"/>
              <w:jc w:val="center"/>
              <w:rPr>
                <w:szCs w:val="24"/>
              </w:rPr>
            </w:pPr>
            <w:r>
              <w:rPr>
                <w:szCs w:val="24"/>
              </w:rPr>
              <w:t>传真</w:t>
            </w:r>
          </w:p>
        </w:tc>
        <w:tc>
          <w:tcPr>
            <w:tcW w:w="2280" w:type="dxa"/>
            <w:gridSpan w:val="4"/>
            <w:vAlign w:val="center"/>
          </w:tcPr>
          <w:p>
            <w:pPr>
              <w:pStyle w:val="122"/>
              <w:spacing w:line="240" w:lineRule="atLeast"/>
              <w:jc w:val="center"/>
              <w:rPr>
                <w:szCs w:val="24"/>
              </w:rPr>
            </w:pPr>
            <w:r>
              <w:rPr>
                <w:rFonts w:hint="eastAsia"/>
                <w:szCs w:val="24"/>
              </w:rPr>
              <w:t>/</w:t>
            </w:r>
          </w:p>
        </w:tc>
        <w:tc>
          <w:tcPr>
            <w:tcW w:w="1320" w:type="dxa"/>
            <w:vAlign w:val="center"/>
          </w:tcPr>
          <w:p>
            <w:pPr>
              <w:spacing w:line="240" w:lineRule="atLeast"/>
              <w:jc w:val="center"/>
              <w:rPr>
                <w:sz w:val="24"/>
              </w:rPr>
            </w:pPr>
            <w:r>
              <w:rPr>
                <w:sz w:val="24"/>
              </w:rPr>
              <w:t>邮政编码</w:t>
            </w:r>
          </w:p>
        </w:tc>
        <w:tc>
          <w:tcPr>
            <w:tcW w:w="1260" w:type="dxa"/>
            <w:gridSpan w:val="2"/>
            <w:tcBorders>
              <w:right w:val="single" w:color="auto" w:sz="12" w:space="0"/>
            </w:tcBorders>
            <w:vAlign w:val="center"/>
          </w:tcPr>
          <w:p>
            <w:pPr>
              <w:spacing w:line="240" w:lineRule="atLeast"/>
              <w:rPr>
                <w:sz w:val="24"/>
              </w:rPr>
            </w:pPr>
            <w:r>
              <w:rPr>
                <w:sz w:val="24"/>
              </w:rPr>
              <w:t>614000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68" w:type="dxa"/>
            <w:tcBorders>
              <w:left w:val="single" w:color="auto" w:sz="12" w:space="0"/>
            </w:tcBorders>
          </w:tcPr>
          <w:p>
            <w:pPr>
              <w:pStyle w:val="122"/>
              <w:spacing w:line="240" w:lineRule="atLeast"/>
              <w:jc w:val="center"/>
              <w:rPr>
                <w:szCs w:val="24"/>
              </w:rPr>
            </w:pPr>
            <w:r>
              <w:rPr>
                <w:szCs w:val="24"/>
              </w:rPr>
              <w:t>建设地点</w:t>
            </w:r>
          </w:p>
        </w:tc>
        <w:tc>
          <w:tcPr>
            <w:tcW w:w="8100" w:type="dxa"/>
            <w:gridSpan w:val="10"/>
            <w:tcBorders>
              <w:right w:val="single" w:color="auto" w:sz="12" w:space="0"/>
            </w:tcBorders>
            <w:vAlign w:val="center"/>
          </w:tcPr>
          <w:p>
            <w:pPr>
              <w:pStyle w:val="122"/>
              <w:spacing w:line="240" w:lineRule="atLeast"/>
              <w:jc w:val="center"/>
              <w:rPr>
                <w:szCs w:val="24"/>
              </w:rPr>
            </w:pPr>
            <w:r>
              <w:rPr>
                <w:rFonts w:hint="eastAsia"/>
                <w:szCs w:val="24"/>
              </w:rPr>
              <w:t>乐山市工业集中区振兴大道3</w:t>
            </w:r>
            <w:r>
              <w:rPr>
                <w:szCs w:val="24"/>
              </w:rPr>
              <w:t>99号</w:t>
            </w:r>
            <w:r>
              <w:rPr>
                <w:rFonts w:hint="eastAsia"/>
                <w:szCs w:val="24"/>
              </w:rPr>
              <w:t>(东经</w:t>
            </w:r>
            <w:r>
              <w:rPr>
                <w:szCs w:val="21"/>
              </w:rPr>
              <w:t>103.6582°</w:t>
            </w:r>
            <w:r>
              <w:rPr>
                <w:rFonts w:hint="eastAsia"/>
                <w:szCs w:val="21"/>
              </w:rPr>
              <w:t>，</w:t>
            </w:r>
            <w:r>
              <w:rPr>
                <w:rFonts w:hint="eastAsia"/>
                <w:szCs w:val="24"/>
              </w:rPr>
              <w:t>北纬</w:t>
            </w:r>
            <w:r>
              <w:rPr>
                <w:szCs w:val="21"/>
              </w:rPr>
              <w:t>29.5468°</w:t>
            </w:r>
            <w:r>
              <w:rPr>
                <w:rFonts w:hint="eastAsia"/>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4" w:hRule="atLeast"/>
        </w:trPr>
        <w:tc>
          <w:tcPr>
            <w:tcW w:w="1368" w:type="dxa"/>
            <w:tcBorders>
              <w:left w:val="single" w:color="auto" w:sz="12" w:space="0"/>
            </w:tcBorders>
            <w:vAlign w:val="center"/>
          </w:tcPr>
          <w:p>
            <w:pPr>
              <w:pStyle w:val="122"/>
              <w:spacing w:line="240" w:lineRule="atLeast"/>
              <w:jc w:val="center"/>
              <w:rPr>
                <w:szCs w:val="24"/>
              </w:rPr>
            </w:pPr>
            <w:r>
              <w:rPr>
                <w:szCs w:val="24"/>
              </w:rPr>
              <w:t>备案审批部门</w:t>
            </w:r>
          </w:p>
        </w:tc>
        <w:tc>
          <w:tcPr>
            <w:tcW w:w="3240" w:type="dxa"/>
            <w:gridSpan w:val="3"/>
            <w:vAlign w:val="center"/>
          </w:tcPr>
          <w:p>
            <w:pPr>
              <w:pStyle w:val="122"/>
              <w:spacing w:line="240" w:lineRule="atLeast"/>
              <w:jc w:val="center"/>
              <w:rPr>
                <w:szCs w:val="24"/>
              </w:rPr>
            </w:pPr>
            <w:r>
              <w:rPr>
                <w:rFonts w:hint="eastAsia"/>
                <w:szCs w:val="24"/>
              </w:rPr>
              <w:t>乐山市市中区经济商务和信息化局</w:t>
            </w:r>
          </w:p>
        </w:tc>
        <w:tc>
          <w:tcPr>
            <w:tcW w:w="1440" w:type="dxa"/>
            <w:gridSpan w:val="3"/>
            <w:vAlign w:val="center"/>
          </w:tcPr>
          <w:p>
            <w:pPr>
              <w:pStyle w:val="122"/>
              <w:spacing w:line="240" w:lineRule="atLeast"/>
              <w:jc w:val="center"/>
              <w:rPr>
                <w:szCs w:val="24"/>
              </w:rPr>
            </w:pPr>
            <w:r>
              <w:rPr>
                <w:szCs w:val="24"/>
              </w:rPr>
              <w:t>备案号</w:t>
            </w:r>
          </w:p>
        </w:tc>
        <w:tc>
          <w:tcPr>
            <w:tcW w:w="3420" w:type="dxa"/>
            <w:gridSpan w:val="4"/>
            <w:tcBorders>
              <w:right w:val="single" w:color="auto" w:sz="12" w:space="0"/>
            </w:tcBorders>
            <w:vAlign w:val="center"/>
          </w:tcPr>
          <w:p>
            <w:pPr>
              <w:pStyle w:val="122"/>
              <w:spacing w:line="240" w:lineRule="atLeast"/>
              <w:jc w:val="center"/>
              <w:rPr>
                <w:szCs w:val="24"/>
              </w:rPr>
            </w:pPr>
            <w:r>
              <w:rPr>
                <w:szCs w:val="24"/>
              </w:rPr>
              <w:t>川投资备【</w:t>
            </w:r>
            <w:r>
              <w:rPr>
                <w:rFonts w:hint="eastAsia"/>
                <w:szCs w:val="24"/>
              </w:rPr>
              <w:t>201</w:t>
            </w:r>
            <w:r>
              <w:rPr>
                <w:szCs w:val="24"/>
              </w:rPr>
              <w:t>9</w:t>
            </w:r>
            <w:r>
              <w:rPr>
                <w:rFonts w:hint="eastAsia"/>
                <w:szCs w:val="24"/>
              </w:rPr>
              <w:t>-5111</w:t>
            </w:r>
            <w:r>
              <w:rPr>
                <w:szCs w:val="24"/>
              </w:rPr>
              <w:t>02</w:t>
            </w:r>
            <w:r>
              <w:rPr>
                <w:rFonts w:hint="eastAsia"/>
                <w:szCs w:val="24"/>
              </w:rPr>
              <w:t>-</w:t>
            </w:r>
            <w:r>
              <w:rPr>
                <w:szCs w:val="24"/>
              </w:rPr>
              <w:t>33</w:t>
            </w:r>
            <w:r>
              <w:rPr>
                <w:rFonts w:hint="eastAsia"/>
                <w:szCs w:val="24"/>
              </w:rPr>
              <w:t>-03-</w:t>
            </w:r>
            <w:r>
              <w:rPr>
                <w:szCs w:val="24"/>
              </w:rPr>
              <w:t>326995】</w:t>
            </w:r>
            <w:r>
              <w:rPr>
                <w:rFonts w:hint="eastAsia"/>
                <w:szCs w:val="24"/>
              </w:rPr>
              <w:t>JXQB-00</w:t>
            </w:r>
            <w:r>
              <w:rPr>
                <w:szCs w:val="24"/>
              </w:rPr>
              <w:t>0</w:t>
            </w:r>
            <w:r>
              <w:rPr>
                <w:rFonts w:hint="eastAsia"/>
                <w:szCs w:val="24"/>
              </w:rPr>
              <w:t>2</w:t>
            </w:r>
            <w:r>
              <w:rPr>
                <w:szCs w:val="24"/>
              </w:rPr>
              <w:t>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68" w:type="dxa"/>
            <w:tcBorders>
              <w:left w:val="single" w:color="auto" w:sz="12" w:space="0"/>
            </w:tcBorders>
            <w:vAlign w:val="center"/>
          </w:tcPr>
          <w:p>
            <w:pPr>
              <w:pStyle w:val="122"/>
              <w:spacing w:line="240" w:lineRule="atLeast"/>
              <w:jc w:val="center"/>
              <w:rPr>
                <w:szCs w:val="24"/>
              </w:rPr>
            </w:pPr>
            <w:r>
              <w:rPr>
                <w:szCs w:val="24"/>
              </w:rPr>
              <w:t>建设性质</w:t>
            </w:r>
          </w:p>
        </w:tc>
        <w:tc>
          <w:tcPr>
            <w:tcW w:w="3240" w:type="dxa"/>
            <w:gridSpan w:val="3"/>
            <w:vAlign w:val="center"/>
          </w:tcPr>
          <w:p>
            <w:pPr>
              <w:pStyle w:val="122"/>
              <w:spacing w:line="240" w:lineRule="atLeast"/>
              <w:jc w:val="center"/>
              <w:rPr>
                <w:szCs w:val="24"/>
              </w:rPr>
            </w:pPr>
            <w:r>
              <w:rPr>
                <w:rFonts w:hint="eastAsia"/>
                <w:szCs w:val="24"/>
              </w:rPr>
              <w:t>改建</w:t>
            </w:r>
          </w:p>
        </w:tc>
        <w:tc>
          <w:tcPr>
            <w:tcW w:w="1440" w:type="dxa"/>
            <w:gridSpan w:val="3"/>
            <w:vAlign w:val="center"/>
          </w:tcPr>
          <w:p>
            <w:pPr>
              <w:pStyle w:val="122"/>
              <w:spacing w:line="240" w:lineRule="atLeast"/>
              <w:jc w:val="center"/>
              <w:rPr>
                <w:szCs w:val="24"/>
              </w:rPr>
            </w:pPr>
            <w:r>
              <w:rPr>
                <w:szCs w:val="24"/>
              </w:rPr>
              <w:t>行业类别</w:t>
            </w:r>
          </w:p>
          <w:p>
            <w:pPr>
              <w:pStyle w:val="122"/>
              <w:spacing w:line="240" w:lineRule="atLeast"/>
              <w:jc w:val="center"/>
              <w:rPr>
                <w:szCs w:val="24"/>
              </w:rPr>
            </w:pPr>
            <w:r>
              <w:rPr>
                <w:szCs w:val="24"/>
              </w:rPr>
              <w:t>及代码</w:t>
            </w:r>
          </w:p>
        </w:tc>
        <w:tc>
          <w:tcPr>
            <w:tcW w:w="3420" w:type="dxa"/>
            <w:gridSpan w:val="4"/>
            <w:tcBorders>
              <w:right w:val="single" w:color="auto" w:sz="12" w:space="0"/>
            </w:tcBorders>
            <w:vAlign w:val="center"/>
          </w:tcPr>
          <w:p>
            <w:pPr>
              <w:pStyle w:val="122"/>
              <w:spacing w:line="240" w:lineRule="atLeast"/>
              <w:jc w:val="center"/>
              <w:rPr>
                <w:szCs w:val="24"/>
              </w:rPr>
            </w:pPr>
            <w:r>
              <w:t>C3360 金属表面处理及热处理加工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68" w:type="dxa"/>
            <w:tcBorders>
              <w:left w:val="single" w:color="auto" w:sz="12" w:space="0"/>
            </w:tcBorders>
            <w:vAlign w:val="center"/>
          </w:tcPr>
          <w:p>
            <w:pPr>
              <w:pStyle w:val="122"/>
              <w:spacing w:line="240" w:lineRule="atLeast"/>
              <w:jc w:val="center"/>
              <w:rPr>
                <w:szCs w:val="24"/>
              </w:rPr>
            </w:pPr>
            <w:r>
              <w:rPr>
                <w:szCs w:val="24"/>
              </w:rPr>
              <w:t>占地面积</w:t>
            </w:r>
          </w:p>
          <w:p>
            <w:pPr>
              <w:pStyle w:val="122"/>
              <w:spacing w:line="240" w:lineRule="atLeast"/>
              <w:jc w:val="center"/>
              <w:rPr>
                <w:szCs w:val="24"/>
              </w:rPr>
            </w:pPr>
            <w:r>
              <w:rPr>
                <w:szCs w:val="24"/>
              </w:rPr>
              <w:t>(</w:t>
            </w:r>
            <w:r>
              <w:rPr>
                <w:rFonts w:hint="eastAsia"/>
                <w:szCs w:val="24"/>
              </w:rPr>
              <w:t>平方米</w:t>
            </w:r>
            <w:r>
              <w:rPr>
                <w:szCs w:val="24"/>
              </w:rPr>
              <w:t>)</w:t>
            </w:r>
          </w:p>
        </w:tc>
        <w:tc>
          <w:tcPr>
            <w:tcW w:w="3240" w:type="dxa"/>
            <w:gridSpan w:val="3"/>
            <w:vAlign w:val="center"/>
          </w:tcPr>
          <w:p>
            <w:pPr>
              <w:pStyle w:val="122"/>
              <w:spacing w:line="240" w:lineRule="atLeast"/>
              <w:jc w:val="center"/>
              <w:rPr>
                <w:szCs w:val="24"/>
              </w:rPr>
            </w:pPr>
            <w:r>
              <w:rPr>
                <w:szCs w:val="24"/>
              </w:rPr>
              <w:t>550</w:t>
            </w:r>
          </w:p>
        </w:tc>
        <w:tc>
          <w:tcPr>
            <w:tcW w:w="1440" w:type="dxa"/>
            <w:gridSpan w:val="3"/>
            <w:vAlign w:val="center"/>
          </w:tcPr>
          <w:p>
            <w:pPr>
              <w:pStyle w:val="122"/>
              <w:spacing w:line="240" w:lineRule="atLeast"/>
              <w:jc w:val="center"/>
              <w:rPr>
                <w:szCs w:val="24"/>
              </w:rPr>
            </w:pPr>
            <w:r>
              <w:rPr>
                <w:szCs w:val="24"/>
              </w:rPr>
              <w:t>绿化面积</w:t>
            </w:r>
          </w:p>
          <w:p>
            <w:pPr>
              <w:pStyle w:val="122"/>
              <w:spacing w:line="240" w:lineRule="atLeast"/>
              <w:jc w:val="center"/>
              <w:rPr>
                <w:szCs w:val="24"/>
              </w:rPr>
            </w:pPr>
            <w:r>
              <w:rPr>
                <w:szCs w:val="24"/>
              </w:rPr>
              <w:t>(平方米)</w:t>
            </w:r>
          </w:p>
        </w:tc>
        <w:tc>
          <w:tcPr>
            <w:tcW w:w="3420" w:type="dxa"/>
            <w:gridSpan w:val="4"/>
            <w:tcBorders>
              <w:right w:val="single" w:color="auto" w:sz="12" w:space="0"/>
            </w:tcBorders>
            <w:vAlign w:val="center"/>
          </w:tcPr>
          <w:p>
            <w:pPr>
              <w:pStyle w:val="122"/>
              <w:spacing w:line="240" w:lineRule="atLeast"/>
              <w:jc w:val="center"/>
              <w:rPr>
                <w:szCs w:val="24"/>
              </w:rPr>
            </w:pPr>
            <w:r>
              <w:rPr>
                <w:rFonts w:hint="eastAsia"/>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68" w:type="dxa"/>
            <w:tcBorders>
              <w:left w:val="single" w:color="auto" w:sz="12" w:space="0"/>
            </w:tcBorders>
            <w:vAlign w:val="center"/>
          </w:tcPr>
          <w:p>
            <w:pPr>
              <w:pStyle w:val="122"/>
              <w:spacing w:line="240" w:lineRule="atLeast"/>
              <w:jc w:val="center"/>
              <w:rPr>
                <w:szCs w:val="24"/>
              </w:rPr>
            </w:pPr>
            <w:r>
              <w:rPr>
                <w:szCs w:val="24"/>
              </w:rPr>
              <w:t>总投资</w:t>
            </w:r>
          </w:p>
          <w:p>
            <w:pPr>
              <w:pStyle w:val="122"/>
              <w:spacing w:line="240" w:lineRule="atLeast"/>
              <w:jc w:val="center"/>
              <w:rPr>
                <w:szCs w:val="24"/>
              </w:rPr>
            </w:pPr>
            <w:r>
              <w:rPr>
                <w:szCs w:val="24"/>
              </w:rPr>
              <w:t>(万元)</w:t>
            </w:r>
          </w:p>
        </w:tc>
        <w:tc>
          <w:tcPr>
            <w:tcW w:w="1532" w:type="dxa"/>
            <w:vAlign w:val="center"/>
          </w:tcPr>
          <w:p>
            <w:pPr>
              <w:pStyle w:val="122"/>
              <w:spacing w:line="240" w:lineRule="atLeast"/>
              <w:jc w:val="center"/>
              <w:rPr>
                <w:szCs w:val="24"/>
              </w:rPr>
            </w:pPr>
            <w:r>
              <w:rPr>
                <w:szCs w:val="24"/>
              </w:rPr>
              <w:t>50</w:t>
            </w:r>
          </w:p>
        </w:tc>
        <w:tc>
          <w:tcPr>
            <w:tcW w:w="1708" w:type="dxa"/>
            <w:gridSpan w:val="2"/>
            <w:vAlign w:val="center"/>
          </w:tcPr>
          <w:p>
            <w:pPr>
              <w:pStyle w:val="122"/>
              <w:spacing w:line="240" w:lineRule="atLeast"/>
              <w:jc w:val="center"/>
              <w:rPr>
                <w:szCs w:val="24"/>
              </w:rPr>
            </w:pPr>
            <w:r>
              <w:rPr>
                <w:szCs w:val="24"/>
              </w:rPr>
              <w:t>其中：环保投资(万元)</w:t>
            </w:r>
          </w:p>
        </w:tc>
        <w:tc>
          <w:tcPr>
            <w:tcW w:w="1440" w:type="dxa"/>
            <w:gridSpan w:val="3"/>
            <w:vAlign w:val="center"/>
          </w:tcPr>
          <w:p>
            <w:pPr>
              <w:pStyle w:val="122"/>
              <w:spacing w:line="240" w:lineRule="atLeast"/>
              <w:jc w:val="center"/>
              <w:rPr>
                <w:szCs w:val="24"/>
              </w:rPr>
            </w:pPr>
            <w:r>
              <w:rPr>
                <w:szCs w:val="24"/>
              </w:rPr>
              <w:t>19</w:t>
            </w:r>
          </w:p>
        </w:tc>
        <w:tc>
          <w:tcPr>
            <w:tcW w:w="2340" w:type="dxa"/>
            <w:gridSpan w:val="3"/>
          </w:tcPr>
          <w:p>
            <w:pPr>
              <w:spacing w:line="240" w:lineRule="atLeast"/>
              <w:rPr>
                <w:sz w:val="24"/>
              </w:rPr>
            </w:pPr>
            <w:r>
              <w:rPr>
                <w:sz w:val="24"/>
              </w:rPr>
              <w:t>环保投资占总投资比例%</w:t>
            </w:r>
          </w:p>
        </w:tc>
        <w:tc>
          <w:tcPr>
            <w:tcW w:w="1080" w:type="dxa"/>
            <w:tcBorders>
              <w:right w:val="single" w:color="auto" w:sz="12" w:space="0"/>
            </w:tcBorders>
            <w:vAlign w:val="center"/>
          </w:tcPr>
          <w:p>
            <w:pPr>
              <w:spacing w:line="240" w:lineRule="atLeast"/>
              <w:jc w:val="center"/>
              <w:rPr>
                <w:sz w:val="24"/>
              </w:rPr>
            </w:pPr>
            <w:r>
              <w:rPr>
                <w:sz w:val="24"/>
              </w:rPr>
              <w:t>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trPr>
        <w:tc>
          <w:tcPr>
            <w:tcW w:w="1368" w:type="dxa"/>
            <w:tcBorders>
              <w:left w:val="single" w:color="auto" w:sz="12" w:space="0"/>
            </w:tcBorders>
            <w:vAlign w:val="center"/>
          </w:tcPr>
          <w:p>
            <w:pPr>
              <w:pStyle w:val="122"/>
              <w:spacing w:line="240" w:lineRule="atLeast"/>
              <w:jc w:val="center"/>
              <w:rPr>
                <w:szCs w:val="24"/>
              </w:rPr>
            </w:pPr>
            <w:r>
              <w:rPr>
                <w:szCs w:val="24"/>
              </w:rPr>
              <w:t>评价经费</w:t>
            </w:r>
          </w:p>
          <w:p>
            <w:pPr>
              <w:pStyle w:val="122"/>
              <w:spacing w:line="240" w:lineRule="atLeast"/>
              <w:jc w:val="center"/>
              <w:rPr>
                <w:szCs w:val="24"/>
              </w:rPr>
            </w:pPr>
            <w:r>
              <w:rPr>
                <w:szCs w:val="24"/>
              </w:rPr>
              <w:t>(万元)</w:t>
            </w:r>
          </w:p>
        </w:tc>
        <w:tc>
          <w:tcPr>
            <w:tcW w:w="1532" w:type="dxa"/>
            <w:vAlign w:val="center"/>
          </w:tcPr>
          <w:p>
            <w:pPr>
              <w:pStyle w:val="122"/>
              <w:spacing w:line="240" w:lineRule="atLeast"/>
              <w:jc w:val="center"/>
              <w:rPr>
                <w:szCs w:val="24"/>
              </w:rPr>
            </w:pPr>
            <w:r>
              <w:rPr>
                <w:rFonts w:hint="eastAsia"/>
                <w:szCs w:val="24"/>
              </w:rPr>
              <w:t>/</w:t>
            </w:r>
          </w:p>
        </w:tc>
        <w:tc>
          <w:tcPr>
            <w:tcW w:w="2492" w:type="dxa"/>
            <w:gridSpan w:val="3"/>
            <w:vAlign w:val="center"/>
          </w:tcPr>
          <w:p>
            <w:pPr>
              <w:pStyle w:val="122"/>
              <w:spacing w:line="240" w:lineRule="atLeast"/>
              <w:jc w:val="center"/>
              <w:rPr>
                <w:szCs w:val="24"/>
              </w:rPr>
            </w:pPr>
            <w:r>
              <w:rPr>
                <w:szCs w:val="24"/>
              </w:rPr>
              <w:t>预期竣工日期</w:t>
            </w:r>
          </w:p>
        </w:tc>
        <w:tc>
          <w:tcPr>
            <w:tcW w:w="4076" w:type="dxa"/>
            <w:gridSpan w:val="6"/>
            <w:tcBorders>
              <w:right w:val="single" w:color="auto" w:sz="12" w:space="0"/>
            </w:tcBorders>
            <w:vAlign w:val="center"/>
          </w:tcPr>
          <w:p>
            <w:pPr>
              <w:pStyle w:val="122"/>
              <w:spacing w:line="240" w:lineRule="atLeast"/>
              <w:jc w:val="center"/>
              <w:rPr>
                <w:szCs w:val="24"/>
              </w:rPr>
            </w:pPr>
            <w:r>
              <w:rPr>
                <w:rFonts w:hint="eastAsia"/>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9468" w:type="dxa"/>
            <w:gridSpan w:val="11"/>
            <w:tcBorders>
              <w:left w:val="single" w:color="auto" w:sz="12" w:space="0"/>
              <w:bottom w:val="single" w:color="auto" w:sz="12" w:space="0"/>
              <w:right w:val="single" w:color="auto" w:sz="12" w:space="0"/>
            </w:tcBorders>
            <w:vAlign w:val="center"/>
          </w:tcPr>
          <w:p>
            <w:pPr>
              <w:spacing w:before="240" w:line="360" w:lineRule="auto"/>
              <w:rPr>
                <w:b/>
                <w:bCs/>
                <w:sz w:val="28"/>
              </w:rPr>
            </w:pPr>
            <w:r>
              <w:rPr>
                <w:rFonts w:hAnsi="宋体"/>
                <w:b/>
                <w:bCs/>
                <w:sz w:val="28"/>
              </w:rPr>
              <w:t>工程内容及概要：</w:t>
            </w:r>
          </w:p>
          <w:p>
            <w:pPr>
              <w:spacing w:line="360" w:lineRule="auto"/>
              <w:ind w:firstLine="562" w:firstLineChars="200"/>
              <w:rPr>
                <w:b/>
                <w:bCs/>
                <w:sz w:val="28"/>
                <w:szCs w:val="28"/>
              </w:rPr>
            </w:pPr>
            <w:r>
              <w:rPr>
                <w:rFonts w:hint="eastAsia"/>
                <w:b/>
                <w:bCs/>
                <w:sz w:val="28"/>
                <w:szCs w:val="28"/>
              </w:rPr>
              <w:t>一、</w:t>
            </w:r>
            <w:r>
              <w:rPr>
                <w:b/>
                <w:bCs/>
                <w:sz w:val="28"/>
                <w:szCs w:val="28"/>
              </w:rPr>
              <w:t>项目的由来</w:t>
            </w:r>
          </w:p>
          <w:p>
            <w:pPr>
              <w:spacing w:line="360" w:lineRule="auto"/>
              <w:ind w:firstLine="472" w:firstLineChars="197"/>
              <w:rPr>
                <w:sz w:val="24"/>
              </w:rPr>
            </w:pPr>
            <w:r>
              <w:rPr>
                <w:rFonts w:hint="eastAsia"/>
                <w:sz w:val="24"/>
              </w:rPr>
              <w:t>乐山豪森锅具有限公司该公司成立于2</w:t>
            </w:r>
            <w:r>
              <w:rPr>
                <w:sz w:val="24"/>
              </w:rPr>
              <w:t>004年</w:t>
            </w:r>
            <w:r>
              <w:rPr>
                <w:rFonts w:hint="eastAsia"/>
                <w:sz w:val="24"/>
              </w:rPr>
              <w:t>4月2</w:t>
            </w:r>
            <w:r>
              <w:rPr>
                <w:sz w:val="24"/>
              </w:rPr>
              <w:t>3日</w:t>
            </w:r>
            <w:r>
              <w:rPr>
                <w:rFonts w:hint="eastAsia"/>
                <w:sz w:val="24"/>
              </w:rPr>
              <w:t>，</w:t>
            </w:r>
            <w:r>
              <w:rPr>
                <w:sz w:val="24"/>
              </w:rPr>
              <w:t>注册地址为乐山市工业集中区振兴大道</w:t>
            </w:r>
            <w:r>
              <w:rPr>
                <w:rFonts w:hint="eastAsia"/>
                <w:sz w:val="24"/>
              </w:rPr>
              <w:t>3</w:t>
            </w:r>
            <w:r>
              <w:rPr>
                <w:sz w:val="24"/>
              </w:rPr>
              <w:t>99号</w:t>
            </w:r>
            <w:r>
              <w:rPr>
                <w:rFonts w:hint="eastAsia"/>
                <w:sz w:val="24"/>
              </w:rPr>
              <w:t>，</w:t>
            </w:r>
            <w:r>
              <w:rPr>
                <w:sz w:val="24"/>
              </w:rPr>
              <w:t>主要经营锅具生产</w:t>
            </w:r>
            <w:r>
              <w:rPr>
                <w:rFonts w:hint="eastAsia"/>
                <w:sz w:val="24"/>
              </w:rPr>
              <w:t>、</w:t>
            </w:r>
            <w:r>
              <w:rPr>
                <w:sz w:val="24"/>
              </w:rPr>
              <w:t>销售</w:t>
            </w:r>
            <w:r>
              <w:rPr>
                <w:rFonts w:hint="eastAsia"/>
                <w:sz w:val="24"/>
              </w:rPr>
              <w:t>。</w:t>
            </w:r>
            <w:r>
              <w:rPr>
                <w:sz w:val="24"/>
              </w:rPr>
              <w:t>该公司于</w:t>
            </w:r>
            <w:r>
              <w:rPr>
                <w:rFonts w:hint="eastAsia"/>
                <w:sz w:val="24"/>
              </w:rPr>
              <w:t>2</w:t>
            </w:r>
            <w:r>
              <w:rPr>
                <w:sz w:val="24"/>
              </w:rPr>
              <w:t>010年在乐山市工业集中区水口</w:t>
            </w:r>
            <w:r>
              <w:rPr>
                <w:rFonts w:hint="eastAsia"/>
                <w:sz w:val="24"/>
              </w:rPr>
              <w:t>-</w:t>
            </w:r>
            <w:r>
              <w:rPr>
                <w:sz w:val="24"/>
              </w:rPr>
              <w:t>罗汉工业园区内投资建设</w:t>
            </w:r>
            <w:r>
              <w:rPr>
                <w:rFonts w:hint="eastAsia"/>
                <w:sz w:val="24"/>
              </w:rPr>
              <w:t>“乐山豪森锅具有限公司扩建锅具生产线项目”，已分别于2</w:t>
            </w:r>
            <w:r>
              <w:rPr>
                <w:sz w:val="24"/>
              </w:rPr>
              <w:t>010年</w:t>
            </w:r>
            <w:r>
              <w:rPr>
                <w:rFonts w:hint="eastAsia"/>
                <w:sz w:val="24"/>
              </w:rPr>
              <w:t>5</w:t>
            </w:r>
            <w:r>
              <w:rPr>
                <w:sz w:val="24"/>
              </w:rPr>
              <w:t>月与</w:t>
            </w:r>
            <w:r>
              <w:rPr>
                <w:rFonts w:hint="eastAsia"/>
                <w:sz w:val="24"/>
              </w:rPr>
              <w:t>2</w:t>
            </w:r>
            <w:r>
              <w:rPr>
                <w:sz w:val="24"/>
              </w:rPr>
              <w:t>017年</w:t>
            </w:r>
            <w:r>
              <w:rPr>
                <w:rFonts w:hint="eastAsia"/>
                <w:sz w:val="24"/>
              </w:rPr>
              <w:t>8月履行了环评和竣工环保验收手续（乐中环建管[</w:t>
            </w:r>
            <w:r>
              <w:rPr>
                <w:sz w:val="24"/>
              </w:rPr>
              <w:t>2010]44号</w:t>
            </w:r>
            <w:r>
              <w:rPr>
                <w:rFonts w:hint="eastAsia"/>
                <w:sz w:val="24"/>
              </w:rPr>
              <w:t>、乐中环验[</w:t>
            </w:r>
            <w:r>
              <w:rPr>
                <w:sz w:val="24"/>
              </w:rPr>
              <w:t>2014]9号</w:t>
            </w:r>
            <w:r>
              <w:rPr>
                <w:rFonts w:hint="eastAsia"/>
                <w:sz w:val="24"/>
              </w:rPr>
              <w:t>），项目设计生产能力为年产22</w:t>
            </w:r>
            <w:r>
              <w:rPr>
                <w:sz w:val="24"/>
              </w:rPr>
              <w:t>0万口铸铁锅</w:t>
            </w:r>
            <w:r>
              <w:rPr>
                <w:rFonts w:hint="eastAsia"/>
                <w:sz w:val="24"/>
              </w:rPr>
              <w:t>（其中采用高温氧化表面处理的防锈锅产量为2</w:t>
            </w:r>
            <w:r>
              <w:rPr>
                <w:sz w:val="24"/>
              </w:rPr>
              <w:t>00万口</w:t>
            </w:r>
            <w:r>
              <w:rPr>
                <w:rFonts w:hint="eastAsia"/>
                <w:sz w:val="24"/>
              </w:rPr>
              <w:t>，2</w:t>
            </w:r>
            <w:r>
              <w:rPr>
                <w:sz w:val="24"/>
              </w:rPr>
              <w:t>0万口不采用防锈表面处理</w:t>
            </w:r>
            <w:r>
              <w:rPr>
                <w:rFonts w:hint="eastAsia"/>
                <w:sz w:val="24"/>
              </w:rPr>
              <w:t>）。为提高铸铁锅的防锈耐磨等特性，同时为了降低电量消耗，提高生产废水的回用率，乐山豪森锅具有限公司拟在现有厂房内投资建设“提高铸铁锅表面防锈性能技术改造升级项目”，总投资50万元，采用Q</w:t>
            </w:r>
            <w:r>
              <w:rPr>
                <w:sz w:val="24"/>
              </w:rPr>
              <w:t>PQ盐浴复合处理技术对铸铁锅进行表面处理</w:t>
            </w:r>
            <w:r>
              <w:rPr>
                <w:rFonts w:hint="eastAsia"/>
                <w:sz w:val="24"/>
              </w:rPr>
              <w:t>，年进行铸铁锅200万口的表面防锈处理。项目已在原</w:t>
            </w:r>
            <w:r>
              <w:rPr>
                <w:sz w:val="24"/>
              </w:rPr>
              <w:t>乐山市中区经济商务和信息化局备案</w:t>
            </w:r>
            <w:r>
              <w:rPr>
                <w:rFonts w:hint="eastAsia"/>
                <w:sz w:val="24"/>
              </w:rPr>
              <w:t>，</w:t>
            </w:r>
            <w:r>
              <w:rPr>
                <w:sz w:val="24"/>
              </w:rPr>
              <w:t>备案号</w:t>
            </w:r>
            <w:r>
              <w:rPr>
                <w:rFonts w:hint="eastAsia"/>
                <w:sz w:val="24"/>
              </w:rPr>
              <w:t>：</w:t>
            </w:r>
            <w:r>
              <w:rPr>
                <w:sz w:val="24"/>
              </w:rPr>
              <w:t>川投资备</w:t>
            </w:r>
            <w:r>
              <w:rPr>
                <w:rFonts w:hint="eastAsia"/>
                <w:sz w:val="24"/>
              </w:rPr>
              <w:t>【2</w:t>
            </w:r>
            <w:r>
              <w:rPr>
                <w:sz w:val="24"/>
              </w:rPr>
              <w:t>019-511102-33-03-326995</w:t>
            </w:r>
            <w:r>
              <w:rPr>
                <w:rFonts w:hint="eastAsia"/>
                <w:sz w:val="24"/>
              </w:rPr>
              <w:t>】J</w:t>
            </w:r>
            <w:r>
              <w:rPr>
                <w:sz w:val="24"/>
              </w:rPr>
              <w:t>XQB-0002号</w:t>
            </w:r>
            <w:r>
              <w:rPr>
                <w:rFonts w:hint="eastAsia"/>
                <w:sz w:val="24"/>
              </w:rPr>
              <w:t>。</w:t>
            </w:r>
          </w:p>
          <w:p>
            <w:pPr>
              <w:spacing w:line="360" w:lineRule="auto"/>
              <w:ind w:firstLine="480" w:firstLineChars="200"/>
              <w:rPr>
                <w:sz w:val="24"/>
              </w:rPr>
            </w:pPr>
            <w:r>
              <w:rPr>
                <w:sz w:val="24"/>
              </w:rPr>
              <w:t>项目建设内容及生产规模</w:t>
            </w:r>
            <w:r>
              <w:rPr>
                <w:rFonts w:hint="eastAsia"/>
                <w:sz w:val="24"/>
              </w:rPr>
              <w:t>：在现有精工、氧化车间南侧建设铸铁锅表面防锈生产线一条，设置预热炉、氮化炉、氧化炉、磨削设备、自动清洗机等设施，配套建设相应的环保设施，其余辅助建筑物、生活设施及供水、供电系统依托现有设施，不新建。本项目主要采用</w:t>
            </w:r>
            <w:r>
              <w:rPr>
                <w:sz w:val="24"/>
              </w:rPr>
              <w:t>QPQ盐浴复合处理技术</w:t>
            </w:r>
            <w:r>
              <w:rPr>
                <w:rFonts w:hint="eastAsia"/>
                <w:sz w:val="24"/>
              </w:rPr>
              <w:t>，主要工艺流程为：预热—氮化— —次氧化— —次表面抛光—二次氧化—二次表面抛光—清洗。本项目建成后的表面防锈处理能力为铁锅2</w:t>
            </w:r>
            <w:r>
              <w:rPr>
                <w:sz w:val="24"/>
              </w:rPr>
              <w:t>00万口</w:t>
            </w:r>
            <w:r>
              <w:rPr>
                <w:rFonts w:hint="eastAsia"/>
                <w:sz w:val="24"/>
              </w:rPr>
              <w:t xml:space="preserve">/年，不新增铁锅总产能。 </w:t>
            </w:r>
            <w:r>
              <w:rPr>
                <w:sz w:val="24"/>
              </w:rPr>
              <w:t xml:space="preserve">                </w:t>
            </w:r>
          </w:p>
          <w:p>
            <w:pPr>
              <w:spacing w:line="360" w:lineRule="auto"/>
              <w:ind w:firstLine="480" w:firstLineChars="200"/>
              <w:rPr>
                <w:sz w:val="28"/>
                <w:szCs w:val="28"/>
              </w:rPr>
            </w:pPr>
            <w:r>
              <w:rPr>
                <w:sz w:val="24"/>
              </w:rPr>
              <w:t>按照《中华人民共和国环境保护法》、《中华人民共和国环境影响评价法》和国务院令第</w:t>
            </w:r>
            <w:r>
              <w:rPr>
                <w:rFonts w:hint="eastAsia"/>
                <w:sz w:val="24"/>
              </w:rPr>
              <w:t>682</w:t>
            </w:r>
            <w:r>
              <w:rPr>
                <w:sz w:val="24"/>
              </w:rPr>
              <w:t>号要求，一切新建、扩建、技改项目必须进行环境影响评价。</w:t>
            </w:r>
            <w:r>
              <w:rPr>
                <w:rFonts w:hint="eastAsia"/>
                <w:sz w:val="24"/>
              </w:rPr>
              <w:t xml:space="preserve">根据《建设项目环境保护分类管理名录》，本项目属于“二十二 金属制品业 </w:t>
            </w:r>
            <w:r>
              <w:rPr>
                <w:sz w:val="24"/>
              </w:rPr>
              <w:t>68 金属制品表面处理及热处理加工</w:t>
            </w:r>
            <w:r>
              <w:rPr>
                <w:rFonts w:hint="eastAsia"/>
                <w:sz w:val="24"/>
              </w:rPr>
              <w:t>”中的“其他”，因此该项目编制环境影响报告表，为此乐山豪森锅具有限公司将其投资建设的“提高铸铁锅表面防锈性能技术改造升级项目”的环境影响评价工作委托重庆智力环境开发策划咨询有限公司完成。我单位受托后，派工程技术人员到现场进行调查和资料收集，按照国家建设项目环境影响报告表的有关技术规范要求，编制完成该项目环境影响报告表。</w:t>
            </w:r>
          </w:p>
          <w:p>
            <w:pPr>
              <w:spacing w:line="360" w:lineRule="auto"/>
              <w:ind w:firstLine="562" w:firstLineChars="200"/>
              <w:rPr>
                <w:b/>
                <w:bCs/>
                <w:sz w:val="28"/>
                <w:szCs w:val="28"/>
              </w:rPr>
            </w:pPr>
            <w:r>
              <w:rPr>
                <w:b/>
                <w:bCs/>
                <w:sz w:val="28"/>
                <w:szCs w:val="28"/>
              </w:rPr>
              <w:t>二、产业政策符合性分析</w:t>
            </w:r>
          </w:p>
          <w:p>
            <w:pPr>
              <w:spacing w:line="360" w:lineRule="auto"/>
              <w:ind w:firstLine="480" w:firstLineChars="200"/>
              <w:rPr>
                <w:sz w:val="24"/>
              </w:rPr>
            </w:pPr>
            <w:r>
              <w:rPr>
                <w:rFonts w:ascii="宋体" w:hAnsi="宋体"/>
                <w:sz w:val="24"/>
              </w:rPr>
              <w:t>本项目属于C3360</w:t>
            </w:r>
            <w:r>
              <w:rPr>
                <w:rFonts w:hint="eastAsia" w:ascii="宋体" w:hAnsi="宋体"/>
                <w:sz w:val="24"/>
              </w:rPr>
              <w:t>金属表面处理</w:t>
            </w:r>
            <w:r>
              <w:rPr>
                <w:rFonts w:ascii="宋体" w:hAnsi="宋体"/>
                <w:sz w:val="24"/>
              </w:rPr>
              <w:t>及热处理加工，</w:t>
            </w:r>
            <w:r>
              <w:rPr>
                <w:rFonts w:hint="eastAsia"/>
                <w:sz w:val="24"/>
              </w:rPr>
              <w:t>根据《产业结构调整指导目录（2011年本）（修正）》</w:t>
            </w:r>
            <w:r>
              <w:rPr>
                <w:sz w:val="24"/>
              </w:rPr>
              <w:t>，本项目生产工艺、设备、产品均不属于产业政策中的</w:t>
            </w:r>
            <w:r>
              <w:rPr>
                <w:rFonts w:hint="eastAsia"/>
                <w:sz w:val="24"/>
              </w:rPr>
              <w:t>鼓励类、</w:t>
            </w:r>
            <w:r>
              <w:rPr>
                <w:sz w:val="24"/>
              </w:rPr>
              <w:t>限制</w:t>
            </w:r>
            <w:r>
              <w:rPr>
                <w:rFonts w:hint="eastAsia"/>
                <w:sz w:val="24"/>
              </w:rPr>
              <w:t>类</w:t>
            </w:r>
            <w:r>
              <w:rPr>
                <w:sz w:val="24"/>
              </w:rPr>
              <w:t>和</w:t>
            </w:r>
            <w:r>
              <w:rPr>
                <w:rFonts w:hint="eastAsia"/>
                <w:sz w:val="24"/>
              </w:rPr>
              <w:t>淘汰</w:t>
            </w:r>
            <w:r>
              <w:rPr>
                <w:sz w:val="24"/>
              </w:rPr>
              <w:t>类，</w:t>
            </w:r>
            <w:r>
              <w:rPr>
                <w:rFonts w:hint="eastAsia"/>
                <w:sz w:val="24"/>
              </w:rPr>
              <w:t>因此</w:t>
            </w:r>
            <w:r>
              <w:rPr>
                <w:sz w:val="24"/>
              </w:rPr>
              <w:t>属于允许类建设项目。</w:t>
            </w:r>
            <w:r>
              <w:rPr>
                <w:rFonts w:hint="eastAsia"/>
                <w:sz w:val="24"/>
              </w:rPr>
              <w:t>同时，乐山市市中区商务经济和信息化局于201</w:t>
            </w:r>
            <w:r>
              <w:rPr>
                <w:sz w:val="24"/>
              </w:rPr>
              <w:t>9</w:t>
            </w:r>
            <w:r>
              <w:rPr>
                <w:rFonts w:hint="eastAsia"/>
                <w:sz w:val="24"/>
              </w:rPr>
              <w:t>年</w:t>
            </w:r>
            <w:r>
              <w:rPr>
                <w:sz w:val="24"/>
              </w:rPr>
              <w:t>1</w:t>
            </w:r>
            <w:r>
              <w:rPr>
                <w:rFonts w:hint="eastAsia"/>
                <w:sz w:val="24"/>
              </w:rPr>
              <w:t>月</w:t>
            </w:r>
            <w:r>
              <w:rPr>
                <w:sz w:val="24"/>
              </w:rPr>
              <w:t>10</w:t>
            </w:r>
            <w:r>
              <w:rPr>
                <w:rFonts w:hint="eastAsia"/>
                <w:sz w:val="24"/>
              </w:rPr>
              <w:t>日对本项目以备案号川投资备【201</w:t>
            </w:r>
            <w:r>
              <w:rPr>
                <w:sz w:val="24"/>
              </w:rPr>
              <w:t>9-</w:t>
            </w:r>
            <w:r>
              <w:rPr>
                <w:rFonts w:hint="eastAsia"/>
                <w:sz w:val="24"/>
              </w:rPr>
              <w:t>5111</w:t>
            </w:r>
            <w:r>
              <w:rPr>
                <w:sz w:val="24"/>
              </w:rPr>
              <w:t>02</w:t>
            </w:r>
            <w:r>
              <w:rPr>
                <w:rFonts w:hint="eastAsia"/>
                <w:sz w:val="24"/>
              </w:rPr>
              <w:t>-</w:t>
            </w:r>
            <w:r>
              <w:rPr>
                <w:sz w:val="24"/>
              </w:rPr>
              <w:t>33</w:t>
            </w:r>
            <w:r>
              <w:rPr>
                <w:rFonts w:hint="eastAsia"/>
                <w:sz w:val="24"/>
              </w:rPr>
              <w:t>-03-</w:t>
            </w:r>
            <w:r>
              <w:rPr>
                <w:sz w:val="24"/>
              </w:rPr>
              <w:t>326995</w:t>
            </w:r>
            <w:r>
              <w:rPr>
                <w:rFonts w:hint="eastAsia"/>
                <w:sz w:val="24"/>
              </w:rPr>
              <w:t>】JXQB-00</w:t>
            </w:r>
            <w:r>
              <w:rPr>
                <w:sz w:val="24"/>
              </w:rPr>
              <w:t>0</w:t>
            </w:r>
            <w:r>
              <w:rPr>
                <w:rFonts w:hint="eastAsia"/>
                <w:sz w:val="24"/>
              </w:rPr>
              <w:t>2号予以立项备案。</w:t>
            </w:r>
          </w:p>
          <w:p>
            <w:pPr>
              <w:pStyle w:val="22"/>
            </w:pPr>
            <w:r>
              <w:t>因此，本项目符合国家产业政策要求</w:t>
            </w:r>
            <w:r>
              <w:rPr>
                <w:rFonts w:hint="eastAsia"/>
              </w:rPr>
              <w:t>。</w:t>
            </w:r>
          </w:p>
          <w:p>
            <w:pPr>
              <w:spacing w:line="360" w:lineRule="auto"/>
              <w:ind w:firstLine="562" w:firstLineChars="200"/>
              <w:rPr>
                <w:b/>
                <w:bCs/>
                <w:sz w:val="28"/>
                <w:szCs w:val="28"/>
              </w:rPr>
            </w:pPr>
            <w:r>
              <w:rPr>
                <w:b/>
                <w:bCs/>
                <w:sz w:val="28"/>
                <w:szCs w:val="28"/>
              </w:rPr>
              <w:t>三、</w:t>
            </w:r>
            <w:r>
              <w:rPr>
                <w:rFonts w:hint="eastAsia"/>
                <w:b/>
                <w:bCs/>
                <w:sz w:val="28"/>
                <w:szCs w:val="28"/>
              </w:rPr>
              <w:t>规划及</w:t>
            </w:r>
            <w:r>
              <w:rPr>
                <w:b/>
                <w:bCs/>
                <w:sz w:val="28"/>
                <w:szCs w:val="28"/>
              </w:rPr>
              <w:t>选址合理性</w:t>
            </w:r>
          </w:p>
          <w:p>
            <w:pPr>
              <w:spacing w:line="360" w:lineRule="auto"/>
              <w:ind w:firstLine="570"/>
              <w:rPr>
                <w:rFonts w:ascii="宋体" w:hAnsi="宋体"/>
                <w:b/>
                <w:sz w:val="24"/>
              </w:rPr>
            </w:pPr>
            <w:r>
              <w:rPr>
                <w:rFonts w:hint="eastAsia" w:ascii="宋体" w:hAnsi="宋体"/>
                <w:b/>
                <w:bCs/>
                <w:sz w:val="24"/>
              </w:rPr>
              <w:t>（一</w:t>
            </w:r>
            <w:r>
              <w:rPr>
                <w:rFonts w:hint="eastAsia" w:ascii="宋体" w:hAnsi="宋体"/>
                <w:b/>
                <w:sz w:val="24"/>
              </w:rPr>
              <w:t>）规划符合性分析</w:t>
            </w:r>
          </w:p>
          <w:p>
            <w:pPr>
              <w:spacing w:line="360" w:lineRule="auto"/>
              <w:ind w:firstLine="570"/>
              <w:rPr>
                <w:rFonts w:ascii="宋体" w:hAnsi="宋体"/>
                <w:sz w:val="24"/>
              </w:rPr>
            </w:pPr>
            <w:r>
              <w:rPr>
                <w:rFonts w:hint="eastAsia" w:ascii="宋体" w:hAnsi="宋体"/>
                <w:sz w:val="24"/>
              </w:rPr>
              <w:t>本项目为改建项目，在公司原有厂房内进行改建，不新增占地。本项目位于乐山市工业集中区水口-罗汉工业园区内。</w:t>
            </w:r>
          </w:p>
          <w:p>
            <w:pPr>
              <w:spacing w:line="360" w:lineRule="auto"/>
              <w:ind w:firstLine="360" w:firstLineChars="150"/>
              <w:outlineLvl w:val="2"/>
              <w:rPr>
                <w:rFonts w:ascii="宋体" w:hAnsi="宋体"/>
                <w:sz w:val="24"/>
              </w:rPr>
            </w:pPr>
            <w:r>
              <w:rPr>
                <w:rFonts w:hint="eastAsia" w:ascii="宋体" w:hAnsi="宋体"/>
                <w:sz w:val="24"/>
              </w:rPr>
              <w:t>根据《乐山市市中区工业集中区水口-罗汉工业园区扩区规划环境影响报告书》及四川省环境保护厅关于印发《乐山市工业集中区水口-罗汉工业园区扩区规划环境影响报告书》审查意见的函（川环建函[2013]240号）可知，乐山市工业集中区水口-罗汉工业园区规划总面积11.89km</w:t>
            </w:r>
            <w:r>
              <w:rPr>
                <w:rFonts w:hint="eastAsia" w:ascii="宋体" w:hAnsi="宋体"/>
                <w:sz w:val="24"/>
                <w:vertAlign w:val="superscript"/>
              </w:rPr>
              <w:t>2</w:t>
            </w:r>
            <w:r>
              <w:rPr>
                <w:rFonts w:hint="eastAsia" w:ascii="宋体" w:hAnsi="宋体"/>
                <w:sz w:val="24"/>
              </w:rPr>
              <w:t>，东至苏沙路，南至罗汉集镇与沙湾交界处，西至老鹰岩山脚，北至水口镇石羊村。乐山市工业集中区水口-罗汉工业园区产业定位总体以医药、新型建材、机械制造为主导产业。</w:t>
            </w:r>
          </w:p>
          <w:p>
            <w:pPr>
              <w:spacing w:line="360" w:lineRule="auto"/>
              <w:ind w:firstLine="570"/>
              <w:rPr>
                <w:rFonts w:ascii="宋体" w:hAnsi="宋体"/>
                <w:sz w:val="24"/>
              </w:rPr>
            </w:pPr>
            <w:r>
              <w:rPr>
                <w:rFonts w:hint="eastAsia" w:ascii="宋体" w:hAnsi="宋体"/>
                <w:sz w:val="24"/>
              </w:rPr>
              <w:t>结合园区规划环评报告及审查意见中提出的相关环保要求，本项目与园区规划符合性分析见下表：</w:t>
            </w:r>
          </w:p>
          <w:p>
            <w:pPr>
              <w:spacing w:line="360" w:lineRule="auto"/>
              <w:ind w:firstLine="2068" w:firstLineChars="981"/>
              <w:outlineLvl w:val="2"/>
              <w:rPr>
                <w:rFonts w:ascii="宋体" w:hAnsi="宋体"/>
                <w:b/>
                <w:szCs w:val="21"/>
              </w:rPr>
            </w:pPr>
            <w:r>
              <w:rPr>
                <w:rFonts w:hint="eastAsia" w:ascii="宋体" w:hAnsi="宋体"/>
                <w:b/>
                <w:szCs w:val="21"/>
              </w:rPr>
              <w:t>表</w:t>
            </w:r>
            <w:r>
              <w:rPr>
                <w:rFonts w:ascii="宋体" w:hAnsi="宋体"/>
                <w:b/>
                <w:szCs w:val="21"/>
              </w:rPr>
              <w:t>1-1</w:t>
            </w:r>
            <w:r>
              <w:rPr>
                <w:rFonts w:hint="eastAsia" w:ascii="宋体" w:hAnsi="宋体"/>
                <w:b/>
                <w:szCs w:val="21"/>
              </w:rPr>
              <w:t xml:space="preserve"> 本项目与园区规划环评要求符合性分析</w:t>
            </w:r>
          </w:p>
          <w:tbl>
            <w:tblPr>
              <w:tblStyle w:val="53"/>
              <w:tblW w:w="94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259"/>
              <w:gridCol w:w="230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94" w:type="dxa"/>
                  <w:gridSpan w:val="2"/>
                  <w:vAlign w:val="center"/>
                </w:tcPr>
                <w:p>
                  <w:pPr>
                    <w:jc w:val="center"/>
                    <w:outlineLvl w:val="2"/>
                    <w:rPr>
                      <w:rFonts w:ascii="宋体" w:hAnsi="宋体"/>
                      <w:szCs w:val="21"/>
                    </w:rPr>
                  </w:pPr>
                  <w:r>
                    <w:rPr>
                      <w:rFonts w:hint="eastAsia" w:ascii="宋体" w:hAnsi="宋体"/>
                      <w:szCs w:val="21"/>
                    </w:rPr>
                    <w:t>规划环评报告书及审查意见</w:t>
                  </w:r>
                </w:p>
              </w:tc>
              <w:tc>
                <w:tcPr>
                  <w:tcW w:w="2304" w:type="dxa"/>
                  <w:vAlign w:val="center"/>
                </w:tcPr>
                <w:p>
                  <w:pPr>
                    <w:jc w:val="center"/>
                    <w:outlineLvl w:val="2"/>
                    <w:rPr>
                      <w:rFonts w:ascii="宋体" w:hAnsi="宋体"/>
                      <w:szCs w:val="21"/>
                    </w:rPr>
                  </w:pPr>
                  <w:r>
                    <w:rPr>
                      <w:rFonts w:hint="eastAsia" w:ascii="宋体" w:hAnsi="宋体"/>
                      <w:szCs w:val="21"/>
                    </w:rPr>
                    <w:t>本项目情况</w:t>
                  </w:r>
                </w:p>
              </w:tc>
              <w:tc>
                <w:tcPr>
                  <w:tcW w:w="1116" w:type="dxa"/>
                  <w:vAlign w:val="center"/>
                </w:tcPr>
                <w:p>
                  <w:pPr>
                    <w:jc w:val="center"/>
                    <w:outlineLvl w:val="2"/>
                    <w:rPr>
                      <w:rFonts w:ascii="宋体" w:hAnsi="宋体"/>
                      <w:szCs w:val="21"/>
                    </w:rPr>
                  </w:pPr>
                  <w:r>
                    <w:rPr>
                      <w:rFonts w:hint="eastAsia" w:ascii="宋体" w:hAnsi="宋体"/>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jc w:val="center"/>
                    <w:outlineLvl w:val="2"/>
                    <w:rPr>
                      <w:rFonts w:ascii="宋体" w:hAnsi="宋体"/>
                      <w:szCs w:val="21"/>
                    </w:rPr>
                  </w:pPr>
                  <w:r>
                    <w:rPr>
                      <w:rFonts w:hint="eastAsia" w:ascii="宋体" w:hAnsi="宋体"/>
                      <w:szCs w:val="21"/>
                    </w:rPr>
                    <w:t>产业定位</w:t>
                  </w:r>
                </w:p>
              </w:tc>
              <w:tc>
                <w:tcPr>
                  <w:tcW w:w="5259" w:type="dxa"/>
                  <w:vAlign w:val="center"/>
                </w:tcPr>
                <w:p>
                  <w:pPr>
                    <w:jc w:val="center"/>
                    <w:rPr>
                      <w:rFonts w:ascii="宋体" w:hAnsi="宋体"/>
                      <w:szCs w:val="21"/>
                    </w:rPr>
                  </w:pPr>
                  <w:r>
                    <w:rPr>
                      <w:rFonts w:hint="eastAsia" w:ascii="宋体" w:hAnsi="宋体"/>
                      <w:b/>
                      <w:szCs w:val="21"/>
                    </w:rPr>
                    <w:t>一、鼓励发展的产业：</w:t>
                  </w:r>
                  <w:r>
                    <w:rPr>
                      <w:rFonts w:hint="eastAsia" w:ascii="宋体" w:hAnsi="宋体"/>
                      <w:szCs w:val="21"/>
                    </w:rPr>
                    <w:t xml:space="preserve">（1）符合园区主导产业和功能分区的项目。（2）主导产业或重要项目的上下游企业，或有利于区域实现循环经济和可持续发展的企业，若与规划区或片区主业发展不形成交叉影响，鼓励其发展。 </w:t>
                  </w:r>
                  <w:r>
                    <w:rPr>
                      <w:rFonts w:hint="eastAsia" w:ascii="宋体" w:hAnsi="宋体"/>
                      <w:b/>
                      <w:szCs w:val="21"/>
                    </w:rPr>
                    <w:t>二、禁止发展的产业：</w:t>
                  </w:r>
                  <w:r>
                    <w:rPr>
                      <w:rFonts w:hint="eastAsia" w:ascii="宋体" w:hAnsi="宋体"/>
                      <w:szCs w:val="21"/>
                    </w:rPr>
                    <w:t xml:space="preserve">（1）不符合国家现行产业政策的相关项目。（2）新建水泥、冶炼、石墨及炭素制品、焦化等大气污染物排放量大的项目；制药行业中异味气体排放量大、难以治理、对周围城镇形成污染性影响的项目。（3）新建生猪屠宰、制浆造纸、印染、制革、农药等水污染物排放量大的项目。（4）禁止技术落后，项目清洁生产水平不能达到行业清洁生产标准二级标准要求或低于全国同类企业平均清洁生产水平的项目。 </w:t>
                  </w:r>
                  <w:r>
                    <w:rPr>
                      <w:rFonts w:hint="eastAsia" w:ascii="宋体" w:hAnsi="宋体"/>
                      <w:b/>
                      <w:szCs w:val="21"/>
                    </w:rPr>
                    <w:t>三、允许发展的产业：</w:t>
                  </w:r>
                  <w:r>
                    <w:rPr>
                      <w:rFonts w:hint="eastAsia" w:ascii="宋体" w:hAnsi="宋体"/>
                      <w:szCs w:val="21"/>
                    </w:rPr>
                    <w:t>不属于上述鼓励类、禁止类，选址与周围环境相容的其它项目。</w:t>
                  </w:r>
                </w:p>
              </w:tc>
              <w:tc>
                <w:tcPr>
                  <w:tcW w:w="2304" w:type="dxa"/>
                  <w:vAlign w:val="center"/>
                </w:tcPr>
                <w:p>
                  <w:pPr>
                    <w:jc w:val="center"/>
                    <w:rPr>
                      <w:rFonts w:ascii="宋体" w:hAnsi="宋体"/>
                      <w:szCs w:val="21"/>
                    </w:rPr>
                  </w:pPr>
                  <w:r>
                    <w:rPr>
                      <w:rFonts w:hint="eastAsia" w:ascii="宋体" w:hAnsi="宋体"/>
                      <w:szCs w:val="21"/>
                    </w:rPr>
                    <w:t>本项目为金属表面处理项目，是铸铁锅制造的一个工序，因此本项目属于园区产业定位中的机械制造，因此</w:t>
                  </w:r>
                  <w:r>
                    <w:rPr>
                      <w:rFonts w:hint="eastAsia" w:ascii="宋体" w:hAnsi="宋体"/>
                      <w:b/>
                      <w:szCs w:val="21"/>
                    </w:rPr>
                    <w:t>项目属于鼓励发展的企业</w:t>
                  </w:r>
                </w:p>
              </w:tc>
              <w:tc>
                <w:tcPr>
                  <w:tcW w:w="1116" w:type="dxa"/>
                  <w:vAlign w:val="center"/>
                </w:tcPr>
                <w:p>
                  <w:pPr>
                    <w:jc w:val="center"/>
                    <w:outlineLvl w:val="2"/>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jc w:val="center"/>
                    <w:outlineLvl w:val="2"/>
                    <w:rPr>
                      <w:rFonts w:ascii="宋体" w:hAnsi="宋体"/>
                      <w:szCs w:val="21"/>
                    </w:rPr>
                  </w:pPr>
                  <w:r>
                    <w:rPr>
                      <w:rFonts w:hint="eastAsia" w:ascii="宋体" w:hAnsi="宋体"/>
                      <w:szCs w:val="21"/>
                    </w:rPr>
                    <w:t>规划布局</w:t>
                  </w:r>
                </w:p>
              </w:tc>
              <w:tc>
                <w:tcPr>
                  <w:tcW w:w="5259" w:type="dxa"/>
                  <w:vAlign w:val="center"/>
                </w:tcPr>
                <w:p>
                  <w:pPr>
                    <w:jc w:val="center"/>
                    <w:rPr>
                      <w:rFonts w:ascii="宋体" w:hAnsi="宋体"/>
                      <w:szCs w:val="21"/>
                    </w:rPr>
                  </w:pPr>
                  <w:r>
                    <w:rPr>
                      <w:rFonts w:hint="eastAsia" w:ascii="宋体" w:hAnsi="宋体"/>
                      <w:szCs w:val="21"/>
                    </w:rPr>
                    <w:t>本规划区形成“一轴两园两区”的组团式结构。“一轴”是指沿苏沙公路形成规划区的发展轴线；“两园”是指北面的水口工业园和南面的罗汉工业园；“两区”是指依托水口镇形成的水口生活配套区和依托罗汉镇形成的罗汉生活配套区。</w:t>
                  </w:r>
                </w:p>
              </w:tc>
              <w:tc>
                <w:tcPr>
                  <w:tcW w:w="2304" w:type="dxa"/>
                  <w:vAlign w:val="center"/>
                </w:tcPr>
                <w:p>
                  <w:pPr>
                    <w:jc w:val="center"/>
                    <w:rPr>
                      <w:rFonts w:ascii="宋体" w:hAnsi="宋体"/>
                      <w:szCs w:val="21"/>
                    </w:rPr>
                  </w:pPr>
                  <w:r>
                    <w:rPr>
                      <w:rFonts w:hint="eastAsia" w:ascii="宋体" w:hAnsi="宋体"/>
                      <w:szCs w:val="21"/>
                    </w:rPr>
                    <w:t>本项目位于水口-罗汉工业园区内的二类工业用地</w:t>
                  </w:r>
                </w:p>
              </w:tc>
              <w:tc>
                <w:tcPr>
                  <w:tcW w:w="1116" w:type="dxa"/>
                  <w:vAlign w:val="center"/>
                </w:tcPr>
                <w:p>
                  <w:pPr>
                    <w:jc w:val="center"/>
                    <w:outlineLvl w:val="2"/>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jc w:val="center"/>
                    <w:outlineLvl w:val="2"/>
                    <w:rPr>
                      <w:rFonts w:ascii="宋体" w:hAnsi="宋体"/>
                      <w:szCs w:val="21"/>
                    </w:rPr>
                  </w:pPr>
                  <w:r>
                    <w:rPr>
                      <w:rFonts w:hint="eastAsia" w:ascii="宋体" w:hAnsi="宋体"/>
                      <w:szCs w:val="21"/>
                    </w:rPr>
                    <w:t>能源结构</w:t>
                  </w:r>
                </w:p>
              </w:tc>
              <w:tc>
                <w:tcPr>
                  <w:tcW w:w="5259" w:type="dxa"/>
                  <w:vAlign w:val="center"/>
                </w:tcPr>
                <w:p>
                  <w:pPr>
                    <w:jc w:val="center"/>
                    <w:outlineLvl w:val="2"/>
                    <w:rPr>
                      <w:rFonts w:ascii="宋体" w:hAnsi="宋体"/>
                      <w:szCs w:val="21"/>
                    </w:rPr>
                  </w:pPr>
                  <w:r>
                    <w:rPr>
                      <w:rFonts w:hint="eastAsia" w:ascii="宋体" w:hAnsi="宋体"/>
                      <w:szCs w:val="21"/>
                    </w:rPr>
                    <w:t>规划区鼓励以天然气、电为主要能源，其用量可得到保证。</w:t>
                  </w:r>
                </w:p>
              </w:tc>
              <w:tc>
                <w:tcPr>
                  <w:tcW w:w="2304" w:type="dxa"/>
                  <w:vAlign w:val="center"/>
                </w:tcPr>
                <w:p>
                  <w:pPr>
                    <w:jc w:val="center"/>
                    <w:outlineLvl w:val="2"/>
                    <w:rPr>
                      <w:rFonts w:ascii="宋体" w:hAnsi="宋体"/>
                      <w:szCs w:val="21"/>
                    </w:rPr>
                  </w:pPr>
                  <w:r>
                    <w:rPr>
                      <w:rFonts w:hint="eastAsia" w:ascii="宋体" w:hAnsi="宋体"/>
                      <w:szCs w:val="21"/>
                    </w:rPr>
                    <w:t>本项目以电作为能源</w:t>
                  </w:r>
                </w:p>
              </w:tc>
              <w:tc>
                <w:tcPr>
                  <w:tcW w:w="1116" w:type="dxa"/>
                  <w:vAlign w:val="center"/>
                </w:tcPr>
                <w:p>
                  <w:pPr>
                    <w:jc w:val="center"/>
                    <w:outlineLvl w:val="2"/>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Merge w:val="restart"/>
                  <w:vAlign w:val="center"/>
                </w:tcPr>
                <w:p>
                  <w:pPr>
                    <w:jc w:val="center"/>
                    <w:rPr>
                      <w:rFonts w:ascii="宋体" w:hAnsi="宋体"/>
                      <w:szCs w:val="21"/>
                    </w:rPr>
                  </w:pPr>
                  <w:r>
                    <w:rPr>
                      <w:rFonts w:hint="eastAsia" w:ascii="宋体" w:hAnsi="宋体"/>
                      <w:szCs w:val="21"/>
                    </w:rPr>
                    <w:t>废水处理对策及要求</w:t>
                  </w:r>
                </w:p>
              </w:tc>
              <w:tc>
                <w:tcPr>
                  <w:tcW w:w="5259" w:type="dxa"/>
                  <w:vAlign w:val="center"/>
                </w:tcPr>
                <w:p>
                  <w:pPr>
                    <w:jc w:val="center"/>
                    <w:rPr>
                      <w:rFonts w:ascii="宋体" w:hAnsi="宋体"/>
                      <w:szCs w:val="21"/>
                    </w:rPr>
                  </w:pPr>
                  <w:r>
                    <w:rPr>
                      <w:rFonts w:hint="eastAsia" w:ascii="宋体" w:hAnsi="宋体"/>
                      <w:szCs w:val="21"/>
                    </w:rPr>
                    <w:t>①实施雨污分流、清污分流制；②要求区内废水最终均由统一排口排放，并加快配套污水管网及污水处理厂的建设。污水处理厂建成运行前，企业废水须经预处理达到《污水综合排放标准》（GB8978-1996）一级标准排放；待污水处理厂建成运行后，企业废水须经预处理后满足污水处理厂进水要求进入污水处理厂集中处理。企业排放废水不得对污水厂运行造成冲击，确保该工艺及污水处理设施满足处理要求。</w:t>
                  </w:r>
                </w:p>
              </w:tc>
              <w:tc>
                <w:tcPr>
                  <w:tcW w:w="2304" w:type="dxa"/>
                  <w:vAlign w:val="center"/>
                </w:tcPr>
                <w:p>
                  <w:pPr>
                    <w:jc w:val="center"/>
                    <w:outlineLvl w:val="2"/>
                    <w:rPr>
                      <w:rFonts w:ascii="宋体" w:hAnsi="宋体"/>
                      <w:szCs w:val="21"/>
                    </w:rPr>
                  </w:pPr>
                  <w:r>
                    <w:rPr>
                      <w:rFonts w:hint="eastAsia" w:ascii="宋体" w:hAnsi="宋体"/>
                      <w:szCs w:val="21"/>
                    </w:rPr>
                    <w:t>本项目生产废水全部回用，不外排</w:t>
                  </w:r>
                </w:p>
              </w:tc>
              <w:tc>
                <w:tcPr>
                  <w:tcW w:w="1116" w:type="dxa"/>
                  <w:vAlign w:val="center"/>
                </w:tcPr>
                <w:p>
                  <w:pPr>
                    <w:jc w:val="center"/>
                    <w:outlineLvl w:val="2"/>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Merge w:val="continue"/>
                  <w:vAlign w:val="center"/>
                </w:tcPr>
                <w:p>
                  <w:pPr>
                    <w:jc w:val="center"/>
                    <w:rPr>
                      <w:rFonts w:ascii="宋体" w:hAnsi="宋体"/>
                      <w:szCs w:val="21"/>
                    </w:rPr>
                  </w:pPr>
                </w:p>
              </w:tc>
              <w:tc>
                <w:tcPr>
                  <w:tcW w:w="5259" w:type="dxa"/>
                  <w:vAlign w:val="center"/>
                </w:tcPr>
                <w:p>
                  <w:pPr>
                    <w:jc w:val="center"/>
                    <w:rPr>
                      <w:rFonts w:ascii="宋体" w:hAnsi="宋体"/>
                      <w:szCs w:val="21"/>
                    </w:rPr>
                  </w:pPr>
                  <w:r>
                    <w:rPr>
                      <w:rFonts w:hint="eastAsia" w:ascii="宋体" w:hAnsi="宋体"/>
                      <w:szCs w:val="21"/>
                    </w:rPr>
                    <w:t>企业排放一类污染物的废水必须达到《污水综合排放标准》中一类污染物质排放标准以及相关标准外，还必须满足“生化处理有毒物质的允许浓度的要求”。</w:t>
                  </w:r>
                </w:p>
              </w:tc>
              <w:tc>
                <w:tcPr>
                  <w:tcW w:w="2304" w:type="dxa"/>
                  <w:vAlign w:val="center"/>
                </w:tcPr>
                <w:p>
                  <w:pPr>
                    <w:jc w:val="center"/>
                    <w:outlineLvl w:val="2"/>
                    <w:rPr>
                      <w:rFonts w:ascii="宋体" w:hAnsi="宋体"/>
                      <w:szCs w:val="21"/>
                    </w:rPr>
                  </w:pPr>
                  <w:r>
                    <w:rPr>
                      <w:rFonts w:hint="eastAsia" w:ascii="宋体" w:hAnsi="宋体"/>
                      <w:szCs w:val="21"/>
                    </w:rPr>
                    <w:t>本项目不涉及一类污染物</w:t>
                  </w:r>
                </w:p>
              </w:tc>
              <w:tc>
                <w:tcPr>
                  <w:tcW w:w="1116" w:type="dxa"/>
                  <w:vAlign w:val="center"/>
                </w:tcPr>
                <w:p>
                  <w:pPr>
                    <w:jc w:val="center"/>
                    <w:outlineLvl w:val="2"/>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Merge w:val="continue"/>
                  <w:vAlign w:val="center"/>
                </w:tcPr>
                <w:p>
                  <w:pPr>
                    <w:jc w:val="center"/>
                    <w:rPr>
                      <w:rFonts w:ascii="宋体" w:hAnsi="宋体"/>
                      <w:szCs w:val="21"/>
                    </w:rPr>
                  </w:pPr>
                </w:p>
              </w:tc>
              <w:tc>
                <w:tcPr>
                  <w:tcW w:w="5259" w:type="dxa"/>
                  <w:vAlign w:val="center"/>
                </w:tcPr>
                <w:p>
                  <w:pPr>
                    <w:jc w:val="center"/>
                    <w:rPr>
                      <w:rFonts w:ascii="宋体" w:hAnsi="宋体"/>
                      <w:szCs w:val="21"/>
                    </w:rPr>
                  </w:pPr>
                  <w:r>
                    <w:rPr>
                      <w:rFonts w:hint="eastAsia" w:ascii="宋体" w:hAnsi="宋体"/>
                      <w:szCs w:val="21"/>
                    </w:rPr>
                    <w:t>废水中的酸碱度、重金属及难降解的有机类有毒污染物以及废水中盐分浓度对废水的生化处理均有抑制作用，因此，废水无论在厂内处理或是在厂外处理均应做好预处理，包括废水的酸碱度调节、重金属离子的去除、盐度的降低及油份的去除、生化性能的改善等</w:t>
                  </w:r>
                </w:p>
              </w:tc>
              <w:tc>
                <w:tcPr>
                  <w:tcW w:w="2304" w:type="dxa"/>
                  <w:vAlign w:val="center"/>
                </w:tcPr>
                <w:p>
                  <w:pPr>
                    <w:jc w:val="center"/>
                    <w:outlineLvl w:val="2"/>
                    <w:rPr>
                      <w:rFonts w:ascii="宋体" w:hAnsi="宋体"/>
                      <w:szCs w:val="21"/>
                    </w:rPr>
                  </w:pPr>
                  <w:r>
                    <w:rPr>
                      <w:rFonts w:hint="eastAsia" w:ascii="宋体" w:hAnsi="宋体"/>
                      <w:szCs w:val="21"/>
                    </w:rPr>
                    <w:t>本项目生产过程中产生的含氨废水，经收集调p</w:t>
                  </w:r>
                  <w:r>
                    <w:rPr>
                      <w:rFonts w:ascii="宋体" w:hAnsi="宋体"/>
                      <w:szCs w:val="21"/>
                    </w:rPr>
                    <w:t>H后回用</w:t>
                  </w:r>
                  <w:r>
                    <w:rPr>
                      <w:rFonts w:hint="eastAsia" w:ascii="宋体" w:hAnsi="宋体"/>
                      <w:szCs w:val="21"/>
                    </w:rPr>
                    <w:t>，</w:t>
                  </w:r>
                  <w:r>
                    <w:rPr>
                      <w:rFonts w:ascii="宋体" w:hAnsi="宋体"/>
                      <w:szCs w:val="21"/>
                    </w:rPr>
                    <w:t>不外排</w:t>
                  </w:r>
                </w:p>
              </w:tc>
              <w:tc>
                <w:tcPr>
                  <w:tcW w:w="1116" w:type="dxa"/>
                  <w:vAlign w:val="center"/>
                </w:tcPr>
                <w:p>
                  <w:pPr>
                    <w:jc w:val="center"/>
                    <w:outlineLvl w:val="2"/>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Merge w:val="restart"/>
                  <w:vAlign w:val="center"/>
                </w:tcPr>
                <w:p>
                  <w:pPr>
                    <w:jc w:val="center"/>
                    <w:outlineLvl w:val="2"/>
                    <w:rPr>
                      <w:rFonts w:ascii="宋体" w:hAnsi="宋体"/>
                      <w:szCs w:val="21"/>
                    </w:rPr>
                  </w:pPr>
                  <w:r>
                    <w:rPr>
                      <w:rFonts w:hint="eastAsia" w:ascii="宋体" w:hAnsi="宋体"/>
                      <w:szCs w:val="21"/>
                    </w:rPr>
                    <w:t>地下水污染防治对策</w:t>
                  </w:r>
                </w:p>
              </w:tc>
              <w:tc>
                <w:tcPr>
                  <w:tcW w:w="5259" w:type="dxa"/>
                  <w:vAlign w:val="center"/>
                </w:tcPr>
                <w:p>
                  <w:pPr>
                    <w:jc w:val="center"/>
                    <w:outlineLvl w:val="2"/>
                    <w:rPr>
                      <w:rFonts w:ascii="宋体" w:hAnsi="宋体"/>
                      <w:szCs w:val="21"/>
                    </w:rPr>
                  </w:pPr>
                  <w:r>
                    <w:rPr>
                      <w:rFonts w:hint="eastAsia" w:ascii="宋体" w:hAnsi="宋体"/>
                      <w:szCs w:val="21"/>
                    </w:rPr>
                    <w:t>对于进入规划区的企业，特别是涉及到化学原料和固废产生的企业，防止生产过程中对地下水污染是十分重要的环境问题，为此，在建厂时应采用硬化生产车间，原辅料车间和固废临时堆放地面，并进行防渗处理，对生产设施和废水处理设施用于有毒有害化学品及可能造成地下水污染的化学品水池进行防渗处理，对生产过程中产生的跑、冒、滴、漏及时清理，必须严防废、污水渗漏至地下，杜绝地下水污染。</w:t>
                  </w:r>
                </w:p>
              </w:tc>
              <w:tc>
                <w:tcPr>
                  <w:tcW w:w="2304" w:type="dxa"/>
                  <w:vAlign w:val="center"/>
                </w:tcPr>
                <w:p>
                  <w:pPr>
                    <w:jc w:val="center"/>
                    <w:outlineLvl w:val="2"/>
                    <w:rPr>
                      <w:rFonts w:ascii="宋体" w:hAnsi="宋体"/>
                      <w:szCs w:val="21"/>
                    </w:rPr>
                  </w:pPr>
                  <w:r>
                    <w:rPr>
                      <w:rFonts w:hint="eastAsia" w:ascii="宋体" w:hAnsi="宋体"/>
                      <w:szCs w:val="21"/>
                    </w:rPr>
                    <w:t>本项目在原有厂房内进行改建，厂房已按要求做了相应的地下水防渗工作</w:t>
                  </w:r>
                </w:p>
              </w:tc>
              <w:tc>
                <w:tcPr>
                  <w:tcW w:w="1116" w:type="dxa"/>
                  <w:vAlign w:val="center"/>
                </w:tcPr>
                <w:p>
                  <w:pPr>
                    <w:jc w:val="center"/>
                    <w:outlineLvl w:val="2"/>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Merge w:val="continue"/>
                  <w:vAlign w:val="center"/>
                </w:tcPr>
                <w:p>
                  <w:pPr>
                    <w:jc w:val="center"/>
                    <w:outlineLvl w:val="2"/>
                    <w:rPr>
                      <w:rFonts w:ascii="宋体" w:hAnsi="宋体"/>
                      <w:szCs w:val="21"/>
                    </w:rPr>
                  </w:pPr>
                </w:p>
              </w:tc>
              <w:tc>
                <w:tcPr>
                  <w:tcW w:w="5259" w:type="dxa"/>
                  <w:vAlign w:val="center"/>
                </w:tcPr>
                <w:p>
                  <w:pPr>
                    <w:jc w:val="center"/>
                    <w:outlineLvl w:val="2"/>
                    <w:rPr>
                      <w:rFonts w:ascii="宋体" w:hAnsi="宋体"/>
                      <w:szCs w:val="21"/>
                    </w:rPr>
                  </w:pPr>
                  <w:r>
                    <w:rPr>
                      <w:rFonts w:hint="eastAsia" w:ascii="宋体" w:hAnsi="宋体"/>
                      <w:szCs w:val="21"/>
                    </w:rPr>
                    <w:t>对存在地下水污染风险的项目及区域实施严格的防渗措施，强化施工期防渗工程的环境监理。在规划区内设置永久性地下水监测点位，规范进行地下水监测。</w:t>
                  </w:r>
                </w:p>
              </w:tc>
              <w:tc>
                <w:tcPr>
                  <w:tcW w:w="2304" w:type="dxa"/>
                  <w:vAlign w:val="center"/>
                </w:tcPr>
                <w:p>
                  <w:pPr>
                    <w:jc w:val="center"/>
                    <w:outlineLvl w:val="2"/>
                    <w:rPr>
                      <w:rFonts w:ascii="宋体" w:hAnsi="宋体"/>
                      <w:szCs w:val="21"/>
                    </w:rPr>
                  </w:pPr>
                  <w:r>
                    <w:rPr>
                      <w:rFonts w:hint="eastAsia" w:ascii="宋体" w:hAnsi="宋体"/>
                      <w:szCs w:val="21"/>
                    </w:rPr>
                    <w:t>本项目在原有厂房内进行改建，厂区已按要求做了相应的地下水防渗工作，且项目的地下水污染风险小</w:t>
                  </w:r>
                </w:p>
              </w:tc>
              <w:tc>
                <w:tcPr>
                  <w:tcW w:w="1116" w:type="dxa"/>
                  <w:vAlign w:val="center"/>
                </w:tcPr>
                <w:p>
                  <w:pPr>
                    <w:jc w:val="center"/>
                    <w:outlineLvl w:val="2"/>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Merge w:val="restart"/>
                  <w:vAlign w:val="center"/>
                </w:tcPr>
                <w:p>
                  <w:pPr>
                    <w:jc w:val="center"/>
                    <w:outlineLvl w:val="2"/>
                    <w:rPr>
                      <w:rFonts w:ascii="宋体" w:hAnsi="宋体"/>
                      <w:szCs w:val="21"/>
                    </w:rPr>
                  </w:pPr>
                  <w:r>
                    <w:rPr>
                      <w:rFonts w:hint="eastAsia" w:ascii="宋体" w:hAnsi="宋体"/>
                      <w:szCs w:val="21"/>
                    </w:rPr>
                    <w:t>固废处置措施</w:t>
                  </w:r>
                </w:p>
              </w:tc>
              <w:tc>
                <w:tcPr>
                  <w:tcW w:w="5259" w:type="dxa"/>
                  <w:vAlign w:val="center"/>
                </w:tcPr>
                <w:p>
                  <w:pPr>
                    <w:jc w:val="center"/>
                    <w:outlineLvl w:val="2"/>
                    <w:rPr>
                      <w:rFonts w:ascii="宋体" w:hAnsi="宋体"/>
                      <w:szCs w:val="21"/>
                    </w:rPr>
                  </w:pPr>
                  <w:r>
                    <w:rPr>
                      <w:rFonts w:hint="eastAsia" w:ascii="宋体" w:hAnsi="宋体"/>
                      <w:szCs w:val="21"/>
                    </w:rPr>
                    <w:t>一般固废：入园企业应本着“三化”的原则（资源化、无害化、减量化），采用清洁的生产工艺，从产品的源头及生产过程中控制固废的产生量，加强固废的资源化综合利用。入园企业的工业固废堆放场选址、设计、建设必须满足《一般工业固体废物贮存、处置场污染控制标准》（GB18599-2001）中的有关规定。</w:t>
                  </w:r>
                </w:p>
              </w:tc>
              <w:tc>
                <w:tcPr>
                  <w:tcW w:w="2304" w:type="dxa"/>
                  <w:vAlign w:val="center"/>
                </w:tcPr>
                <w:p>
                  <w:pPr>
                    <w:jc w:val="center"/>
                    <w:outlineLvl w:val="2"/>
                    <w:rPr>
                      <w:rFonts w:ascii="宋体" w:hAnsi="宋体"/>
                      <w:szCs w:val="21"/>
                    </w:rPr>
                  </w:pPr>
                  <w:r>
                    <w:rPr>
                      <w:rFonts w:hint="eastAsia" w:ascii="宋体" w:hAnsi="宋体"/>
                      <w:szCs w:val="21"/>
                    </w:rPr>
                    <w:t>满足《一般工业固体废物贮存、处置场污染控制标准》（GB18599-2001）及2013修改单中的</w:t>
                  </w:r>
                </w:p>
                <w:p>
                  <w:pPr>
                    <w:jc w:val="center"/>
                    <w:outlineLvl w:val="2"/>
                    <w:rPr>
                      <w:rFonts w:ascii="宋体" w:hAnsi="宋体"/>
                      <w:szCs w:val="21"/>
                    </w:rPr>
                  </w:pPr>
                  <w:r>
                    <w:rPr>
                      <w:rFonts w:hint="eastAsia" w:ascii="宋体" w:hAnsi="宋体"/>
                      <w:szCs w:val="21"/>
                    </w:rPr>
                    <w:t>有关规定的要求</w:t>
                  </w:r>
                </w:p>
              </w:tc>
              <w:tc>
                <w:tcPr>
                  <w:tcW w:w="1116" w:type="dxa"/>
                  <w:vAlign w:val="center"/>
                </w:tcPr>
                <w:p>
                  <w:pPr>
                    <w:jc w:val="center"/>
                    <w:outlineLvl w:val="2"/>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Merge w:val="continue"/>
                  <w:vAlign w:val="center"/>
                </w:tcPr>
                <w:p>
                  <w:pPr>
                    <w:jc w:val="center"/>
                    <w:outlineLvl w:val="2"/>
                    <w:rPr>
                      <w:rFonts w:ascii="宋体" w:hAnsi="宋体"/>
                      <w:szCs w:val="21"/>
                    </w:rPr>
                  </w:pPr>
                </w:p>
              </w:tc>
              <w:tc>
                <w:tcPr>
                  <w:tcW w:w="5259" w:type="dxa"/>
                  <w:vAlign w:val="center"/>
                </w:tcPr>
                <w:p>
                  <w:pPr>
                    <w:jc w:val="center"/>
                    <w:outlineLvl w:val="2"/>
                    <w:rPr>
                      <w:rFonts w:ascii="宋体" w:hAnsi="宋体"/>
                      <w:szCs w:val="21"/>
                    </w:rPr>
                  </w:pPr>
                  <w:r>
                    <w:rPr>
                      <w:rFonts w:hint="eastAsia" w:ascii="宋体" w:hAnsi="宋体"/>
                      <w:szCs w:val="21"/>
                    </w:rPr>
                    <w:t>危险废物：项目区入驻企业会有危险废物产生，危险废物的种类和数量与拟引进项目的生产性质及工艺有关。本着“谁污染，谁治理”的原则，由企业按照国家有关规定进行安全处置，或送有资格的处置单位进行集中处置，严禁随意倾倒或混入生活垃圾和一般固废中。涉及危险废物的企业，固废填埋场应满足《危险废物填埋污染控制标准》（GB18598－2001）的有关规定。</w:t>
                  </w:r>
                </w:p>
              </w:tc>
              <w:tc>
                <w:tcPr>
                  <w:tcW w:w="2304" w:type="dxa"/>
                  <w:vAlign w:val="center"/>
                </w:tcPr>
                <w:p>
                  <w:pPr>
                    <w:jc w:val="center"/>
                    <w:outlineLvl w:val="2"/>
                    <w:rPr>
                      <w:rFonts w:ascii="宋体" w:hAnsi="宋体"/>
                      <w:szCs w:val="21"/>
                    </w:rPr>
                  </w:pPr>
                  <w:r>
                    <w:rPr>
                      <w:rFonts w:hint="eastAsia" w:ascii="宋体" w:hAnsi="宋体"/>
                      <w:szCs w:val="21"/>
                    </w:rPr>
                    <w:t>按照国家有关规定进行安全处置危险废物</w:t>
                  </w:r>
                </w:p>
              </w:tc>
              <w:tc>
                <w:tcPr>
                  <w:tcW w:w="1116" w:type="dxa"/>
                  <w:vAlign w:val="center"/>
                </w:tcPr>
                <w:p>
                  <w:pPr>
                    <w:jc w:val="center"/>
                    <w:outlineLvl w:val="2"/>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Merge w:val="continue"/>
                  <w:vAlign w:val="center"/>
                </w:tcPr>
                <w:p>
                  <w:pPr>
                    <w:jc w:val="center"/>
                    <w:outlineLvl w:val="2"/>
                    <w:rPr>
                      <w:rFonts w:ascii="宋体" w:hAnsi="宋体"/>
                      <w:szCs w:val="21"/>
                    </w:rPr>
                  </w:pPr>
                </w:p>
              </w:tc>
              <w:tc>
                <w:tcPr>
                  <w:tcW w:w="5259" w:type="dxa"/>
                  <w:vAlign w:val="center"/>
                </w:tcPr>
                <w:p>
                  <w:pPr>
                    <w:jc w:val="center"/>
                    <w:outlineLvl w:val="2"/>
                    <w:rPr>
                      <w:rFonts w:ascii="宋体" w:hAnsi="宋体"/>
                      <w:szCs w:val="21"/>
                    </w:rPr>
                  </w:pPr>
                  <w:r>
                    <w:rPr>
                      <w:rFonts w:hint="eastAsia" w:ascii="宋体" w:hAnsi="宋体"/>
                      <w:szCs w:val="21"/>
                    </w:rPr>
                    <w:t>生活垃圾：近照有关规划，在区内设有垃圾桶，园区生活垃圾采用“生活垃圾站—专用垃圾运输槽车—城市垃圾处理厂”的收集方式，由市政环卫部门统一运至城市垃圾填埋场集中处置。</w:t>
                  </w:r>
                </w:p>
              </w:tc>
              <w:tc>
                <w:tcPr>
                  <w:tcW w:w="2304" w:type="dxa"/>
                  <w:vAlign w:val="center"/>
                </w:tcPr>
                <w:p>
                  <w:pPr>
                    <w:jc w:val="center"/>
                    <w:outlineLvl w:val="2"/>
                    <w:rPr>
                      <w:rFonts w:ascii="宋体" w:hAnsi="宋体"/>
                      <w:szCs w:val="21"/>
                    </w:rPr>
                  </w:pPr>
                  <w:r>
                    <w:rPr>
                      <w:rFonts w:hint="eastAsia" w:ascii="宋体" w:hAnsi="宋体"/>
                      <w:szCs w:val="21"/>
                    </w:rPr>
                    <w:t>生活垃圾由市政环卫部门统一运至城市垃圾填埋场集中处置</w:t>
                  </w:r>
                </w:p>
              </w:tc>
              <w:tc>
                <w:tcPr>
                  <w:tcW w:w="1116" w:type="dxa"/>
                  <w:vAlign w:val="center"/>
                </w:tcPr>
                <w:p>
                  <w:pPr>
                    <w:jc w:val="center"/>
                    <w:outlineLvl w:val="2"/>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jc w:val="center"/>
                    <w:outlineLvl w:val="2"/>
                    <w:rPr>
                      <w:rFonts w:ascii="宋体" w:hAnsi="宋体"/>
                      <w:szCs w:val="21"/>
                    </w:rPr>
                  </w:pPr>
                  <w:r>
                    <w:rPr>
                      <w:rFonts w:hint="eastAsia" w:ascii="宋体" w:hAnsi="宋体"/>
                      <w:szCs w:val="21"/>
                    </w:rPr>
                    <w:t>清洁生产门槛</w:t>
                  </w:r>
                </w:p>
              </w:tc>
              <w:tc>
                <w:tcPr>
                  <w:tcW w:w="5259" w:type="dxa"/>
                  <w:vAlign w:val="center"/>
                </w:tcPr>
                <w:p>
                  <w:pPr>
                    <w:jc w:val="center"/>
                    <w:outlineLvl w:val="2"/>
                    <w:rPr>
                      <w:rFonts w:ascii="宋体" w:hAnsi="宋体"/>
                      <w:szCs w:val="21"/>
                    </w:rPr>
                  </w:pPr>
                  <w:r>
                    <w:rPr>
                      <w:rFonts w:hint="eastAsia" w:ascii="宋体" w:hAnsi="宋体"/>
                      <w:szCs w:val="21"/>
                    </w:rPr>
                    <w:t>入驻企业在资源利用及工艺装备方面达到同行业国内先进水平或清洁生产二级水平；危险废物处置率达 100%；行业特征污染物排放总量低于总量控制指标、排放达标率达 100%；具备废物收集系统及废物集中处理处置设施；完善环境管理制度。</w:t>
                  </w:r>
                </w:p>
              </w:tc>
              <w:tc>
                <w:tcPr>
                  <w:tcW w:w="2304" w:type="dxa"/>
                  <w:vAlign w:val="center"/>
                </w:tcPr>
                <w:p>
                  <w:pPr>
                    <w:jc w:val="center"/>
                    <w:outlineLvl w:val="2"/>
                    <w:rPr>
                      <w:rFonts w:ascii="宋体" w:hAnsi="宋体"/>
                      <w:szCs w:val="21"/>
                    </w:rPr>
                  </w:pPr>
                  <w:r>
                    <w:rPr>
                      <w:rFonts w:hint="eastAsia" w:ascii="宋体" w:hAnsi="宋体"/>
                      <w:szCs w:val="21"/>
                    </w:rPr>
                    <w:t>符合清洁生产要求</w:t>
                  </w:r>
                </w:p>
              </w:tc>
              <w:tc>
                <w:tcPr>
                  <w:tcW w:w="1116" w:type="dxa"/>
                  <w:vAlign w:val="center"/>
                </w:tcPr>
                <w:p>
                  <w:pPr>
                    <w:jc w:val="center"/>
                    <w:outlineLvl w:val="2"/>
                    <w:rPr>
                      <w:rFonts w:ascii="宋体" w:hAnsi="宋体"/>
                      <w:szCs w:val="21"/>
                    </w:rPr>
                  </w:pPr>
                  <w:r>
                    <w:rPr>
                      <w:rFonts w:hint="eastAsia" w:ascii="宋体" w:hAnsi="宋体"/>
                      <w:szCs w:val="21"/>
                    </w:rPr>
                    <w:t>符合</w:t>
                  </w:r>
                </w:p>
              </w:tc>
            </w:tr>
          </w:tbl>
          <w:p>
            <w:pPr>
              <w:spacing w:line="360" w:lineRule="auto"/>
              <w:ind w:firstLine="480" w:firstLineChars="200"/>
              <w:outlineLvl w:val="2"/>
              <w:rPr>
                <w:sz w:val="24"/>
              </w:rPr>
            </w:pPr>
            <w:r>
              <w:rPr>
                <w:rFonts w:hint="eastAsia" w:ascii="宋体" w:hAnsi="宋体"/>
                <w:sz w:val="24"/>
              </w:rPr>
              <w:t>由上表可知，本项目与《乐山市市中区工业集中区水口-罗汉工业园区扩区规划环境影响报告书》及报告书审查意见相符</w:t>
            </w:r>
            <w:r>
              <w:rPr>
                <w:rFonts w:hint="eastAsia"/>
                <w:sz w:val="24"/>
              </w:rPr>
              <w:t>。</w:t>
            </w:r>
          </w:p>
          <w:p>
            <w:pPr>
              <w:spacing w:line="360" w:lineRule="auto"/>
              <w:ind w:firstLine="570"/>
              <w:rPr>
                <w:b/>
                <w:sz w:val="24"/>
              </w:rPr>
            </w:pPr>
            <w:r>
              <w:rPr>
                <w:rFonts w:hint="eastAsia"/>
                <w:b/>
                <w:sz w:val="24"/>
              </w:rPr>
              <w:t>（二）土地利用性质合理性分析</w:t>
            </w:r>
          </w:p>
          <w:p>
            <w:pPr>
              <w:spacing w:line="360" w:lineRule="auto"/>
              <w:ind w:firstLine="570"/>
              <w:rPr>
                <w:rFonts w:ascii="宋体" w:hAnsi="宋体"/>
                <w:sz w:val="24"/>
              </w:rPr>
            </w:pPr>
            <w:r>
              <w:rPr>
                <w:rFonts w:hint="eastAsia" w:ascii="宋体" w:hAnsi="宋体"/>
                <w:sz w:val="24"/>
              </w:rPr>
              <w:t>本项目位于乐山市市中区工业集中区水口-罗汉工业园区内，在乐山豪森锅具有限公司现有厂房内进行改建。乐山豪森锅具有限公司于2</w:t>
            </w:r>
            <w:r>
              <w:rPr>
                <w:rFonts w:ascii="宋体" w:hAnsi="宋体"/>
                <w:sz w:val="24"/>
              </w:rPr>
              <w:t>010年5</w:t>
            </w:r>
            <w:r>
              <w:rPr>
                <w:rFonts w:hint="eastAsia" w:ascii="宋体" w:hAnsi="宋体"/>
                <w:sz w:val="24"/>
              </w:rPr>
              <w:t>月取得了乐山市市中区环保局《关于乐山豪森锅具有限公司扩建锅具生产线项目环境影响报告表的批复》（乐中环建管[</w:t>
            </w:r>
            <w:r>
              <w:rPr>
                <w:rFonts w:ascii="宋体" w:hAnsi="宋体"/>
                <w:sz w:val="24"/>
              </w:rPr>
              <w:t>2010]44号</w:t>
            </w:r>
            <w:r>
              <w:rPr>
                <w:rFonts w:hint="eastAsia" w:ascii="宋体" w:hAnsi="宋体"/>
                <w:sz w:val="24"/>
              </w:rPr>
              <w:t>），并于2</w:t>
            </w:r>
            <w:r>
              <w:rPr>
                <w:rFonts w:ascii="宋体" w:hAnsi="宋体"/>
                <w:sz w:val="24"/>
              </w:rPr>
              <w:t>014年</w:t>
            </w:r>
            <w:r>
              <w:rPr>
                <w:rFonts w:hint="eastAsia" w:ascii="宋体" w:hAnsi="宋体"/>
                <w:sz w:val="24"/>
              </w:rPr>
              <w:t>8月通过乐山市市中区环保局的竣工验收（乐中环验[</w:t>
            </w:r>
            <w:r>
              <w:rPr>
                <w:rFonts w:ascii="宋体" w:hAnsi="宋体"/>
                <w:sz w:val="24"/>
              </w:rPr>
              <w:t>2014]9号</w:t>
            </w:r>
            <w:r>
              <w:rPr>
                <w:rFonts w:hint="eastAsia" w:ascii="宋体" w:hAnsi="宋体"/>
                <w:sz w:val="24"/>
              </w:rPr>
              <w:t>）；同时根据乐山市国土资源局出具的不动产权证（川（2</w:t>
            </w:r>
            <w:r>
              <w:rPr>
                <w:rFonts w:ascii="宋体" w:hAnsi="宋体"/>
                <w:sz w:val="24"/>
              </w:rPr>
              <w:t>018</w:t>
            </w:r>
            <w:r>
              <w:rPr>
                <w:rFonts w:hint="eastAsia" w:ascii="宋体" w:hAnsi="宋体"/>
                <w:sz w:val="24"/>
              </w:rPr>
              <w:t>）乐山市不动产权第0</w:t>
            </w:r>
            <w:r>
              <w:rPr>
                <w:rFonts w:ascii="宋体" w:hAnsi="宋体"/>
                <w:sz w:val="24"/>
              </w:rPr>
              <w:t>047223号</w:t>
            </w:r>
            <w:r>
              <w:rPr>
                <w:rFonts w:hint="eastAsia" w:ascii="宋体" w:hAnsi="宋体"/>
                <w:sz w:val="24"/>
              </w:rPr>
              <w:t>），本项目用地为工业用地，因此本项目用地性质合理。</w:t>
            </w:r>
          </w:p>
          <w:p>
            <w:pPr>
              <w:spacing w:line="360" w:lineRule="auto"/>
              <w:ind w:firstLine="570"/>
              <w:rPr>
                <w:b/>
                <w:sz w:val="24"/>
              </w:rPr>
            </w:pPr>
            <w:r>
              <w:rPr>
                <w:rFonts w:hint="eastAsia"/>
                <w:b/>
                <w:sz w:val="24"/>
              </w:rPr>
              <w:t>（三）外环境相容性分析</w:t>
            </w:r>
          </w:p>
          <w:p>
            <w:pPr>
              <w:spacing w:line="360" w:lineRule="auto"/>
              <w:ind w:firstLine="570"/>
              <w:rPr>
                <w:sz w:val="24"/>
              </w:rPr>
            </w:pPr>
            <w:r>
              <w:rPr>
                <w:rFonts w:hint="eastAsia"/>
                <w:sz w:val="24"/>
              </w:rPr>
              <w:t>本项目位于乐山市市中区集中工业园区水口-罗汉工业区内，周边主要为园区入驻企业，其外环境关系如下：北面为乐山瑞澜科技园，西面为恒丰华邦生物科技公司及铭平方塑料制品科技公司，东南面为川天然气输配设备公司。</w:t>
            </w:r>
            <w:r>
              <w:rPr>
                <w:rFonts w:hint="eastAsia" w:hAnsi="宋体"/>
                <w:sz w:val="24"/>
              </w:rPr>
              <w:t>项目建设区域周围200m范围内无居民分布，最近住户位于本项目西南面，距离本项目厂界</w:t>
            </w:r>
            <w:r>
              <w:rPr>
                <w:rFonts w:hAnsi="宋体"/>
                <w:sz w:val="24"/>
              </w:rPr>
              <w:t>420</w:t>
            </w:r>
            <w:r>
              <w:rPr>
                <w:rFonts w:hint="eastAsia" w:hAnsi="宋体"/>
                <w:sz w:val="24"/>
              </w:rPr>
              <w:t>m；项目东面</w:t>
            </w:r>
            <w:r>
              <w:rPr>
                <w:rFonts w:hAnsi="宋体"/>
                <w:sz w:val="24"/>
              </w:rPr>
              <w:t>47</w:t>
            </w:r>
            <w:r>
              <w:rPr>
                <w:rFonts w:hint="eastAsia" w:hAnsi="宋体"/>
                <w:sz w:val="24"/>
              </w:rPr>
              <w:t>0m处为瓦厂坝居民聚居地；项目东南面</w:t>
            </w:r>
            <w:r>
              <w:rPr>
                <w:rFonts w:hAnsi="宋体"/>
                <w:sz w:val="24"/>
              </w:rPr>
              <w:t>810m</w:t>
            </w:r>
            <w:r>
              <w:rPr>
                <w:rFonts w:hint="eastAsia" w:hAnsi="宋体"/>
                <w:sz w:val="24"/>
              </w:rPr>
              <w:t>处为水口镇周桥村居民聚居地；项目东面7</w:t>
            </w:r>
            <w:r>
              <w:rPr>
                <w:rFonts w:hAnsi="宋体"/>
                <w:sz w:val="24"/>
              </w:rPr>
              <w:t>3</w:t>
            </w:r>
            <w:r>
              <w:rPr>
                <w:rFonts w:hint="eastAsia" w:hAnsi="宋体"/>
                <w:sz w:val="24"/>
              </w:rPr>
              <w:t>1m处为生态河，本项目距离大渡河主河道最近距离为1</w:t>
            </w:r>
            <w:r>
              <w:rPr>
                <w:rFonts w:hAnsi="宋体"/>
                <w:sz w:val="24"/>
              </w:rPr>
              <w:t>100m</w:t>
            </w:r>
            <w:r>
              <w:rPr>
                <w:rFonts w:hint="eastAsia"/>
                <w:sz w:val="24"/>
              </w:rPr>
              <w:t>。项目周围无食品厂及农副产品加工制造行业；无对外环境要求较高的企业存在。</w:t>
            </w:r>
          </w:p>
          <w:p>
            <w:pPr>
              <w:spacing w:line="360" w:lineRule="auto"/>
              <w:ind w:firstLine="570"/>
              <w:rPr>
                <w:sz w:val="24"/>
              </w:rPr>
            </w:pPr>
            <w:r>
              <w:rPr>
                <w:rFonts w:hint="eastAsia"/>
                <w:sz w:val="24"/>
              </w:rPr>
              <w:t>因此本项目的建设对周围企业影响较小，与外环境较相容。</w:t>
            </w:r>
          </w:p>
          <w:p>
            <w:pPr>
              <w:spacing w:line="360" w:lineRule="auto"/>
              <w:rPr>
                <w:b/>
                <w:sz w:val="28"/>
              </w:rPr>
            </w:pPr>
            <w:r>
              <w:rPr>
                <w:rFonts w:hint="eastAsia"/>
                <w:b/>
                <w:sz w:val="28"/>
              </w:rPr>
              <w:t>四、“三线一单”符合性分析</w:t>
            </w:r>
          </w:p>
          <w:p>
            <w:pPr>
              <w:spacing w:line="360" w:lineRule="auto"/>
              <w:ind w:firstLine="570"/>
              <w:rPr>
                <w:sz w:val="24"/>
              </w:rPr>
            </w:pPr>
            <w:r>
              <w:rPr>
                <w:rFonts w:hint="eastAsia"/>
                <w:sz w:val="24"/>
              </w:rPr>
              <w:t>1、与生态红线符合性分析</w:t>
            </w:r>
          </w:p>
          <w:p>
            <w:pPr>
              <w:spacing w:line="360" w:lineRule="auto"/>
              <w:ind w:firstLine="570"/>
              <w:rPr>
                <w:sz w:val="24"/>
              </w:rPr>
            </w:pPr>
            <w:r>
              <w:rPr>
                <w:rFonts w:hint="eastAsia"/>
                <w:sz w:val="24"/>
              </w:rPr>
              <w:t>本项目位于乐山市市中区境内，位于乐山市市中区工业集中区水口-罗汉工业园区内，不属于乐山市拟定的生态红线范围内。</w:t>
            </w:r>
          </w:p>
          <w:p>
            <w:pPr>
              <w:spacing w:line="360" w:lineRule="auto"/>
              <w:ind w:firstLine="570"/>
              <w:rPr>
                <w:sz w:val="24"/>
              </w:rPr>
            </w:pPr>
            <w:r>
              <w:rPr>
                <w:rFonts w:hint="eastAsia"/>
                <w:sz w:val="24"/>
              </w:rPr>
              <w:t>2、与资源利用上线符合性分析</w:t>
            </w:r>
          </w:p>
          <w:p>
            <w:pPr>
              <w:spacing w:line="360" w:lineRule="auto"/>
              <w:ind w:firstLine="480" w:firstLineChars="200"/>
              <w:rPr>
                <w:sz w:val="24"/>
              </w:rPr>
            </w:pPr>
            <w:r>
              <w:rPr>
                <w:rFonts w:hint="eastAsia"/>
                <w:sz w:val="24"/>
              </w:rPr>
              <w:t>本项目为提高铸铁锅表面防锈性能技术改造升级项目，项目营运期会消耗一定量的水、电等能源，项目资源消耗相对区域资源利用总量较少，符合资源利用上限要求。</w:t>
            </w:r>
          </w:p>
          <w:p>
            <w:pPr>
              <w:spacing w:line="360" w:lineRule="auto"/>
              <w:ind w:firstLine="570"/>
              <w:rPr>
                <w:sz w:val="24"/>
              </w:rPr>
            </w:pPr>
            <w:r>
              <w:rPr>
                <w:rFonts w:hint="eastAsia"/>
                <w:sz w:val="24"/>
              </w:rPr>
              <w:t>3、与环境质量底线符合性分析</w:t>
            </w:r>
          </w:p>
          <w:p>
            <w:pPr>
              <w:adjustRightInd w:val="0"/>
              <w:snapToGrid w:val="0"/>
              <w:spacing w:line="440" w:lineRule="exact"/>
              <w:ind w:firstLine="477" w:firstLineChars="199"/>
              <w:rPr>
                <w:rFonts w:ascii="宋体" w:hAnsi="宋体"/>
                <w:sz w:val="24"/>
              </w:rPr>
            </w:pPr>
            <w:r>
              <w:rPr>
                <w:rFonts w:hint="eastAsia" w:ascii="宋体" w:hAnsi="宋体"/>
                <w:sz w:val="24"/>
              </w:rPr>
              <w:t>（1）环境空气质量</w:t>
            </w:r>
          </w:p>
          <w:p>
            <w:pPr>
              <w:adjustRightInd w:val="0"/>
              <w:snapToGrid w:val="0"/>
              <w:spacing w:line="440" w:lineRule="exact"/>
              <w:ind w:firstLine="477" w:firstLineChars="199"/>
              <w:rPr>
                <w:rFonts w:ascii="宋体" w:hAnsi="宋体"/>
                <w:sz w:val="24"/>
              </w:rPr>
            </w:pPr>
            <w:r>
              <w:rPr>
                <w:rFonts w:hint="eastAsia" w:ascii="Calibri" w:hAnsi="Calibri"/>
                <w:sz w:val="24"/>
              </w:rPr>
              <w:t>根据</w:t>
            </w:r>
            <w:r>
              <w:rPr>
                <w:rFonts w:hint="eastAsia" w:ascii="宋体" w:hAnsi="宋体"/>
                <w:sz w:val="24"/>
              </w:rPr>
              <w:t>2017年</w:t>
            </w:r>
            <w:r>
              <w:rPr>
                <w:rFonts w:hint="eastAsia" w:ascii="Calibri" w:hAnsi="Calibri"/>
                <w:sz w:val="24"/>
              </w:rPr>
              <w:t>市中区环境监测站的监测数据，项目所在区域属于不达标区。同时</w:t>
            </w:r>
            <w:r>
              <w:rPr>
                <w:rFonts w:hint="eastAsia" w:ascii="宋体" w:hAnsi="宋体"/>
                <w:sz w:val="24"/>
              </w:rPr>
              <w:t>根据项目所在区域监测资料，评价区域各监测点PM</w:t>
            </w:r>
            <w:r>
              <w:rPr>
                <w:rFonts w:hint="eastAsia" w:ascii="宋体" w:hAnsi="宋体"/>
                <w:sz w:val="24"/>
                <w:vertAlign w:val="subscript"/>
              </w:rPr>
              <w:t>10</w:t>
            </w:r>
            <w:r>
              <w:rPr>
                <w:rFonts w:hint="eastAsia" w:ascii="宋体" w:hAnsi="宋体"/>
                <w:sz w:val="24"/>
              </w:rPr>
              <w:t>、SO</w:t>
            </w:r>
            <w:r>
              <w:rPr>
                <w:rFonts w:hint="eastAsia" w:ascii="宋体" w:hAnsi="宋体"/>
                <w:sz w:val="24"/>
                <w:vertAlign w:val="subscript"/>
              </w:rPr>
              <w:t>2</w:t>
            </w:r>
            <w:r>
              <w:rPr>
                <w:rFonts w:hint="eastAsia" w:ascii="宋体" w:hAnsi="宋体"/>
                <w:sz w:val="24"/>
              </w:rPr>
              <w:t>、NO</w:t>
            </w:r>
            <w:r>
              <w:rPr>
                <w:rFonts w:hint="eastAsia" w:ascii="宋体" w:hAnsi="宋体"/>
                <w:sz w:val="24"/>
                <w:vertAlign w:val="subscript"/>
              </w:rPr>
              <w:t>2</w:t>
            </w:r>
            <w:r>
              <w:rPr>
                <w:rFonts w:hint="eastAsia" w:ascii="宋体" w:hAnsi="宋体"/>
                <w:sz w:val="24"/>
              </w:rPr>
              <w:t>、</w:t>
            </w:r>
            <w:r>
              <w:rPr>
                <w:rFonts w:ascii="宋体" w:hAnsi="宋体"/>
                <w:sz w:val="24"/>
              </w:rPr>
              <w:t>PM</w:t>
            </w:r>
            <w:r>
              <w:rPr>
                <w:rFonts w:ascii="宋体" w:hAnsi="宋体"/>
                <w:sz w:val="24"/>
                <w:vertAlign w:val="subscript"/>
              </w:rPr>
              <w:t>2.5</w:t>
            </w:r>
            <w:r>
              <w:rPr>
                <w:rFonts w:hint="eastAsia" w:ascii="宋体" w:hAnsi="宋体"/>
                <w:sz w:val="24"/>
              </w:rPr>
              <w:t>、C</w:t>
            </w:r>
            <w:r>
              <w:rPr>
                <w:rFonts w:ascii="宋体" w:hAnsi="宋体"/>
                <w:sz w:val="24"/>
              </w:rPr>
              <w:t>O</w:t>
            </w:r>
            <w:r>
              <w:rPr>
                <w:rFonts w:hint="eastAsia" w:ascii="宋体" w:hAnsi="宋体"/>
                <w:sz w:val="24"/>
              </w:rPr>
              <w:t>、O</w:t>
            </w:r>
            <w:r>
              <w:rPr>
                <w:rFonts w:ascii="宋体" w:hAnsi="宋体"/>
                <w:sz w:val="24"/>
                <w:vertAlign w:val="subscript"/>
              </w:rPr>
              <w:t>3</w:t>
            </w:r>
            <w:r>
              <w:rPr>
                <w:rFonts w:hint="eastAsia" w:ascii="宋体" w:hAnsi="宋体"/>
                <w:sz w:val="24"/>
              </w:rPr>
              <w:t>均满足《环境空气质量标准》（GB3095-2012）二级标准要求，N</w:t>
            </w:r>
            <w:r>
              <w:rPr>
                <w:rFonts w:ascii="宋体" w:hAnsi="宋体"/>
                <w:sz w:val="24"/>
              </w:rPr>
              <w:t>H</w:t>
            </w:r>
            <w:r>
              <w:rPr>
                <w:rFonts w:ascii="宋体" w:hAnsi="宋体"/>
                <w:sz w:val="24"/>
                <w:vertAlign w:val="subscript"/>
              </w:rPr>
              <w:t>3</w:t>
            </w:r>
            <w:r>
              <w:rPr>
                <w:rFonts w:hint="eastAsia" w:ascii="宋体" w:hAnsi="宋体"/>
                <w:sz w:val="24"/>
              </w:rPr>
              <w:t>满足《环境影响评价技术导则 大气环境》（H</w:t>
            </w:r>
            <w:r>
              <w:rPr>
                <w:rFonts w:ascii="宋体" w:hAnsi="宋体"/>
                <w:sz w:val="24"/>
              </w:rPr>
              <w:t>J2.2-2018</w:t>
            </w:r>
            <w:r>
              <w:rPr>
                <w:rFonts w:hint="eastAsia" w:ascii="宋体" w:hAnsi="宋体"/>
                <w:sz w:val="24"/>
              </w:rPr>
              <w:t>）中其他污染物控制质量浓度参考限值要求。说明项目所在地环境空气质量较好，有一定环境容量，正常工况下，本项目各大气污染物对环境保护目标影响小，不会出现超标现象。</w:t>
            </w:r>
          </w:p>
          <w:p>
            <w:pPr>
              <w:adjustRightInd w:val="0"/>
              <w:snapToGrid w:val="0"/>
              <w:spacing w:line="440" w:lineRule="exact"/>
              <w:ind w:firstLine="477" w:firstLineChars="199"/>
              <w:rPr>
                <w:rFonts w:ascii="宋体" w:hAnsi="宋体"/>
                <w:sz w:val="24"/>
              </w:rPr>
            </w:pPr>
            <w:r>
              <w:rPr>
                <w:rFonts w:hint="eastAsia" w:ascii="宋体" w:hAnsi="宋体"/>
                <w:sz w:val="24"/>
              </w:rPr>
              <w:t>（2）地表水环境质量</w:t>
            </w:r>
          </w:p>
          <w:p>
            <w:pPr>
              <w:adjustRightInd w:val="0"/>
              <w:snapToGrid w:val="0"/>
              <w:spacing w:line="440" w:lineRule="exact"/>
              <w:ind w:firstLine="480" w:firstLineChars="200"/>
              <w:jc w:val="left"/>
              <w:rPr>
                <w:rFonts w:hAnsi="宋体"/>
                <w:sz w:val="24"/>
              </w:rPr>
            </w:pPr>
            <w:r>
              <w:rPr>
                <w:rFonts w:hint="eastAsia"/>
                <w:sz w:val="24"/>
              </w:rPr>
              <w:t>根据《乐山市2</w:t>
            </w:r>
            <w:r>
              <w:rPr>
                <w:sz w:val="24"/>
              </w:rPr>
              <w:t>018年</w:t>
            </w:r>
            <w:r>
              <w:rPr>
                <w:rFonts w:hint="eastAsia"/>
                <w:sz w:val="24"/>
              </w:rPr>
              <w:t>1</w:t>
            </w:r>
            <w:r>
              <w:rPr>
                <w:sz w:val="24"/>
              </w:rPr>
              <w:t>1月地表水水质</w:t>
            </w:r>
            <w:r>
              <w:rPr>
                <w:rFonts w:hint="eastAsia"/>
                <w:sz w:val="24"/>
              </w:rPr>
              <w:t>质量</w:t>
            </w:r>
            <w:r>
              <w:rPr>
                <w:sz w:val="24"/>
              </w:rPr>
              <w:t>月报</w:t>
            </w:r>
            <w:r>
              <w:rPr>
                <w:rFonts w:hint="eastAsia"/>
                <w:sz w:val="24"/>
              </w:rPr>
              <w:t>》，大渡河李码头监测断面2</w:t>
            </w:r>
            <w:r>
              <w:rPr>
                <w:sz w:val="24"/>
              </w:rPr>
              <w:t>018年</w:t>
            </w:r>
            <w:r>
              <w:rPr>
                <w:rFonts w:hint="eastAsia"/>
                <w:sz w:val="24"/>
              </w:rPr>
              <w:t>1</w:t>
            </w:r>
            <w:r>
              <w:rPr>
                <w:sz w:val="24"/>
              </w:rPr>
              <w:t>1月的水质达到国家规定的</w:t>
            </w:r>
            <w:r>
              <w:rPr>
                <w:rFonts w:hint="eastAsia"/>
                <w:sz w:val="24"/>
              </w:rPr>
              <w:t>《地表水环境质量标准》</w:t>
            </w:r>
            <w:r>
              <w:rPr>
                <w:rFonts w:hint="eastAsia" w:ascii="宋体" w:hAnsi="宋体"/>
                <w:sz w:val="24"/>
              </w:rPr>
              <w:t>Ⅲ</w:t>
            </w:r>
            <w:r>
              <w:rPr>
                <w:rFonts w:hint="eastAsia"/>
                <w:sz w:val="24"/>
              </w:rPr>
              <w:t>类水域标准，水质状况优良。且该项目建成后不新增生活污水，生产废水经处理后全部回用，不外排，因此项目建成后不会对当地地表水环境产生影响</w:t>
            </w:r>
            <w:r>
              <w:rPr>
                <w:rFonts w:hint="eastAsia" w:hAnsi="宋体"/>
                <w:sz w:val="24"/>
              </w:rPr>
              <w:t>。</w:t>
            </w:r>
          </w:p>
          <w:p>
            <w:pPr>
              <w:adjustRightInd w:val="0"/>
              <w:snapToGrid w:val="0"/>
              <w:spacing w:line="440" w:lineRule="exact"/>
              <w:ind w:firstLine="480" w:firstLineChars="200"/>
              <w:jc w:val="left"/>
              <w:rPr>
                <w:rFonts w:hAnsi="宋体"/>
                <w:sz w:val="24"/>
              </w:rPr>
            </w:pPr>
            <w:r>
              <w:rPr>
                <w:rFonts w:hint="eastAsia" w:hAnsi="宋体"/>
                <w:sz w:val="24"/>
              </w:rPr>
              <w:t>（3）声环境</w:t>
            </w:r>
          </w:p>
          <w:p>
            <w:pPr>
              <w:adjustRightInd w:val="0"/>
              <w:snapToGrid w:val="0"/>
              <w:spacing w:line="440" w:lineRule="exact"/>
              <w:ind w:firstLine="480" w:firstLineChars="200"/>
              <w:jc w:val="left"/>
              <w:rPr>
                <w:rFonts w:hAnsi="宋体"/>
                <w:sz w:val="24"/>
              </w:rPr>
            </w:pPr>
            <w:r>
              <w:rPr>
                <w:rFonts w:hint="eastAsia" w:hAnsi="宋体"/>
                <w:sz w:val="24"/>
              </w:rPr>
              <w:t>根据监测资料，项目区域昼、夜间噪声均满足《声环境质量标准》（GB3096-2008）中</w:t>
            </w:r>
            <w:r>
              <w:rPr>
                <w:rFonts w:hAnsi="宋体"/>
                <w:sz w:val="24"/>
              </w:rPr>
              <w:t>3</w:t>
            </w:r>
            <w:r>
              <w:rPr>
                <w:rFonts w:hint="eastAsia" w:hAnsi="宋体"/>
                <w:sz w:val="24"/>
              </w:rPr>
              <w:t>类标准</w:t>
            </w:r>
          </w:p>
          <w:p>
            <w:pPr>
              <w:spacing w:line="360" w:lineRule="auto"/>
              <w:ind w:firstLine="570"/>
              <w:rPr>
                <w:sz w:val="24"/>
              </w:rPr>
            </w:pPr>
            <w:r>
              <w:rPr>
                <w:rFonts w:hint="eastAsia"/>
                <w:sz w:val="24"/>
              </w:rPr>
              <w:t>4、环境准入负面清单符合性分析</w:t>
            </w:r>
          </w:p>
          <w:p>
            <w:pPr>
              <w:spacing w:line="360" w:lineRule="auto"/>
              <w:ind w:firstLine="570"/>
              <w:rPr>
                <w:sz w:val="24"/>
              </w:rPr>
            </w:pPr>
            <w:r>
              <w:rPr>
                <w:rFonts w:hint="eastAsia"/>
                <w:sz w:val="24"/>
              </w:rPr>
              <w:t>本项目为提高铸铁锅表面防锈性能技术改造升级项目，项目符合国家当前产业政策，符合土地利用规划，项目不处于乐山市拟定的生态红线范围内，有一定的环境容量。因此本项目符合长江经济带生态环境保护规划要求。</w:t>
            </w:r>
          </w:p>
          <w:p>
            <w:pPr>
              <w:spacing w:line="360" w:lineRule="auto"/>
              <w:rPr>
                <w:b/>
                <w:sz w:val="28"/>
              </w:rPr>
            </w:pPr>
            <w:r>
              <w:rPr>
                <w:rFonts w:hint="eastAsia"/>
                <w:b/>
                <w:sz w:val="28"/>
              </w:rPr>
              <w:t>五</w:t>
            </w:r>
            <w:r>
              <w:rPr>
                <w:b/>
                <w:sz w:val="28"/>
              </w:rPr>
              <w:t>、工程概况</w:t>
            </w:r>
          </w:p>
          <w:p>
            <w:pPr>
              <w:spacing w:line="360" w:lineRule="auto"/>
              <w:ind w:firstLine="480" w:firstLineChars="200"/>
              <w:rPr>
                <w:bCs/>
                <w:sz w:val="24"/>
              </w:rPr>
            </w:pPr>
            <w:r>
              <w:rPr>
                <w:rFonts w:hAnsi="宋体"/>
                <w:kern w:val="0"/>
                <w:sz w:val="24"/>
              </w:rPr>
              <w:t>项目名</w:t>
            </w:r>
            <w:r>
              <w:rPr>
                <w:bCs/>
                <w:sz w:val="24"/>
              </w:rPr>
              <w:t>称：</w:t>
            </w:r>
            <w:r>
              <w:rPr>
                <w:rFonts w:hint="eastAsia"/>
                <w:bCs/>
                <w:sz w:val="24"/>
              </w:rPr>
              <w:t>提高铸铁锅表面防锈性能技术改造升级项目</w:t>
            </w:r>
          </w:p>
          <w:p>
            <w:pPr>
              <w:spacing w:line="360" w:lineRule="auto"/>
              <w:ind w:firstLine="480" w:firstLineChars="200"/>
              <w:rPr>
                <w:bCs/>
                <w:sz w:val="24"/>
              </w:rPr>
            </w:pPr>
            <w:r>
              <w:rPr>
                <w:bCs/>
                <w:sz w:val="24"/>
              </w:rPr>
              <w:t>建设地点：</w:t>
            </w:r>
            <w:r>
              <w:rPr>
                <w:rFonts w:hint="eastAsia"/>
                <w:bCs/>
                <w:sz w:val="24"/>
              </w:rPr>
              <w:t>乐山市市中区工业集中区振兴路3</w:t>
            </w:r>
            <w:r>
              <w:rPr>
                <w:bCs/>
                <w:sz w:val="24"/>
              </w:rPr>
              <w:t>99号</w:t>
            </w:r>
          </w:p>
          <w:p>
            <w:pPr>
              <w:spacing w:line="360" w:lineRule="auto"/>
              <w:ind w:firstLine="480" w:firstLineChars="200"/>
              <w:rPr>
                <w:bCs/>
                <w:sz w:val="24"/>
              </w:rPr>
            </w:pPr>
            <w:r>
              <w:rPr>
                <w:bCs/>
                <w:sz w:val="24"/>
              </w:rPr>
              <w:t>建设单位：</w:t>
            </w:r>
            <w:r>
              <w:rPr>
                <w:rFonts w:hint="eastAsia"/>
                <w:bCs/>
                <w:sz w:val="24"/>
              </w:rPr>
              <w:t>乐山豪森锅具有限公司</w:t>
            </w:r>
          </w:p>
          <w:p>
            <w:pPr>
              <w:spacing w:line="360" w:lineRule="auto"/>
              <w:ind w:firstLine="480" w:firstLineChars="200"/>
              <w:rPr>
                <w:bCs/>
                <w:sz w:val="24"/>
              </w:rPr>
            </w:pPr>
            <w:r>
              <w:rPr>
                <w:bCs/>
                <w:sz w:val="24"/>
              </w:rPr>
              <w:t>建设性质：</w:t>
            </w:r>
            <w:r>
              <w:rPr>
                <w:rFonts w:hint="eastAsia"/>
                <w:bCs/>
                <w:sz w:val="24"/>
              </w:rPr>
              <w:t>改建</w:t>
            </w:r>
          </w:p>
          <w:p>
            <w:pPr>
              <w:spacing w:line="360" w:lineRule="auto"/>
              <w:ind w:firstLine="480" w:firstLineChars="200"/>
              <w:rPr>
                <w:bCs/>
                <w:sz w:val="24"/>
              </w:rPr>
            </w:pPr>
            <w:r>
              <w:rPr>
                <w:bCs/>
                <w:sz w:val="24"/>
              </w:rPr>
              <w:t>占地面积：</w:t>
            </w:r>
            <w:r>
              <w:rPr>
                <w:rFonts w:hint="eastAsia"/>
                <w:bCs/>
                <w:sz w:val="24"/>
              </w:rPr>
              <w:t>550m</w:t>
            </w:r>
            <w:r>
              <w:rPr>
                <w:rFonts w:hint="eastAsia"/>
                <w:bCs/>
                <w:sz w:val="24"/>
                <w:vertAlign w:val="superscript"/>
              </w:rPr>
              <w:t>2</w:t>
            </w:r>
          </w:p>
          <w:p>
            <w:pPr>
              <w:spacing w:line="360" w:lineRule="auto"/>
              <w:ind w:firstLine="480" w:firstLineChars="200"/>
              <w:rPr>
                <w:iCs/>
                <w:sz w:val="24"/>
              </w:rPr>
            </w:pPr>
            <w:r>
              <w:rPr>
                <w:iCs/>
                <w:sz w:val="24"/>
              </w:rPr>
              <w:t>拟建项目建设的主要内容为：在现有场地内</w:t>
            </w:r>
            <w:r>
              <w:rPr>
                <w:rFonts w:hint="eastAsia"/>
                <w:iCs/>
                <w:sz w:val="24"/>
              </w:rPr>
              <w:t>，</w:t>
            </w:r>
            <w:r>
              <w:rPr>
                <w:iCs/>
                <w:sz w:val="24"/>
              </w:rPr>
              <w:t>拟建年处理</w:t>
            </w:r>
            <w:r>
              <w:rPr>
                <w:rFonts w:hint="eastAsia"/>
                <w:iCs/>
                <w:sz w:val="24"/>
              </w:rPr>
              <w:t>2</w:t>
            </w:r>
            <w:r>
              <w:rPr>
                <w:iCs/>
                <w:sz w:val="24"/>
              </w:rPr>
              <w:t>00万口铸铁锅表面防锈生产线一条</w:t>
            </w:r>
            <w:r>
              <w:rPr>
                <w:rFonts w:hint="eastAsia"/>
                <w:iCs/>
                <w:sz w:val="24"/>
              </w:rPr>
              <w:t>。</w:t>
            </w:r>
            <w:r>
              <w:rPr>
                <w:iCs/>
                <w:sz w:val="24"/>
              </w:rPr>
              <w:t>工艺流程为预热</w:t>
            </w:r>
            <w:r>
              <w:rPr>
                <w:rFonts w:hint="eastAsia"/>
                <w:iCs/>
                <w:sz w:val="24"/>
              </w:rPr>
              <w:t>-</w:t>
            </w:r>
            <w:r>
              <w:rPr>
                <w:iCs/>
                <w:sz w:val="24"/>
              </w:rPr>
              <w:t>氮化</w:t>
            </w:r>
            <w:r>
              <w:rPr>
                <w:rFonts w:hint="eastAsia"/>
                <w:iCs/>
                <w:sz w:val="24"/>
              </w:rPr>
              <w:t>-一次</w:t>
            </w:r>
            <w:r>
              <w:rPr>
                <w:iCs/>
                <w:sz w:val="24"/>
              </w:rPr>
              <w:t>氧化</w:t>
            </w:r>
            <w:r>
              <w:rPr>
                <w:rFonts w:hint="eastAsia"/>
                <w:iCs/>
                <w:sz w:val="24"/>
              </w:rPr>
              <w:t>-一次表面抛光-二次氧化-二次表面抛光-</w:t>
            </w:r>
            <w:r>
              <w:rPr>
                <w:iCs/>
                <w:sz w:val="24"/>
              </w:rPr>
              <w:t>清洗</w:t>
            </w:r>
            <w:r>
              <w:rPr>
                <w:rFonts w:hint="eastAsia"/>
                <w:iCs/>
                <w:sz w:val="24"/>
              </w:rPr>
              <w:t>。</w:t>
            </w:r>
          </w:p>
          <w:p>
            <w:pPr>
              <w:spacing w:line="360" w:lineRule="auto"/>
              <w:ind w:firstLine="480" w:firstLineChars="200"/>
              <w:rPr>
                <w:sz w:val="24"/>
              </w:rPr>
            </w:pPr>
            <w:r>
              <w:rPr>
                <w:rFonts w:hint="eastAsia"/>
                <w:iCs/>
                <w:sz w:val="24"/>
              </w:rPr>
              <w:t>项目总投资：</w:t>
            </w:r>
            <w:r>
              <w:rPr>
                <w:iCs/>
                <w:sz w:val="24"/>
              </w:rPr>
              <w:t>50</w:t>
            </w:r>
            <w:r>
              <w:rPr>
                <w:rFonts w:hint="eastAsia"/>
                <w:iCs/>
                <w:sz w:val="24"/>
              </w:rPr>
              <w:t>万元</w:t>
            </w:r>
          </w:p>
          <w:p>
            <w:pPr>
              <w:spacing w:line="360" w:lineRule="auto"/>
              <w:rPr>
                <w:b/>
                <w:sz w:val="28"/>
              </w:rPr>
            </w:pPr>
            <w:r>
              <w:rPr>
                <w:rFonts w:hint="eastAsia"/>
                <w:b/>
                <w:sz w:val="28"/>
              </w:rPr>
              <w:t>六</w:t>
            </w:r>
            <w:r>
              <w:rPr>
                <w:b/>
                <w:sz w:val="28"/>
              </w:rPr>
              <w:t>、工程建设内容及规模</w:t>
            </w:r>
          </w:p>
          <w:p>
            <w:pPr>
              <w:spacing w:line="360" w:lineRule="auto"/>
              <w:ind w:firstLine="480" w:firstLineChars="200"/>
              <w:rPr>
                <w:bCs/>
                <w:sz w:val="24"/>
              </w:rPr>
            </w:pPr>
            <w:r>
              <w:rPr>
                <w:rFonts w:hint="eastAsia"/>
                <w:bCs/>
                <w:sz w:val="24"/>
              </w:rPr>
              <w:t>1、项目主要建设内容</w:t>
            </w:r>
          </w:p>
          <w:p>
            <w:pPr>
              <w:spacing w:line="360" w:lineRule="auto"/>
              <w:ind w:firstLine="480" w:firstLineChars="200"/>
              <w:rPr>
                <w:iCs/>
                <w:sz w:val="24"/>
              </w:rPr>
            </w:pPr>
            <w:r>
              <w:rPr>
                <w:rFonts w:hint="eastAsia"/>
                <w:bCs/>
                <w:sz w:val="24"/>
              </w:rPr>
              <w:t>本项目建设内容为在原有厂内建设提高铸铁锅表面防锈性能技术改造升级项目</w:t>
            </w:r>
            <w:r>
              <w:rPr>
                <w:rFonts w:hint="eastAsia"/>
                <w:sz w:val="24"/>
              </w:rPr>
              <w:t>，</w:t>
            </w:r>
            <w:r>
              <w:rPr>
                <w:rFonts w:hint="eastAsia"/>
                <w:bCs/>
                <w:sz w:val="24"/>
              </w:rPr>
              <w:t>项目其余的</w:t>
            </w:r>
            <w:r>
              <w:rPr>
                <w:sz w:val="24"/>
              </w:rPr>
              <w:t>辅助建筑物</w:t>
            </w:r>
            <w:r>
              <w:rPr>
                <w:rFonts w:hint="eastAsia"/>
                <w:sz w:val="24"/>
              </w:rPr>
              <w:t>、</w:t>
            </w:r>
            <w:r>
              <w:rPr>
                <w:sz w:val="24"/>
              </w:rPr>
              <w:t>生活设施</w:t>
            </w:r>
            <w:r>
              <w:rPr>
                <w:rFonts w:hint="eastAsia"/>
                <w:sz w:val="24"/>
              </w:rPr>
              <w:t>及</w:t>
            </w:r>
            <w:r>
              <w:rPr>
                <w:rFonts w:hint="eastAsia"/>
                <w:bCs/>
                <w:sz w:val="24"/>
              </w:rPr>
              <w:t>供水、供电系统</w:t>
            </w:r>
            <w:r>
              <w:rPr>
                <w:rFonts w:hint="eastAsia"/>
                <w:sz w:val="24"/>
              </w:rPr>
              <w:t>依托现有设施，不新建</w:t>
            </w:r>
            <w:r>
              <w:rPr>
                <w:sz w:val="24"/>
              </w:rPr>
              <w:t>。本项目的项目组成及主要的环境问题列表</w:t>
            </w:r>
            <w:r>
              <w:rPr>
                <w:iCs/>
                <w:sz w:val="24"/>
              </w:rPr>
              <w:t>如下表1-</w:t>
            </w:r>
            <w:r>
              <w:rPr>
                <w:rFonts w:hint="eastAsia"/>
                <w:iCs/>
                <w:sz w:val="24"/>
              </w:rPr>
              <w:t>2</w:t>
            </w:r>
            <w:r>
              <w:rPr>
                <w:iCs/>
                <w:sz w:val="24"/>
              </w:rPr>
              <w:t>：</w:t>
            </w:r>
          </w:p>
          <w:p>
            <w:pPr>
              <w:spacing w:line="360" w:lineRule="auto"/>
              <w:ind w:firstLine="480" w:firstLineChars="200"/>
              <w:rPr>
                <w:iCs/>
                <w:sz w:val="24"/>
              </w:rPr>
            </w:pPr>
          </w:p>
          <w:p>
            <w:pPr>
              <w:spacing w:line="360" w:lineRule="auto"/>
              <w:ind w:firstLine="480" w:firstLineChars="200"/>
              <w:rPr>
                <w:iCs/>
                <w:sz w:val="24"/>
              </w:rPr>
            </w:pPr>
          </w:p>
          <w:p>
            <w:pPr>
              <w:spacing w:line="360" w:lineRule="auto"/>
              <w:ind w:firstLine="480" w:firstLineChars="200"/>
              <w:rPr>
                <w:iCs/>
                <w:sz w:val="24"/>
              </w:rPr>
            </w:pPr>
          </w:p>
          <w:p>
            <w:pPr>
              <w:autoSpaceDE w:val="0"/>
              <w:autoSpaceDN w:val="0"/>
              <w:spacing w:line="500" w:lineRule="exact"/>
              <w:jc w:val="center"/>
              <w:rPr>
                <w:rFonts w:ascii="宋体" w:hAnsi="宋体"/>
                <w:b/>
                <w:sz w:val="24"/>
              </w:rPr>
            </w:pPr>
            <w:r>
              <w:rPr>
                <w:rFonts w:hint="eastAsia" w:ascii="宋体" w:hAnsi="宋体"/>
                <w:b/>
                <w:sz w:val="24"/>
              </w:rPr>
              <w:t>表1-2  项目组成及主要环境问题一览表</w:t>
            </w:r>
          </w:p>
          <w:tbl>
            <w:tblPr>
              <w:tblStyle w:val="53"/>
              <w:tblW w:w="93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134"/>
              <w:gridCol w:w="1134"/>
              <w:gridCol w:w="3494"/>
              <w:gridCol w:w="759"/>
              <w:gridCol w:w="992"/>
              <w:gridCol w:w="10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91" w:hRule="atLeast"/>
                <w:tblHeader/>
                <w:jc w:val="center"/>
              </w:trPr>
              <w:tc>
                <w:tcPr>
                  <w:tcW w:w="1872" w:type="dxa"/>
                  <w:gridSpan w:val="2"/>
                  <w:vMerge w:val="restart"/>
                  <w:tcBorders>
                    <w:top w:val="single" w:color="auto" w:sz="8" w:space="0"/>
                    <w:left w:val="single" w:color="auto" w:sz="8" w:space="0"/>
                    <w:right w:val="single" w:color="auto" w:sz="4" w:space="0"/>
                  </w:tcBorders>
                  <w:vAlign w:val="center"/>
                </w:tcPr>
                <w:p>
                  <w:pPr>
                    <w:jc w:val="center"/>
                    <w:rPr>
                      <w:b/>
                      <w:szCs w:val="21"/>
                    </w:rPr>
                  </w:pPr>
                  <w:r>
                    <w:rPr>
                      <w:b/>
                      <w:szCs w:val="21"/>
                    </w:rPr>
                    <w:t>项目组成</w:t>
                  </w:r>
                </w:p>
              </w:tc>
              <w:tc>
                <w:tcPr>
                  <w:tcW w:w="4628" w:type="dxa"/>
                  <w:gridSpan w:val="2"/>
                  <w:vMerge w:val="restart"/>
                  <w:tcBorders>
                    <w:top w:val="single" w:color="auto" w:sz="4" w:space="0"/>
                    <w:left w:val="single" w:color="auto" w:sz="4" w:space="0"/>
                    <w:right w:val="single" w:color="auto" w:sz="4" w:space="0"/>
                  </w:tcBorders>
                  <w:vAlign w:val="center"/>
                </w:tcPr>
                <w:p>
                  <w:pPr>
                    <w:jc w:val="center"/>
                    <w:rPr>
                      <w:b/>
                      <w:szCs w:val="21"/>
                    </w:rPr>
                  </w:pPr>
                  <w:r>
                    <w:rPr>
                      <w:b/>
                      <w:szCs w:val="21"/>
                    </w:rPr>
                    <w:t>建设内容</w:t>
                  </w:r>
                </w:p>
              </w:tc>
              <w:tc>
                <w:tcPr>
                  <w:tcW w:w="759" w:type="dxa"/>
                  <w:vMerge w:val="restart"/>
                  <w:tcBorders>
                    <w:top w:val="single" w:color="auto" w:sz="4" w:space="0"/>
                    <w:left w:val="single" w:color="auto" w:sz="4" w:space="0"/>
                  </w:tcBorders>
                  <w:vAlign w:val="center"/>
                </w:tcPr>
                <w:p>
                  <w:pPr>
                    <w:jc w:val="center"/>
                    <w:rPr>
                      <w:b/>
                      <w:szCs w:val="21"/>
                    </w:rPr>
                  </w:pPr>
                  <w:r>
                    <w:rPr>
                      <w:rFonts w:hint="eastAsia"/>
                      <w:b/>
                      <w:szCs w:val="21"/>
                    </w:rPr>
                    <w:t>备注</w:t>
                  </w:r>
                </w:p>
              </w:tc>
              <w:tc>
                <w:tcPr>
                  <w:tcW w:w="2050" w:type="dxa"/>
                  <w:gridSpan w:val="2"/>
                  <w:tcBorders>
                    <w:top w:val="single" w:color="auto" w:sz="8" w:space="0"/>
                    <w:right w:val="single" w:color="auto" w:sz="8" w:space="0"/>
                  </w:tcBorders>
                  <w:vAlign w:val="center"/>
                </w:tcPr>
                <w:p>
                  <w:pPr>
                    <w:jc w:val="center"/>
                    <w:rPr>
                      <w:b/>
                      <w:szCs w:val="21"/>
                    </w:rPr>
                  </w:pPr>
                  <w:r>
                    <w:rPr>
                      <w:b/>
                      <w:szCs w:val="21"/>
                    </w:rPr>
                    <w:t>产生的环境问题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76" w:hRule="atLeast"/>
                <w:tblHeader/>
                <w:jc w:val="center"/>
              </w:trPr>
              <w:tc>
                <w:tcPr>
                  <w:tcW w:w="1872" w:type="dxa"/>
                  <w:gridSpan w:val="2"/>
                  <w:vMerge w:val="continue"/>
                  <w:tcBorders>
                    <w:left w:val="single" w:color="auto" w:sz="8" w:space="0"/>
                    <w:right w:val="single" w:color="auto" w:sz="4" w:space="0"/>
                  </w:tcBorders>
                  <w:vAlign w:val="center"/>
                </w:tcPr>
                <w:p/>
              </w:tc>
              <w:tc>
                <w:tcPr>
                  <w:tcW w:w="4628" w:type="dxa"/>
                  <w:gridSpan w:val="2"/>
                  <w:vMerge w:val="continue"/>
                  <w:tcBorders>
                    <w:left w:val="single" w:color="auto" w:sz="4" w:space="0"/>
                    <w:right w:val="single" w:color="auto" w:sz="4" w:space="0"/>
                  </w:tcBorders>
                  <w:vAlign w:val="center"/>
                </w:tcPr>
                <w:p/>
              </w:tc>
              <w:tc>
                <w:tcPr>
                  <w:tcW w:w="759" w:type="dxa"/>
                  <w:vMerge w:val="continue"/>
                  <w:tcBorders>
                    <w:left w:val="single" w:color="auto" w:sz="4" w:space="0"/>
                  </w:tcBorders>
                  <w:vAlign w:val="center"/>
                </w:tcPr>
                <w:p>
                  <w:pPr>
                    <w:jc w:val="center"/>
                  </w:pPr>
                </w:p>
              </w:tc>
              <w:tc>
                <w:tcPr>
                  <w:tcW w:w="992" w:type="dxa"/>
                  <w:vAlign w:val="center"/>
                </w:tcPr>
                <w:p>
                  <w:pPr>
                    <w:jc w:val="center"/>
                    <w:rPr>
                      <w:b/>
                      <w:szCs w:val="21"/>
                    </w:rPr>
                  </w:pPr>
                  <w:r>
                    <w:rPr>
                      <w:b/>
                      <w:szCs w:val="21"/>
                    </w:rPr>
                    <w:t>施工期</w:t>
                  </w:r>
                </w:p>
              </w:tc>
              <w:tc>
                <w:tcPr>
                  <w:tcW w:w="1058" w:type="dxa"/>
                  <w:tcBorders>
                    <w:right w:val="single" w:color="auto" w:sz="8" w:space="0"/>
                  </w:tcBorders>
                  <w:vAlign w:val="center"/>
                </w:tcPr>
                <w:p>
                  <w:pPr>
                    <w:jc w:val="center"/>
                    <w:rPr>
                      <w:b/>
                      <w:szCs w:val="21"/>
                    </w:rPr>
                  </w:pPr>
                  <w:r>
                    <w:rPr>
                      <w:b/>
                      <w:szCs w:val="21"/>
                    </w:rPr>
                    <w:t>运营期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66" w:hRule="atLeast"/>
                <w:jc w:val="center"/>
              </w:trPr>
              <w:tc>
                <w:tcPr>
                  <w:tcW w:w="738" w:type="dxa"/>
                  <w:vMerge w:val="restart"/>
                  <w:tcBorders>
                    <w:left w:val="single" w:color="auto" w:sz="8" w:space="0"/>
                    <w:right w:val="single" w:color="auto" w:sz="4" w:space="0"/>
                  </w:tcBorders>
                  <w:vAlign w:val="center"/>
                </w:tcPr>
                <w:p>
                  <w:pPr>
                    <w:widowControl/>
                    <w:jc w:val="center"/>
                    <w:rPr>
                      <w:kern w:val="0"/>
                      <w:szCs w:val="21"/>
                    </w:rPr>
                  </w:pPr>
                  <w:r>
                    <w:rPr>
                      <w:kern w:val="0"/>
                      <w:szCs w:val="21"/>
                    </w:rPr>
                    <w:t>主体</w:t>
                  </w:r>
                </w:p>
                <w:p>
                  <w:pPr>
                    <w:jc w:val="center"/>
                    <w:rPr>
                      <w:kern w:val="0"/>
                      <w:szCs w:val="21"/>
                    </w:rPr>
                  </w:pPr>
                  <w:r>
                    <w:rPr>
                      <w:kern w:val="0"/>
                      <w:szCs w:val="21"/>
                    </w:rPr>
                    <w:t>工程</w:t>
                  </w:r>
                </w:p>
              </w:tc>
              <w:tc>
                <w:tcPr>
                  <w:tcW w:w="1134" w:type="dxa"/>
                  <w:tcBorders>
                    <w:left w:val="single" w:color="auto" w:sz="4" w:space="0"/>
                    <w:right w:val="single" w:color="auto" w:sz="4" w:space="0"/>
                  </w:tcBorders>
                  <w:vAlign w:val="center"/>
                </w:tcPr>
                <w:p>
                  <w:pPr>
                    <w:jc w:val="center"/>
                    <w:rPr>
                      <w:kern w:val="0"/>
                      <w:szCs w:val="21"/>
                    </w:rPr>
                  </w:pPr>
                  <w:r>
                    <w:rPr>
                      <w:rFonts w:hint="eastAsia"/>
                      <w:kern w:val="0"/>
                      <w:szCs w:val="21"/>
                    </w:rPr>
                    <w:t>铸造车间</w:t>
                  </w:r>
                </w:p>
              </w:tc>
              <w:tc>
                <w:tcPr>
                  <w:tcW w:w="4628" w:type="dxa"/>
                  <w:gridSpan w:val="2"/>
                  <w:tcBorders>
                    <w:left w:val="single" w:color="auto" w:sz="4" w:space="0"/>
                    <w:right w:val="single" w:color="auto" w:sz="4" w:space="0"/>
                  </w:tcBorders>
                  <w:vAlign w:val="center"/>
                </w:tcPr>
                <w:p>
                  <w:r>
                    <w:rPr>
                      <w:rFonts w:hint="eastAsia"/>
                    </w:rPr>
                    <w:t>砖混结构，建筑面积7</w:t>
                  </w:r>
                  <w:r>
                    <w:t>68m</w:t>
                  </w:r>
                  <w:r>
                    <w:rPr>
                      <w:vertAlign w:val="superscript"/>
                    </w:rPr>
                    <w:t>2</w:t>
                  </w:r>
                  <w:r>
                    <w:rPr>
                      <w:rFonts w:hint="eastAsia"/>
                    </w:rPr>
                    <w:t>，</w:t>
                  </w:r>
                  <w:r>
                    <w:rPr>
                      <w:rFonts w:hint="eastAsia"/>
                      <w:szCs w:val="21"/>
                    </w:rPr>
                    <w:t>设置熔化炉、铸压等设备，对生铁进行熔化、压铸</w:t>
                  </w:r>
                  <w:r>
                    <w:rPr>
                      <w:rFonts w:hint="eastAsia"/>
                    </w:rPr>
                    <w:t>。</w:t>
                  </w:r>
                </w:p>
              </w:tc>
              <w:tc>
                <w:tcPr>
                  <w:tcW w:w="759" w:type="dxa"/>
                  <w:tcBorders>
                    <w:left w:val="single" w:color="auto" w:sz="4" w:space="0"/>
                  </w:tcBorders>
                  <w:vAlign w:val="center"/>
                </w:tcPr>
                <w:p>
                  <w:pPr>
                    <w:jc w:val="center"/>
                  </w:pPr>
                  <w:r>
                    <w:rPr>
                      <w:rFonts w:hint="eastAsia"/>
                    </w:rPr>
                    <w:t>原有项目</w:t>
                  </w:r>
                </w:p>
              </w:tc>
              <w:tc>
                <w:tcPr>
                  <w:tcW w:w="992" w:type="dxa"/>
                  <w:vMerge w:val="restart"/>
                  <w:vAlign w:val="center"/>
                </w:tcPr>
                <w:p>
                  <w:pPr>
                    <w:widowControl/>
                    <w:jc w:val="center"/>
                    <w:rPr>
                      <w:kern w:val="0"/>
                      <w:szCs w:val="21"/>
                    </w:rPr>
                  </w:pPr>
                  <w:r>
                    <w:rPr>
                      <w:kern w:val="0"/>
                      <w:szCs w:val="21"/>
                    </w:rPr>
                    <w:t>施工扬尘</w:t>
                  </w:r>
                </w:p>
                <w:p>
                  <w:pPr>
                    <w:widowControl/>
                    <w:jc w:val="center"/>
                    <w:rPr>
                      <w:kern w:val="0"/>
                      <w:szCs w:val="21"/>
                    </w:rPr>
                  </w:pPr>
                  <w:r>
                    <w:rPr>
                      <w:kern w:val="0"/>
                      <w:szCs w:val="21"/>
                    </w:rPr>
                    <w:t>施工废水</w:t>
                  </w:r>
                </w:p>
                <w:p>
                  <w:pPr>
                    <w:widowControl/>
                    <w:jc w:val="center"/>
                    <w:rPr>
                      <w:kern w:val="0"/>
                      <w:szCs w:val="21"/>
                    </w:rPr>
                  </w:pPr>
                  <w:r>
                    <w:rPr>
                      <w:kern w:val="0"/>
                      <w:szCs w:val="21"/>
                    </w:rPr>
                    <w:t>施工噪声</w:t>
                  </w:r>
                </w:p>
                <w:p>
                  <w:pPr>
                    <w:jc w:val="center"/>
                    <w:rPr>
                      <w:kern w:val="0"/>
                      <w:szCs w:val="21"/>
                    </w:rPr>
                  </w:pPr>
                  <w:r>
                    <w:rPr>
                      <w:kern w:val="0"/>
                      <w:szCs w:val="21"/>
                    </w:rPr>
                    <w:t>建筑弃渣</w:t>
                  </w:r>
                </w:p>
              </w:tc>
              <w:tc>
                <w:tcPr>
                  <w:tcW w:w="1058" w:type="dxa"/>
                  <w:tcBorders>
                    <w:right w:val="single" w:color="auto" w:sz="8" w:space="0"/>
                  </w:tcBorders>
                  <w:vAlign w:val="center"/>
                </w:tcPr>
                <w:p>
                  <w:pPr>
                    <w:jc w:val="center"/>
                    <w:rPr>
                      <w:szCs w:val="21"/>
                    </w:rPr>
                  </w:pPr>
                  <w:r>
                    <w:rPr>
                      <w:szCs w:val="21"/>
                    </w:rPr>
                    <w:t>噪声、</w:t>
                  </w:r>
                  <w:r>
                    <w:rPr>
                      <w:rFonts w:hint="eastAsia"/>
                      <w:szCs w:val="21"/>
                    </w:rPr>
                    <w:t>废气、固废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66" w:hRule="atLeast"/>
                <w:jc w:val="center"/>
              </w:trPr>
              <w:tc>
                <w:tcPr>
                  <w:tcW w:w="738" w:type="dxa"/>
                  <w:vMerge w:val="continue"/>
                  <w:tcBorders>
                    <w:left w:val="single" w:color="auto" w:sz="8" w:space="0"/>
                    <w:right w:val="single" w:color="auto" w:sz="4" w:space="0"/>
                  </w:tcBorders>
                  <w:vAlign w:val="center"/>
                </w:tcPr>
                <w:p>
                  <w:pPr>
                    <w:widowControl/>
                    <w:jc w:val="center"/>
                    <w:rPr>
                      <w:kern w:val="0"/>
                      <w:szCs w:val="21"/>
                    </w:rPr>
                  </w:pPr>
                </w:p>
              </w:tc>
              <w:tc>
                <w:tcPr>
                  <w:tcW w:w="1134" w:type="dxa"/>
                  <w:vMerge w:val="restart"/>
                  <w:tcBorders>
                    <w:left w:val="single" w:color="auto" w:sz="4" w:space="0"/>
                    <w:right w:val="single" w:color="auto" w:sz="4" w:space="0"/>
                  </w:tcBorders>
                  <w:vAlign w:val="center"/>
                </w:tcPr>
                <w:p>
                  <w:pPr>
                    <w:jc w:val="center"/>
                    <w:rPr>
                      <w:kern w:val="0"/>
                      <w:szCs w:val="21"/>
                    </w:rPr>
                  </w:pPr>
                  <w:r>
                    <w:rPr>
                      <w:rFonts w:hint="eastAsia"/>
                      <w:kern w:val="0"/>
                      <w:szCs w:val="21"/>
                    </w:rPr>
                    <w:t>精工、氧化车间</w:t>
                  </w:r>
                </w:p>
              </w:tc>
              <w:tc>
                <w:tcPr>
                  <w:tcW w:w="1134" w:type="dxa"/>
                  <w:vMerge w:val="restart"/>
                  <w:tcBorders>
                    <w:left w:val="single" w:color="auto" w:sz="4" w:space="0"/>
                    <w:right w:val="single" w:color="auto" w:sz="4" w:space="0"/>
                  </w:tcBorders>
                  <w:vAlign w:val="center"/>
                </w:tcPr>
                <w:p>
                  <w:r>
                    <w:rPr>
                      <w:rFonts w:hint="eastAsia"/>
                    </w:rPr>
                    <w:t>砖混结构，总占地面积</w:t>
                  </w:r>
                  <w:r>
                    <w:t>2268</w:t>
                  </w:r>
                  <w:r>
                    <w:rPr>
                      <w:rFonts w:hint="eastAsia"/>
                    </w:rPr>
                    <w:t>m</w:t>
                  </w:r>
                  <w:r>
                    <w:rPr>
                      <w:rFonts w:hint="eastAsia"/>
                      <w:vertAlign w:val="superscript"/>
                    </w:rPr>
                    <w:t>2</w:t>
                  </w:r>
                  <w:r>
                    <w:rPr>
                      <w:rFonts w:hint="eastAsia"/>
                    </w:rPr>
                    <w:t>。</w:t>
                  </w:r>
                </w:p>
              </w:tc>
              <w:tc>
                <w:tcPr>
                  <w:tcW w:w="3494" w:type="dxa"/>
                  <w:tcBorders>
                    <w:left w:val="single" w:color="auto" w:sz="4" w:space="0"/>
                    <w:right w:val="single" w:color="auto" w:sz="4" w:space="0"/>
                  </w:tcBorders>
                  <w:vAlign w:val="center"/>
                </w:tcPr>
                <w:p>
                  <w:r>
                    <w:rPr>
                      <w:rFonts w:hint="eastAsia"/>
                    </w:rPr>
                    <w:t>在其北侧已设置磨削机、数控机床等设备对压铸成型的半成品进行打磨抛光</w:t>
                  </w:r>
                </w:p>
              </w:tc>
              <w:tc>
                <w:tcPr>
                  <w:tcW w:w="759" w:type="dxa"/>
                  <w:tcBorders>
                    <w:left w:val="single" w:color="auto" w:sz="4" w:space="0"/>
                  </w:tcBorders>
                  <w:vAlign w:val="center"/>
                </w:tcPr>
                <w:p>
                  <w:pPr>
                    <w:jc w:val="center"/>
                  </w:pPr>
                  <w:r>
                    <w:rPr>
                      <w:rFonts w:hint="eastAsia"/>
                    </w:rPr>
                    <w:t>依托</w:t>
                  </w:r>
                </w:p>
              </w:tc>
              <w:tc>
                <w:tcPr>
                  <w:tcW w:w="992" w:type="dxa"/>
                  <w:vMerge w:val="continue"/>
                  <w:vAlign w:val="center"/>
                </w:tcPr>
                <w:p>
                  <w:pPr>
                    <w:widowControl/>
                    <w:jc w:val="center"/>
                    <w:rPr>
                      <w:kern w:val="0"/>
                      <w:szCs w:val="21"/>
                    </w:rPr>
                  </w:pPr>
                </w:p>
              </w:tc>
              <w:tc>
                <w:tcPr>
                  <w:tcW w:w="1058" w:type="dxa"/>
                  <w:tcBorders>
                    <w:right w:val="single" w:color="auto" w:sz="8" w:space="0"/>
                  </w:tcBorders>
                  <w:vAlign w:val="center"/>
                </w:tcPr>
                <w:p>
                  <w:pPr>
                    <w:jc w:val="center"/>
                    <w:rPr>
                      <w:szCs w:val="21"/>
                    </w:rPr>
                  </w:pPr>
                  <w:r>
                    <w:rPr>
                      <w:szCs w:val="21"/>
                    </w:rPr>
                    <w:t>废气</w:t>
                  </w:r>
                  <w:r>
                    <w:rPr>
                      <w:rFonts w:hint="eastAsia"/>
                      <w:szCs w:val="21"/>
                    </w:rPr>
                    <w:t>、</w:t>
                  </w:r>
                  <w:r>
                    <w:rPr>
                      <w:szCs w:val="21"/>
                    </w:rPr>
                    <w:t>噪声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66" w:hRule="atLeast"/>
                <w:jc w:val="center"/>
              </w:trPr>
              <w:tc>
                <w:tcPr>
                  <w:tcW w:w="738" w:type="dxa"/>
                  <w:vMerge w:val="continue"/>
                  <w:tcBorders>
                    <w:left w:val="single" w:color="auto" w:sz="8" w:space="0"/>
                    <w:right w:val="single" w:color="auto" w:sz="4" w:space="0"/>
                  </w:tcBorders>
                  <w:vAlign w:val="center"/>
                </w:tcPr>
                <w:p>
                  <w:pPr>
                    <w:widowControl/>
                    <w:jc w:val="center"/>
                    <w:rPr>
                      <w:kern w:val="0"/>
                      <w:szCs w:val="21"/>
                    </w:rPr>
                  </w:pPr>
                </w:p>
              </w:tc>
              <w:tc>
                <w:tcPr>
                  <w:tcW w:w="1134" w:type="dxa"/>
                  <w:vMerge w:val="continue"/>
                  <w:tcBorders>
                    <w:left w:val="single" w:color="auto" w:sz="4" w:space="0"/>
                    <w:right w:val="single" w:color="auto" w:sz="4" w:space="0"/>
                  </w:tcBorders>
                  <w:vAlign w:val="center"/>
                </w:tcPr>
                <w:p>
                  <w:pPr>
                    <w:jc w:val="center"/>
                    <w:rPr>
                      <w:kern w:val="0"/>
                      <w:szCs w:val="21"/>
                    </w:rPr>
                  </w:pPr>
                </w:p>
              </w:tc>
              <w:tc>
                <w:tcPr>
                  <w:tcW w:w="1134" w:type="dxa"/>
                  <w:vMerge w:val="continue"/>
                  <w:tcBorders>
                    <w:left w:val="single" w:color="auto" w:sz="4" w:space="0"/>
                    <w:right w:val="single" w:color="auto" w:sz="4" w:space="0"/>
                  </w:tcBorders>
                  <w:vAlign w:val="center"/>
                </w:tcPr>
                <w:p/>
              </w:tc>
              <w:tc>
                <w:tcPr>
                  <w:tcW w:w="3494" w:type="dxa"/>
                  <w:tcBorders>
                    <w:left w:val="single" w:color="auto" w:sz="4" w:space="0"/>
                    <w:right w:val="single" w:color="auto" w:sz="4" w:space="0"/>
                  </w:tcBorders>
                  <w:vAlign w:val="center"/>
                </w:tcPr>
                <w:p>
                  <w:r>
                    <w:rPr>
                      <w:rFonts w:hint="eastAsia"/>
                    </w:rPr>
                    <w:t>本项目占地面积</w:t>
                  </w:r>
                  <w:r>
                    <w:t>525 m</w:t>
                  </w:r>
                  <w:r>
                    <w:rPr>
                      <w:vertAlign w:val="superscript"/>
                    </w:rPr>
                    <w:t>2</w:t>
                  </w:r>
                  <w:r>
                    <w:rPr>
                      <w:rFonts w:hint="eastAsia"/>
                    </w:rPr>
                    <w:t>，位于车间南部，拟设置氧化炉、预热炉、氮化炉、抛光设备、自动清洗机等设施，建设铸铁锅表面防锈生产线一条</w:t>
                  </w:r>
                </w:p>
              </w:tc>
              <w:tc>
                <w:tcPr>
                  <w:tcW w:w="759" w:type="dxa"/>
                  <w:tcBorders>
                    <w:left w:val="single" w:color="auto" w:sz="4" w:space="0"/>
                  </w:tcBorders>
                  <w:vAlign w:val="center"/>
                </w:tcPr>
                <w:p>
                  <w:pPr>
                    <w:jc w:val="center"/>
                  </w:pPr>
                  <w:r>
                    <w:rPr>
                      <w:rFonts w:hint="eastAsia"/>
                    </w:rPr>
                    <w:t>新增</w:t>
                  </w:r>
                </w:p>
              </w:tc>
              <w:tc>
                <w:tcPr>
                  <w:tcW w:w="992" w:type="dxa"/>
                  <w:vMerge w:val="continue"/>
                  <w:vAlign w:val="center"/>
                </w:tcPr>
                <w:p>
                  <w:pPr>
                    <w:widowControl/>
                    <w:jc w:val="center"/>
                    <w:rPr>
                      <w:kern w:val="0"/>
                      <w:szCs w:val="21"/>
                    </w:rPr>
                  </w:pPr>
                </w:p>
              </w:tc>
              <w:tc>
                <w:tcPr>
                  <w:tcW w:w="1058" w:type="dxa"/>
                  <w:tcBorders>
                    <w:right w:val="single" w:color="auto" w:sz="8" w:space="0"/>
                  </w:tcBorders>
                  <w:vAlign w:val="center"/>
                </w:tcPr>
                <w:p>
                  <w:pPr>
                    <w:jc w:val="center"/>
                    <w:rPr>
                      <w:szCs w:val="21"/>
                    </w:rPr>
                  </w:pPr>
                  <w:r>
                    <w:rPr>
                      <w:szCs w:val="21"/>
                    </w:rPr>
                    <w:t>废气</w:t>
                  </w:r>
                  <w:r>
                    <w:rPr>
                      <w:rFonts w:hint="eastAsia"/>
                      <w:szCs w:val="21"/>
                    </w:rPr>
                    <w:t>、</w:t>
                  </w:r>
                  <w:r>
                    <w:rPr>
                      <w:szCs w:val="21"/>
                    </w:rPr>
                    <w:t>噪声</w:t>
                  </w:r>
                  <w:r>
                    <w:rPr>
                      <w:rFonts w:hint="eastAsia"/>
                      <w:szCs w:val="21"/>
                    </w:rPr>
                    <w:t>、</w:t>
                  </w:r>
                  <w:r>
                    <w:rPr>
                      <w:szCs w:val="21"/>
                    </w:rPr>
                    <w:t>固废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5" w:hRule="atLeast"/>
                <w:jc w:val="center"/>
              </w:trPr>
              <w:tc>
                <w:tcPr>
                  <w:tcW w:w="738" w:type="dxa"/>
                  <w:vMerge w:val="restart"/>
                  <w:tcBorders>
                    <w:left w:val="single" w:color="auto" w:sz="8" w:space="0"/>
                  </w:tcBorders>
                  <w:vAlign w:val="center"/>
                </w:tcPr>
                <w:p>
                  <w:pPr>
                    <w:jc w:val="center"/>
                    <w:rPr>
                      <w:kern w:val="0"/>
                      <w:szCs w:val="21"/>
                    </w:rPr>
                  </w:pPr>
                  <w:r>
                    <w:rPr>
                      <w:kern w:val="0"/>
                      <w:szCs w:val="21"/>
                    </w:rPr>
                    <w:t>辅助</w:t>
                  </w:r>
                </w:p>
                <w:p>
                  <w:pPr>
                    <w:jc w:val="center"/>
                    <w:rPr>
                      <w:kern w:val="0"/>
                      <w:szCs w:val="21"/>
                    </w:rPr>
                  </w:pPr>
                  <w:r>
                    <w:rPr>
                      <w:kern w:val="0"/>
                      <w:szCs w:val="21"/>
                    </w:rPr>
                    <w:t>工程</w:t>
                  </w:r>
                </w:p>
              </w:tc>
              <w:tc>
                <w:tcPr>
                  <w:tcW w:w="1134" w:type="dxa"/>
                  <w:vMerge w:val="restart"/>
                  <w:vAlign w:val="center"/>
                </w:tcPr>
                <w:p>
                  <w:pPr>
                    <w:widowControl/>
                    <w:jc w:val="center"/>
                    <w:rPr>
                      <w:kern w:val="0"/>
                      <w:szCs w:val="21"/>
                    </w:rPr>
                  </w:pPr>
                  <w:r>
                    <w:rPr>
                      <w:rFonts w:hint="eastAsia"/>
                      <w:kern w:val="0"/>
                      <w:szCs w:val="21"/>
                    </w:rPr>
                    <w:t>总装车间、成品库房、研发中心</w:t>
                  </w:r>
                </w:p>
              </w:tc>
              <w:tc>
                <w:tcPr>
                  <w:tcW w:w="4628" w:type="dxa"/>
                  <w:gridSpan w:val="2"/>
                  <w:vMerge w:val="restart"/>
                  <w:tcBorders>
                    <w:right w:val="single" w:color="auto" w:sz="4" w:space="0"/>
                  </w:tcBorders>
                  <w:vAlign w:val="center"/>
                </w:tcPr>
                <w:p>
                  <w:pPr>
                    <w:autoSpaceDE w:val="0"/>
                    <w:autoSpaceDN w:val="0"/>
                    <w:adjustRightInd w:val="0"/>
                    <w:jc w:val="left"/>
                    <w:rPr>
                      <w:szCs w:val="21"/>
                    </w:rPr>
                  </w:pPr>
                  <w:r>
                    <w:rPr>
                      <w:rFonts w:hint="eastAsia"/>
                      <w:szCs w:val="21"/>
                    </w:rPr>
                    <w:t>总装车间、成品库房、研发中心合建，建筑面积2</w:t>
                  </w:r>
                  <w:r>
                    <w:rPr>
                      <w:szCs w:val="21"/>
                    </w:rPr>
                    <w:t>800m</w:t>
                  </w:r>
                  <w:r>
                    <w:rPr>
                      <w:szCs w:val="21"/>
                      <w:vertAlign w:val="superscript"/>
                    </w:rPr>
                    <w:t>2</w:t>
                  </w:r>
                  <w:r>
                    <w:rPr>
                      <w:rFonts w:hint="eastAsia"/>
                      <w:szCs w:val="21"/>
                    </w:rPr>
                    <w:t>，</w:t>
                  </w:r>
                  <w:r>
                    <w:rPr>
                      <w:szCs w:val="21"/>
                    </w:rPr>
                    <w:t>钢结构</w:t>
                  </w:r>
                </w:p>
              </w:tc>
              <w:tc>
                <w:tcPr>
                  <w:tcW w:w="759" w:type="dxa"/>
                  <w:tcBorders>
                    <w:left w:val="single" w:color="auto" w:sz="4" w:space="0"/>
                  </w:tcBorders>
                  <w:vAlign w:val="center"/>
                </w:tcPr>
                <w:p>
                  <w:pPr>
                    <w:autoSpaceDE w:val="0"/>
                    <w:autoSpaceDN w:val="0"/>
                    <w:adjustRightInd w:val="0"/>
                    <w:jc w:val="center"/>
                  </w:pPr>
                  <w:r>
                    <w:rPr>
                      <w:rFonts w:hint="eastAsia"/>
                    </w:rPr>
                    <w:t>依托</w:t>
                  </w:r>
                </w:p>
              </w:tc>
              <w:tc>
                <w:tcPr>
                  <w:tcW w:w="992" w:type="dxa"/>
                  <w:vMerge w:val="continue"/>
                  <w:vAlign w:val="center"/>
                </w:tcPr>
                <w:p/>
              </w:tc>
              <w:tc>
                <w:tcPr>
                  <w:tcW w:w="1058" w:type="dxa"/>
                  <w:tcBorders>
                    <w:right w:val="single" w:color="auto" w:sz="8" w:space="0"/>
                  </w:tcBorders>
                  <w:vAlign w:val="center"/>
                </w:tcPr>
                <w:p>
                  <w:pPr>
                    <w:widowControl/>
                    <w:jc w:val="center"/>
                    <w:rPr>
                      <w:kern w:val="0"/>
                      <w:szCs w:val="21"/>
                    </w:rPr>
                  </w:pP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4" w:hRule="atLeast"/>
                <w:jc w:val="center"/>
              </w:trPr>
              <w:tc>
                <w:tcPr>
                  <w:tcW w:w="738" w:type="dxa"/>
                  <w:vMerge w:val="continue"/>
                  <w:tcBorders>
                    <w:left w:val="single" w:color="auto" w:sz="8" w:space="0"/>
                  </w:tcBorders>
                  <w:vAlign w:val="center"/>
                </w:tcPr>
                <w:p>
                  <w:pPr>
                    <w:jc w:val="center"/>
                    <w:rPr>
                      <w:kern w:val="0"/>
                      <w:szCs w:val="21"/>
                    </w:rPr>
                  </w:pPr>
                </w:p>
              </w:tc>
              <w:tc>
                <w:tcPr>
                  <w:tcW w:w="1134" w:type="dxa"/>
                  <w:vMerge w:val="continue"/>
                  <w:vAlign w:val="center"/>
                </w:tcPr>
                <w:p>
                  <w:pPr>
                    <w:jc w:val="center"/>
                    <w:rPr>
                      <w:kern w:val="0"/>
                      <w:szCs w:val="21"/>
                    </w:rPr>
                  </w:pPr>
                </w:p>
              </w:tc>
              <w:tc>
                <w:tcPr>
                  <w:tcW w:w="4628" w:type="dxa"/>
                  <w:gridSpan w:val="2"/>
                  <w:vMerge w:val="continue"/>
                  <w:tcBorders>
                    <w:right w:val="single" w:color="auto" w:sz="4" w:space="0"/>
                  </w:tcBorders>
                  <w:vAlign w:val="center"/>
                </w:tcPr>
                <w:p>
                  <w:pPr>
                    <w:autoSpaceDE w:val="0"/>
                    <w:autoSpaceDN w:val="0"/>
                    <w:adjustRightInd w:val="0"/>
                    <w:jc w:val="left"/>
                    <w:rPr>
                      <w:szCs w:val="21"/>
                    </w:rPr>
                  </w:pPr>
                </w:p>
              </w:tc>
              <w:tc>
                <w:tcPr>
                  <w:tcW w:w="759" w:type="dxa"/>
                  <w:tcBorders>
                    <w:left w:val="single" w:color="auto" w:sz="4" w:space="0"/>
                  </w:tcBorders>
                  <w:vAlign w:val="center"/>
                </w:tcPr>
                <w:p>
                  <w:pPr>
                    <w:autoSpaceDE w:val="0"/>
                    <w:autoSpaceDN w:val="0"/>
                    <w:adjustRightInd w:val="0"/>
                    <w:jc w:val="center"/>
                  </w:pPr>
                  <w:r>
                    <w:rPr>
                      <w:rFonts w:hint="eastAsia"/>
                    </w:rPr>
                    <w:t>依托</w:t>
                  </w:r>
                </w:p>
              </w:tc>
              <w:tc>
                <w:tcPr>
                  <w:tcW w:w="992" w:type="dxa"/>
                  <w:vMerge w:val="continue"/>
                  <w:vAlign w:val="center"/>
                </w:tcPr>
                <w:p/>
              </w:tc>
              <w:tc>
                <w:tcPr>
                  <w:tcW w:w="1058" w:type="dxa"/>
                  <w:tcBorders>
                    <w:right w:val="single" w:color="auto" w:sz="8" w:space="0"/>
                  </w:tcBorders>
                  <w:vAlign w:val="center"/>
                </w:tcPr>
                <w:p>
                  <w:pPr>
                    <w:widowControl/>
                    <w:jc w:val="center"/>
                    <w:rPr>
                      <w:kern w:val="0"/>
                      <w:szCs w:val="21"/>
                    </w:rPr>
                  </w:pP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4" w:hRule="atLeast"/>
                <w:jc w:val="center"/>
              </w:trPr>
              <w:tc>
                <w:tcPr>
                  <w:tcW w:w="738" w:type="dxa"/>
                  <w:vMerge w:val="continue"/>
                  <w:tcBorders>
                    <w:left w:val="single" w:color="auto" w:sz="8" w:space="0"/>
                  </w:tcBorders>
                  <w:vAlign w:val="center"/>
                </w:tcPr>
                <w:p>
                  <w:pPr>
                    <w:jc w:val="center"/>
                    <w:rPr>
                      <w:kern w:val="0"/>
                      <w:szCs w:val="21"/>
                    </w:rPr>
                  </w:pPr>
                </w:p>
              </w:tc>
              <w:tc>
                <w:tcPr>
                  <w:tcW w:w="1134" w:type="dxa"/>
                  <w:vMerge w:val="continue"/>
                  <w:vAlign w:val="center"/>
                </w:tcPr>
                <w:p>
                  <w:pPr>
                    <w:widowControl/>
                    <w:jc w:val="center"/>
                    <w:rPr>
                      <w:kern w:val="0"/>
                      <w:szCs w:val="21"/>
                    </w:rPr>
                  </w:pPr>
                </w:p>
              </w:tc>
              <w:tc>
                <w:tcPr>
                  <w:tcW w:w="4628" w:type="dxa"/>
                  <w:gridSpan w:val="2"/>
                  <w:vMerge w:val="continue"/>
                  <w:tcBorders>
                    <w:right w:val="single" w:color="auto" w:sz="4" w:space="0"/>
                  </w:tcBorders>
                  <w:vAlign w:val="center"/>
                </w:tcPr>
                <w:p>
                  <w:pPr>
                    <w:autoSpaceDE w:val="0"/>
                    <w:autoSpaceDN w:val="0"/>
                    <w:adjustRightInd w:val="0"/>
                    <w:jc w:val="left"/>
                    <w:rPr>
                      <w:szCs w:val="21"/>
                    </w:rPr>
                  </w:pPr>
                </w:p>
              </w:tc>
              <w:tc>
                <w:tcPr>
                  <w:tcW w:w="759" w:type="dxa"/>
                  <w:tcBorders>
                    <w:left w:val="single" w:color="auto" w:sz="4" w:space="0"/>
                  </w:tcBorders>
                  <w:vAlign w:val="center"/>
                </w:tcPr>
                <w:p>
                  <w:pPr>
                    <w:autoSpaceDE w:val="0"/>
                    <w:autoSpaceDN w:val="0"/>
                    <w:adjustRightInd w:val="0"/>
                    <w:jc w:val="center"/>
                  </w:pPr>
                  <w:r>
                    <w:rPr>
                      <w:rFonts w:hint="eastAsia"/>
                    </w:rPr>
                    <w:t>依托</w:t>
                  </w:r>
                </w:p>
              </w:tc>
              <w:tc>
                <w:tcPr>
                  <w:tcW w:w="992" w:type="dxa"/>
                  <w:vMerge w:val="continue"/>
                  <w:vAlign w:val="center"/>
                </w:tcPr>
                <w:p/>
              </w:tc>
              <w:tc>
                <w:tcPr>
                  <w:tcW w:w="1058" w:type="dxa"/>
                  <w:tcBorders>
                    <w:right w:val="single" w:color="auto" w:sz="8" w:space="0"/>
                  </w:tcBorders>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jc w:val="center"/>
              </w:trPr>
              <w:tc>
                <w:tcPr>
                  <w:tcW w:w="738" w:type="dxa"/>
                  <w:vMerge w:val="restart"/>
                  <w:tcBorders>
                    <w:left w:val="single" w:color="auto" w:sz="8" w:space="0"/>
                    <w:right w:val="single" w:color="auto" w:sz="4" w:space="0"/>
                  </w:tcBorders>
                  <w:vAlign w:val="center"/>
                </w:tcPr>
                <w:p>
                  <w:pPr>
                    <w:widowControl/>
                    <w:jc w:val="center"/>
                    <w:rPr>
                      <w:kern w:val="0"/>
                      <w:szCs w:val="21"/>
                    </w:rPr>
                  </w:pPr>
                  <w:r>
                    <w:rPr>
                      <w:kern w:val="0"/>
                      <w:szCs w:val="21"/>
                    </w:rPr>
                    <w:t>公用</w:t>
                  </w:r>
                </w:p>
                <w:p>
                  <w:pPr>
                    <w:widowControl/>
                    <w:jc w:val="center"/>
                    <w:rPr>
                      <w:kern w:val="0"/>
                      <w:szCs w:val="21"/>
                    </w:rPr>
                  </w:pPr>
                  <w:r>
                    <w:rPr>
                      <w:kern w:val="0"/>
                      <w:szCs w:val="21"/>
                    </w:rPr>
                    <w:t>工程</w:t>
                  </w:r>
                </w:p>
              </w:tc>
              <w:tc>
                <w:tcPr>
                  <w:tcW w:w="1134" w:type="dxa"/>
                  <w:tcBorders>
                    <w:left w:val="single" w:color="auto" w:sz="4" w:space="0"/>
                  </w:tcBorders>
                  <w:vAlign w:val="center"/>
                </w:tcPr>
                <w:p>
                  <w:pPr>
                    <w:jc w:val="center"/>
                    <w:rPr>
                      <w:szCs w:val="21"/>
                    </w:rPr>
                  </w:pPr>
                  <w:r>
                    <w:rPr>
                      <w:szCs w:val="21"/>
                    </w:rPr>
                    <w:t>供水系统</w:t>
                  </w:r>
                </w:p>
              </w:tc>
              <w:tc>
                <w:tcPr>
                  <w:tcW w:w="4628" w:type="dxa"/>
                  <w:gridSpan w:val="2"/>
                  <w:tcBorders>
                    <w:right w:val="single" w:color="auto" w:sz="4" w:space="0"/>
                  </w:tcBorders>
                  <w:vAlign w:val="center"/>
                </w:tcPr>
                <w:p>
                  <w:pPr>
                    <w:rPr>
                      <w:szCs w:val="21"/>
                    </w:rPr>
                  </w:pPr>
                  <w:r>
                    <w:rPr>
                      <w:rFonts w:hint="eastAsia"/>
                      <w:szCs w:val="21"/>
                    </w:rPr>
                    <w:t>市政供水</w:t>
                  </w:r>
                </w:p>
              </w:tc>
              <w:tc>
                <w:tcPr>
                  <w:tcW w:w="759" w:type="dxa"/>
                  <w:tcBorders>
                    <w:left w:val="single" w:color="auto" w:sz="4" w:space="0"/>
                  </w:tcBorders>
                </w:tcPr>
                <w:p>
                  <w:r>
                    <w:rPr>
                      <w:rFonts w:hint="eastAsia"/>
                    </w:rPr>
                    <w:t>依托</w:t>
                  </w:r>
                </w:p>
              </w:tc>
              <w:tc>
                <w:tcPr>
                  <w:tcW w:w="992" w:type="dxa"/>
                  <w:vMerge w:val="continue"/>
                  <w:vAlign w:val="center"/>
                </w:tcPr>
                <w:p/>
              </w:tc>
              <w:tc>
                <w:tcPr>
                  <w:tcW w:w="1058" w:type="dxa"/>
                  <w:tcBorders>
                    <w:right w:val="single" w:color="auto" w:sz="8" w:space="0"/>
                  </w:tcBorders>
                  <w:vAlign w:val="center"/>
                </w:tcPr>
                <w:p>
                  <w:pPr>
                    <w:jc w:val="center"/>
                    <w:rPr>
                      <w:kern w:val="0"/>
                      <w:szCs w:val="21"/>
                    </w:rPr>
                  </w:pPr>
                  <w:r>
                    <w:rPr>
                      <w:kern w:val="0"/>
                      <w:szCs w:val="21"/>
                    </w:rPr>
                    <w:t>噪声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3" w:hRule="atLeast"/>
                <w:jc w:val="center"/>
              </w:trPr>
              <w:tc>
                <w:tcPr>
                  <w:tcW w:w="738" w:type="dxa"/>
                  <w:vMerge w:val="continue"/>
                  <w:tcBorders>
                    <w:left w:val="single" w:color="auto" w:sz="8" w:space="0"/>
                    <w:right w:val="single" w:color="auto" w:sz="4" w:space="0"/>
                  </w:tcBorders>
                  <w:vAlign w:val="center"/>
                </w:tcPr>
                <w:p/>
              </w:tc>
              <w:tc>
                <w:tcPr>
                  <w:tcW w:w="1134" w:type="dxa"/>
                  <w:tcBorders>
                    <w:left w:val="single" w:color="auto" w:sz="4" w:space="0"/>
                  </w:tcBorders>
                  <w:vAlign w:val="center"/>
                </w:tcPr>
                <w:p>
                  <w:pPr>
                    <w:jc w:val="center"/>
                    <w:rPr>
                      <w:szCs w:val="21"/>
                    </w:rPr>
                  </w:pPr>
                  <w:r>
                    <w:rPr>
                      <w:rFonts w:hint="eastAsia"/>
                      <w:szCs w:val="21"/>
                    </w:rPr>
                    <w:t>供电系统</w:t>
                  </w:r>
                </w:p>
              </w:tc>
              <w:tc>
                <w:tcPr>
                  <w:tcW w:w="4628" w:type="dxa"/>
                  <w:gridSpan w:val="2"/>
                  <w:tcBorders>
                    <w:right w:val="single" w:color="auto" w:sz="4" w:space="0"/>
                  </w:tcBorders>
                  <w:vAlign w:val="center"/>
                </w:tcPr>
                <w:p>
                  <w:pPr>
                    <w:rPr>
                      <w:szCs w:val="21"/>
                    </w:rPr>
                  </w:pPr>
                  <w:r>
                    <w:rPr>
                      <w:rFonts w:hint="eastAsia"/>
                      <w:szCs w:val="21"/>
                    </w:rPr>
                    <w:t>市政电网</w:t>
                  </w:r>
                </w:p>
              </w:tc>
              <w:tc>
                <w:tcPr>
                  <w:tcW w:w="759" w:type="dxa"/>
                  <w:tcBorders>
                    <w:left w:val="single" w:color="auto" w:sz="4" w:space="0"/>
                  </w:tcBorders>
                </w:tcPr>
                <w:p>
                  <w:r>
                    <w:rPr>
                      <w:rFonts w:hint="eastAsia"/>
                    </w:rPr>
                    <w:t>依托</w:t>
                  </w:r>
                </w:p>
              </w:tc>
              <w:tc>
                <w:tcPr>
                  <w:tcW w:w="992" w:type="dxa"/>
                  <w:vMerge w:val="continue"/>
                  <w:vAlign w:val="center"/>
                </w:tcPr>
                <w:p/>
              </w:tc>
              <w:tc>
                <w:tcPr>
                  <w:tcW w:w="1058" w:type="dxa"/>
                  <w:tcBorders>
                    <w:right w:val="single" w:color="auto" w:sz="8" w:space="0"/>
                  </w:tcBorders>
                  <w:vAlign w:val="center"/>
                </w:tcPr>
                <w:p>
                  <w:pPr>
                    <w:jc w:val="center"/>
                    <w:rPr>
                      <w:kern w:val="0"/>
                      <w:szCs w:val="21"/>
                    </w:rPr>
                  </w:pPr>
                  <w:r>
                    <w:rPr>
                      <w:kern w:val="0"/>
                      <w:szCs w:val="21"/>
                    </w:rPr>
                    <w:t>废水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3" w:hRule="atLeast"/>
                <w:jc w:val="center"/>
              </w:trPr>
              <w:tc>
                <w:tcPr>
                  <w:tcW w:w="738" w:type="dxa"/>
                  <w:vMerge w:val="continue"/>
                  <w:tcBorders>
                    <w:left w:val="single" w:color="auto" w:sz="8" w:space="0"/>
                    <w:right w:val="single" w:color="auto" w:sz="4" w:space="0"/>
                  </w:tcBorders>
                  <w:vAlign w:val="center"/>
                </w:tcPr>
                <w:p/>
              </w:tc>
              <w:tc>
                <w:tcPr>
                  <w:tcW w:w="1134" w:type="dxa"/>
                  <w:tcBorders>
                    <w:left w:val="single" w:color="auto" w:sz="4" w:space="0"/>
                  </w:tcBorders>
                  <w:vAlign w:val="center"/>
                </w:tcPr>
                <w:p>
                  <w:pPr>
                    <w:jc w:val="center"/>
                    <w:rPr>
                      <w:szCs w:val="21"/>
                    </w:rPr>
                  </w:pPr>
                  <w:r>
                    <w:rPr>
                      <w:rFonts w:hint="eastAsia"/>
                      <w:szCs w:val="21"/>
                    </w:rPr>
                    <w:t>供气系统</w:t>
                  </w:r>
                </w:p>
              </w:tc>
              <w:tc>
                <w:tcPr>
                  <w:tcW w:w="4628" w:type="dxa"/>
                  <w:gridSpan w:val="2"/>
                  <w:tcBorders>
                    <w:right w:val="single" w:color="auto" w:sz="4" w:space="0"/>
                  </w:tcBorders>
                  <w:vAlign w:val="center"/>
                </w:tcPr>
                <w:p>
                  <w:pPr>
                    <w:rPr>
                      <w:szCs w:val="21"/>
                    </w:rPr>
                  </w:pPr>
                  <w:r>
                    <w:rPr>
                      <w:rFonts w:hint="eastAsia"/>
                      <w:szCs w:val="21"/>
                    </w:rPr>
                    <w:t>本项目食堂采用液化气</w:t>
                  </w:r>
                </w:p>
              </w:tc>
              <w:tc>
                <w:tcPr>
                  <w:tcW w:w="759" w:type="dxa"/>
                  <w:tcBorders>
                    <w:left w:val="single" w:color="auto" w:sz="4" w:space="0"/>
                  </w:tcBorders>
                </w:tcPr>
                <w:p>
                  <w:r>
                    <w:rPr>
                      <w:rFonts w:hint="eastAsia"/>
                    </w:rPr>
                    <w:t>依托</w:t>
                  </w:r>
                </w:p>
              </w:tc>
              <w:tc>
                <w:tcPr>
                  <w:tcW w:w="992" w:type="dxa"/>
                  <w:vMerge w:val="continue"/>
                  <w:vAlign w:val="center"/>
                </w:tcPr>
                <w:p/>
              </w:tc>
              <w:tc>
                <w:tcPr>
                  <w:tcW w:w="1058" w:type="dxa"/>
                  <w:tcBorders>
                    <w:right w:val="single" w:color="auto" w:sz="8" w:space="0"/>
                  </w:tcBorders>
                  <w:vAlign w:val="center"/>
                </w:tcPr>
                <w:p>
                  <w:pPr>
                    <w:jc w:val="center"/>
                    <w:rPr>
                      <w:kern w:val="0"/>
                      <w:szCs w:val="21"/>
                    </w:rPr>
                  </w:pPr>
                  <w:r>
                    <w:rPr>
                      <w:kern w:val="0"/>
                      <w:szCs w:val="21"/>
                    </w:rPr>
                    <w:t>废气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4" w:hRule="atLeast"/>
                <w:jc w:val="center"/>
              </w:trPr>
              <w:tc>
                <w:tcPr>
                  <w:tcW w:w="738" w:type="dxa"/>
                  <w:vMerge w:val="restart"/>
                  <w:tcBorders>
                    <w:left w:val="single" w:color="auto" w:sz="8" w:space="0"/>
                    <w:right w:val="single" w:color="auto" w:sz="4" w:space="0"/>
                  </w:tcBorders>
                  <w:vAlign w:val="center"/>
                </w:tcPr>
                <w:p>
                  <w:pPr>
                    <w:jc w:val="center"/>
                    <w:rPr>
                      <w:szCs w:val="21"/>
                    </w:rPr>
                  </w:pPr>
                  <w:r>
                    <w:rPr>
                      <w:kern w:val="0"/>
                      <w:szCs w:val="21"/>
                    </w:rPr>
                    <w:t>办公及生活设施</w:t>
                  </w:r>
                </w:p>
              </w:tc>
              <w:tc>
                <w:tcPr>
                  <w:tcW w:w="1134" w:type="dxa"/>
                  <w:tcBorders>
                    <w:left w:val="single" w:color="auto" w:sz="4" w:space="0"/>
                  </w:tcBorders>
                  <w:vAlign w:val="center"/>
                </w:tcPr>
                <w:p>
                  <w:pPr>
                    <w:jc w:val="center"/>
                    <w:rPr>
                      <w:szCs w:val="21"/>
                    </w:rPr>
                  </w:pPr>
                  <w:r>
                    <w:rPr>
                      <w:szCs w:val="21"/>
                    </w:rPr>
                    <w:t>办公楼</w:t>
                  </w:r>
                </w:p>
              </w:tc>
              <w:tc>
                <w:tcPr>
                  <w:tcW w:w="4628" w:type="dxa"/>
                  <w:gridSpan w:val="2"/>
                  <w:tcBorders>
                    <w:right w:val="single" w:color="auto" w:sz="4" w:space="0"/>
                  </w:tcBorders>
                  <w:vAlign w:val="center"/>
                </w:tcPr>
                <w:p>
                  <w:pPr>
                    <w:rPr>
                      <w:szCs w:val="21"/>
                    </w:rPr>
                  </w:pPr>
                  <w:r>
                    <w:rPr>
                      <w:rFonts w:hint="eastAsia"/>
                      <w:szCs w:val="21"/>
                    </w:rPr>
                    <w:t>框架结构，3</w:t>
                  </w:r>
                  <w:r>
                    <w:rPr>
                      <w:szCs w:val="21"/>
                    </w:rPr>
                    <w:t>F</w:t>
                  </w:r>
                  <w:r>
                    <w:rPr>
                      <w:rFonts w:hint="eastAsia"/>
                      <w:szCs w:val="21"/>
                    </w:rPr>
                    <w:t>，</w:t>
                  </w:r>
                  <w:r>
                    <w:rPr>
                      <w:szCs w:val="21"/>
                    </w:rPr>
                    <w:t>建筑面积1191.1</w:t>
                  </w:r>
                  <w:r>
                    <w:rPr>
                      <w:rFonts w:hint="eastAsia"/>
                      <w:szCs w:val="21"/>
                    </w:rPr>
                    <w:t xml:space="preserve"> m</w:t>
                  </w:r>
                  <w:r>
                    <w:rPr>
                      <w:rFonts w:hint="eastAsia"/>
                      <w:szCs w:val="21"/>
                      <w:vertAlign w:val="superscript"/>
                    </w:rPr>
                    <w:t>2</w:t>
                  </w:r>
                </w:p>
              </w:tc>
              <w:tc>
                <w:tcPr>
                  <w:tcW w:w="759" w:type="dxa"/>
                  <w:tcBorders>
                    <w:left w:val="single" w:color="auto" w:sz="4" w:space="0"/>
                  </w:tcBorders>
                  <w:vAlign w:val="center"/>
                </w:tcPr>
                <w:p>
                  <w:pPr>
                    <w:jc w:val="center"/>
                    <w:rPr>
                      <w:szCs w:val="21"/>
                    </w:rPr>
                  </w:pPr>
                  <w:r>
                    <w:rPr>
                      <w:rFonts w:hint="eastAsia"/>
                      <w:szCs w:val="21"/>
                    </w:rPr>
                    <w:t>依托</w:t>
                  </w:r>
                </w:p>
              </w:tc>
              <w:tc>
                <w:tcPr>
                  <w:tcW w:w="992" w:type="dxa"/>
                  <w:vMerge w:val="continue"/>
                </w:tcPr>
                <w:p/>
              </w:tc>
              <w:tc>
                <w:tcPr>
                  <w:tcW w:w="1058" w:type="dxa"/>
                  <w:tcBorders>
                    <w:right w:val="single" w:color="auto" w:sz="8" w:space="0"/>
                  </w:tcBorders>
                  <w:vAlign w:val="center"/>
                </w:tcPr>
                <w:p>
                  <w:pPr>
                    <w:widowControl/>
                    <w:jc w:val="center"/>
                    <w:rPr>
                      <w:kern w:val="0"/>
                      <w:szCs w:val="21"/>
                    </w:rPr>
                  </w:pPr>
                  <w:r>
                    <w:rPr>
                      <w:kern w:val="0"/>
                      <w:szCs w:val="21"/>
                    </w:rPr>
                    <w:t>废水、噪声、固废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4" w:hRule="atLeast"/>
                <w:jc w:val="center"/>
              </w:trPr>
              <w:tc>
                <w:tcPr>
                  <w:tcW w:w="738" w:type="dxa"/>
                  <w:vMerge w:val="continue"/>
                  <w:tcBorders>
                    <w:left w:val="single" w:color="auto" w:sz="8" w:space="0"/>
                    <w:right w:val="single" w:color="auto" w:sz="4" w:space="0"/>
                  </w:tcBorders>
                  <w:vAlign w:val="center"/>
                </w:tcPr>
                <w:p>
                  <w:pPr>
                    <w:jc w:val="center"/>
                    <w:rPr>
                      <w:kern w:val="0"/>
                      <w:szCs w:val="21"/>
                    </w:rPr>
                  </w:pPr>
                </w:p>
              </w:tc>
              <w:tc>
                <w:tcPr>
                  <w:tcW w:w="1134" w:type="dxa"/>
                  <w:tcBorders>
                    <w:left w:val="single" w:color="auto" w:sz="4" w:space="0"/>
                  </w:tcBorders>
                  <w:vAlign w:val="center"/>
                </w:tcPr>
                <w:p>
                  <w:pPr>
                    <w:jc w:val="center"/>
                    <w:rPr>
                      <w:szCs w:val="21"/>
                    </w:rPr>
                  </w:pPr>
                  <w:r>
                    <w:rPr>
                      <w:szCs w:val="21"/>
                    </w:rPr>
                    <w:t>生活区</w:t>
                  </w:r>
                </w:p>
              </w:tc>
              <w:tc>
                <w:tcPr>
                  <w:tcW w:w="4628" w:type="dxa"/>
                  <w:gridSpan w:val="2"/>
                  <w:tcBorders>
                    <w:right w:val="single" w:color="auto" w:sz="4" w:space="0"/>
                  </w:tcBorders>
                  <w:vAlign w:val="center"/>
                </w:tcPr>
                <w:p>
                  <w:pPr>
                    <w:rPr>
                      <w:szCs w:val="21"/>
                    </w:rPr>
                  </w:pPr>
                  <w:r>
                    <w:rPr>
                      <w:rFonts w:hint="eastAsia"/>
                      <w:szCs w:val="21"/>
                    </w:rPr>
                    <w:t>砖混结构，建筑面积3</w:t>
                  </w:r>
                  <w:r>
                    <w:rPr>
                      <w:szCs w:val="21"/>
                    </w:rPr>
                    <w:t>18.3m</w:t>
                  </w:r>
                  <w:r>
                    <w:rPr>
                      <w:szCs w:val="21"/>
                      <w:vertAlign w:val="superscript"/>
                    </w:rPr>
                    <w:t>2</w:t>
                  </w:r>
                  <w:r>
                    <w:rPr>
                      <w:rFonts w:hint="eastAsia"/>
                      <w:szCs w:val="21"/>
                    </w:rPr>
                    <w:t>，</w:t>
                  </w:r>
                  <w:r>
                    <w:rPr>
                      <w:szCs w:val="21"/>
                    </w:rPr>
                    <w:t>设有食堂</w:t>
                  </w:r>
                  <w:r>
                    <w:rPr>
                      <w:rFonts w:hint="eastAsia"/>
                      <w:szCs w:val="21"/>
                    </w:rPr>
                    <w:t>、</w:t>
                  </w:r>
                  <w:r>
                    <w:rPr>
                      <w:szCs w:val="21"/>
                    </w:rPr>
                    <w:t>浴室</w:t>
                  </w:r>
                  <w:r>
                    <w:rPr>
                      <w:rFonts w:hint="eastAsia"/>
                      <w:szCs w:val="21"/>
                    </w:rPr>
                    <w:t>、</w:t>
                  </w:r>
                  <w:r>
                    <w:rPr>
                      <w:szCs w:val="21"/>
                    </w:rPr>
                    <w:t>厨房</w:t>
                  </w:r>
                </w:p>
              </w:tc>
              <w:tc>
                <w:tcPr>
                  <w:tcW w:w="759" w:type="dxa"/>
                  <w:tcBorders>
                    <w:left w:val="single" w:color="auto" w:sz="4" w:space="0"/>
                  </w:tcBorders>
                  <w:vAlign w:val="center"/>
                </w:tcPr>
                <w:p>
                  <w:pPr>
                    <w:jc w:val="center"/>
                    <w:rPr>
                      <w:szCs w:val="21"/>
                    </w:rPr>
                  </w:pPr>
                  <w:r>
                    <w:rPr>
                      <w:rFonts w:hint="eastAsia"/>
                      <w:szCs w:val="21"/>
                    </w:rPr>
                    <w:t>依托</w:t>
                  </w:r>
                </w:p>
              </w:tc>
              <w:tc>
                <w:tcPr>
                  <w:tcW w:w="992" w:type="dxa"/>
                  <w:vMerge w:val="continue"/>
                </w:tcPr>
                <w:p/>
              </w:tc>
              <w:tc>
                <w:tcPr>
                  <w:tcW w:w="1058" w:type="dxa"/>
                  <w:tcBorders>
                    <w:right w:val="single" w:color="auto" w:sz="8" w:space="0"/>
                  </w:tcBorders>
                  <w:vAlign w:val="center"/>
                </w:tcPr>
                <w:p>
                  <w:pPr>
                    <w:widowControl/>
                    <w:jc w:val="center"/>
                    <w:rPr>
                      <w:kern w:val="0"/>
                      <w:szCs w:val="21"/>
                    </w:rPr>
                  </w:pPr>
                  <w:r>
                    <w:rPr>
                      <w:kern w:val="0"/>
                      <w:szCs w:val="21"/>
                    </w:rPr>
                    <w:t>废水</w:t>
                  </w:r>
                  <w:r>
                    <w:rPr>
                      <w:rFonts w:hint="eastAsia"/>
                      <w:kern w:val="0"/>
                      <w:szCs w:val="21"/>
                    </w:rPr>
                    <w:t>、</w:t>
                  </w:r>
                  <w:r>
                    <w:rPr>
                      <w:kern w:val="0"/>
                      <w:szCs w:val="21"/>
                    </w:rPr>
                    <w:t>噪声</w:t>
                  </w:r>
                  <w:r>
                    <w:rPr>
                      <w:rFonts w:hint="eastAsia"/>
                      <w:kern w:val="0"/>
                      <w:szCs w:val="21"/>
                    </w:rPr>
                    <w:t>、</w:t>
                  </w:r>
                  <w:r>
                    <w:rPr>
                      <w:kern w:val="0"/>
                      <w:szCs w:val="21"/>
                    </w:rPr>
                    <w:t>废气</w:t>
                  </w:r>
                  <w:r>
                    <w:rPr>
                      <w:rFonts w:hint="eastAsia"/>
                      <w:kern w:val="0"/>
                      <w:szCs w:val="21"/>
                    </w:rPr>
                    <w:t>、</w:t>
                  </w:r>
                  <w:r>
                    <w:rPr>
                      <w:kern w:val="0"/>
                      <w:szCs w:val="21"/>
                    </w:rPr>
                    <w:t>固废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4" w:hRule="atLeast"/>
                <w:jc w:val="center"/>
              </w:trPr>
              <w:tc>
                <w:tcPr>
                  <w:tcW w:w="738" w:type="dxa"/>
                  <w:vMerge w:val="continue"/>
                  <w:tcBorders>
                    <w:left w:val="single" w:color="auto" w:sz="8" w:space="0"/>
                    <w:right w:val="single" w:color="auto" w:sz="4" w:space="0"/>
                  </w:tcBorders>
                  <w:vAlign w:val="center"/>
                </w:tcPr>
                <w:p>
                  <w:pPr>
                    <w:jc w:val="center"/>
                    <w:rPr>
                      <w:kern w:val="0"/>
                      <w:szCs w:val="21"/>
                    </w:rPr>
                  </w:pPr>
                </w:p>
              </w:tc>
              <w:tc>
                <w:tcPr>
                  <w:tcW w:w="1134" w:type="dxa"/>
                  <w:tcBorders>
                    <w:left w:val="single" w:color="auto" w:sz="4" w:space="0"/>
                  </w:tcBorders>
                  <w:vAlign w:val="center"/>
                </w:tcPr>
                <w:p>
                  <w:pPr>
                    <w:jc w:val="center"/>
                    <w:rPr>
                      <w:szCs w:val="21"/>
                    </w:rPr>
                  </w:pPr>
                  <w:r>
                    <w:rPr>
                      <w:szCs w:val="21"/>
                    </w:rPr>
                    <w:t>宿舍楼</w:t>
                  </w:r>
                </w:p>
              </w:tc>
              <w:tc>
                <w:tcPr>
                  <w:tcW w:w="4628" w:type="dxa"/>
                  <w:gridSpan w:val="2"/>
                  <w:tcBorders>
                    <w:right w:val="single" w:color="auto" w:sz="4" w:space="0"/>
                  </w:tcBorders>
                  <w:vAlign w:val="center"/>
                </w:tcPr>
                <w:p>
                  <w:pPr>
                    <w:rPr>
                      <w:szCs w:val="21"/>
                    </w:rPr>
                  </w:pPr>
                  <w:r>
                    <w:rPr>
                      <w:rFonts w:hint="eastAsia"/>
                      <w:szCs w:val="21"/>
                    </w:rPr>
                    <w:t>砖混结构，5</w:t>
                  </w:r>
                  <w:r>
                    <w:rPr>
                      <w:szCs w:val="21"/>
                    </w:rPr>
                    <w:t>F</w:t>
                  </w:r>
                  <w:r>
                    <w:rPr>
                      <w:rFonts w:hint="eastAsia"/>
                      <w:szCs w:val="21"/>
                    </w:rPr>
                    <w:t>，</w:t>
                  </w:r>
                  <w:r>
                    <w:rPr>
                      <w:szCs w:val="21"/>
                    </w:rPr>
                    <w:t>建筑面积</w:t>
                  </w:r>
                  <w:r>
                    <w:rPr>
                      <w:rFonts w:hint="eastAsia"/>
                      <w:szCs w:val="21"/>
                    </w:rPr>
                    <w:t>2</w:t>
                  </w:r>
                  <w:r>
                    <w:rPr>
                      <w:szCs w:val="21"/>
                    </w:rPr>
                    <w:t>117.5m</w:t>
                  </w:r>
                  <w:r>
                    <w:rPr>
                      <w:szCs w:val="21"/>
                      <w:vertAlign w:val="superscript"/>
                    </w:rPr>
                    <w:t>2</w:t>
                  </w:r>
                </w:p>
              </w:tc>
              <w:tc>
                <w:tcPr>
                  <w:tcW w:w="759" w:type="dxa"/>
                  <w:tcBorders>
                    <w:left w:val="single" w:color="auto" w:sz="4" w:space="0"/>
                  </w:tcBorders>
                  <w:vAlign w:val="center"/>
                </w:tcPr>
                <w:p>
                  <w:pPr>
                    <w:jc w:val="center"/>
                    <w:rPr>
                      <w:szCs w:val="21"/>
                    </w:rPr>
                  </w:pPr>
                  <w:r>
                    <w:rPr>
                      <w:rFonts w:hint="eastAsia"/>
                      <w:szCs w:val="21"/>
                    </w:rPr>
                    <w:t>依托</w:t>
                  </w:r>
                </w:p>
              </w:tc>
              <w:tc>
                <w:tcPr>
                  <w:tcW w:w="992" w:type="dxa"/>
                  <w:vMerge w:val="continue"/>
                </w:tcPr>
                <w:p/>
              </w:tc>
              <w:tc>
                <w:tcPr>
                  <w:tcW w:w="1058" w:type="dxa"/>
                  <w:tcBorders>
                    <w:right w:val="single" w:color="auto" w:sz="8" w:space="0"/>
                  </w:tcBorders>
                  <w:vAlign w:val="center"/>
                </w:tcPr>
                <w:p>
                  <w:pPr>
                    <w:widowControl/>
                    <w:jc w:val="center"/>
                    <w:rPr>
                      <w:kern w:val="0"/>
                      <w:szCs w:val="21"/>
                    </w:rPr>
                  </w:pPr>
                  <w:r>
                    <w:rPr>
                      <w:kern w:val="0"/>
                      <w:szCs w:val="21"/>
                    </w:rPr>
                    <w:t>废水</w:t>
                  </w:r>
                  <w:r>
                    <w:rPr>
                      <w:rFonts w:hint="eastAsia"/>
                      <w:kern w:val="0"/>
                      <w:szCs w:val="21"/>
                    </w:rPr>
                    <w:t>、</w:t>
                  </w:r>
                  <w:r>
                    <w:rPr>
                      <w:kern w:val="0"/>
                      <w:szCs w:val="21"/>
                    </w:rPr>
                    <w:t>噪声</w:t>
                  </w:r>
                  <w:r>
                    <w:rPr>
                      <w:rFonts w:hint="eastAsia"/>
                      <w:kern w:val="0"/>
                      <w:szCs w:val="21"/>
                    </w:rPr>
                    <w:t>、</w:t>
                  </w:r>
                  <w:r>
                    <w:rPr>
                      <w:kern w:val="0"/>
                      <w:szCs w:val="21"/>
                    </w:rPr>
                    <w:t>固废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4" w:hRule="atLeast"/>
                <w:jc w:val="center"/>
              </w:trPr>
              <w:tc>
                <w:tcPr>
                  <w:tcW w:w="738" w:type="dxa"/>
                  <w:vMerge w:val="restart"/>
                  <w:tcBorders>
                    <w:left w:val="single" w:color="auto" w:sz="8" w:space="0"/>
                    <w:right w:val="single" w:color="auto" w:sz="4" w:space="0"/>
                  </w:tcBorders>
                  <w:vAlign w:val="center"/>
                </w:tcPr>
                <w:p>
                  <w:pPr>
                    <w:jc w:val="center"/>
                    <w:rPr>
                      <w:kern w:val="0"/>
                      <w:szCs w:val="21"/>
                    </w:rPr>
                  </w:pPr>
                  <w:r>
                    <w:rPr>
                      <w:rFonts w:hint="eastAsia"/>
                      <w:kern w:val="0"/>
                      <w:szCs w:val="21"/>
                    </w:rPr>
                    <w:t>环保工程</w:t>
                  </w:r>
                </w:p>
              </w:tc>
              <w:tc>
                <w:tcPr>
                  <w:tcW w:w="1134" w:type="dxa"/>
                  <w:tcBorders>
                    <w:left w:val="single" w:color="auto" w:sz="4" w:space="0"/>
                    <w:bottom w:val="single" w:color="auto" w:sz="4" w:space="0"/>
                  </w:tcBorders>
                  <w:vAlign w:val="center"/>
                </w:tcPr>
                <w:p>
                  <w:pPr>
                    <w:jc w:val="center"/>
                    <w:rPr>
                      <w:kern w:val="0"/>
                      <w:szCs w:val="21"/>
                    </w:rPr>
                  </w:pPr>
                  <w:r>
                    <w:rPr>
                      <w:rFonts w:hint="eastAsia"/>
                      <w:kern w:val="0"/>
                      <w:szCs w:val="21"/>
                    </w:rPr>
                    <w:t>噪声</w:t>
                  </w:r>
                </w:p>
              </w:tc>
              <w:tc>
                <w:tcPr>
                  <w:tcW w:w="4628" w:type="dxa"/>
                  <w:gridSpan w:val="2"/>
                  <w:tcBorders>
                    <w:bottom w:val="single" w:color="auto" w:sz="4" w:space="0"/>
                    <w:right w:val="single" w:color="auto" w:sz="4" w:space="0"/>
                  </w:tcBorders>
                  <w:vAlign w:val="center"/>
                </w:tcPr>
                <w:p>
                  <w:pPr>
                    <w:rPr>
                      <w:szCs w:val="21"/>
                    </w:rPr>
                  </w:pPr>
                  <w:r>
                    <w:rPr>
                      <w:rFonts w:hint="eastAsia"/>
                      <w:szCs w:val="21"/>
                    </w:rPr>
                    <w:t>设备减振等</w:t>
                  </w:r>
                </w:p>
              </w:tc>
              <w:tc>
                <w:tcPr>
                  <w:tcW w:w="759" w:type="dxa"/>
                  <w:tcBorders>
                    <w:left w:val="single" w:color="auto" w:sz="4" w:space="0"/>
                  </w:tcBorders>
                  <w:vAlign w:val="center"/>
                </w:tcPr>
                <w:p>
                  <w:pPr>
                    <w:jc w:val="center"/>
                    <w:rPr>
                      <w:szCs w:val="21"/>
                    </w:rPr>
                  </w:pPr>
                  <w:r>
                    <w:rPr>
                      <w:rFonts w:hint="eastAsia"/>
                      <w:szCs w:val="21"/>
                    </w:rPr>
                    <w:t>/</w:t>
                  </w:r>
                </w:p>
              </w:tc>
              <w:tc>
                <w:tcPr>
                  <w:tcW w:w="992" w:type="dxa"/>
                  <w:vMerge w:val="continue"/>
                  <w:vAlign w:val="center"/>
                </w:tcPr>
                <w:p/>
              </w:tc>
              <w:tc>
                <w:tcPr>
                  <w:tcW w:w="1058" w:type="dxa"/>
                  <w:tcBorders>
                    <w:right w:val="single" w:color="auto" w:sz="8" w:space="0"/>
                  </w:tcBorders>
                  <w:vAlign w:val="center"/>
                </w:tcPr>
                <w:p>
                  <w:pPr>
                    <w:widowControl/>
                    <w:jc w:val="center"/>
                    <w:rPr>
                      <w:kern w:val="0"/>
                      <w:szCs w:val="21"/>
                    </w:rPr>
                  </w:pP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0" w:hRule="atLeast"/>
                <w:jc w:val="center"/>
              </w:trPr>
              <w:tc>
                <w:tcPr>
                  <w:tcW w:w="738" w:type="dxa"/>
                  <w:vMerge w:val="continue"/>
                  <w:tcBorders>
                    <w:left w:val="single" w:color="auto" w:sz="8" w:space="0"/>
                    <w:right w:val="single" w:color="auto" w:sz="4" w:space="0"/>
                  </w:tcBorders>
                  <w:vAlign w:val="center"/>
                </w:tcPr>
                <w:p>
                  <w:pPr>
                    <w:jc w:val="center"/>
                    <w:rPr>
                      <w:kern w:val="0"/>
                      <w:szCs w:val="21"/>
                      <w:highlight w:val="red"/>
                    </w:rPr>
                  </w:pPr>
                </w:p>
              </w:tc>
              <w:tc>
                <w:tcPr>
                  <w:tcW w:w="1134" w:type="dxa"/>
                  <w:vMerge w:val="restart"/>
                  <w:tcBorders>
                    <w:left w:val="single" w:color="auto" w:sz="4" w:space="0"/>
                  </w:tcBorders>
                  <w:vAlign w:val="center"/>
                </w:tcPr>
                <w:p>
                  <w:pPr>
                    <w:jc w:val="center"/>
                    <w:rPr>
                      <w:kern w:val="0"/>
                      <w:szCs w:val="21"/>
                    </w:rPr>
                  </w:pPr>
                  <w:r>
                    <w:rPr>
                      <w:rFonts w:hint="eastAsia"/>
                      <w:kern w:val="0"/>
                      <w:szCs w:val="21"/>
                    </w:rPr>
                    <w:t>废水</w:t>
                  </w:r>
                </w:p>
              </w:tc>
              <w:tc>
                <w:tcPr>
                  <w:tcW w:w="4628" w:type="dxa"/>
                  <w:gridSpan w:val="2"/>
                  <w:tcBorders>
                    <w:bottom w:val="single" w:color="auto" w:sz="4" w:space="0"/>
                    <w:right w:val="single" w:color="auto" w:sz="4" w:space="0"/>
                  </w:tcBorders>
                  <w:vAlign w:val="center"/>
                </w:tcPr>
                <w:p>
                  <w:pPr>
                    <w:rPr>
                      <w:szCs w:val="21"/>
                    </w:rPr>
                  </w:pPr>
                  <w:r>
                    <w:rPr>
                      <w:rFonts w:hint="eastAsia"/>
                      <w:szCs w:val="21"/>
                    </w:rPr>
                    <w:t>生活污水：本项目不新增生活污水</w:t>
                  </w:r>
                </w:p>
              </w:tc>
              <w:tc>
                <w:tcPr>
                  <w:tcW w:w="759" w:type="dxa"/>
                  <w:tcBorders>
                    <w:left w:val="single" w:color="auto" w:sz="4" w:space="0"/>
                  </w:tcBorders>
                  <w:vAlign w:val="center"/>
                </w:tcPr>
                <w:p>
                  <w:pPr>
                    <w:jc w:val="center"/>
                    <w:rPr>
                      <w:szCs w:val="21"/>
                    </w:rPr>
                  </w:pPr>
                  <w:r>
                    <w:rPr>
                      <w:rFonts w:hint="eastAsia"/>
                      <w:szCs w:val="21"/>
                    </w:rPr>
                    <w:t>依托</w:t>
                  </w:r>
                </w:p>
              </w:tc>
              <w:tc>
                <w:tcPr>
                  <w:tcW w:w="992" w:type="dxa"/>
                  <w:vMerge w:val="continue"/>
                  <w:vAlign w:val="center"/>
                </w:tcPr>
                <w:p/>
              </w:tc>
              <w:tc>
                <w:tcPr>
                  <w:tcW w:w="1058" w:type="dxa"/>
                  <w:tcBorders>
                    <w:right w:val="single" w:color="auto" w:sz="8" w:space="0"/>
                  </w:tcBorders>
                  <w:vAlign w:val="center"/>
                </w:tcPr>
                <w:p>
                  <w:pPr>
                    <w:widowControl/>
                    <w:jc w:val="center"/>
                    <w:rPr>
                      <w:kern w:val="0"/>
                      <w:szCs w:val="21"/>
                    </w:rPr>
                  </w:pP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2" w:hRule="atLeast"/>
                <w:jc w:val="center"/>
              </w:trPr>
              <w:tc>
                <w:tcPr>
                  <w:tcW w:w="738" w:type="dxa"/>
                  <w:vMerge w:val="continue"/>
                  <w:tcBorders>
                    <w:left w:val="single" w:color="auto" w:sz="8" w:space="0"/>
                    <w:right w:val="single" w:color="auto" w:sz="4" w:space="0"/>
                  </w:tcBorders>
                  <w:vAlign w:val="center"/>
                </w:tcPr>
                <w:p>
                  <w:pPr>
                    <w:jc w:val="center"/>
                    <w:rPr>
                      <w:kern w:val="0"/>
                      <w:szCs w:val="21"/>
                    </w:rPr>
                  </w:pPr>
                </w:p>
              </w:tc>
              <w:tc>
                <w:tcPr>
                  <w:tcW w:w="1134" w:type="dxa"/>
                  <w:vMerge w:val="continue"/>
                  <w:tcBorders>
                    <w:left w:val="single" w:color="auto" w:sz="4" w:space="0"/>
                  </w:tcBorders>
                  <w:vAlign w:val="center"/>
                </w:tcPr>
                <w:p>
                  <w:pPr>
                    <w:jc w:val="center"/>
                    <w:rPr>
                      <w:kern w:val="0"/>
                      <w:szCs w:val="21"/>
                    </w:rPr>
                  </w:pPr>
                </w:p>
              </w:tc>
              <w:tc>
                <w:tcPr>
                  <w:tcW w:w="4628" w:type="dxa"/>
                  <w:gridSpan w:val="2"/>
                  <w:tcBorders>
                    <w:top w:val="single" w:color="auto" w:sz="4" w:space="0"/>
                    <w:bottom w:val="single" w:color="auto" w:sz="4" w:space="0"/>
                    <w:right w:val="single" w:color="auto" w:sz="4" w:space="0"/>
                  </w:tcBorders>
                  <w:vAlign w:val="center"/>
                </w:tcPr>
                <w:p>
                  <w:pPr>
                    <w:rPr>
                      <w:szCs w:val="21"/>
                    </w:rPr>
                  </w:pPr>
                  <w:r>
                    <w:rPr>
                      <w:rFonts w:hint="eastAsia"/>
                      <w:szCs w:val="21"/>
                    </w:rPr>
                    <w:t>生产废水：氧化清洗废水：第一级清洗废水经过滤、蒸馏冷却后作为第一级清洗补充水使用；抛光清洗废水：收集后作为模具冷却水使用；含氨废水：p</w:t>
                  </w:r>
                  <w:r>
                    <w:rPr>
                      <w:szCs w:val="21"/>
                    </w:rPr>
                    <w:t>H调节后</w:t>
                  </w:r>
                  <w:r>
                    <w:rPr>
                      <w:rFonts w:hint="eastAsia"/>
                      <w:szCs w:val="21"/>
                    </w:rPr>
                    <w:t>循环使用</w:t>
                  </w:r>
                </w:p>
              </w:tc>
              <w:tc>
                <w:tcPr>
                  <w:tcW w:w="759" w:type="dxa"/>
                  <w:tcBorders>
                    <w:left w:val="single" w:color="auto" w:sz="4" w:space="0"/>
                    <w:bottom w:val="single" w:color="auto" w:sz="4" w:space="0"/>
                  </w:tcBorders>
                  <w:vAlign w:val="center"/>
                </w:tcPr>
                <w:p>
                  <w:pPr>
                    <w:jc w:val="center"/>
                    <w:rPr>
                      <w:szCs w:val="21"/>
                    </w:rPr>
                  </w:pPr>
                  <w:r>
                    <w:rPr>
                      <w:rFonts w:hint="eastAsia"/>
                      <w:szCs w:val="21"/>
                    </w:rPr>
                    <w:t>新建</w:t>
                  </w:r>
                </w:p>
              </w:tc>
              <w:tc>
                <w:tcPr>
                  <w:tcW w:w="992" w:type="dxa"/>
                  <w:vMerge w:val="continue"/>
                  <w:vAlign w:val="center"/>
                </w:tcPr>
                <w:p/>
              </w:tc>
              <w:tc>
                <w:tcPr>
                  <w:tcW w:w="1058" w:type="dxa"/>
                  <w:tcBorders>
                    <w:right w:val="single" w:color="auto" w:sz="8" w:space="0"/>
                  </w:tcBorders>
                  <w:vAlign w:val="center"/>
                </w:tcPr>
                <w:p>
                  <w:pPr>
                    <w:widowControl/>
                    <w:jc w:val="center"/>
                    <w:rPr>
                      <w:kern w:val="0"/>
                      <w:szCs w:val="21"/>
                    </w:rPr>
                  </w:pP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4" w:hRule="atLeast"/>
                <w:jc w:val="center"/>
              </w:trPr>
              <w:tc>
                <w:tcPr>
                  <w:tcW w:w="738" w:type="dxa"/>
                  <w:vMerge w:val="continue"/>
                  <w:tcBorders>
                    <w:left w:val="single" w:color="auto" w:sz="8" w:space="0"/>
                    <w:right w:val="single" w:color="auto" w:sz="4" w:space="0"/>
                  </w:tcBorders>
                  <w:vAlign w:val="center"/>
                </w:tcPr>
                <w:p>
                  <w:pPr>
                    <w:jc w:val="center"/>
                    <w:rPr>
                      <w:kern w:val="0"/>
                      <w:szCs w:val="21"/>
                    </w:rPr>
                  </w:pPr>
                </w:p>
              </w:tc>
              <w:tc>
                <w:tcPr>
                  <w:tcW w:w="1134" w:type="dxa"/>
                  <w:vMerge w:val="restart"/>
                  <w:tcBorders>
                    <w:top w:val="single" w:color="auto" w:sz="4" w:space="0"/>
                    <w:left w:val="single" w:color="auto" w:sz="4" w:space="0"/>
                  </w:tcBorders>
                  <w:vAlign w:val="center"/>
                </w:tcPr>
                <w:p>
                  <w:pPr>
                    <w:jc w:val="center"/>
                    <w:rPr>
                      <w:kern w:val="0"/>
                      <w:szCs w:val="21"/>
                    </w:rPr>
                  </w:pPr>
                  <w:r>
                    <w:rPr>
                      <w:rFonts w:hint="eastAsia"/>
                      <w:kern w:val="0"/>
                      <w:szCs w:val="21"/>
                    </w:rPr>
                    <w:t>废气</w:t>
                  </w:r>
                </w:p>
              </w:tc>
              <w:tc>
                <w:tcPr>
                  <w:tcW w:w="4628" w:type="dxa"/>
                  <w:gridSpan w:val="2"/>
                  <w:tcBorders>
                    <w:top w:val="single" w:color="auto" w:sz="4" w:space="0"/>
                    <w:bottom w:val="single" w:color="auto" w:sz="4" w:space="0"/>
                    <w:right w:val="single" w:color="auto" w:sz="4" w:space="0"/>
                  </w:tcBorders>
                  <w:vAlign w:val="center"/>
                </w:tcPr>
                <w:p>
                  <w:pPr>
                    <w:rPr>
                      <w:szCs w:val="21"/>
                    </w:rPr>
                  </w:pPr>
                  <w:r>
                    <w:rPr>
                      <w:rFonts w:hint="eastAsia"/>
                      <w:szCs w:val="21"/>
                    </w:rPr>
                    <w:t>含氨废气：集气罩+负压抽风+水喷淋+光氧催化+ 1根</w:t>
                  </w:r>
                  <w:r>
                    <w:rPr>
                      <w:szCs w:val="21"/>
                    </w:rPr>
                    <w:t>15</w:t>
                  </w:r>
                  <w:r>
                    <w:rPr>
                      <w:rFonts w:hint="eastAsia"/>
                      <w:szCs w:val="21"/>
                    </w:rPr>
                    <w:t>m高排气筒</w:t>
                  </w:r>
                </w:p>
              </w:tc>
              <w:tc>
                <w:tcPr>
                  <w:tcW w:w="759" w:type="dxa"/>
                  <w:tcBorders>
                    <w:left w:val="single" w:color="auto" w:sz="4" w:space="0"/>
                  </w:tcBorders>
                  <w:vAlign w:val="center"/>
                </w:tcPr>
                <w:p>
                  <w:pPr>
                    <w:jc w:val="center"/>
                    <w:rPr>
                      <w:szCs w:val="21"/>
                    </w:rPr>
                  </w:pPr>
                  <w:r>
                    <w:rPr>
                      <w:rFonts w:hint="eastAsia"/>
                      <w:szCs w:val="21"/>
                    </w:rPr>
                    <w:t>新建</w:t>
                  </w:r>
                </w:p>
              </w:tc>
              <w:tc>
                <w:tcPr>
                  <w:tcW w:w="992" w:type="dxa"/>
                  <w:vMerge w:val="continue"/>
                  <w:vAlign w:val="center"/>
                </w:tcPr>
                <w:p/>
              </w:tc>
              <w:tc>
                <w:tcPr>
                  <w:tcW w:w="1058" w:type="dxa"/>
                  <w:tcBorders>
                    <w:right w:val="single" w:color="auto" w:sz="8" w:space="0"/>
                  </w:tcBorders>
                  <w:vAlign w:val="center"/>
                </w:tcPr>
                <w:p>
                  <w:pPr>
                    <w:widowControl/>
                    <w:jc w:val="center"/>
                    <w:rPr>
                      <w:kern w:val="0"/>
                      <w:szCs w:val="21"/>
                    </w:rPr>
                  </w:pP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4" w:hRule="atLeast"/>
                <w:jc w:val="center"/>
              </w:trPr>
              <w:tc>
                <w:tcPr>
                  <w:tcW w:w="738" w:type="dxa"/>
                  <w:vMerge w:val="continue"/>
                  <w:tcBorders>
                    <w:left w:val="single" w:color="auto" w:sz="8" w:space="0"/>
                    <w:right w:val="single" w:color="auto" w:sz="4" w:space="0"/>
                  </w:tcBorders>
                  <w:vAlign w:val="center"/>
                </w:tcPr>
                <w:p>
                  <w:pPr>
                    <w:jc w:val="center"/>
                    <w:rPr>
                      <w:kern w:val="0"/>
                      <w:szCs w:val="21"/>
                    </w:rPr>
                  </w:pPr>
                </w:p>
              </w:tc>
              <w:tc>
                <w:tcPr>
                  <w:tcW w:w="1134" w:type="dxa"/>
                  <w:vMerge w:val="continue"/>
                  <w:tcBorders>
                    <w:left w:val="single" w:color="auto" w:sz="4" w:space="0"/>
                    <w:bottom w:val="single" w:color="auto" w:sz="4" w:space="0"/>
                  </w:tcBorders>
                  <w:vAlign w:val="center"/>
                </w:tcPr>
                <w:p>
                  <w:pPr>
                    <w:jc w:val="center"/>
                    <w:rPr>
                      <w:kern w:val="0"/>
                      <w:szCs w:val="21"/>
                    </w:rPr>
                  </w:pPr>
                </w:p>
              </w:tc>
              <w:tc>
                <w:tcPr>
                  <w:tcW w:w="4628" w:type="dxa"/>
                  <w:gridSpan w:val="2"/>
                  <w:tcBorders>
                    <w:top w:val="single" w:color="auto" w:sz="4" w:space="0"/>
                    <w:bottom w:val="single" w:color="auto" w:sz="4" w:space="0"/>
                    <w:right w:val="single" w:color="auto" w:sz="4" w:space="0"/>
                  </w:tcBorders>
                  <w:vAlign w:val="center"/>
                </w:tcPr>
                <w:p>
                  <w:pPr>
                    <w:rPr>
                      <w:szCs w:val="21"/>
                    </w:rPr>
                  </w:pPr>
                  <w:r>
                    <w:rPr>
                      <w:rFonts w:hint="eastAsia"/>
                      <w:szCs w:val="21"/>
                    </w:rPr>
                    <w:t>抛光粉尘：布袋除尘</w:t>
                  </w:r>
                </w:p>
              </w:tc>
              <w:tc>
                <w:tcPr>
                  <w:tcW w:w="759" w:type="dxa"/>
                  <w:tcBorders>
                    <w:left w:val="single" w:color="auto" w:sz="4" w:space="0"/>
                  </w:tcBorders>
                  <w:vAlign w:val="center"/>
                </w:tcPr>
                <w:p>
                  <w:pPr>
                    <w:jc w:val="center"/>
                    <w:rPr>
                      <w:szCs w:val="21"/>
                    </w:rPr>
                  </w:pPr>
                  <w:r>
                    <w:rPr>
                      <w:rFonts w:hint="eastAsia"/>
                      <w:szCs w:val="21"/>
                    </w:rPr>
                    <w:t>新建</w:t>
                  </w:r>
                </w:p>
              </w:tc>
              <w:tc>
                <w:tcPr>
                  <w:tcW w:w="992" w:type="dxa"/>
                  <w:vMerge w:val="continue"/>
                  <w:vAlign w:val="center"/>
                </w:tcPr>
                <w:p/>
              </w:tc>
              <w:tc>
                <w:tcPr>
                  <w:tcW w:w="1058" w:type="dxa"/>
                  <w:tcBorders>
                    <w:right w:val="single" w:color="auto" w:sz="8" w:space="0"/>
                  </w:tcBorders>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4" w:hRule="atLeast"/>
                <w:jc w:val="center"/>
              </w:trPr>
              <w:tc>
                <w:tcPr>
                  <w:tcW w:w="738" w:type="dxa"/>
                  <w:vMerge w:val="continue"/>
                  <w:tcBorders>
                    <w:left w:val="single" w:color="auto" w:sz="8" w:space="0"/>
                    <w:right w:val="single" w:color="auto" w:sz="4" w:space="0"/>
                  </w:tcBorders>
                  <w:vAlign w:val="center"/>
                </w:tcPr>
                <w:p>
                  <w:pPr>
                    <w:jc w:val="center"/>
                    <w:rPr>
                      <w:kern w:val="0"/>
                      <w:szCs w:val="21"/>
                    </w:rPr>
                  </w:pPr>
                </w:p>
              </w:tc>
              <w:tc>
                <w:tcPr>
                  <w:tcW w:w="1134" w:type="dxa"/>
                  <w:tcBorders>
                    <w:top w:val="single" w:color="auto" w:sz="4" w:space="0"/>
                    <w:left w:val="single" w:color="auto" w:sz="4" w:space="0"/>
                    <w:bottom w:val="single" w:color="auto" w:sz="4" w:space="0"/>
                  </w:tcBorders>
                  <w:vAlign w:val="center"/>
                </w:tcPr>
                <w:p>
                  <w:pPr>
                    <w:jc w:val="center"/>
                    <w:rPr>
                      <w:kern w:val="0"/>
                      <w:szCs w:val="21"/>
                    </w:rPr>
                  </w:pPr>
                  <w:r>
                    <w:rPr>
                      <w:rFonts w:hint="eastAsia"/>
                      <w:kern w:val="0"/>
                      <w:szCs w:val="21"/>
                    </w:rPr>
                    <w:t>固废</w:t>
                  </w:r>
                </w:p>
              </w:tc>
              <w:tc>
                <w:tcPr>
                  <w:tcW w:w="4628" w:type="dxa"/>
                  <w:gridSpan w:val="2"/>
                  <w:tcBorders>
                    <w:top w:val="single" w:color="auto" w:sz="4" w:space="0"/>
                    <w:bottom w:val="single" w:color="auto" w:sz="4" w:space="0"/>
                    <w:right w:val="single" w:color="auto" w:sz="4" w:space="0"/>
                  </w:tcBorders>
                  <w:vAlign w:val="center"/>
                </w:tcPr>
                <w:p>
                  <w:pPr>
                    <w:rPr>
                      <w:szCs w:val="21"/>
                    </w:rPr>
                  </w:pPr>
                  <w:r>
                    <w:rPr>
                      <w:rFonts w:hint="eastAsia"/>
                      <w:szCs w:val="21"/>
                    </w:rPr>
                    <w:t>危险废物：设置危废暂存间</w:t>
                  </w:r>
                </w:p>
              </w:tc>
              <w:tc>
                <w:tcPr>
                  <w:tcW w:w="759" w:type="dxa"/>
                  <w:tcBorders>
                    <w:left w:val="single" w:color="auto" w:sz="4" w:space="0"/>
                  </w:tcBorders>
                  <w:vAlign w:val="center"/>
                </w:tcPr>
                <w:p>
                  <w:pPr>
                    <w:jc w:val="center"/>
                    <w:rPr>
                      <w:szCs w:val="21"/>
                    </w:rPr>
                  </w:pPr>
                  <w:r>
                    <w:rPr>
                      <w:rFonts w:hint="eastAsia"/>
                      <w:szCs w:val="21"/>
                    </w:rPr>
                    <w:t>新建</w:t>
                  </w:r>
                </w:p>
              </w:tc>
              <w:tc>
                <w:tcPr>
                  <w:tcW w:w="992" w:type="dxa"/>
                  <w:vMerge w:val="continue"/>
                  <w:vAlign w:val="center"/>
                </w:tcPr>
                <w:p>
                  <w:pPr>
                    <w:ind w:firstLine="420" w:firstLineChars="200"/>
                  </w:pPr>
                </w:p>
              </w:tc>
              <w:tc>
                <w:tcPr>
                  <w:tcW w:w="1058" w:type="dxa"/>
                  <w:tcBorders>
                    <w:right w:val="single" w:color="auto" w:sz="8" w:space="0"/>
                  </w:tcBorders>
                  <w:vAlign w:val="center"/>
                </w:tcPr>
                <w:p>
                  <w:pPr>
                    <w:widowControl/>
                    <w:jc w:val="center"/>
                    <w:rPr>
                      <w:kern w:val="0"/>
                      <w:szCs w:val="21"/>
                    </w:rPr>
                  </w:pPr>
                  <w:r>
                    <w:rPr>
                      <w:rFonts w:hint="eastAsia"/>
                      <w:kern w:val="0"/>
                      <w:szCs w:val="21"/>
                    </w:rPr>
                    <w:t>/</w:t>
                  </w:r>
                </w:p>
              </w:tc>
            </w:tr>
          </w:tbl>
          <w:p>
            <w:pPr>
              <w:adjustRightInd w:val="0"/>
              <w:snapToGrid w:val="0"/>
              <w:spacing w:line="360" w:lineRule="auto"/>
              <w:ind w:firstLine="480" w:firstLineChars="200"/>
              <w:rPr>
                <w:rFonts w:hAnsi="宋体"/>
                <w:sz w:val="24"/>
              </w:rPr>
            </w:pPr>
            <w:r>
              <w:rPr>
                <w:rFonts w:hAnsi="宋体"/>
                <w:sz w:val="24"/>
              </w:rPr>
              <w:t>本项目依托设施情况见下表</w:t>
            </w:r>
            <w:r>
              <w:rPr>
                <w:rFonts w:hint="eastAsia" w:hAnsi="宋体"/>
                <w:sz w:val="24"/>
              </w:rPr>
              <w:t>。</w:t>
            </w:r>
          </w:p>
          <w:p>
            <w:pPr>
              <w:adjustRightInd w:val="0"/>
              <w:snapToGrid w:val="0"/>
              <w:spacing w:line="360" w:lineRule="auto"/>
              <w:ind w:firstLine="480" w:firstLineChars="200"/>
              <w:rPr>
                <w:rFonts w:hAnsi="宋体"/>
                <w:sz w:val="24"/>
              </w:rPr>
            </w:pPr>
          </w:p>
          <w:p>
            <w:pPr>
              <w:adjustRightInd w:val="0"/>
              <w:snapToGrid w:val="0"/>
              <w:spacing w:line="360" w:lineRule="auto"/>
              <w:ind w:firstLine="480" w:firstLineChars="200"/>
              <w:rPr>
                <w:rFonts w:hAnsi="宋体"/>
                <w:sz w:val="24"/>
              </w:rPr>
            </w:pPr>
          </w:p>
          <w:p>
            <w:pPr>
              <w:adjustRightInd w:val="0"/>
              <w:snapToGrid w:val="0"/>
              <w:spacing w:line="360" w:lineRule="auto"/>
              <w:jc w:val="center"/>
              <w:rPr>
                <w:rFonts w:hAnsi="宋体"/>
                <w:b/>
                <w:sz w:val="24"/>
              </w:rPr>
            </w:pPr>
            <w:r>
              <w:rPr>
                <w:rFonts w:hAnsi="宋体"/>
                <w:b/>
                <w:sz w:val="24"/>
              </w:rPr>
              <w:t>表</w:t>
            </w:r>
            <w:r>
              <w:rPr>
                <w:rFonts w:hint="eastAsia" w:hAnsi="宋体"/>
                <w:b/>
                <w:sz w:val="24"/>
              </w:rPr>
              <w:t>1-3 本项目依托设施一览表</w:t>
            </w:r>
          </w:p>
          <w:tbl>
            <w:tblPr>
              <w:tblStyle w:val="53"/>
              <w:tblW w:w="9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2115"/>
              <w:gridCol w:w="1579"/>
              <w:gridCol w:w="2532"/>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7" w:type="dxa"/>
                </w:tcPr>
                <w:p>
                  <w:pPr>
                    <w:adjustRightInd w:val="0"/>
                    <w:snapToGrid w:val="0"/>
                    <w:jc w:val="center"/>
                    <w:rPr>
                      <w:rFonts w:hAnsi="宋体"/>
                      <w:szCs w:val="21"/>
                    </w:rPr>
                  </w:pPr>
                  <w:r>
                    <w:rPr>
                      <w:rFonts w:hint="eastAsia" w:hAnsi="宋体"/>
                      <w:szCs w:val="21"/>
                    </w:rPr>
                    <w:t>依托内容</w:t>
                  </w:r>
                </w:p>
              </w:tc>
              <w:tc>
                <w:tcPr>
                  <w:tcW w:w="2115" w:type="dxa"/>
                </w:tcPr>
                <w:p>
                  <w:pPr>
                    <w:adjustRightInd w:val="0"/>
                    <w:snapToGrid w:val="0"/>
                    <w:jc w:val="center"/>
                    <w:rPr>
                      <w:rFonts w:hAnsi="宋体"/>
                      <w:szCs w:val="21"/>
                    </w:rPr>
                  </w:pPr>
                  <w:r>
                    <w:rPr>
                      <w:rFonts w:hint="eastAsia" w:hAnsi="宋体"/>
                      <w:szCs w:val="21"/>
                    </w:rPr>
                    <w:t>设计生产能力</w:t>
                  </w:r>
                </w:p>
              </w:tc>
              <w:tc>
                <w:tcPr>
                  <w:tcW w:w="1579" w:type="dxa"/>
                </w:tcPr>
                <w:p>
                  <w:pPr>
                    <w:adjustRightInd w:val="0"/>
                    <w:snapToGrid w:val="0"/>
                    <w:jc w:val="center"/>
                    <w:rPr>
                      <w:rFonts w:hAnsi="宋体"/>
                      <w:szCs w:val="21"/>
                    </w:rPr>
                  </w:pPr>
                  <w:r>
                    <w:rPr>
                      <w:rFonts w:hint="eastAsia" w:hAnsi="宋体"/>
                      <w:szCs w:val="21"/>
                    </w:rPr>
                    <w:t>原有生产能力</w:t>
                  </w:r>
                </w:p>
              </w:tc>
              <w:tc>
                <w:tcPr>
                  <w:tcW w:w="2532" w:type="dxa"/>
                </w:tcPr>
                <w:p>
                  <w:pPr>
                    <w:adjustRightInd w:val="0"/>
                    <w:snapToGrid w:val="0"/>
                    <w:jc w:val="center"/>
                    <w:rPr>
                      <w:rFonts w:hAnsi="宋体"/>
                      <w:szCs w:val="21"/>
                    </w:rPr>
                  </w:pPr>
                  <w:r>
                    <w:rPr>
                      <w:rFonts w:hint="eastAsia" w:hAnsi="宋体"/>
                      <w:szCs w:val="21"/>
                    </w:rPr>
                    <w:t>本项目新增需求</w:t>
                  </w:r>
                </w:p>
              </w:tc>
              <w:tc>
                <w:tcPr>
                  <w:tcW w:w="1164" w:type="dxa"/>
                </w:tcPr>
                <w:p>
                  <w:pPr>
                    <w:adjustRightInd w:val="0"/>
                    <w:snapToGrid w:val="0"/>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7" w:type="dxa"/>
                </w:tcPr>
                <w:p>
                  <w:pPr>
                    <w:adjustRightInd w:val="0"/>
                    <w:snapToGrid w:val="0"/>
                    <w:jc w:val="center"/>
                    <w:rPr>
                      <w:rFonts w:hAnsi="宋体"/>
                      <w:szCs w:val="21"/>
                    </w:rPr>
                  </w:pPr>
                  <w:r>
                    <w:rPr>
                      <w:rFonts w:hint="eastAsia" w:hAnsi="宋体"/>
                      <w:szCs w:val="21"/>
                    </w:rPr>
                    <w:t>铸造车间</w:t>
                  </w:r>
                </w:p>
              </w:tc>
              <w:tc>
                <w:tcPr>
                  <w:tcW w:w="2115" w:type="dxa"/>
                </w:tcPr>
                <w:p>
                  <w:pPr>
                    <w:adjustRightInd w:val="0"/>
                    <w:snapToGrid w:val="0"/>
                    <w:rPr>
                      <w:rFonts w:hAnsi="宋体"/>
                      <w:szCs w:val="21"/>
                    </w:rPr>
                  </w:pPr>
                  <w:r>
                    <w:rPr>
                      <w:rFonts w:hAnsi="宋体"/>
                      <w:szCs w:val="21"/>
                    </w:rPr>
                    <w:t>生产厂房</w:t>
                  </w:r>
                  <w:r>
                    <w:rPr>
                      <w:rFonts w:hint="eastAsia" w:hAnsi="宋体"/>
                      <w:szCs w:val="21"/>
                    </w:rPr>
                    <w:t>1栋，设计年产2</w:t>
                  </w:r>
                  <w:r>
                    <w:rPr>
                      <w:rFonts w:hAnsi="宋体"/>
                      <w:szCs w:val="21"/>
                    </w:rPr>
                    <w:t>20万口铸铁锅</w:t>
                  </w:r>
                  <w:r>
                    <w:rPr>
                      <w:rFonts w:hint="eastAsia" w:hAnsi="宋体"/>
                      <w:szCs w:val="21"/>
                    </w:rPr>
                    <w:t>（其中需防锈处理的2</w:t>
                  </w:r>
                  <w:r>
                    <w:rPr>
                      <w:rFonts w:hAnsi="宋体"/>
                      <w:szCs w:val="21"/>
                    </w:rPr>
                    <w:t>00万口</w:t>
                  </w:r>
                  <w:r>
                    <w:rPr>
                      <w:rFonts w:hint="eastAsia" w:hAnsi="宋体"/>
                      <w:szCs w:val="21"/>
                    </w:rPr>
                    <w:t>）</w:t>
                  </w:r>
                </w:p>
              </w:tc>
              <w:tc>
                <w:tcPr>
                  <w:tcW w:w="1579" w:type="dxa"/>
                </w:tcPr>
                <w:p>
                  <w:pPr>
                    <w:adjustRightInd w:val="0"/>
                    <w:snapToGrid w:val="0"/>
                    <w:jc w:val="center"/>
                    <w:rPr>
                      <w:rFonts w:hAnsi="宋体"/>
                      <w:szCs w:val="21"/>
                    </w:rPr>
                  </w:pPr>
                  <w:r>
                    <w:rPr>
                      <w:rFonts w:hint="eastAsia" w:hAnsi="宋体"/>
                      <w:szCs w:val="21"/>
                    </w:rPr>
                    <w:t>年产2</w:t>
                  </w:r>
                  <w:r>
                    <w:rPr>
                      <w:rFonts w:hAnsi="宋体"/>
                      <w:szCs w:val="21"/>
                    </w:rPr>
                    <w:t>20万口铸铁锅</w:t>
                  </w:r>
                  <w:r>
                    <w:rPr>
                      <w:rFonts w:hint="eastAsia" w:hAnsi="宋体"/>
                      <w:szCs w:val="21"/>
                    </w:rPr>
                    <w:t>（其中需防锈处理的共2</w:t>
                  </w:r>
                  <w:r>
                    <w:rPr>
                      <w:rFonts w:hAnsi="宋体"/>
                      <w:szCs w:val="21"/>
                    </w:rPr>
                    <w:t>00万口</w:t>
                  </w:r>
                  <w:r>
                    <w:rPr>
                      <w:rFonts w:hint="eastAsia" w:hAnsi="宋体"/>
                      <w:szCs w:val="21"/>
                    </w:rPr>
                    <w:t>）</w:t>
                  </w:r>
                </w:p>
              </w:tc>
              <w:tc>
                <w:tcPr>
                  <w:tcW w:w="2532" w:type="dxa"/>
                </w:tcPr>
                <w:p>
                  <w:pPr>
                    <w:adjustRightInd w:val="0"/>
                    <w:snapToGrid w:val="0"/>
                    <w:jc w:val="center"/>
                    <w:rPr>
                      <w:rFonts w:hAnsi="宋体"/>
                      <w:szCs w:val="21"/>
                    </w:rPr>
                  </w:pPr>
                  <w:r>
                    <w:rPr>
                      <w:rFonts w:hint="eastAsia" w:hAnsi="宋体"/>
                      <w:szCs w:val="21"/>
                    </w:rPr>
                    <w:t>本项目为改建项目，仅对原有生产工艺进行改建，不新增生产能力</w:t>
                  </w:r>
                </w:p>
              </w:tc>
              <w:tc>
                <w:tcPr>
                  <w:tcW w:w="1164" w:type="dxa"/>
                </w:tcPr>
                <w:p>
                  <w:pPr>
                    <w:adjustRightInd w:val="0"/>
                    <w:snapToGrid w:val="0"/>
                    <w:jc w:val="center"/>
                    <w:rPr>
                      <w:rFonts w:hAnsi="宋体"/>
                      <w:szCs w:val="21"/>
                    </w:rPr>
                  </w:pPr>
                  <w:r>
                    <w:rPr>
                      <w:rFonts w:hint="eastAsia" w:hAnsi="宋体"/>
                      <w:szCs w:val="21"/>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7" w:type="dxa"/>
                </w:tcPr>
                <w:p>
                  <w:pPr>
                    <w:adjustRightInd w:val="0"/>
                    <w:snapToGrid w:val="0"/>
                    <w:jc w:val="center"/>
                    <w:rPr>
                      <w:rFonts w:hAnsi="宋体"/>
                      <w:szCs w:val="21"/>
                    </w:rPr>
                  </w:pPr>
                  <w:r>
                    <w:rPr>
                      <w:rFonts w:hint="eastAsia"/>
                      <w:kern w:val="0"/>
                      <w:szCs w:val="21"/>
                    </w:rPr>
                    <w:t>总装车间、成品库房、研发中心</w:t>
                  </w:r>
                </w:p>
              </w:tc>
              <w:tc>
                <w:tcPr>
                  <w:tcW w:w="2115" w:type="dxa"/>
                </w:tcPr>
                <w:p>
                  <w:pPr>
                    <w:adjustRightInd w:val="0"/>
                    <w:snapToGrid w:val="0"/>
                    <w:rPr>
                      <w:rFonts w:hAnsi="宋体"/>
                      <w:szCs w:val="21"/>
                    </w:rPr>
                  </w:pPr>
                  <w:r>
                    <w:rPr>
                      <w:rFonts w:hint="eastAsia" w:hAnsi="宋体"/>
                      <w:szCs w:val="21"/>
                    </w:rPr>
                    <w:t>总装车间、成品库房、研发中心1栋</w:t>
                  </w:r>
                </w:p>
              </w:tc>
              <w:tc>
                <w:tcPr>
                  <w:tcW w:w="1579" w:type="dxa"/>
                </w:tcPr>
                <w:p>
                  <w:pPr>
                    <w:adjustRightInd w:val="0"/>
                    <w:snapToGrid w:val="0"/>
                    <w:jc w:val="center"/>
                    <w:rPr>
                      <w:rFonts w:hAnsi="宋体"/>
                      <w:szCs w:val="21"/>
                    </w:rPr>
                  </w:pPr>
                  <w:r>
                    <w:rPr>
                      <w:rFonts w:hint="eastAsia" w:hAnsi="宋体"/>
                      <w:szCs w:val="21"/>
                    </w:rPr>
                    <w:t>/</w:t>
                  </w:r>
                </w:p>
              </w:tc>
              <w:tc>
                <w:tcPr>
                  <w:tcW w:w="2532" w:type="dxa"/>
                </w:tcPr>
                <w:p>
                  <w:pPr>
                    <w:adjustRightInd w:val="0"/>
                    <w:snapToGrid w:val="0"/>
                    <w:jc w:val="center"/>
                    <w:rPr>
                      <w:rFonts w:hAnsi="宋体"/>
                      <w:szCs w:val="21"/>
                    </w:rPr>
                  </w:pPr>
                  <w:r>
                    <w:rPr>
                      <w:rFonts w:hint="eastAsia" w:hAnsi="宋体"/>
                      <w:szCs w:val="21"/>
                    </w:rPr>
                    <w:t>/</w:t>
                  </w:r>
                </w:p>
              </w:tc>
              <w:tc>
                <w:tcPr>
                  <w:tcW w:w="1164" w:type="dxa"/>
                </w:tcPr>
                <w:p>
                  <w:pPr>
                    <w:adjustRightInd w:val="0"/>
                    <w:snapToGrid w:val="0"/>
                    <w:jc w:val="center"/>
                    <w:rPr>
                      <w:rFonts w:hAnsi="宋体"/>
                      <w:szCs w:val="21"/>
                    </w:rPr>
                  </w:pPr>
                  <w:r>
                    <w:rPr>
                      <w:rFonts w:hint="eastAsia" w:hAnsi="宋体"/>
                      <w:szCs w:val="21"/>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7" w:type="dxa"/>
                </w:tcPr>
                <w:p>
                  <w:pPr>
                    <w:adjustRightInd w:val="0"/>
                    <w:snapToGrid w:val="0"/>
                    <w:jc w:val="center"/>
                    <w:rPr>
                      <w:rFonts w:hAnsi="宋体"/>
                      <w:szCs w:val="21"/>
                    </w:rPr>
                  </w:pPr>
                  <w:r>
                    <w:rPr>
                      <w:rFonts w:hint="eastAsia" w:hAnsi="宋体"/>
                      <w:szCs w:val="21"/>
                    </w:rPr>
                    <w:t>办公楼、生活区、宿舍楼</w:t>
                  </w:r>
                </w:p>
              </w:tc>
              <w:tc>
                <w:tcPr>
                  <w:tcW w:w="2115" w:type="dxa"/>
                </w:tcPr>
                <w:p>
                  <w:pPr>
                    <w:adjustRightInd w:val="0"/>
                    <w:snapToGrid w:val="0"/>
                    <w:rPr>
                      <w:rFonts w:hAnsi="宋体"/>
                      <w:szCs w:val="21"/>
                    </w:rPr>
                  </w:pPr>
                  <w:r>
                    <w:rPr>
                      <w:rFonts w:hint="eastAsia" w:hAnsi="宋体"/>
                      <w:szCs w:val="21"/>
                    </w:rPr>
                    <w:t>办公楼1栋、生活区1栋、宿舍楼1栋</w:t>
                  </w:r>
                </w:p>
              </w:tc>
              <w:tc>
                <w:tcPr>
                  <w:tcW w:w="1579" w:type="dxa"/>
                </w:tcPr>
                <w:p>
                  <w:pPr>
                    <w:adjustRightInd w:val="0"/>
                    <w:snapToGrid w:val="0"/>
                    <w:jc w:val="center"/>
                    <w:rPr>
                      <w:rFonts w:hAnsi="宋体"/>
                      <w:szCs w:val="21"/>
                    </w:rPr>
                  </w:pPr>
                  <w:r>
                    <w:rPr>
                      <w:rFonts w:hint="eastAsia" w:hAnsi="宋体"/>
                      <w:szCs w:val="21"/>
                    </w:rPr>
                    <w:t>/</w:t>
                  </w:r>
                </w:p>
              </w:tc>
              <w:tc>
                <w:tcPr>
                  <w:tcW w:w="2532" w:type="dxa"/>
                </w:tcPr>
                <w:p>
                  <w:pPr>
                    <w:adjustRightInd w:val="0"/>
                    <w:snapToGrid w:val="0"/>
                    <w:jc w:val="center"/>
                    <w:rPr>
                      <w:rFonts w:hAnsi="宋体"/>
                      <w:szCs w:val="21"/>
                    </w:rPr>
                  </w:pPr>
                  <w:r>
                    <w:rPr>
                      <w:rFonts w:hint="eastAsia" w:hAnsi="宋体"/>
                      <w:szCs w:val="21"/>
                    </w:rPr>
                    <w:t>/</w:t>
                  </w:r>
                </w:p>
              </w:tc>
              <w:tc>
                <w:tcPr>
                  <w:tcW w:w="1164" w:type="dxa"/>
                </w:tcPr>
                <w:p>
                  <w:pPr>
                    <w:adjustRightInd w:val="0"/>
                    <w:snapToGrid w:val="0"/>
                    <w:jc w:val="center"/>
                    <w:rPr>
                      <w:rFonts w:hAnsi="宋体"/>
                      <w:szCs w:val="21"/>
                    </w:rPr>
                  </w:pPr>
                  <w:r>
                    <w:rPr>
                      <w:rFonts w:hint="eastAsia" w:hAnsi="宋体"/>
                      <w:szCs w:val="21"/>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7" w:type="dxa"/>
                </w:tcPr>
                <w:p>
                  <w:pPr>
                    <w:adjustRightInd w:val="0"/>
                    <w:snapToGrid w:val="0"/>
                    <w:jc w:val="center"/>
                    <w:rPr>
                      <w:rFonts w:hAnsi="宋体"/>
                      <w:szCs w:val="21"/>
                    </w:rPr>
                  </w:pPr>
                  <w:r>
                    <w:rPr>
                      <w:rFonts w:hint="eastAsia" w:hAnsi="宋体"/>
                      <w:szCs w:val="21"/>
                    </w:rPr>
                    <w:t>公辅工程</w:t>
                  </w:r>
                </w:p>
              </w:tc>
              <w:tc>
                <w:tcPr>
                  <w:tcW w:w="2115" w:type="dxa"/>
                </w:tcPr>
                <w:p>
                  <w:pPr>
                    <w:adjustRightInd w:val="0"/>
                    <w:snapToGrid w:val="0"/>
                    <w:jc w:val="center"/>
                    <w:rPr>
                      <w:rFonts w:hAnsi="宋体"/>
                      <w:szCs w:val="21"/>
                    </w:rPr>
                  </w:pPr>
                  <w:r>
                    <w:rPr>
                      <w:rFonts w:hint="eastAsia" w:hAnsi="宋体"/>
                      <w:szCs w:val="21"/>
                    </w:rPr>
                    <w:t>供水、供电均有市政设置</w:t>
                  </w:r>
                </w:p>
              </w:tc>
              <w:tc>
                <w:tcPr>
                  <w:tcW w:w="1579" w:type="dxa"/>
                </w:tcPr>
                <w:p>
                  <w:pPr>
                    <w:adjustRightInd w:val="0"/>
                    <w:snapToGrid w:val="0"/>
                    <w:jc w:val="center"/>
                    <w:rPr>
                      <w:rFonts w:hAnsi="宋体"/>
                      <w:szCs w:val="21"/>
                    </w:rPr>
                  </w:pPr>
                  <w:r>
                    <w:rPr>
                      <w:rFonts w:hAnsi="宋体"/>
                      <w:szCs w:val="21"/>
                    </w:rPr>
                    <w:t>/</w:t>
                  </w:r>
                </w:p>
              </w:tc>
              <w:tc>
                <w:tcPr>
                  <w:tcW w:w="2532" w:type="dxa"/>
                </w:tcPr>
                <w:p>
                  <w:pPr>
                    <w:adjustRightInd w:val="0"/>
                    <w:snapToGrid w:val="0"/>
                    <w:jc w:val="center"/>
                    <w:rPr>
                      <w:rFonts w:hAnsi="宋体"/>
                      <w:szCs w:val="21"/>
                    </w:rPr>
                  </w:pPr>
                  <w:r>
                    <w:rPr>
                      <w:rFonts w:hint="eastAsia" w:hAnsi="宋体"/>
                      <w:szCs w:val="21"/>
                    </w:rPr>
                    <w:t>/</w:t>
                  </w:r>
                </w:p>
              </w:tc>
              <w:tc>
                <w:tcPr>
                  <w:tcW w:w="1164" w:type="dxa"/>
                </w:tcPr>
                <w:p>
                  <w:pPr>
                    <w:adjustRightInd w:val="0"/>
                    <w:snapToGrid w:val="0"/>
                    <w:jc w:val="center"/>
                    <w:rPr>
                      <w:rFonts w:hAnsi="宋体"/>
                      <w:szCs w:val="21"/>
                    </w:rPr>
                  </w:pPr>
                  <w:r>
                    <w:rPr>
                      <w:rFonts w:hint="eastAsia" w:hAnsi="宋体"/>
                      <w:szCs w:val="21"/>
                    </w:rPr>
                    <w:t>满足</w:t>
                  </w:r>
                </w:p>
              </w:tc>
            </w:tr>
          </w:tbl>
          <w:p>
            <w:pPr>
              <w:adjustRightInd w:val="0"/>
              <w:snapToGrid w:val="0"/>
              <w:spacing w:line="360" w:lineRule="auto"/>
              <w:rPr>
                <w:b/>
                <w:bCs/>
                <w:sz w:val="28"/>
              </w:rPr>
            </w:pPr>
            <w:r>
              <w:rPr>
                <w:rFonts w:hint="eastAsia" w:hAnsi="宋体"/>
                <w:b/>
                <w:sz w:val="28"/>
              </w:rPr>
              <w:t>七</w:t>
            </w:r>
            <w:r>
              <w:rPr>
                <w:rFonts w:hAnsi="宋体"/>
                <w:b/>
                <w:sz w:val="28"/>
              </w:rPr>
              <w:t>、主要原辅材料及</w:t>
            </w:r>
            <w:r>
              <w:rPr>
                <w:b/>
                <w:bCs/>
                <w:sz w:val="28"/>
              </w:rPr>
              <w:t>主要设施规格、数量</w:t>
            </w:r>
          </w:p>
          <w:p>
            <w:pPr>
              <w:adjustRightInd w:val="0"/>
              <w:snapToGrid w:val="0"/>
              <w:spacing w:line="360" w:lineRule="auto"/>
              <w:ind w:left="-720" w:leftChars="-343" w:firstLine="1181" w:firstLineChars="490"/>
              <w:rPr>
                <w:b/>
                <w:bCs/>
                <w:sz w:val="24"/>
              </w:rPr>
            </w:pPr>
            <w:r>
              <w:rPr>
                <w:rFonts w:hint="eastAsia"/>
                <w:b/>
                <w:bCs/>
                <w:sz w:val="24"/>
              </w:rPr>
              <w:t>1、</w:t>
            </w:r>
            <w:r>
              <w:rPr>
                <w:b/>
                <w:bCs/>
                <w:sz w:val="24"/>
              </w:rPr>
              <w:t>主要原（辅）料</w:t>
            </w:r>
          </w:p>
          <w:p>
            <w:pPr>
              <w:autoSpaceDE w:val="0"/>
              <w:autoSpaceDN w:val="0"/>
              <w:adjustRightInd w:val="0"/>
              <w:snapToGrid w:val="0"/>
              <w:spacing w:line="360" w:lineRule="auto"/>
              <w:jc w:val="center"/>
              <w:rPr>
                <w:rFonts w:ascii="宋体" w:hAnsi="宋体"/>
                <w:b/>
                <w:sz w:val="24"/>
              </w:rPr>
            </w:pPr>
            <w:r>
              <w:rPr>
                <w:rFonts w:hint="eastAsia" w:ascii="宋体" w:hAnsi="宋体"/>
                <w:b/>
                <w:sz w:val="24"/>
              </w:rPr>
              <w:t>表1-</w:t>
            </w:r>
            <w:r>
              <w:rPr>
                <w:rFonts w:ascii="宋体" w:hAnsi="宋体"/>
                <w:b/>
                <w:sz w:val="24"/>
              </w:rPr>
              <w:t>4</w:t>
            </w:r>
            <w:r>
              <w:rPr>
                <w:rFonts w:hint="eastAsia" w:ascii="宋体" w:hAnsi="宋体"/>
                <w:b/>
                <w:sz w:val="24"/>
              </w:rPr>
              <w:t xml:space="preserve">   主要原（辅）材料及能耗表  </w:t>
            </w:r>
          </w:p>
          <w:tbl>
            <w:tblPr>
              <w:tblStyle w:val="53"/>
              <w:tblW w:w="91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291"/>
              <w:gridCol w:w="709"/>
              <w:gridCol w:w="851"/>
              <w:gridCol w:w="850"/>
              <w:gridCol w:w="825"/>
              <w:gridCol w:w="1443"/>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exact"/>
                <w:jc w:val="center"/>
              </w:trPr>
              <w:tc>
                <w:tcPr>
                  <w:tcW w:w="922" w:type="dxa"/>
                  <w:vAlign w:val="center"/>
                </w:tcPr>
                <w:p>
                  <w:pPr>
                    <w:jc w:val="center"/>
                    <w:rPr>
                      <w:szCs w:val="21"/>
                    </w:rPr>
                  </w:pPr>
                  <w:r>
                    <w:rPr>
                      <w:rFonts w:hAnsi="宋体"/>
                      <w:szCs w:val="21"/>
                    </w:rPr>
                    <w:t>类别</w:t>
                  </w:r>
                </w:p>
              </w:tc>
              <w:tc>
                <w:tcPr>
                  <w:tcW w:w="1291" w:type="dxa"/>
                </w:tcPr>
                <w:p>
                  <w:pPr>
                    <w:jc w:val="center"/>
                    <w:rPr>
                      <w:rFonts w:hAnsi="宋体"/>
                      <w:szCs w:val="21"/>
                    </w:rPr>
                  </w:pPr>
                  <w:r>
                    <w:rPr>
                      <w:rFonts w:hAnsi="宋体"/>
                      <w:szCs w:val="21"/>
                    </w:rPr>
                    <w:t>名称</w:t>
                  </w:r>
                </w:p>
              </w:tc>
              <w:tc>
                <w:tcPr>
                  <w:tcW w:w="709" w:type="dxa"/>
                  <w:vAlign w:val="center"/>
                </w:tcPr>
                <w:p>
                  <w:pPr>
                    <w:jc w:val="center"/>
                    <w:rPr>
                      <w:szCs w:val="21"/>
                    </w:rPr>
                  </w:pPr>
                  <w:r>
                    <w:rPr>
                      <w:rFonts w:hint="eastAsia"/>
                      <w:szCs w:val="21"/>
                    </w:rPr>
                    <w:t>单位</w:t>
                  </w:r>
                </w:p>
              </w:tc>
              <w:tc>
                <w:tcPr>
                  <w:tcW w:w="851" w:type="dxa"/>
                  <w:vAlign w:val="center"/>
                </w:tcPr>
                <w:p>
                  <w:pPr>
                    <w:jc w:val="center"/>
                    <w:rPr>
                      <w:szCs w:val="21"/>
                    </w:rPr>
                  </w:pPr>
                  <w:r>
                    <w:rPr>
                      <w:rFonts w:hAnsi="宋体"/>
                      <w:szCs w:val="21"/>
                    </w:rPr>
                    <w:t>年耗量</w:t>
                  </w:r>
                </w:p>
              </w:tc>
              <w:tc>
                <w:tcPr>
                  <w:tcW w:w="850" w:type="dxa"/>
                  <w:vAlign w:val="center"/>
                </w:tcPr>
                <w:p>
                  <w:pPr>
                    <w:jc w:val="center"/>
                    <w:rPr>
                      <w:szCs w:val="21"/>
                    </w:rPr>
                  </w:pPr>
                  <w:r>
                    <w:rPr>
                      <w:szCs w:val="21"/>
                    </w:rPr>
                    <w:t>储存量</w:t>
                  </w:r>
                </w:p>
              </w:tc>
              <w:tc>
                <w:tcPr>
                  <w:tcW w:w="825" w:type="dxa"/>
                  <w:vAlign w:val="center"/>
                </w:tcPr>
                <w:p>
                  <w:pPr>
                    <w:jc w:val="center"/>
                    <w:rPr>
                      <w:szCs w:val="21"/>
                    </w:rPr>
                  </w:pPr>
                  <w:r>
                    <w:rPr>
                      <w:szCs w:val="21"/>
                    </w:rPr>
                    <w:t>包装</w:t>
                  </w:r>
                </w:p>
              </w:tc>
              <w:tc>
                <w:tcPr>
                  <w:tcW w:w="1443" w:type="dxa"/>
                  <w:vAlign w:val="center"/>
                </w:tcPr>
                <w:p>
                  <w:pPr>
                    <w:jc w:val="center"/>
                    <w:rPr>
                      <w:szCs w:val="21"/>
                    </w:rPr>
                  </w:pPr>
                  <w:r>
                    <w:rPr>
                      <w:rFonts w:hAnsi="宋体"/>
                      <w:szCs w:val="21"/>
                    </w:rPr>
                    <w:t>来源</w:t>
                  </w:r>
                </w:p>
              </w:tc>
              <w:tc>
                <w:tcPr>
                  <w:tcW w:w="2250" w:type="dxa"/>
                  <w:vAlign w:val="center"/>
                </w:tcPr>
                <w:p>
                  <w:pPr>
                    <w:jc w:val="center"/>
                    <w:rPr>
                      <w:szCs w:val="21"/>
                    </w:rPr>
                  </w:pPr>
                  <w:r>
                    <w:rPr>
                      <w:szCs w:val="21"/>
                    </w:rPr>
                    <w:t>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atLeast"/>
                <w:jc w:val="center"/>
              </w:trPr>
              <w:tc>
                <w:tcPr>
                  <w:tcW w:w="922" w:type="dxa"/>
                  <w:vMerge w:val="restart"/>
                  <w:vAlign w:val="center"/>
                </w:tcPr>
                <w:p>
                  <w:pPr>
                    <w:rPr>
                      <w:szCs w:val="21"/>
                    </w:rPr>
                  </w:pPr>
                  <w:r>
                    <w:rPr>
                      <w:rFonts w:hAnsi="宋体"/>
                      <w:szCs w:val="21"/>
                    </w:rPr>
                    <w:t>原（辅）料</w:t>
                  </w:r>
                </w:p>
              </w:tc>
              <w:tc>
                <w:tcPr>
                  <w:tcW w:w="1291" w:type="dxa"/>
                </w:tcPr>
                <w:p>
                  <w:pPr>
                    <w:jc w:val="center"/>
                    <w:rPr>
                      <w:szCs w:val="21"/>
                    </w:rPr>
                  </w:pPr>
                  <w:r>
                    <w:rPr>
                      <w:rFonts w:hint="eastAsia"/>
                      <w:szCs w:val="21"/>
                    </w:rPr>
                    <w:t>22号优质原生铁</w:t>
                  </w:r>
                </w:p>
              </w:tc>
              <w:tc>
                <w:tcPr>
                  <w:tcW w:w="709" w:type="dxa"/>
                  <w:vAlign w:val="center"/>
                </w:tcPr>
                <w:p>
                  <w:pPr>
                    <w:jc w:val="center"/>
                    <w:rPr>
                      <w:szCs w:val="21"/>
                    </w:rPr>
                  </w:pPr>
                  <w:r>
                    <w:rPr>
                      <w:rFonts w:hint="eastAsia"/>
                      <w:szCs w:val="21"/>
                    </w:rPr>
                    <w:t>吨</w:t>
                  </w:r>
                </w:p>
              </w:tc>
              <w:tc>
                <w:tcPr>
                  <w:tcW w:w="851" w:type="dxa"/>
                  <w:vAlign w:val="center"/>
                </w:tcPr>
                <w:p>
                  <w:pPr>
                    <w:tabs>
                      <w:tab w:val="center" w:pos="825"/>
                    </w:tabs>
                    <w:jc w:val="center"/>
                    <w:rPr>
                      <w:szCs w:val="21"/>
                    </w:rPr>
                  </w:pPr>
                  <w:r>
                    <w:rPr>
                      <w:szCs w:val="21"/>
                    </w:rPr>
                    <w:t>3200</w:t>
                  </w:r>
                </w:p>
              </w:tc>
              <w:tc>
                <w:tcPr>
                  <w:tcW w:w="850" w:type="dxa"/>
                  <w:vAlign w:val="center"/>
                </w:tcPr>
                <w:p>
                  <w:pPr>
                    <w:jc w:val="center"/>
                    <w:rPr>
                      <w:szCs w:val="21"/>
                    </w:rPr>
                  </w:pPr>
                  <w:r>
                    <w:rPr>
                      <w:rFonts w:hint="eastAsia"/>
                      <w:szCs w:val="21"/>
                    </w:rPr>
                    <w:t>1</w:t>
                  </w:r>
                  <w:r>
                    <w:rPr>
                      <w:szCs w:val="21"/>
                    </w:rPr>
                    <w:t>0</w:t>
                  </w:r>
                </w:p>
              </w:tc>
              <w:tc>
                <w:tcPr>
                  <w:tcW w:w="825" w:type="dxa"/>
                  <w:vAlign w:val="center"/>
                </w:tcPr>
                <w:p>
                  <w:pPr>
                    <w:jc w:val="center"/>
                    <w:rPr>
                      <w:szCs w:val="21"/>
                    </w:rPr>
                  </w:pPr>
                  <w:r>
                    <w:rPr>
                      <w:rFonts w:hint="eastAsia"/>
                      <w:szCs w:val="21"/>
                    </w:rPr>
                    <w:t>/</w:t>
                  </w:r>
                </w:p>
              </w:tc>
              <w:tc>
                <w:tcPr>
                  <w:tcW w:w="1443" w:type="dxa"/>
                  <w:vAlign w:val="center"/>
                </w:tcPr>
                <w:p>
                  <w:pPr>
                    <w:jc w:val="center"/>
                    <w:rPr>
                      <w:szCs w:val="21"/>
                    </w:rPr>
                  </w:pPr>
                  <w:r>
                    <w:rPr>
                      <w:szCs w:val="21"/>
                    </w:rPr>
                    <w:t>外购</w:t>
                  </w:r>
                </w:p>
              </w:tc>
              <w:tc>
                <w:tcPr>
                  <w:tcW w:w="2250"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atLeast"/>
                <w:jc w:val="center"/>
              </w:trPr>
              <w:tc>
                <w:tcPr>
                  <w:tcW w:w="922" w:type="dxa"/>
                  <w:vMerge w:val="continue"/>
                  <w:vAlign w:val="center"/>
                </w:tcPr>
                <w:p>
                  <w:pPr>
                    <w:jc w:val="center"/>
                    <w:rPr>
                      <w:rFonts w:hAnsi="宋体"/>
                      <w:szCs w:val="21"/>
                    </w:rPr>
                  </w:pPr>
                </w:p>
              </w:tc>
              <w:tc>
                <w:tcPr>
                  <w:tcW w:w="1291" w:type="dxa"/>
                  <w:vAlign w:val="center"/>
                </w:tcPr>
                <w:p>
                  <w:pPr>
                    <w:jc w:val="center"/>
                    <w:rPr>
                      <w:rFonts w:hAnsi="宋体"/>
                      <w:szCs w:val="21"/>
                    </w:rPr>
                  </w:pPr>
                  <w:r>
                    <w:rPr>
                      <w:rFonts w:hint="eastAsia" w:hAnsi="宋体"/>
                      <w:szCs w:val="21"/>
                    </w:rPr>
                    <w:t>氮化盐</w:t>
                  </w:r>
                </w:p>
              </w:tc>
              <w:tc>
                <w:tcPr>
                  <w:tcW w:w="709" w:type="dxa"/>
                  <w:vAlign w:val="center"/>
                </w:tcPr>
                <w:p>
                  <w:pPr>
                    <w:jc w:val="center"/>
                    <w:rPr>
                      <w:rFonts w:hAnsi="宋体"/>
                      <w:szCs w:val="21"/>
                    </w:rPr>
                  </w:pPr>
                  <w:r>
                    <w:rPr>
                      <w:rFonts w:hint="eastAsia" w:hAnsi="宋体"/>
                      <w:szCs w:val="21"/>
                    </w:rPr>
                    <w:t>吨</w:t>
                  </w:r>
                </w:p>
              </w:tc>
              <w:tc>
                <w:tcPr>
                  <w:tcW w:w="851" w:type="dxa"/>
                  <w:vAlign w:val="center"/>
                </w:tcPr>
                <w:p>
                  <w:pPr>
                    <w:tabs>
                      <w:tab w:val="center" w:pos="825"/>
                    </w:tabs>
                    <w:jc w:val="center"/>
                    <w:rPr>
                      <w:szCs w:val="21"/>
                    </w:rPr>
                  </w:pPr>
                  <w:r>
                    <w:rPr>
                      <w:szCs w:val="21"/>
                    </w:rPr>
                    <w:t>40</w:t>
                  </w:r>
                </w:p>
              </w:tc>
              <w:tc>
                <w:tcPr>
                  <w:tcW w:w="850" w:type="dxa"/>
                  <w:vAlign w:val="center"/>
                </w:tcPr>
                <w:p>
                  <w:pPr>
                    <w:jc w:val="center"/>
                    <w:rPr>
                      <w:rFonts w:hAnsi="宋体"/>
                      <w:szCs w:val="21"/>
                    </w:rPr>
                  </w:pPr>
                  <w:r>
                    <w:rPr>
                      <w:rFonts w:hint="eastAsia" w:hAnsi="宋体"/>
                      <w:szCs w:val="21"/>
                    </w:rPr>
                    <w:t>1</w:t>
                  </w:r>
                  <w:r>
                    <w:rPr>
                      <w:rFonts w:hAnsi="宋体"/>
                      <w:szCs w:val="21"/>
                    </w:rPr>
                    <w:t>.2</w:t>
                  </w:r>
                </w:p>
              </w:tc>
              <w:tc>
                <w:tcPr>
                  <w:tcW w:w="825" w:type="dxa"/>
                  <w:vAlign w:val="center"/>
                </w:tcPr>
                <w:p>
                  <w:pPr>
                    <w:jc w:val="center"/>
                    <w:rPr>
                      <w:rFonts w:hAnsi="宋体"/>
                      <w:szCs w:val="21"/>
                    </w:rPr>
                  </w:pPr>
                  <w:r>
                    <w:rPr>
                      <w:rFonts w:hAnsi="宋体"/>
                      <w:szCs w:val="21"/>
                    </w:rPr>
                    <w:t>袋装</w:t>
                  </w:r>
                </w:p>
              </w:tc>
              <w:tc>
                <w:tcPr>
                  <w:tcW w:w="1443" w:type="dxa"/>
                  <w:vAlign w:val="center"/>
                </w:tcPr>
                <w:p>
                  <w:pPr>
                    <w:jc w:val="center"/>
                    <w:rPr>
                      <w:rFonts w:hAnsi="宋体"/>
                      <w:szCs w:val="21"/>
                    </w:rPr>
                  </w:pPr>
                  <w:r>
                    <w:rPr>
                      <w:szCs w:val="21"/>
                    </w:rPr>
                    <w:t>外购</w:t>
                  </w:r>
                </w:p>
              </w:tc>
              <w:tc>
                <w:tcPr>
                  <w:tcW w:w="2250" w:type="dxa"/>
                  <w:vAlign w:val="center"/>
                </w:tcPr>
                <w:p>
                  <w:pPr>
                    <w:jc w:val="center"/>
                    <w:rPr>
                      <w:rFonts w:hAnsi="宋体"/>
                      <w:szCs w:val="21"/>
                    </w:rPr>
                  </w:pPr>
                  <w:r>
                    <w:rPr>
                      <w:rFonts w:hint="eastAsia" w:hAnsi="宋体"/>
                      <w:szCs w:val="21"/>
                    </w:rPr>
                    <w:t>L</w:t>
                  </w:r>
                  <w:r>
                    <w:rPr>
                      <w:rFonts w:hAnsi="宋体"/>
                      <w:szCs w:val="21"/>
                    </w:rPr>
                    <w:t>i</w:t>
                  </w:r>
                  <w:r>
                    <w:rPr>
                      <w:rFonts w:hAnsi="宋体"/>
                      <w:szCs w:val="21"/>
                      <w:vertAlign w:val="subscript"/>
                    </w:rPr>
                    <w:t>2</w:t>
                  </w:r>
                  <w:r>
                    <w:rPr>
                      <w:rFonts w:hAnsi="宋体"/>
                      <w:szCs w:val="21"/>
                    </w:rPr>
                    <w:t>CO</w:t>
                  </w:r>
                  <w:r>
                    <w:rPr>
                      <w:rFonts w:hAnsi="宋体"/>
                      <w:szCs w:val="21"/>
                      <w:vertAlign w:val="subscript"/>
                    </w:rPr>
                    <w:t>3</w:t>
                  </w:r>
                  <w:r>
                    <w:rPr>
                      <w:rFonts w:hint="eastAsia" w:hAnsi="宋体"/>
                      <w:szCs w:val="21"/>
                    </w:rPr>
                    <w:t>：1%~</w:t>
                  </w:r>
                  <w:r>
                    <w:rPr>
                      <w:rFonts w:hAnsi="宋体"/>
                      <w:szCs w:val="21"/>
                    </w:rPr>
                    <w:t>5</w:t>
                  </w:r>
                  <w:r>
                    <w:rPr>
                      <w:rFonts w:hint="eastAsia" w:hAnsi="宋体"/>
                      <w:szCs w:val="21"/>
                    </w:rPr>
                    <w:t>%、</w:t>
                  </w:r>
                </w:p>
                <w:p>
                  <w:pPr>
                    <w:jc w:val="center"/>
                    <w:rPr>
                      <w:rFonts w:hAnsi="宋体"/>
                      <w:szCs w:val="21"/>
                    </w:rPr>
                  </w:pPr>
                  <w:r>
                    <w:rPr>
                      <w:rFonts w:hAnsi="宋体"/>
                      <w:szCs w:val="21"/>
                    </w:rPr>
                    <w:t>Na</w:t>
                  </w:r>
                  <w:r>
                    <w:rPr>
                      <w:rFonts w:hAnsi="宋体"/>
                      <w:szCs w:val="21"/>
                      <w:vertAlign w:val="subscript"/>
                    </w:rPr>
                    <w:t>2</w:t>
                  </w:r>
                  <w:r>
                    <w:rPr>
                      <w:rFonts w:hAnsi="宋体"/>
                      <w:szCs w:val="21"/>
                    </w:rPr>
                    <w:t>CO</w:t>
                  </w:r>
                  <w:r>
                    <w:rPr>
                      <w:rFonts w:hAnsi="宋体"/>
                      <w:szCs w:val="21"/>
                      <w:vertAlign w:val="subscript"/>
                    </w:rPr>
                    <w:t>3</w:t>
                  </w:r>
                  <w:r>
                    <w:rPr>
                      <w:rFonts w:hint="eastAsia" w:hAnsi="宋体"/>
                      <w:szCs w:val="21"/>
                    </w:rPr>
                    <w:t>：3</w:t>
                  </w:r>
                  <w:r>
                    <w:rPr>
                      <w:rFonts w:hAnsi="宋体"/>
                      <w:szCs w:val="21"/>
                    </w:rPr>
                    <w:t>0</w:t>
                  </w:r>
                  <w:r>
                    <w:rPr>
                      <w:rFonts w:hint="eastAsia" w:hAnsi="宋体"/>
                      <w:szCs w:val="21"/>
                    </w:rPr>
                    <w:t>%~</w:t>
                  </w:r>
                  <w:r>
                    <w:rPr>
                      <w:rFonts w:hAnsi="宋体"/>
                      <w:szCs w:val="21"/>
                    </w:rPr>
                    <w:t>40</w:t>
                  </w:r>
                  <w:r>
                    <w:rPr>
                      <w:rFonts w:hint="eastAsia" w:hAnsi="宋体"/>
                      <w:szCs w:val="21"/>
                    </w:rPr>
                    <w:t>%、</w:t>
                  </w:r>
                </w:p>
                <w:p>
                  <w:pPr>
                    <w:jc w:val="center"/>
                    <w:rPr>
                      <w:rFonts w:hAnsi="宋体"/>
                      <w:szCs w:val="21"/>
                    </w:rPr>
                  </w:pPr>
                  <w:r>
                    <w:rPr>
                      <w:rFonts w:hAnsi="宋体"/>
                      <w:szCs w:val="21"/>
                    </w:rPr>
                    <w:t>K</w:t>
                  </w:r>
                  <w:r>
                    <w:rPr>
                      <w:rFonts w:hAnsi="宋体"/>
                      <w:szCs w:val="21"/>
                      <w:vertAlign w:val="subscript"/>
                    </w:rPr>
                    <w:t>2</w:t>
                  </w:r>
                  <w:r>
                    <w:rPr>
                      <w:rFonts w:hAnsi="宋体"/>
                      <w:szCs w:val="21"/>
                    </w:rPr>
                    <w:t>CO</w:t>
                  </w:r>
                  <w:r>
                    <w:rPr>
                      <w:rFonts w:hAnsi="宋体"/>
                      <w:szCs w:val="21"/>
                      <w:vertAlign w:val="subscript"/>
                    </w:rPr>
                    <w:t>3</w:t>
                  </w:r>
                  <w:r>
                    <w:rPr>
                      <w:rFonts w:hint="eastAsia" w:hAnsi="宋体"/>
                      <w:szCs w:val="21"/>
                    </w:rPr>
                    <w:t>：3</w:t>
                  </w:r>
                  <w:r>
                    <w:rPr>
                      <w:rFonts w:hAnsi="宋体"/>
                      <w:szCs w:val="21"/>
                    </w:rPr>
                    <w:t>0</w:t>
                  </w:r>
                  <w:r>
                    <w:rPr>
                      <w:rFonts w:hint="eastAsia" w:hAnsi="宋体"/>
                      <w:szCs w:val="21"/>
                    </w:rPr>
                    <w:t>%~</w:t>
                  </w:r>
                  <w:r>
                    <w:rPr>
                      <w:rFonts w:hAnsi="宋体"/>
                      <w:szCs w:val="21"/>
                    </w:rPr>
                    <w:t>40</w:t>
                  </w:r>
                  <w:r>
                    <w:rPr>
                      <w:rFonts w:hint="eastAsia" w:hAnsi="宋体"/>
                      <w:szCs w:val="21"/>
                    </w:rPr>
                    <w:t>%、</w:t>
                  </w:r>
                </w:p>
                <w:p>
                  <w:pPr>
                    <w:jc w:val="center"/>
                    <w:rPr>
                      <w:rFonts w:hAnsi="宋体"/>
                      <w:szCs w:val="21"/>
                    </w:rPr>
                  </w:pPr>
                  <w:r>
                    <w:rPr>
                      <w:rFonts w:hAnsi="宋体"/>
                      <w:szCs w:val="21"/>
                    </w:rPr>
                    <w:t>NaCl</w:t>
                  </w:r>
                  <w:r>
                    <w:rPr>
                      <w:rFonts w:hint="eastAsia" w:hAnsi="宋体"/>
                      <w:szCs w:val="21"/>
                    </w:rPr>
                    <w:t>：3</w:t>
                  </w:r>
                  <w:r>
                    <w:rPr>
                      <w:rFonts w:hAnsi="宋体"/>
                      <w:szCs w:val="21"/>
                    </w:rPr>
                    <w:t>0</w:t>
                  </w:r>
                  <w:r>
                    <w:rPr>
                      <w:rFonts w:hint="eastAsia" w:hAnsi="宋体"/>
                      <w:szCs w:val="21"/>
                    </w:rPr>
                    <w:t>%~</w:t>
                  </w:r>
                  <w:r>
                    <w:rPr>
                      <w:rFonts w:hAnsi="宋体"/>
                      <w:szCs w:val="21"/>
                    </w:rPr>
                    <w:t>40</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atLeast"/>
                <w:jc w:val="center"/>
              </w:trPr>
              <w:tc>
                <w:tcPr>
                  <w:tcW w:w="922" w:type="dxa"/>
                  <w:vMerge w:val="continue"/>
                  <w:vAlign w:val="center"/>
                </w:tcPr>
                <w:p>
                  <w:pPr>
                    <w:jc w:val="center"/>
                    <w:rPr>
                      <w:rFonts w:hAnsi="宋体"/>
                      <w:szCs w:val="21"/>
                    </w:rPr>
                  </w:pPr>
                </w:p>
              </w:tc>
              <w:tc>
                <w:tcPr>
                  <w:tcW w:w="1291" w:type="dxa"/>
                  <w:vAlign w:val="center"/>
                </w:tcPr>
                <w:p>
                  <w:pPr>
                    <w:jc w:val="center"/>
                    <w:rPr>
                      <w:rFonts w:hAnsi="宋体"/>
                      <w:szCs w:val="21"/>
                    </w:rPr>
                  </w:pPr>
                  <w:r>
                    <w:rPr>
                      <w:rFonts w:hint="eastAsia" w:hAnsi="宋体"/>
                      <w:szCs w:val="21"/>
                    </w:rPr>
                    <w:t>调整盐</w:t>
                  </w:r>
                </w:p>
              </w:tc>
              <w:tc>
                <w:tcPr>
                  <w:tcW w:w="709" w:type="dxa"/>
                  <w:vAlign w:val="center"/>
                </w:tcPr>
                <w:p>
                  <w:pPr>
                    <w:jc w:val="center"/>
                    <w:rPr>
                      <w:rFonts w:hAnsi="宋体"/>
                      <w:szCs w:val="21"/>
                    </w:rPr>
                  </w:pPr>
                  <w:r>
                    <w:rPr>
                      <w:rFonts w:hint="eastAsia" w:hAnsi="宋体"/>
                      <w:szCs w:val="21"/>
                    </w:rPr>
                    <w:t>吨</w:t>
                  </w:r>
                </w:p>
              </w:tc>
              <w:tc>
                <w:tcPr>
                  <w:tcW w:w="851" w:type="dxa"/>
                  <w:vAlign w:val="center"/>
                </w:tcPr>
                <w:p>
                  <w:pPr>
                    <w:tabs>
                      <w:tab w:val="center" w:pos="825"/>
                    </w:tabs>
                    <w:jc w:val="center"/>
                    <w:rPr>
                      <w:szCs w:val="21"/>
                    </w:rPr>
                  </w:pPr>
                  <w:r>
                    <w:rPr>
                      <w:rFonts w:hint="eastAsia"/>
                      <w:szCs w:val="21"/>
                    </w:rPr>
                    <w:t>2</w:t>
                  </w:r>
                  <w:r>
                    <w:rPr>
                      <w:szCs w:val="21"/>
                    </w:rPr>
                    <w:t>0</w:t>
                  </w:r>
                </w:p>
              </w:tc>
              <w:tc>
                <w:tcPr>
                  <w:tcW w:w="850" w:type="dxa"/>
                  <w:vAlign w:val="center"/>
                </w:tcPr>
                <w:p>
                  <w:pPr>
                    <w:jc w:val="center"/>
                    <w:rPr>
                      <w:szCs w:val="21"/>
                    </w:rPr>
                  </w:pPr>
                  <w:r>
                    <w:rPr>
                      <w:rFonts w:hint="eastAsia"/>
                      <w:szCs w:val="21"/>
                    </w:rPr>
                    <w:t>0</w:t>
                  </w:r>
                  <w:r>
                    <w:rPr>
                      <w:szCs w:val="21"/>
                    </w:rPr>
                    <w:t>.5</w:t>
                  </w:r>
                </w:p>
              </w:tc>
              <w:tc>
                <w:tcPr>
                  <w:tcW w:w="825" w:type="dxa"/>
                  <w:vAlign w:val="center"/>
                </w:tcPr>
                <w:p>
                  <w:pPr>
                    <w:jc w:val="center"/>
                    <w:rPr>
                      <w:szCs w:val="21"/>
                    </w:rPr>
                  </w:pPr>
                  <w:r>
                    <w:rPr>
                      <w:szCs w:val="21"/>
                    </w:rPr>
                    <w:t>袋装</w:t>
                  </w:r>
                </w:p>
              </w:tc>
              <w:tc>
                <w:tcPr>
                  <w:tcW w:w="1443" w:type="dxa"/>
                  <w:vAlign w:val="center"/>
                </w:tcPr>
                <w:p>
                  <w:pPr>
                    <w:jc w:val="center"/>
                    <w:rPr>
                      <w:szCs w:val="21"/>
                    </w:rPr>
                  </w:pPr>
                  <w:r>
                    <w:rPr>
                      <w:szCs w:val="21"/>
                    </w:rPr>
                    <w:t>外购</w:t>
                  </w:r>
                </w:p>
              </w:tc>
              <w:tc>
                <w:tcPr>
                  <w:tcW w:w="2250" w:type="dxa"/>
                  <w:vAlign w:val="center"/>
                </w:tcPr>
                <w:p>
                  <w:pPr>
                    <w:jc w:val="center"/>
                    <w:rPr>
                      <w:rFonts w:hAnsi="宋体"/>
                      <w:szCs w:val="21"/>
                    </w:rPr>
                  </w:pPr>
                  <w:r>
                    <w:rPr>
                      <w:rFonts w:hint="eastAsia" w:hAnsi="宋体"/>
                      <w:szCs w:val="21"/>
                    </w:rPr>
                    <w:t>三聚氰胺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jc w:val="center"/>
              </w:trPr>
              <w:tc>
                <w:tcPr>
                  <w:tcW w:w="922" w:type="dxa"/>
                  <w:vMerge w:val="continue"/>
                  <w:vAlign w:val="center"/>
                </w:tcPr>
                <w:p>
                  <w:pPr>
                    <w:jc w:val="center"/>
                    <w:rPr>
                      <w:rFonts w:hAnsi="宋体"/>
                      <w:szCs w:val="21"/>
                    </w:rPr>
                  </w:pPr>
                </w:p>
              </w:tc>
              <w:tc>
                <w:tcPr>
                  <w:tcW w:w="1291" w:type="dxa"/>
                  <w:vAlign w:val="center"/>
                </w:tcPr>
                <w:p>
                  <w:pPr>
                    <w:jc w:val="center"/>
                    <w:rPr>
                      <w:rFonts w:hAnsi="宋体"/>
                      <w:szCs w:val="21"/>
                    </w:rPr>
                  </w:pPr>
                  <w:r>
                    <w:rPr>
                      <w:rFonts w:hAnsi="宋体"/>
                      <w:szCs w:val="21"/>
                    </w:rPr>
                    <w:t>氧化盐</w:t>
                  </w:r>
                </w:p>
              </w:tc>
              <w:tc>
                <w:tcPr>
                  <w:tcW w:w="709" w:type="dxa"/>
                  <w:vAlign w:val="center"/>
                </w:tcPr>
                <w:p>
                  <w:pPr>
                    <w:jc w:val="center"/>
                    <w:rPr>
                      <w:rFonts w:hAnsi="宋体"/>
                      <w:szCs w:val="21"/>
                    </w:rPr>
                  </w:pPr>
                  <w:r>
                    <w:rPr>
                      <w:rFonts w:hint="eastAsia" w:hAnsi="宋体"/>
                      <w:szCs w:val="21"/>
                    </w:rPr>
                    <w:t>吨</w:t>
                  </w:r>
                </w:p>
              </w:tc>
              <w:tc>
                <w:tcPr>
                  <w:tcW w:w="851" w:type="dxa"/>
                  <w:vAlign w:val="center"/>
                </w:tcPr>
                <w:p>
                  <w:pPr>
                    <w:tabs>
                      <w:tab w:val="center" w:pos="825"/>
                    </w:tabs>
                    <w:jc w:val="center"/>
                  </w:pPr>
                  <w:r>
                    <w:t>40</w:t>
                  </w:r>
                </w:p>
              </w:tc>
              <w:tc>
                <w:tcPr>
                  <w:tcW w:w="850" w:type="dxa"/>
                </w:tcPr>
                <w:p>
                  <w:pPr>
                    <w:jc w:val="center"/>
                  </w:pPr>
                  <w:r>
                    <w:rPr>
                      <w:rFonts w:hint="eastAsia"/>
                    </w:rPr>
                    <w:t>1</w:t>
                  </w:r>
                  <w:r>
                    <w:t>.2</w:t>
                  </w:r>
                </w:p>
              </w:tc>
              <w:tc>
                <w:tcPr>
                  <w:tcW w:w="825" w:type="dxa"/>
                </w:tcPr>
                <w:p>
                  <w:pPr>
                    <w:jc w:val="center"/>
                  </w:pPr>
                  <w:r>
                    <w:t>袋装</w:t>
                  </w:r>
                </w:p>
              </w:tc>
              <w:tc>
                <w:tcPr>
                  <w:tcW w:w="1443" w:type="dxa"/>
                </w:tcPr>
                <w:p>
                  <w:pPr>
                    <w:jc w:val="center"/>
                  </w:pPr>
                  <w:r>
                    <w:rPr>
                      <w:szCs w:val="21"/>
                    </w:rPr>
                    <w:t>外购</w:t>
                  </w:r>
                </w:p>
              </w:tc>
              <w:tc>
                <w:tcPr>
                  <w:tcW w:w="2250" w:type="dxa"/>
                </w:tcPr>
                <w:p>
                  <w:pPr>
                    <w:jc w:val="center"/>
                  </w:pPr>
                  <w:r>
                    <w:t>氢氧化钠</w:t>
                  </w:r>
                  <w:r>
                    <w:rPr>
                      <w:rFonts w:hint="eastAsia"/>
                    </w:rPr>
                    <w:t>、</w:t>
                  </w:r>
                  <w:r>
                    <w:t>亚硝酸钠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 w:hRule="atLeast"/>
                <w:jc w:val="center"/>
              </w:trPr>
              <w:tc>
                <w:tcPr>
                  <w:tcW w:w="922" w:type="dxa"/>
                  <w:vMerge w:val="restart"/>
                  <w:vAlign w:val="center"/>
                </w:tcPr>
                <w:p>
                  <w:pPr>
                    <w:jc w:val="center"/>
                    <w:rPr>
                      <w:szCs w:val="21"/>
                    </w:rPr>
                  </w:pPr>
                  <w:r>
                    <w:rPr>
                      <w:rFonts w:hAnsi="宋体"/>
                      <w:szCs w:val="21"/>
                    </w:rPr>
                    <w:t>能源</w:t>
                  </w:r>
                </w:p>
              </w:tc>
              <w:tc>
                <w:tcPr>
                  <w:tcW w:w="1291" w:type="dxa"/>
                  <w:vAlign w:val="center"/>
                </w:tcPr>
                <w:p>
                  <w:pPr>
                    <w:jc w:val="center"/>
                    <w:rPr>
                      <w:szCs w:val="21"/>
                    </w:rPr>
                  </w:pPr>
                  <w:r>
                    <w:rPr>
                      <w:rFonts w:hAnsi="宋体"/>
                      <w:szCs w:val="21"/>
                    </w:rPr>
                    <w:t>电</w:t>
                  </w:r>
                </w:p>
              </w:tc>
              <w:tc>
                <w:tcPr>
                  <w:tcW w:w="709" w:type="dxa"/>
                  <w:vAlign w:val="center"/>
                </w:tcPr>
                <w:p>
                  <w:pPr>
                    <w:jc w:val="center"/>
                    <w:rPr>
                      <w:szCs w:val="21"/>
                    </w:rPr>
                  </w:pPr>
                  <w:r>
                    <w:rPr>
                      <w:szCs w:val="21"/>
                    </w:rPr>
                    <w:t>kw·h</w:t>
                  </w:r>
                </w:p>
              </w:tc>
              <w:tc>
                <w:tcPr>
                  <w:tcW w:w="851" w:type="dxa"/>
                  <w:vAlign w:val="center"/>
                </w:tcPr>
                <w:p>
                  <w:pPr>
                    <w:jc w:val="center"/>
                    <w:rPr>
                      <w:szCs w:val="21"/>
                      <w:highlight w:val="red"/>
                    </w:rPr>
                  </w:pPr>
                  <w:r>
                    <w:rPr>
                      <w:szCs w:val="21"/>
                    </w:rPr>
                    <w:t>28</w:t>
                  </w:r>
                  <w:r>
                    <w:rPr>
                      <w:rFonts w:hint="eastAsia"/>
                      <w:szCs w:val="21"/>
                    </w:rPr>
                    <w:t>万</w:t>
                  </w:r>
                </w:p>
              </w:tc>
              <w:tc>
                <w:tcPr>
                  <w:tcW w:w="850" w:type="dxa"/>
                  <w:vAlign w:val="center"/>
                </w:tcPr>
                <w:p>
                  <w:pPr>
                    <w:jc w:val="center"/>
                    <w:rPr>
                      <w:szCs w:val="21"/>
                    </w:rPr>
                  </w:pPr>
                  <w:r>
                    <w:rPr>
                      <w:rFonts w:hint="eastAsia"/>
                      <w:szCs w:val="21"/>
                    </w:rPr>
                    <w:t>/</w:t>
                  </w:r>
                </w:p>
              </w:tc>
              <w:tc>
                <w:tcPr>
                  <w:tcW w:w="825" w:type="dxa"/>
                  <w:vAlign w:val="center"/>
                </w:tcPr>
                <w:p>
                  <w:pPr>
                    <w:jc w:val="center"/>
                    <w:rPr>
                      <w:szCs w:val="21"/>
                    </w:rPr>
                  </w:pPr>
                  <w:r>
                    <w:rPr>
                      <w:rFonts w:hint="eastAsia"/>
                      <w:szCs w:val="21"/>
                    </w:rPr>
                    <w:t>/</w:t>
                  </w:r>
                </w:p>
              </w:tc>
              <w:tc>
                <w:tcPr>
                  <w:tcW w:w="1443" w:type="dxa"/>
                  <w:vAlign w:val="center"/>
                </w:tcPr>
                <w:p>
                  <w:pPr>
                    <w:jc w:val="center"/>
                    <w:rPr>
                      <w:szCs w:val="21"/>
                    </w:rPr>
                  </w:pPr>
                  <w:r>
                    <w:rPr>
                      <w:rFonts w:hAnsi="宋体"/>
                      <w:szCs w:val="21"/>
                    </w:rPr>
                    <w:t>电网</w:t>
                  </w:r>
                </w:p>
              </w:tc>
              <w:tc>
                <w:tcPr>
                  <w:tcW w:w="22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 w:hRule="atLeast"/>
                <w:jc w:val="center"/>
              </w:trPr>
              <w:tc>
                <w:tcPr>
                  <w:tcW w:w="922" w:type="dxa"/>
                  <w:vMerge w:val="continue"/>
                  <w:vAlign w:val="center"/>
                </w:tcPr>
                <w:p>
                  <w:pPr>
                    <w:jc w:val="center"/>
                    <w:rPr>
                      <w:szCs w:val="21"/>
                    </w:rPr>
                  </w:pPr>
                </w:p>
              </w:tc>
              <w:tc>
                <w:tcPr>
                  <w:tcW w:w="1291" w:type="dxa"/>
                  <w:vAlign w:val="center"/>
                </w:tcPr>
                <w:p>
                  <w:pPr>
                    <w:jc w:val="center"/>
                    <w:rPr>
                      <w:szCs w:val="21"/>
                    </w:rPr>
                  </w:pPr>
                  <w:r>
                    <w:rPr>
                      <w:szCs w:val="21"/>
                    </w:rPr>
                    <w:t>天然气</w:t>
                  </w:r>
                </w:p>
              </w:tc>
              <w:tc>
                <w:tcPr>
                  <w:tcW w:w="709" w:type="dxa"/>
                  <w:vAlign w:val="center"/>
                </w:tcPr>
                <w:p>
                  <w:pPr>
                    <w:jc w:val="center"/>
                    <w:rPr>
                      <w:szCs w:val="21"/>
                    </w:rPr>
                  </w:pPr>
                  <w:r>
                    <w:rPr>
                      <w:szCs w:val="21"/>
                    </w:rPr>
                    <w:t>m</w:t>
                  </w:r>
                  <w:r>
                    <w:rPr>
                      <w:szCs w:val="21"/>
                      <w:vertAlign w:val="superscript"/>
                    </w:rPr>
                    <w:t>3</w:t>
                  </w:r>
                </w:p>
              </w:tc>
              <w:tc>
                <w:tcPr>
                  <w:tcW w:w="851" w:type="dxa"/>
                  <w:vAlign w:val="center"/>
                </w:tcPr>
                <w:p>
                  <w:pPr>
                    <w:jc w:val="center"/>
                    <w:rPr>
                      <w:szCs w:val="21"/>
                      <w:highlight w:val="red"/>
                    </w:rPr>
                  </w:pPr>
                  <w:r>
                    <w:rPr>
                      <w:rFonts w:hint="eastAsia"/>
                      <w:szCs w:val="21"/>
                    </w:rPr>
                    <w:t>/</w:t>
                  </w:r>
                </w:p>
              </w:tc>
              <w:tc>
                <w:tcPr>
                  <w:tcW w:w="850" w:type="dxa"/>
                  <w:vAlign w:val="center"/>
                </w:tcPr>
                <w:p>
                  <w:pPr>
                    <w:jc w:val="center"/>
                    <w:rPr>
                      <w:szCs w:val="21"/>
                    </w:rPr>
                  </w:pPr>
                  <w:r>
                    <w:rPr>
                      <w:rFonts w:hint="eastAsia"/>
                      <w:szCs w:val="21"/>
                    </w:rPr>
                    <w:t>/</w:t>
                  </w:r>
                </w:p>
              </w:tc>
              <w:tc>
                <w:tcPr>
                  <w:tcW w:w="825" w:type="dxa"/>
                  <w:vAlign w:val="center"/>
                </w:tcPr>
                <w:p>
                  <w:pPr>
                    <w:jc w:val="center"/>
                    <w:rPr>
                      <w:szCs w:val="21"/>
                    </w:rPr>
                  </w:pPr>
                  <w:r>
                    <w:rPr>
                      <w:rFonts w:hint="eastAsia"/>
                      <w:szCs w:val="21"/>
                    </w:rPr>
                    <w:t>/</w:t>
                  </w:r>
                </w:p>
              </w:tc>
              <w:tc>
                <w:tcPr>
                  <w:tcW w:w="1443" w:type="dxa"/>
                  <w:vAlign w:val="center"/>
                </w:tcPr>
                <w:p>
                  <w:pPr>
                    <w:jc w:val="center"/>
                    <w:rPr>
                      <w:szCs w:val="21"/>
                    </w:rPr>
                  </w:pPr>
                  <w:r>
                    <w:rPr>
                      <w:szCs w:val="21"/>
                    </w:rPr>
                    <w:t>市政管网</w:t>
                  </w:r>
                </w:p>
              </w:tc>
              <w:tc>
                <w:tcPr>
                  <w:tcW w:w="22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 w:hRule="atLeast"/>
                <w:jc w:val="center"/>
              </w:trPr>
              <w:tc>
                <w:tcPr>
                  <w:tcW w:w="922" w:type="dxa"/>
                  <w:vAlign w:val="center"/>
                </w:tcPr>
                <w:p>
                  <w:pPr>
                    <w:jc w:val="center"/>
                    <w:rPr>
                      <w:szCs w:val="21"/>
                    </w:rPr>
                  </w:pPr>
                  <w:r>
                    <w:rPr>
                      <w:szCs w:val="21"/>
                    </w:rPr>
                    <w:t>水量</w:t>
                  </w:r>
                </w:p>
              </w:tc>
              <w:tc>
                <w:tcPr>
                  <w:tcW w:w="1291" w:type="dxa"/>
                  <w:vAlign w:val="center"/>
                </w:tcPr>
                <w:p>
                  <w:pPr>
                    <w:jc w:val="center"/>
                    <w:rPr>
                      <w:szCs w:val="21"/>
                    </w:rPr>
                  </w:pPr>
                  <w:r>
                    <w:rPr>
                      <w:szCs w:val="21"/>
                    </w:rPr>
                    <w:t>地表水</w:t>
                  </w:r>
                </w:p>
              </w:tc>
              <w:tc>
                <w:tcPr>
                  <w:tcW w:w="709" w:type="dxa"/>
                  <w:vAlign w:val="center"/>
                </w:tcPr>
                <w:p>
                  <w:pPr>
                    <w:jc w:val="center"/>
                    <w:rPr>
                      <w:szCs w:val="21"/>
                    </w:rPr>
                  </w:pPr>
                  <w:r>
                    <w:rPr>
                      <w:szCs w:val="21"/>
                    </w:rPr>
                    <w:t>m</w:t>
                  </w:r>
                  <w:r>
                    <w:rPr>
                      <w:szCs w:val="21"/>
                      <w:vertAlign w:val="superscript"/>
                    </w:rPr>
                    <w:t>3</w:t>
                  </w:r>
                </w:p>
              </w:tc>
              <w:tc>
                <w:tcPr>
                  <w:tcW w:w="851" w:type="dxa"/>
                  <w:vAlign w:val="center"/>
                </w:tcPr>
                <w:p>
                  <w:pPr>
                    <w:jc w:val="center"/>
                    <w:rPr>
                      <w:szCs w:val="21"/>
                      <w:highlight w:val="red"/>
                    </w:rPr>
                  </w:pPr>
                  <w:r>
                    <w:rPr>
                      <w:szCs w:val="21"/>
                    </w:rPr>
                    <w:t>3000</w:t>
                  </w:r>
                </w:p>
              </w:tc>
              <w:tc>
                <w:tcPr>
                  <w:tcW w:w="850" w:type="dxa"/>
                  <w:vAlign w:val="center"/>
                </w:tcPr>
                <w:p>
                  <w:pPr>
                    <w:jc w:val="center"/>
                    <w:rPr>
                      <w:szCs w:val="21"/>
                    </w:rPr>
                  </w:pPr>
                  <w:r>
                    <w:rPr>
                      <w:rFonts w:hint="eastAsia"/>
                      <w:szCs w:val="21"/>
                    </w:rPr>
                    <w:t>/</w:t>
                  </w:r>
                </w:p>
              </w:tc>
              <w:tc>
                <w:tcPr>
                  <w:tcW w:w="825" w:type="dxa"/>
                  <w:vAlign w:val="center"/>
                </w:tcPr>
                <w:p>
                  <w:pPr>
                    <w:jc w:val="center"/>
                    <w:rPr>
                      <w:szCs w:val="21"/>
                    </w:rPr>
                  </w:pPr>
                  <w:r>
                    <w:rPr>
                      <w:rFonts w:hint="eastAsia"/>
                      <w:szCs w:val="21"/>
                    </w:rPr>
                    <w:t>/</w:t>
                  </w:r>
                </w:p>
              </w:tc>
              <w:tc>
                <w:tcPr>
                  <w:tcW w:w="1443" w:type="dxa"/>
                  <w:vAlign w:val="center"/>
                </w:tcPr>
                <w:p>
                  <w:pPr>
                    <w:jc w:val="center"/>
                    <w:rPr>
                      <w:szCs w:val="21"/>
                    </w:rPr>
                  </w:pPr>
                  <w:r>
                    <w:rPr>
                      <w:rFonts w:hint="eastAsia"/>
                      <w:szCs w:val="21"/>
                    </w:rPr>
                    <w:t>市政管网</w:t>
                  </w:r>
                </w:p>
              </w:tc>
              <w:tc>
                <w:tcPr>
                  <w:tcW w:w="2250" w:type="dxa"/>
                  <w:vAlign w:val="center"/>
                </w:tcPr>
                <w:p>
                  <w:pPr>
                    <w:jc w:val="center"/>
                    <w:rPr>
                      <w:szCs w:val="21"/>
                    </w:rPr>
                  </w:pPr>
                </w:p>
              </w:tc>
            </w:tr>
          </w:tbl>
          <w:p>
            <w:pPr>
              <w:adjustRightInd w:val="0"/>
              <w:snapToGrid w:val="0"/>
              <w:spacing w:line="360" w:lineRule="auto"/>
              <w:ind w:firstLine="482" w:firstLineChars="200"/>
              <w:rPr>
                <w:b/>
                <w:bCs/>
                <w:sz w:val="24"/>
              </w:rPr>
            </w:pPr>
            <w:r>
              <w:rPr>
                <w:b/>
                <w:bCs/>
                <w:sz w:val="24"/>
              </w:rPr>
              <w:t>2、主要设施规格、数量</w:t>
            </w:r>
          </w:p>
          <w:p>
            <w:pPr>
              <w:autoSpaceDE w:val="0"/>
              <w:autoSpaceDN w:val="0"/>
              <w:adjustRightInd w:val="0"/>
              <w:snapToGrid w:val="0"/>
              <w:spacing w:line="360" w:lineRule="auto"/>
              <w:jc w:val="center"/>
              <w:rPr>
                <w:rFonts w:ascii="宋体" w:hAnsi="宋体"/>
                <w:b/>
                <w:sz w:val="24"/>
              </w:rPr>
            </w:pPr>
            <w:r>
              <w:rPr>
                <w:rFonts w:hint="eastAsia" w:ascii="宋体" w:hAnsi="宋体"/>
                <w:b/>
                <w:sz w:val="24"/>
              </w:rPr>
              <w:t>表1-6      主要设备一览表</w:t>
            </w:r>
          </w:p>
          <w:tbl>
            <w:tblPr>
              <w:tblStyle w:val="53"/>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310"/>
              <w:gridCol w:w="2110"/>
              <w:gridCol w:w="153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规格型号</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铸压设备</w:t>
                  </w:r>
                </w:p>
              </w:tc>
              <w:tc>
                <w:tcPr>
                  <w:tcW w:w="2110" w:type="dxa"/>
                  <w:vAlign w:val="center"/>
                </w:tcPr>
                <w:p>
                  <w:pPr>
                    <w:widowControl/>
                    <w:jc w:val="center"/>
                    <w:rPr>
                      <w:rFonts w:ascii="宋体" w:hAnsi="宋体" w:cs="宋体"/>
                      <w:kern w:val="0"/>
                      <w:szCs w:val="21"/>
                    </w:rPr>
                  </w:pPr>
                  <w:r>
                    <w:rPr>
                      <w:rFonts w:ascii="宋体" w:hAnsi="宋体" w:cs="宋体"/>
                      <w:kern w:val="0"/>
                      <w:szCs w:val="21"/>
                    </w:rPr>
                    <w:t>/</w:t>
                  </w:r>
                </w:p>
              </w:tc>
              <w:tc>
                <w:tcPr>
                  <w:tcW w:w="1536" w:type="dxa"/>
                  <w:vAlign w:val="center"/>
                </w:tcPr>
                <w:p>
                  <w:pPr>
                    <w:widowControl/>
                    <w:jc w:val="center"/>
                    <w:rPr>
                      <w:rFonts w:ascii="宋体" w:hAnsi="宋体" w:cs="宋体"/>
                      <w:kern w:val="0"/>
                      <w:szCs w:val="21"/>
                    </w:rPr>
                  </w:pPr>
                  <w:r>
                    <w:rPr>
                      <w:rFonts w:ascii="宋体" w:hAnsi="宋体" w:cs="宋体"/>
                      <w:kern w:val="0"/>
                      <w:szCs w:val="21"/>
                    </w:rPr>
                    <w:t>3台</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310" w:type="dxa"/>
                  <w:vAlign w:val="center"/>
                </w:tcPr>
                <w:p>
                  <w:pPr>
                    <w:jc w:val="center"/>
                    <w:rPr>
                      <w:rFonts w:ascii="宋体" w:hAnsi="宋体" w:cs="宋体"/>
                      <w:kern w:val="0"/>
                      <w:szCs w:val="21"/>
                    </w:rPr>
                  </w:pPr>
                  <w:r>
                    <w:rPr>
                      <w:rFonts w:hint="eastAsia" w:ascii="宋体" w:hAnsi="宋体" w:cs="宋体"/>
                      <w:kern w:val="0"/>
                      <w:szCs w:val="21"/>
                    </w:rPr>
                    <w:t>直读光谱仪</w:t>
                  </w:r>
                </w:p>
              </w:tc>
              <w:tc>
                <w:tcPr>
                  <w:tcW w:w="2110" w:type="dxa"/>
                  <w:vAlign w:val="center"/>
                </w:tcPr>
                <w:p>
                  <w:pPr>
                    <w:widowControl/>
                    <w:jc w:val="center"/>
                    <w:rPr>
                      <w:rFonts w:ascii="宋体" w:hAnsi="宋体" w:cs="宋体"/>
                      <w:kern w:val="0"/>
                      <w:szCs w:val="21"/>
                    </w:rPr>
                  </w:pPr>
                  <w:r>
                    <w:rPr>
                      <w:rFonts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1台</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T</w:t>
                  </w:r>
                  <w:r>
                    <w:rPr>
                      <w:rFonts w:ascii="宋体" w:hAnsi="宋体" w:cs="宋体"/>
                      <w:kern w:val="0"/>
                      <w:szCs w:val="21"/>
                    </w:rPr>
                    <w:t>F打孔机</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ascii="宋体" w:hAnsi="宋体" w:cs="宋体"/>
                      <w:kern w:val="0"/>
                      <w:szCs w:val="21"/>
                    </w:rPr>
                    <w:t>8台</w:t>
                  </w:r>
                </w:p>
              </w:tc>
              <w:tc>
                <w:tcPr>
                  <w:tcW w:w="1536" w:type="dxa"/>
                  <w:vAlign w:val="center"/>
                </w:tcPr>
                <w:p>
                  <w:pPr>
                    <w:jc w:val="center"/>
                  </w:pPr>
                  <w:r>
                    <w:rPr>
                      <w:rFonts w:hint="eastAsia" w:ascii="宋体" w:hAnsi="宋体" w:cs="宋体"/>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310" w:type="dxa"/>
                  <w:vAlign w:val="center"/>
                </w:tcPr>
                <w:p>
                  <w:pPr>
                    <w:jc w:val="center"/>
                    <w:rPr>
                      <w:rFonts w:ascii="宋体" w:hAnsi="宋体" w:cs="宋体"/>
                      <w:kern w:val="0"/>
                      <w:szCs w:val="21"/>
                    </w:rPr>
                  </w:pPr>
                  <w:r>
                    <w:rPr>
                      <w:rFonts w:hint="eastAsia" w:ascii="宋体" w:hAnsi="宋体" w:cs="宋体"/>
                      <w:kern w:val="0"/>
                      <w:szCs w:val="21"/>
                    </w:rPr>
                    <w:t>数控机床</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ascii="宋体" w:hAnsi="宋体" w:cs="宋体"/>
                      <w:kern w:val="0"/>
                      <w:szCs w:val="21"/>
                    </w:rPr>
                    <w:t>5台</w:t>
                  </w:r>
                </w:p>
              </w:tc>
              <w:tc>
                <w:tcPr>
                  <w:tcW w:w="1536" w:type="dxa"/>
                  <w:vAlign w:val="center"/>
                </w:tcPr>
                <w:p>
                  <w:pPr>
                    <w:jc w:val="center"/>
                    <w:rPr>
                      <w:rFonts w:ascii="宋体" w:hAnsi="宋体" w:cs="宋体"/>
                      <w:kern w:val="0"/>
                      <w:szCs w:val="21"/>
                    </w:rPr>
                  </w:pPr>
                  <w:r>
                    <w:rPr>
                      <w:rFonts w:hint="eastAsia" w:ascii="宋体" w:hAnsi="宋体" w:cs="宋体"/>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自动封箱捆绑生产线</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1300型</w:t>
                  </w:r>
                </w:p>
              </w:tc>
              <w:tc>
                <w:tcPr>
                  <w:tcW w:w="1536" w:type="dxa"/>
                  <w:vAlign w:val="center"/>
                </w:tcPr>
                <w:p>
                  <w:pPr>
                    <w:widowControl/>
                    <w:jc w:val="center"/>
                    <w:rPr>
                      <w:rFonts w:ascii="宋体" w:hAnsi="宋体" w:cs="宋体"/>
                      <w:kern w:val="0"/>
                      <w:szCs w:val="21"/>
                    </w:rPr>
                  </w:pPr>
                  <w:r>
                    <w:rPr>
                      <w:rFonts w:ascii="宋体" w:hAnsi="宋体" w:cs="宋体"/>
                      <w:kern w:val="0"/>
                      <w:szCs w:val="21"/>
                    </w:rPr>
                    <w:t>1条</w:t>
                  </w:r>
                </w:p>
              </w:tc>
              <w:tc>
                <w:tcPr>
                  <w:tcW w:w="1536" w:type="dxa"/>
                  <w:vAlign w:val="center"/>
                </w:tcPr>
                <w:p>
                  <w:pPr>
                    <w:jc w:val="center"/>
                  </w:pPr>
                  <w:r>
                    <w:rPr>
                      <w:rFonts w:hint="eastAsia" w:ascii="宋体" w:hAnsi="宋体" w:cs="宋体"/>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310" w:type="dxa"/>
                  <w:vAlign w:val="center"/>
                </w:tcPr>
                <w:p>
                  <w:pPr>
                    <w:jc w:val="center"/>
                    <w:rPr>
                      <w:rFonts w:ascii="宋体" w:hAnsi="宋体" w:cs="宋体"/>
                      <w:kern w:val="0"/>
                      <w:szCs w:val="21"/>
                    </w:rPr>
                  </w:pPr>
                  <w:r>
                    <w:rPr>
                      <w:rFonts w:hint="eastAsia" w:ascii="宋体" w:hAnsi="宋体" w:cs="宋体"/>
                      <w:kern w:val="0"/>
                      <w:szCs w:val="21"/>
                    </w:rPr>
                    <w:t>电动葫芦</w:t>
                  </w:r>
                </w:p>
              </w:tc>
              <w:tc>
                <w:tcPr>
                  <w:tcW w:w="2110" w:type="dxa"/>
                  <w:vAlign w:val="center"/>
                </w:tcPr>
                <w:p>
                  <w:pPr>
                    <w:widowControl/>
                    <w:jc w:val="center"/>
                    <w:rPr>
                      <w:rFonts w:ascii="宋体" w:hAnsi="宋体" w:cs="宋体"/>
                      <w:kern w:val="0"/>
                      <w:szCs w:val="21"/>
                    </w:rPr>
                  </w:pPr>
                  <w:r>
                    <w:rPr>
                      <w:rFonts w:ascii="宋体" w:hAnsi="宋体" w:cs="宋体"/>
                      <w:kern w:val="0"/>
                      <w:szCs w:val="21"/>
                    </w:rPr>
                    <w:t>MD-9M</w:t>
                  </w:r>
                </w:p>
              </w:tc>
              <w:tc>
                <w:tcPr>
                  <w:tcW w:w="1536" w:type="dxa"/>
                  <w:vAlign w:val="center"/>
                </w:tcPr>
                <w:p>
                  <w:pPr>
                    <w:widowControl/>
                    <w:jc w:val="center"/>
                    <w:rPr>
                      <w:rFonts w:ascii="宋体" w:hAnsi="宋体" w:cs="宋体"/>
                      <w:kern w:val="0"/>
                      <w:szCs w:val="21"/>
                    </w:rPr>
                  </w:pPr>
                  <w:r>
                    <w:rPr>
                      <w:rFonts w:ascii="宋体" w:hAnsi="宋体" w:cs="宋体"/>
                      <w:kern w:val="0"/>
                      <w:szCs w:val="21"/>
                    </w:rPr>
                    <w:t>3台</w:t>
                  </w:r>
                </w:p>
              </w:tc>
              <w:tc>
                <w:tcPr>
                  <w:tcW w:w="1536" w:type="dxa"/>
                  <w:vAlign w:val="center"/>
                </w:tcPr>
                <w:p>
                  <w:pPr>
                    <w:jc w:val="center"/>
                    <w:rPr>
                      <w:rFonts w:ascii="宋体" w:hAnsi="宋体" w:cs="宋体"/>
                      <w:kern w:val="0"/>
                      <w:szCs w:val="21"/>
                    </w:rPr>
                  </w:pPr>
                  <w:r>
                    <w:rPr>
                      <w:rFonts w:hint="eastAsia" w:ascii="宋体" w:hAnsi="宋体" w:cs="宋体"/>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风机</w:t>
                  </w:r>
                </w:p>
              </w:tc>
              <w:tc>
                <w:tcPr>
                  <w:tcW w:w="2110" w:type="dxa"/>
                  <w:vAlign w:val="center"/>
                </w:tcPr>
                <w:p>
                  <w:pPr>
                    <w:widowControl/>
                    <w:jc w:val="center"/>
                    <w:rPr>
                      <w:rFonts w:ascii="宋体" w:hAnsi="宋体" w:cs="宋体"/>
                      <w:kern w:val="0"/>
                      <w:szCs w:val="21"/>
                    </w:rPr>
                  </w:pPr>
                  <w:r>
                    <w:rPr>
                      <w:rFonts w:ascii="宋体" w:hAnsi="宋体" w:cs="宋体"/>
                      <w:kern w:val="0"/>
                      <w:szCs w:val="21"/>
                    </w:rPr>
                    <w:t>WT35-7</w:t>
                  </w:r>
                </w:p>
              </w:tc>
              <w:tc>
                <w:tcPr>
                  <w:tcW w:w="1536" w:type="dxa"/>
                  <w:vAlign w:val="center"/>
                </w:tcPr>
                <w:p>
                  <w:pPr>
                    <w:widowControl/>
                    <w:jc w:val="center"/>
                    <w:rPr>
                      <w:rFonts w:ascii="宋体" w:hAnsi="宋体" w:cs="宋体"/>
                      <w:kern w:val="0"/>
                      <w:szCs w:val="21"/>
                    </w:rPr>
                  </w:pPr>
                  <w:r>
                    <w:rPr>
                      <w:rFonts w:ascii="宋体" w:hAnsi="宋体" w:cs="宋体"/>
                      <w:kern w:val="0"/>
                      <w:szCs w:val="21"/>
                    </w:rPr>
                    <w:t>1台</w:t>
                  </w:r>
                </w:p>
              </w:tc>
              <w:tc>
                <w:tcPr>
                  <w:tcW w:w="1536" w:type="dxa"/>
                  <w:vAlign w:val="center"/>
                </w:tcPr>
                <w:p>
                  <w:pPr>
                    <w:jc w:val="center"/>
                  </w:pPr>
                  <w:r>
                    <w:rPr>
                      <w:rFonts w:hint="eastAsia" w:ascii="宋体" w:hAnsi="宋体" w:cs="宋体"/>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310" w:type="dxa"/>
                  <w:vAlign w:val="center"/>
                </w:tcPr>
                <w:p>
                  <w:pPr>
                    <w:jc w:val="center"/>
                    <w:rPr>
                      <w:rFonts w:ascii="宋体" w:hAnsi="宋体" w:cs="宋体"/>
                      <w:kern w:val="0"/>
                      <w:szCs w:val="21"/>
                    </w:rPr>
                  </w:pPr>
                  <w:r>
                    <w:rPr>
                      <w:rFonts w:ascii="宋体" w:hAnsi="宋体" w:cs="宋体"/>
                      <w:kern w:val="0"/>
                      <w:szCs w:val="21"/>
                    </w:rPr>
                    <w:t>内抛机</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ZKZD</w:t>
                  </w:r>
                </w:p>
              </w:tc>
              <w:tc>
                <w:tcPr>
                  <w:tcW w:w="1536" w:type="dxa"/>
                  <w:vAlign w:val="center"/>
                </w:tcPr>
                <w:p>
                  <w:pPr>
                    <w:widowControl/>
                    <w:jc w:val="center"/>
                    <w:rPr>
                      <w:rFonts w:ascii="宋体" w:hAnsi="宋体" w:cs="宋体"/>
                      <w:kern w:val="0"/>
                      <w:szCs w:val="21"/>
                    </w:rPr>
                  </w:pPr>
                  <w:r>
                    <w:rPr>
                      <w:rFonts w:ascii="宋体" w:hAnsi="宋体" w:cs="宋体"/>
                      <w:kern w:val="0"/>
                      <w:szCs w:val="21"/>
                    </w:rPr>
                    <w:t>12台</w:t>
                  </w:r>
                </w:p>
              </w:tc>
              <w:tc>
                <w:tcPr>
                  <w:tcW w:w="1536" w:type="dxa"/>
                  <w:vAlign w:val="center"/>
                </w:tcPr>
                <w:p>
                  <w:pPr>
                    <w:jc w:val="center"/>
                    <w:rPr>
                      <w:rFonts w:ascii="宋体" w:hAnsi="宋体" w:cs="宋体"/>
                      <w:kern w:val="0"/>
                      <w:szCs w:val="21"/>
                    </w:rPr>
                  </w:pPr>
                  <w:r>
                    <w:rPr>
                      <w:rFonts w:hint="eastAsia" w:ascii="宋体" w:hAnsi="宋体" w:cs="宋体"/>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310" w:type="dxa"/>
                  <w:vAlign w:val="center"/>
                </w:tcPr>
                <w:p>
                  <w:pPr>
                    <w:jc w:val="center"/>
                    <w:rPr>
                      <w:rFonts w:ascii="宋体" w:hAnsi="宋体" w:cs="宋体"/>
                      <w:kern w:val="0"/>
                      <w:szCs w:val="21"/>
                    </w:rPr>
                  </w:pPr>
                  <w:r>
                    <w:rPr>
                      <w:rFonts w:ascii="宋体" w:hAnsi="宋体" w:cs="宋体"/>
                      <w:kern w:val="0"/>
                      <w:szCs w:val="21"/>
                    </w:rPr>
                    <w:t>中频炉</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1台</w:t>
                  </w:r>
                </w:p>
              </w:tc>
              <w:tc>
                <w:tcPr>
                  <w:tcW w:w="1536" w:type="dxa"/>
                  <w:vAlign w:val="center"/>
                </w:tcPr>
                <w:p>
                  <w:pPr>
                    <w:jc w:val="center"/>
                    <w:rPr>
                      <w:rFonts w:ascii="宋体" w:hAnsi="宋体" w:cs="宋体"/>
                      <w:kern w:val="0"/>
                      <w:szCs w:val="21"/>
                    </w:rPr>
                  </w:pPr>
                  <w:r>
                    <w:rPr>
                      <w:rFonts w:hint="eastAsia" w:ascii="宋体" w:hAnsi="宋体" w:cs="宋体"/>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2310" w:type="dxa"/>
                  <w:vAlign w:val="center"/>
                </w:tcPr>
                <w:p>
                  <w:pPr>
                    <w:jc w:val="center"/>
                    <w:rPr>
                      <w:rFonts w:ascii="宋体" w:hAnsi="宋体" w:cs="宋体"/>
                      <w:kern w:val="0"/>
                      <w:szCs w:val="21"/>
                    </w:rPr>
                  </w:pPr>
                  <w:r>
                    <w:rPr>
                      <w:rFonts w:ascii="宋体" w:hAnsi="宋体" w:cs="宋体"/>
                      <w:kern w:val="0"/>
                      <w:szCs w:val="21"/>
                    </w:rPr>
                    <w:t>中频电炉配套设备</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1套</w:t>
                  </w:r>
                </w:p>
              </w:tc>
              <w:tc>
                <w:tcPr>
                  <w:tcW w:w="1536" w:type="dxa"/>
                  <w:vAlign w:val="center"/>
                </w:tcPr>
                <w:p>
                  <w:pPr>
                    <w:jc w:val="center"/>
                    <w:rPr>
                      <w:rFonts w:ascii="宋体" w:hAnsi="宋体" w:cs="宋体"/>
                      <w:kern w:val="0"/>
                      <w:szCs w:val="21"/>
                    </w:rPr>
                  </w:pPr>
                  <w:r>
                    <w:rPr>
                      <w:rFonts w:hint="eastAsia" w:ascii="宋体" w:hAnsi="宋体" w:cs="宋体"/>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Merge w:val="restart"/>
                  <w:vAlign w:val="center"/>
                </w:tcPr>
                <w:p>
                  <w:pPr>
                    <w:widowControl/>
                    <w:jc w:val="center"/>
                    <w:rPr>
                      <w:rFonts w:ascii="宋体" w:hAnsi="宋体" w:cs="宋体"/>
                      <w:kern w:val="0"/>
                      <w:szCs w:val="21"/>
                    </w:rPr>
                  </w:pPr>
                  <w:r>
                    <w:rPr>
                      <w:rFonts w:ascii="宋体" w:hAnsi="宋体" w:cs="宋体"/>
                      <w:kern w:val="0"/>
                      <w:szCs w:val="21"/>
                    </w:rPr>
                    <w:t>9</w:t>
                  </w:r>
                </w:p>
              </w:tc>
              <w:tc>
                <w:tcPr>
                  <w:tcW w:w="2310" w:type="dxa"/>
                  <w:vMerge w:val="restart"/>
                  <w:vAlign w:val="center"/>
                </w:tcPr>
                <w:p>
                  <w:pPr>
                    <w:widowControl/>
                    <w:jc w:val="center"/>
                    <w:rPr>
                      <w:rFonts w:ascii="宋体" w:hAnsi="宋体" w:cs="宋体"/>
                      <w:kern w:val="0"/>
                      <w:szCs w:val="21"/>
                    </w:rPr>
                  </w:pPr>
                  <w:r>
                    <w:rPr>
                      <w:rFonts w:hint="eastAsia" w:ascii="宋体" w:hAnsi="宋体" w:cs="宋体"/>
                      <w:kern w:val="0"/>
                      <w:szCs w:val="21"/>
                    </w:rPr>
                    <w:t>预热炉（电能）</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ascii="宋体" w:hAnsi="宋体" w:cs="宋体"/>
                      <w:kern w:val="0"/>
                      <w:szCs w:val="21"/>
                    </w:rPr>
                    <w:t>1</w:t>
                  </w:r>
                  <w:r>
                    <w:rPr>
                      <w:rFonts w:hint="eastAsia" w:ascii="宋体" w:hAnsi="宋体" w:cs="宋体"/>
                      <w:kern w:val="0"/>
                      <w:szCs w:val="21"/>
                    </w:rPr>
                    <w:t>台</w:t>
                  </w:r>
                </w:p>
              </w:tc>
              <w:tc>
                <w:tcPr>
                  <w:tcW w:w="1536" w:type="dxa"/>
                  <w:vAlign w:val="center"/>
                </w:tcPr>
                <w:p>
                  <w:pPr>
                    <w:jc w:val="center"/>
                    <w:rPr>
                      <w:rFonts w:ascii="宋体" w:hAnsi="宋体" w:cs="宋体"/>
                      <w:b/>
                      <w:kern w:val="0"/>
                      <w:szCs w:val="21"/>
                    </w:rPr>
                  </w:pPr>
                  <w:r>
                    <w:rPr>
                      <w:rFonts w:hint="eastAsia" w:ascii="宋体" w:hAnsi="宋体" w:cs="宋体"/>
                      <w:b/>
                      <w:kern w:val="0"/>
                      <w:szCs w:val="21"/>
                    </w:rPr>
                    <w:t>由1台原有氧化炉改造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Merge w:val="continue"/>
                  <w:vAlign w:val="center"/>
                </w:tcPr>
                <w:p>
                  <w:pPr>
                    <w:widowControl/>
                    <w:jc w:val="center"/>
                    <w:rPr>
                      <w:rFonts w:ascii="宋体" w:hAnsi="宋体" w:cs="宋体"/>
                      <w:kern w:val="0"/>
                      <w:szCs w:val="21"/>
                    </w:rPr>
                  </w:pPr>
                </w:p>
              </w:tc>
              <w:tc>
                <w:tcPr>
                  <w:tcW w:w="2310" w:type="dxa"/>
                  <w:vMerge w:val="continue"/>
                  <w:vAlign w:val="center"/>
                </w:tcPr>
                <w:p>
                  <w:pPr>
                    <w:widowControl/>
                    <w:jc w:val="center"/>
                    <w:rPr>
                      <w:rFonts w:ascii="宋体" w:hAnsi="宋体" w:cs="宋体"/>
                      <w:kern w:val="0"/>
                      <w:szCs w:val="21"/>
                    </w:rPr>
                  </w:pP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1台</w:t>
                  </w:r>
                </w:p>
              </w:tc>
              <w:tc>
                <w:tcPr>
                  <w:tcW w:w="1536" w:type="dxa"/>
                  <w:vAlign w:val="center"/>
                </w:tcPr>
                <w:p>
                  <w:pPr>
                    <w:jc w:val="center"/>
                    <w:rPr>
                      <w:rFonts w:ascii="宋体" w:hAnsi="宋体" w:cs="宋体"/>
                      <w:b/>
                      <w:kern w:val="0"/>
                      <w:szCs w:val="21"/>
                    </w:rPr>
                  </w:pPr>
                  <w:r>
                    <w:rPr>
                      <w:rFonts w:hint="eastAsia" w:ascii="宋体" w:hAnsi="宋体" w:cs="宋体"/>
                      <w:b/>
                      <w:kern w:val="0"/>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氮化炉（电能）</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2台</w:t>
                  </w:r>
                </w:p>
              </w:tc>
              <w:tc>
                <w:tcPr>
                  <w:tcW w:w="1536" w:type="dxa"/>
                  <w:vAlign w:val="center"/>
                </w:tcPr>
                <w:p>
                  <w:pPr>
                    <w:jc w:val="center"/>
                    <w:rPr>
                      <w:rFonts w:ascii="宋体" w:hAnsi="宋体" w:cs="宋体"/>
                      <w:kern w:val="0"/>
                      <w:szCs w:val="21"/>
                    </w:rPr>
                  </w:pPr>
                  <w:r>
                    <w:rPr>
                      <w:rFonts w:hint="eastAsia" w:ascii="宋体" w:hAnsi="宋体" w:cs="宋体"/>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Merge w:val="restart"/>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2310" w:type="dxa"/>
                  <w:vMerge w:val="restart"/>
                  <w:vAlign w:val="center"/>
                </w:tcPr>
                <w:p>
                  <w:pPr>
                    <w:widowControl/>
                    <w:jc w:val="center"/>
                    <w:rPr>
                      <w:rFonts w:ascii="宋体" w:hAnsi="宋体" w:cs="宋体"/>
                      <w:kern w:val="0"/>
                      <w:szCs w:val="21"/>
                    </w:rPr>
                  </w:pPr>
                  <w:r>
                    <w:rPr>
                      <w:rFonts w:hint="eastAsia" w:ascii="宋体" w:hAnsi="宋体" w:cs="宋体"/>
                      <w:kern w:val="0"/>
                      <w:szCs w:val="21"/>
                    </w:rPr>
                    <w:t>氧化炉（电能）</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ascii="宋体" w:hAnsi="宋体" w:cs="宋体"/>
                      <w:kern w:val="0"/>
                      <w:szCs w:val="21"/>
                    </w:rPr>
                    <w:t>2</w:t>
                  </w:r>
                  <w:r>
                    <w:rPr>
                      <w:rFonts w:hint="eastAsia" w:ascii="宋体" w:hAnsi="宋体" w:cs="宋体"/>
                      <w:kern w:val="0"/>
                      <w:szCs w:val="21"/>
                    </w:rPr>
                    <w:t>台</w:t>
                  </w:r>
                </w:p>
              </w:tc>
              <w:tc>
                <w:tcPr>
                  <w:tcW w:w="1536" w:type="dxa"/>
                  <w:vAlign w:val="center"/>
                </w:tcPr>
                <w:p>
                  <w:pPr>
                    <w:jc w:val="center"/>
                    <w:rPr>
                      <w:rFonts w:ascii="宋体" w:hAnsi="宋体" w:cs="宋体"/>
                      <w:kern w:val="0"/>
                      <w:szCs w:val="21"/>
                    </w:rPr>
                  </w:pPr>
                  <w:r>
                    <w:rPr>
                      <w:rFonts w:hint="eastAsia" w:ascii="宋体" w:hAnsi="宋体" w:cs="宋体"/>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Merge w:val="continue"/>
                  <w:vAlign w:val="center"/>
                </w:tcPr>
                <w:p>
                  <w:pPr>
                    <w:widowControl/>
                    <w:jc w:val="center"/>
                    <w:rPr>
                      <w:rFonts w:ascii="宋体" w:hAnsi="宋体" w:cs="宋体"/>
                      <w:kern w:val="0"/>
                      <w:szCs w:val="21"/>
                    </w:rPr>
                  </w:pPr>
                </w:p>
              </w:tc>
              <w:tc>
                <w:tcPr>
                  <w:tcW w:w="2310" w:type="dxa"/>
                  <w:vMerge w:val="continue"/>
                  <w:vAlign w:val="center"/>
                </w:tcPr>
                <w:p>
                  <w:pPr>
                    <w:widowControl/>
                    <w:jc w:val="center"/>
                    <w:rPr>
                      <w:rFonts w:ascii="宋体" w:hAnsi="宋体" w:cs="宋体"/>
                      <w:kern w:val="0"/>
                      <w:szCs w:val="21"/>
                    </w:rPr>
                  </w:pP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1台</w:t>
                  </w:r>
                </w:p>
              </w:tc>
              <w:tc>
                <w:tcPr>
                  <w:tcW w:w="1536" w:type="dxa"/>
                  <w:vAlign w:val="center"/>
                </w:tcPr>
                <w:p>
                  <w:pPr>
                    <w:jc w:val="center"/>
                    <w:rPr>
                      <w:rFonts w:ascii="宋体" w:hAnsi="宋体" w:cs="宋体"/>
                      <w:b/>
                      <w:kern w:val="0"/>
                      <w:szCs w:val="21"/>
                    </w:rPr>
                  </w:pPr>
                  <w:r>
                    <w:rPr>
                      <w:rFonts w:hint="eastAsia" w:ascii="宋体" w:hAnsi="宋体" w:cs="宋体"/>
                      <w:b/>
                      <w:kern w:val="0"/>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清洗槽（电能）</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ascii="宋体" w:hAnsi="宋体" w:cs="宋体"/>
                      <w:kern w:val="0"/>
                      <w:szCs w:val="21"/>
                    </w:rPr>
                    <w:t>5</w:t>
                  </w:r>
                  <w:r>
                    <w:rPr>
                      <w:rFonts w:hint="eastAsia" w:ascii="宋体" w:hAnsi="宋体" w:cs="宋体"/>
                      <w:kern w:val="0"/>
                      <w:szCs w:val="21"/>
                    </w:rPr>
                    <w:t>台</w:t>
                  </w:r>
                </w:p>
              </w:tc>
              <w:tc>
                <w:tcPr>
                  <w:tcW w:w="1536" w:type="dxa"/>
                  <w:vAlign w:val="center"/>
                </w:tcPr>
                <w:p>
                  <w:pPr>
                    <w:jc w:val="center"/>
                    <w:rPr>
                      <w:rFonts w:ascii="宋体" w:hAnsi="宋体" w:cs="宋体"/>
                      <w:b/>
                      <w:kern w:val="0"/>
                      <w:szCs w:val="21"/>
                    </w:rPr>
                  </w:pPr>
                  <w:r>
                    <w:rPr>
                      <w:rFonts w:hint="eastAsia" w:ascii="宋体" w:hAnsi="宋体" w:cs="宋体"/>
                      <w:b/>
                      <w:kern w:val="0"/>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抛光设备</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1台</w:t>
                  </w:r>
                </w:p>
              </w:tc>
              <w:tc>
                <w:tcPr>
                  <w:tcW w:w="1536" w:type="dxa"/>
                  <w:vAlign w:val="center"/>
                </w:tcPr>
                <w:p>
                  <w:pPr>
                    <w:jc w:val="center"/>
                    <w:rPr>
                      <w:rFonts w:ascii="宋体" w:hAnsi="宋体" w:cs="宋体"/>
                      <w:b/>
                      <w:kern w:val="0"/>
                      <w:szCs w:val="21"/>
                    </w:rPr>
                  </w:pPr>
                  <w:r>
                    <w:rPr>
                      <w:rFonts w:hint="eastAsia" w:ascii="宋体" w:hAnsi="宋体" w:cs="宋体"/>
                      <w:b/>
                      <w:kern w:val="0"/>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4</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气动微孔过滤设备</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1台</w:t>
                  </w:r>
                </w:p>
              </w:tc>
              <w:tc>
                <w:tcPr>
                  <w:tcW w:w="1536" w:type="dxa"/>
                  <w:vAlign w:val="center"/>
                </w:tcPr>
                <w:p>
                  <w:pPr>
                    <w:jc w:val="center"/>
                    <w:rPr>
                      <w:rFonts w:ascii="宋体" w:hAnsi="宋体" w:cs="宋体"/>
                      <w:b/>
                      <w:kern w:val="0"/>
                      <w:szCs w:val="21"/>
                    </w:rPr>
                  </w:pPr>
                  <w:r>
                    <w:rPr>
                      <w:rFonts w:hint="eastAsia" w:ascii="宋体" w:hAnsi="宋体" w:cs="宋体"/>
                      <w:b/>
                      <w:kern w:val="0"/>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5</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常压蒸发釜</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1台</w:t>
                  </w:r>
                </w:p>
              </w:tc>
              <w:tc>
                <w:tcPr>
                  <w:tcW w:w="1536" w:type="dxa"/>
                  <w:vAlign w:val="center"/>
                </w:tcPr>
                <w:p>
                  <w:pPr>
                    <w:jc w:val="center"/>
                    <w:rPr>
                      <w:rFonts w:ascii="宋体" w:hAnsi="宋体" w:cs="宋体"/>
                      <w:b/>
                      <w:kern w:val="0"/>
                      <w:szCs w:val="21"/>
                    </w:rPr>
                  </w:pPr>
                  <w:r>
                    <w:rPr>
                      <w:rFonts w:hint="eastAsia" w:ascii="宋体" w:hAnsi="宋体" w:cs="宋体"/>
                      <w:b/>
                      <w:kern w:val="0"/>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喷淋塔</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1台</w:t>
                  </w:r>
                </w:p>
              </w:tc>
              <w:tc>
                <w:tcPr>
                  <w:tcW w:w="1536" w:type="dxa"/>
                  <w:vAlign w:val="center"/>
                </w:tcPr>
                <w:p>
                  <w:pPr>
                    <w:jc w:val="center"/>
                    <w:rPr>
                      <w:rFonts w:ascii="宋体" w:hAnsi="宋体" w:cs="宋体"/>
                      <w:b/>
                      <w:kern w:val="0"/>
                      <w:szCs w:val="21"/>
                    </w:rPr>
                  </w:pPr>
                  <w:r>
                    <w:rPr>
                      <w:rFonts w:hint="eastAsia" w:ascii="宋体" w:hAnsi="宋体" w:cs="宋体"/>
                      <w:b/>
                      <w:kern w:val="0"/>
                      <w:szCs w:val="21"/>
                    </w:rPr>
                    <w:t>新增</w:t>
                  </w:r>
                </w:p>
              </w:tc>
            </w:tr>
          </w:tbl>
          <w:p>
            <w:pPr>
              <w:spacing w:line="480" w:lineRule="atLeast"/>
              <w:ind w:firstLine="482" w:firstLineChars="200"/>
              <w:rPr>
                <w:b/>
                <w:sz w:val="24"/>
              </w:rPr>
            </w:pPr>
            <w:r>
              <w:rPr>
                <w:b/>
                <w:sz w:val="24"/>
              </w:rPr>
              <w:t>3、产品</w:t>
            </w:r>
            <w:r>
              <w:rPr>
                <w:rFonts w:hint="eastAsia"/>
                <w:b/>
                <w:sz w:val="24"/>
              </w:rPr>
              <w:t>方案</w:t>
            </w:r>
          </w:p>
          <w:p>
            <w:pPr>
              <w:spacing w:line="360" w:lineRule="auto"/>
              <w:ind w:firstLine="480" w:firstLineChars="200"/>
              <w:outlineLvl w:val="0"/>
              <w:rPr>
                <w:sz w:val="24"/>
              </w:rPr>
            </w:pPr>
            <w:r>
              <w:rPr>
                <w:rFonts w:hint="eastAsia"/>
                <w:sz w:val="24"/>
              </w:rPr>
              <w:t>本项目为铸铁锅表面处理项目，其产品方案如下表所示：</w:t>
            </w:r>
          </w:p>
          <w:p>
            <w:pPr>
              <w:tabs>
                <w:tab w:val="center" w:pos="4866"/>
                <w:tab w:val="left" w:pos="6660"/>
              </w:tabs>
              <w:spacing w:line="360" w:lineRule="auto"/>
              <w:jc w:val="left"/>
              <w:outlineLvl w:val="0"/>
              <w:rPr>
                <w:rFonts w:ascii="宋体" w:hAnsi="宋体"/>
                <w:b/>
                <w:sz w:val="24"/>
              </w:rPr>
            </w:pPr>
            <w:r>
              <w:rPr>
                <w:rFonts w:hint="eastAsia" w:ascii="黑体" w:hAnsi="黑体" w:eastAsia="黑体"/>
                <w:sz w:val="24"/>
              </w:rPr>
              <w:tab/>
            </w:r>
            <w:r>
              <w:rPr>
                <w:rFonts w:hint="eastAsia" w:ascii="宋体" w:hAnsi="宋体"/>
                <w:b/>
                <w:sz w:val="24"/>
              </w:rPr>
              <w:t>表1-7    产品一览表</w:t>
            </w:r>
            <w:r>
              <w:rPr>
                <w:rFonts w:hint="eastAsia" w:ascii="宋体" w:hAnsi="宋体"/>
                <w:b/>
                <w:sz w:val="24"/>
              </w:rPr>
              <w:tab/>
            </w:r>
          </w:p>
          <w:tbl>
            <w:tblPr>
              <w:tblStyle w:val="53"/>
              <w:tblW w:w="93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340"/>
              <w:gridCol w:w="1847"/>
              <w:gridCol w:w="184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3" w:type="dxa"/>
                  <w:vAlign w:val="center"/>
                </w:tcPr>
                <w:p>
                  <w:pPr>
                    <w:jc w:val="center"/>
                    <w:outlineLvl w:val="0"/>
                    <w:rPr>
                      <w:szCs w:val="21"/>
                    </w:rPr>
                  </w:pPr>
                  <w:r>
                    <w:rPr>
                      <w:rFonts w:hint="eastAsia"/>
                      <w:szCs w:val="21"/>
                    </w:rPr>
                    <w:t>序号</w:t>
                  </w:r>
                </w:p>
              </w:tc>
              <w:tc>
                <w:tcPr>
                  <w:tcW w:w="2340" w:type="dxa"/>
                  <w:vAlign w:val="center"/>
                </w:tcPr>
                <w:p>
                  <w:pPr>
                    <w:jc w:val="center"/>
                    <w:outlineLvl w:val="0"/>
                    <w:rPr>
                      <w:szCs w:val="21"/>
                    </w:rPr>
                  </w:pPr>
                  <w:r>
                    <w:rPr>
                      <w:rFonts w:hint="eastAsia"/>
                      <w:szCs w:val="21"/>
                    </w:rPr>
                    <w:t>产品名称</w:t>
                  </w:r>
                </w:p>
              </w:tc>
              <w:tc>
                <w:tcPr>
                  <w:tcW w:w="1847" w:type="dxa"/>
                  <w:vAlign w:val="center"/>
                </w:tcPr>
                <w:p>
                  <w:pPr>
                    <w:jc w:val="center"/>
                    <w:outlineLvl w:val="0"/>
                    <w:rPr>
                      <w:szCs w:val="21"/>
                    </w:rPr>
                  </w:pPr>
                  <w:r>
                    <w:rPr>
                      <w:rFonts w:hint="eastAsia"/>
                      <w:szCs w:val="21"/>
                    </w:rPr>
                    <w:t>单位</w:t>
                  </w:r>
                </w:p>
              </w:tc>
              <w:tc>
                <w:tcPr>
                  <w:tcW w:w="1848" w:type="dxa"/>
                  <w:vAlign w:val="center"/>
                </w:tcPr>
                <w:p>
                  <w:pPr>
                    <w:jc w:val="center"/>
                    <w:outlineLvl w:val="0"/>
                    <w:rPr>
                      <w:szCs w:val="21"/>
                    </w:rPr>
                  </w:pPr>
                  <w:r>
                    <w:rPr>
                      <w:rFonts w:hint="eastAsia"/>
                      <w:szCs w:val="21"/>
                    </w:rPr>
                    <w:t>年产量</w:t>
                  </w:r>
                </w:p>
              </w:tc>
              <w:tc>
                <w:tcPr>
                  <w:tcW w:w="1848" w:type="dxa"/>
                  <w:vAlign w:val="center"/>
                </w:tcPr>
                <w:p>
                  <w:pPr>
                    <w:jc w:val="center"/>
                    <w:outlineLvl w:val="0"/>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3" w:type="dxa"/>
                  <w:vAlign w:val="center"/>
                </w:tcPr>
                <w:p>
                  <w:pPr>
                    <w:jc w:val="center"/>
                    <w:outlineLvl w:val="0"/>
                    <w:rPr>
                      <w:szCs w:val="21"/>
                    </w:rPr>
                  </w:pPr>
                  <w:r>
                    <w:rPr>
                      <w:rFonts w:hint="eastAsia"/>
                      <w:szCs w:val="21"/>
                    </w:rPr>
                    <w:t>1</w:t>
                  </w:r>
                </w:p>
              </w:tc>
              <w:tc>
                <w:tcPr>
                  <w:tcW w:w="2340" w:type="dxa"/>
                  <w:vAlign w:val="center"/>
                </w:tcPr>
                <w:p>
                  <w:pPr>
                    <w:jc w:val="center"/>
                    <w:outlineLvl w:val="0"/>
                    <w:rPr>
                      <w:szCs w:val="21"/>
                    </w:rPr>
                  </w:pPr>
                  <w:r>
                    <w:rPr>
                      <w:rFonts w:hint="eastAsia"/>
                      <w:szCs w:val="21"/>
                    </w:rPr>
                    <w:t>铸铁锅</w:t>
                  </w:r>
                </w:p>
              </w:tc>
              <w:tc>
                <w:tcPr>
                  <w:tcW w:w="1847" w:type="dxa"/>
                  <w:vAlign w:val="center"/>
                </w:tcPr>
                <w:p>
                  <w:pPr>
                    <w:jc w:val="center"/>
                    <w:outlineLvl w:val="0"/>
                    <w:rPr>
                      <w:szCs w:val="21"/>
                    </w:rPr>
                  </w:pPr>
                  <w:r>
                    <w:rPr>
                      <w:rFonts w:hint="eastAsia"/>
                      <w:szCs w:val="21"/>
                    </w:rPr>
                    <w:t>口</w:t>
                  </w:r>
                </w:p>
              </w:tc>
              <w:tc>
                <w:tcPr>
                  <w:tcW w:w="1848" w:type="dxa"/>
                  <w:vAlign w:val="center"/>
                </w:tcPr>
                <w:p>
                  <w:pPr>
                    <w:jc w:val="center"/>
                    <w:outlineLvl w:val="0"/>
                    <w:rPr>
                      <w:szCs w:val="21"/>
                    </w:rPr>
                  </w:pPr>
                  <w:r>
                    <w:rPr>
                      <w:szCs w:val="21"/>
                    </w:rPr>
                    <w:t>200万</w:t>
                  </w:r>
                </w:p>
              </w:tc>
              <w:tc>
                <w:tcPr>
                  <w:tcW w:w="1848" w:type="dxa"/>
                  <w:vAlign w:val="center"/>
                </w:tcPr>
                <w:p>
                  <w:pPr>
                    <w:jc w:val="center"/>
                    <w:outlineLvl w:val="0"/>
                    <w:rPr>
                      <w:szCs w:val="21"/>
                    </w:rPr>
                  </w:pPr>
                </w:p>
              </w:tc>
            </w:tr>
          </w:tbl>
          <w:p>
            <w:pPr>
              <w:spacing w:line="480" w:lineRule="atLeast"/>
              <w:ind w:firstLine="482" w:firstLineChars="200"/>
              <w:rPr>
                <w:b/>
                <w:sz w:val="24"/>
              </w:rPr>
            </w:pPr>
            <w:r>
              <w:rPr>
                <w:b/>
                <w:sz w:val="24"/>
              </w:rPr>
              <w:t>4、公用工程</w:t>
            </w:r>
          </w:p>
          <w:p>
            <w:pPr>
              <w:spacing w:line="360" w:lineRule="auto"/>
              <w:ind w:firstLine="480" w:firstLineChars="200"/>
              <w:outlineLvl w:val="0"/>
              <w:rPr>
                <w:sz w:val="24"/>
              </w:rPr>
            </w:pPr>
            <w:r>
              <w:rPr>
                <w:sz w:val="24"/>
              </w:rPr>
              <w:t>（1）</w:t>
            </w:r>
            <w:r>
              <w:rPr>
                <w:rFonts w:hint="eastAsia"/>
                <w:sz w:val="24"/>
              </w:rPr>
              <w:t>给水</w:t>
            </w:r>
          </w:p>
          <w:p>
            <w:pPr>
              <w:spacing w:line="360" w:lineRule="auto"/>
              <w:ind w:firstLine="480" w:firstLineChars="200"/>
              <w:outlineLvl w:val="0"/>
              <w:rPr>
                <w:sz w:val="24"/>
              </w:rPr>
            </w:pPr>
            <w:r>
              <w:rPr>
                <w:sz w:val="24"/>
              </w:rPr>
              <w:t>本项目建成后不新增劳动定员</w:t>
            </w:r>
            <w:r>
              <w:rPr>
                <w:rFonts w:hint="eastAsia"/>
                <w:sz w:val="24"/>
              </w:rPr>
              <w:t>，</w:t>
            </w:r>
            <w:r>
              <w:rPr>
                <w:sz w:val="24"/>
              </w:rPr>
              <w:t>故不新增生活用水</w:t>
            </w:r>
            <w:r>
              <w:rPr>
                <w:rFonts w:hint="eastAsia"/>
                <w:sz w:val="24"/>
              </w:rPr>
              <w:t>。因此本项目</w:t>
            </w:r>
            <w:r>
              <w:rPr>
                <w:sz w:val="24"/>
              </w:rPr>
              <w:t>用水主要为生产用水</w:t>
            </w:r>
            <w:r>
              <w:rPr>
                <w:rFonts w:hint="eastAsia"/>
                <w:sz w:val="24"/>
              </w:rPr>
              <w:t>，</w:t>
            </w:r>
            <w:r>
              <w:rPr>
                <w:sz w:val="24"/>
              </w:rPr>
              <w:t>用水量为4.3m</w:t>
            </w:r>
            <w:r>
              <w:rPr>
                <w:sz w:val="24"/>
                <w:vertAlign w:val="superscript"/>
              </w:rPr>
              <w:t>3</w:t>
            </w:r>
            <w:r>
              <w:rPr>
                <w:sz w:val="24"/>
              </w:rPr>
              <w:t>/d</w:t>
            </w:r>
            <w:r>
              <w:rPr>
                <w:rFonts w:hint="eastAsia"/>
                <w:sz w:val="24"/>
              </w:rPr>
              <w:t>，</w:t>
            </w:r>
            <w:r>
              <w:rPr>
                <w:sz w:val="24"/>
              </w:rPr>
              <w:t>均有园区供水管网供给</w:t>
            </w:r>
            <w:r>
              <w:rPr>
                <w:rFonts w:hint="eastAsia"/>
                <w:sz w:val="24"/>
              </w:rPr>
              <w:t>。</w:t>
            </w:r>
          </w:p>
          <w:p>
            <w:pPr>
              <w:spacing w:line="360" w:lineRule="auto"/>
              <w:ind w:firstLine="480" w:firstLineChars="200"/>
              <w:outlineLvl w:val="0"/>
              <w:rPr>
                <w:sz w:val="24"/>
              </w:rPr>
            </w:pPr>
            <w:r>
              <w:rPr>
                <w:rFonts w:hint="eastAsia"/>
                <w:sz w:val="24"/>
              </w:rPr>
              <w:t>项目生产用水包括模具冷却用水、工件氮化氧化清洗用水、废气处理用水、工件抛光清洗用水等。</w:t>
            </w:r>
          </w:p>
          <w:p>
            <w:pPr>
              <w:spacing w:line="360" w:lineRule="auto"/>
              <w:ind w:firstLine="480" w:firstLineChars="200"/>
              <w:outlineLvl w:val="0"/>
              <w:rPr>
                <w:sz w:val="24"/>
              </w:rPr>
            </w:pPr>
            <w:r>
              <w:rPr>
                <w:sz w:val="24"/>
              </w:rPr>
              <w:t>模具冷却用水</w:t>
            </w:r>
            <w:r>
              <w:rPr>
                <w:rFonts w:hint="eastAsia"/>
                <w:sz w:val="24"/>
              </w:rPr>
              <w:t>：模具冷却用水部分由清洗废水提供，不足部分由园区管网提供（约1</w:t>
            </w:r>
            <w:r>
              <w:rPr>
                <w:sz w:val="24"/>
              </w:rPr>
              <w:t>.5m</w:t>
            </w:r>
            <w:r>
              <w:rPr>
                <w:sz w:val="24"/>
                <w:vertAlign w:val="superscript"/>
              </w:rPr>
              <w:t>3</w:t>
            </w:r>
            <w:r>
              <w:rPr>
                <w:sz w:val="24"/>
              </w:rPr>
              <w:t>/d</w:t>
            </w:r>
            <w:r>
              <w:rPr>
                <w:rFonts w:hint="eastAsia"/>
                <w:sz w:val="24"/>
              </w:rPr>
              <w:t>），此部分废水经高温后全部蒸发，无废水产生。</w:t>
            </w:r>
          </w:p>
          <w:p>
            <w:pPr>
              <w:spacing w:line="360" w:lineRule="auto"/>
              <w:outlineLvl w:val="0"/>
              <w:rPr>
                <w:sz w:val="24"/>
              </w:rPr>
            </w:pPr>
            <w:r>
              <w:rPr>
                <w:rFonts w:hint="eastAsia"/>
                <w:sz w:val="24"/>
              </w:rPr>
              <w:t xml:space="preserve"> </w:t>
            </w:r>
            <w:r>
              <w:rPr>
                <w:sz w:val="24"/>
              </w:rPr>
              <w:t xml:space="preserve">   </w:t>
            </w:r>
            <w:r>
              <w:rPr>
                <w:rFonts w:hint="eastAsia"/>
                <w:sz w:val="24"/>
              </w:rPr>
              <w:t>工件</w:t>
            </w:r>
            <w:r>
              <w:rPr>
                <w:sz w:val="24"/>
              </w:rPr>
              <w:t>氮化氧化</w:t>
            </w:r>
            <w:r>
              <w:rPr>
                <w:rFonts w:hint="eastAsia"/>
                <w:sz w:val="24"/>
              </w:rPr>
              <w:t>清洗</w:t>
            </w:r>
            <w:r>
              <w:rPr>
                <w:sz w:val="24"/>
              </w:rPr>
              <w:t>用水</w:t>
            </w:r>
            <w:r>
              <w:rPr>
                <w:rFonts w:hint="eastAsia"/>
                <w:sz w:val="24"/>
              </w:rPr>
              <w:t>：工件</w:t>
            </w:r>
            <w:r>
              <w:rPr>
                <w:sz w:val="24"/>
              </w:rPr>
              <w:t>经氮化氧化工序拟采用水进行</w:t>
            </w:r>
            <w:r>
              <w:rPr>
                <w:rFonts w:hint="eastAsia"/>
                <w:sz w:val="24"/>
              </w:rPr>
              <w:t>清洗，将工件</w:t>
            </w:r>
            <w:r>
              <w:rPr>
                <w:sz w:val="24"/>
              </w:rPr>
              <w:t>表面附着的盐清洗掉</w:t>
            </w:r>
            <w:r>
              <w:rPr>
                <w:rFonts w:hint="eastAsia"/>
                <w:sz w:val="24"/>
              </w:rPr>
              <w:t>。</w:t>
            </w:r>
            <w:r>
              <w:rPr>
                <w:sz w:val="24"/>
              </w:rPr>
              <w:t>项目采用</w:t>
            </w:r>
            <w:r>
              <w:rPr>
                <w:rFonts w:hint="eastAsia"/>
                <w:sz w:val="24"/>
              </w:rPr>
              <w:t>五级清洗，因此第一级清洗水中的盐含量较高，经</w:t>
            </w:r>
            <w:r>
              <w:rPr>
                <w:sz w:val="24"/>
              </w:rPr>
              <w:t>收集后采用蒸馏</w:t>
            </w:r>
            <w:r>
              <w:rPr>
                <w:rFonts w:hint="eastAsia"/>
                <w:sz w:val="24"/>
              </w:rPr>
              <w:t>方法回收</w:t>
            </w:r>
            <w:r>
              <w:rPr>
                <w:sz w:val="24"/>
              </w:rPr>
              <w:t>固体盐</w:t>
            </w:r>
            <w:r>
              <w:rPr>
                <w:rFonts w:hint="eastAsia"/>
                <w:sz w:val="24"/>
              </w:rPr>
              <w:t>，蒸馏过程产生的水蒸气经冷却后作为第一级清洗水使用。后一级清洗废水作为上一级清洗水循环使用。因此本项目工件氧化清洗新鲜补充水仅为最后一级清洗水，用量约为</w:t>
            </w:r>
            <w:r>
              <w:rPr>
                <w:sz w:val="24"/>
              </w:rPr>
              <w:t>2m</w:t>
            </w:r>
            <w:r>
              <w:rPr>
                <w:sz w:val="24"/>
                <w:vertAlign w:val="superscript"/>
              </w:rPr>
              <w:t>3</w:t>
            </w:r>
            <w:r>
              <w:rPr>
                <w:sz w:val="24"/>
              </w:rPr>
              <w:t>/d</w:t>
            </w:r>
            <w:r>
              <w:rPr>
                <w:rFonts w:hint="eastAsia"/>
                <w:sz w:val="24"/>
              </w:rPr>
              <w:t>。</w:t>
            </w:r>
          </w:p>
          <w:p>
            <w:pPr>
              <w:spacing w:line="360" w:lineRule="auto"/>
              <w:ind w:firstLine="480" w:firstLineChars="200"/>
              <w:outlineLvl w:val="0"/>
              <w:rPr>
                <w:sz w:val="24"/>
              </w:rPr>
            </w:pPr>
            <w:r>
              <w:rPr>
                <w:rFonts w:hint="eastAsia"/>
                <w:sz w:val="24"/>
              </w:rPr>
              <w:t>工件抛光</w:t>
            </w:r>
            <w:r>
              <w:rPr>
                <w:sz w:val="24"/>
              </w:rPr>
              <w:t>清洗用水</w:t>
            </w:r>
            <w:r>
              <w:rPr>
                <w:rFonts w:hint="eastAsia"/>
                <w:sz w:val="24"/>
              </w:rPr>
              <w:t>：</w:t>
            </w:r>
            <w:r>
              <w:rPr>
                <w:sz w:val="24"/>
              </w:rPr>
              <w:t>项目</w:t>
            </w:r>
            <w:r>
              <w:rPr>
                <w:rFonts w:hint="eastAsia"/>
                <w:sz w:val="24"/>
              </w:rPr>
              <w:t>工件</w:t>
            </w:r>
            <w:r>
              <w:rPr>
                <w:sz w:val="24"/>
              </w:rPr>
              <w:t>经一次</w:t>
            </w:r>
            <w:r>
              <w:rPr>
                <w:rFonts w:hint="eastAsia"/>
                <w:sz w:val="24"/>
              </w:rPr>
              <w:t>、</w:t>
            </w:r>
            <w:r>
              <w:rPr>
                <w:sz w:val="24"/>
              </w:rPr>
              <w:t>二次</w:t>
            </w:r>
            <w:r>
              <w:rPr>
                <w:rFonts w:hint="eastAsia"/>
                <w:sz w:val="24"/>
              </w:rPr>
              <w:t>抛光</w:t>
            </w:r>
            <w:r>
              <w:rPr>
                <w:sz w:val="24"/>
              </w:rPr>
              <w:t>后均需要用水清洗</w:t>
            </w:r>
            <w:r>
              <w:rPr>
                <w:rFonts w:hint="eastAsia"/>
                <w:sz w:val="24"/>
              </w:rPr>
              <w:t>，</w:t>
            </w:r>
            <w:r>
              <w:rPr>
                <w:sz w:val="24"/>
              </w:rPr>
              <w:t>此部分用水由园区管网供给</w:t>
            </w:r>
            <w:r>
              <w:rPr>
                <w:rFonts w:hint="eastAsia"/>
                <w:sz w:val="24"/>
              </w:rPr>
              <w:t>（约0</w:t>
            </w:r>
            <w:r>
              <w:rPr>
                <w:sz w:val="24"/>
              </w:rPr>
              <w:t>.8 m</w:t>
            </w:r>
            <w:r>
              <w:rPr>
                <w:sz w:val="24"/>
                <w:vertAlign w:val="superscript"/>
              </w:rPr>
              <w:t>3</w:t>
            </w:r>
            <w:r>
              <w:rPr>
                <w:sz w:val="24"/>
              </w:rPr>
              <w:t>/d</w:t>
            </w:r>
            <w:r>
              <w:rPr>
                <w:rFonts w:hint="eastAsia"/>
                <w:sz w:val="24"/>
              </w:rPr>
              <w:t>）。</w:t>
            </w:r>
          </w:p>
          <w:p>
            <w:pPr>
              <w:spacing w:line="360" w:lineRule="auto"/>
              <w:ind w:firstLine="480" w:firstLineChars="200"/>
              <w:outlineLvl w:val="0"/>
              <w:rPr>
                <w:sz w:val="24"/>
              </w:rPr>
            </w:pPr>
            <w:r>
              <w:rPr>
                <w:sz w:val="24"/>
              </w:rPr>
              <w:t>废气</w:t>
            </w:r>
            <w:r>
              <w:rPr>
                <w:rFonts w:hint="eastAsia"/>
                <w:sz w:val="24"/>
              </w:rPr>
              <w:t>喷淋</w:t>
            </w:r>
            <w:r>
              <w:rPr>
                <w:sz w:val="24"/>
              </w:rPr>
              <w:t>用水</w:t>
            </w:r>
            <w:r>
              <w:rPr>
                <w:rFonts w:hint="eastAsia"/>
                <w:sz w:val="24"/>
              </w:rPr>
              <w:t>：</w:t>
            </w:r>
            <w:r>
              <w:rPr>
                <w:sz w:val="24"/>
              </w:rPr>
              <w:t>本项目氮化过程中产生废气</w:t>
            </w:r>
            <w:r>
              <w:rPr>
                <w:rFonts w:hint="eastAsia"/>
                <w:sz w:val="24"/>
              </w:rPr>
              <w:t>，废气中含有氨气，此废气</w:t>
            </w:r>
            <w:r>
              <w:rPr>
                <w:sz w:val="24"/>
              </w:rPr>
              <w:t>项目拟采用</w:t>
            </w:r>
            <w:r>
              <w:rPr>
                <w:rFonts w:hint="eastAsia"/>
                <w:sz w:val="24"/>
              </w:rPr>
              <w:t>水喷淋+光氧催化后经</w:t>
            </w:r>
            <w:r>
              <w:rPr>
                <w:sz w:val="24"/>
              </w:rPr>
              <w:t>15m高排气筒排放</w:t>
            </w:r>
            <w:r>
              <w:rPr>
                <w:rFonts w:hint="eastAsia"/>
                <w:sz w:val="24"/>
              </w:rPr>
              <w:t>。水喷淋塔用水量约为0</w:t>
            </w:r>
            <w:r>
              <w:rPr>
                <w:sz w:val="24"/>
              </w:rPr>
              <w:t>.5m</w:t>
            </w:r>
            <w:r>
              <w:rPr>
                <w:sz w:val="24"/>
                <w:vertAlign w:val="superscript"/>
              </w:rPr>
              <w:t>3</w:t>
            </w:r>
            <w:r>
              <w:rPr>
                <w:sz w:val="24"/>
              </w:rPr>
              <w:t>/d</w:t>
            </w:r>
            <w:r>
              <w:rPr>
                <w:rFonts w:hint="eastAsia"/>
                <w:sz w:val="24"/>
              </w:rPr>
              <w:t>，水</w:t>
            </w:r>
            <w:r>
              <w:rPr>
                <w:sz w:val="24"/>
              </w:rPr>
              <w:t>喷淋塔用水循环使用</w:t>
            </w:r>
            <w:r>
              <w:rPr>
                <w:rFonts w:hint="eastAsia"/>
                <w:sz w:val="24"/>
              </w:rPr>
              <w:t>，</w:t>
            </w:r>
            <w:r>
              <w:rPr>
                <w:sz w:val="24"/>
              </w:rPr>
              <w:t>定期补损</w:t>
            </w:r>
            <w:r>
              <w:rPr>
                <w:rFonts w:hint="eastAsia"/>
                <w:sz w:val="24"/>
              </w:rPr>
              <w:t>，</w:t>
            </w:r>
            <w:r>
              <w:rPr>
                <w:sz w:val="24"/>
              </w:rPr>
              <w:t>循环水损耗量以循环总水量的</w:t>
            </w:r>
            <w:r>
              <w:rPr>
                <w:rFonts w:hint="eastAsia"/>
                <w:sz w:val="24"/>
              </w:rPr>
              <w:t>2</w:t>
            </w:r>
            <w:r>
              <w:rPr>
                <w:sz w:val="24"/>
              </w:rPr>
              <w:t>0</w:t>
            </w:r>
            <w:r>
              <w:rPr>
                <w:rFonts w:hint="eastAsia"/>
                <w:sz w:val="24"/>
              </w:rPr>
              <w:t>%</w:t>
            </w:r>
            <w:r>
              <w:rPr>
                <w:sz w:val="24"/>
              </w:rPr>
              <w:t>计</w:t>
            </w:r>
            <w:r>
              <w:rPr>
                <w:rFonts w:hint="eastAsia"/>
                <w:sz w:val="24"/>
              </w:rPr>
              <w:t>，</w:t>
            </w:r>
            <w:r>
              <w:rPr>
                <w:sz w:val="24"/>
              </w:rPr>
              <w:t>则补充水用量为</w:t>
            </w:r>
            <w:r>
              <w:rPr>
                <w:rFonts w:hint="eastAsia"/>
                <w:sz w:val="24"/>
              </w:rPr>
              <w:t>0</w:t>
            </w:r>
            <w:r>
              <w:rPr>
                <w:sz w:val="24"/>
              </w:rPr>
              <w:t>.1m</w:t>
            </w:r>
            <w:r>
              <w:rPr>
                <w:sz w:val="24"/>
                <w:vertAlign w:val="superscript"/>
              </w:rPr>
              <w:t>3</w:t>
            </w:r>
            <w:r>
              <w:rPr>
                <w:sz w:val="24"/>
              </w:rPr>
              <w:t>/d</w:t>
            </w:r>
            <w:r>
              <w:rPr>
                <w:rFonts w:hint="eastAsia"/>
                <w:sz w:val="24"/>
              </w:rPr>
              <w:t>。水喷淋塔中的喷淋水收集后经p</w:t>
            </w:r>
            <w:r>
              <w:rPr>
                <w:sz w:val="24"/>
              </w:rPr>
              <w:t>H调整处理后</w:t>
            </w:r>
            <w:r>
              <w:rPr>
                <w:rFonts w:hint="eastAsia"/>
                <w:sz w:val="24"/>
              </w:rPr>
              <w:t>回用于水喷淋塔，</w:t>
            </w:r>
            <w:r>
              <w:rPr>
                <w:sz w:val="24"/>
              </w:rPr>
              <w:t>不外排</w:t>
            </w:r>
            <w:r>
              <w:rPr>
                <w:rFonts w:hint="eastAsia"/>
                <w:sz w:val="24"/>
              </w:rPr>
              <w:t>。</w:t>
            </w:r>
          </w:p>
          <w:p>
            <w:pPr>
              <w:spacing w:line="360" w:lineRule="auto"/>
              <w:ind w:firstLine="480" w:firstLineChars="200"/>
              <w:outlineLvl w:val="0"/>
              <w:rPr>
                <w:sz w:val="24"/>
              </w:rPr>
            </w:pPr>
            <w:r>
              <w:rPr>
                <w:rFonts w:hint="eastAsia"/>
                <w:sz w:val="24"/>
              </w:rPr>
              <w:t>（2）排水</w:t>
            </w:r>
          </w:p>
          <w:p>
            <w:pPr>
              <w:spacing w:line="360" w:lineRule="auto"/>
              <w:ind w:firstLine="480" w:firstLineChars="200"/>
              <w:outlineLvl w:val="0"/>
              <w:rPr>
                <w:sz w:val="24"/>
              </w:rPr>
            </w:pPr>
            <w:r>
              <w:rPr>
                <w:sz w:val="24"/>
              </w:rPr>
              <w:t>本项目建成后不新增劳动定员</w:t>
            </w:r>
            <w:r>
              <w:rPr>
                <w:rFonts w:hint="eastAsia"/>
                <w:sz w:val="24"/>
              </w:rPr>
              <w:t>，</w:t>
            </w:r>
            <w:r>
              <w:rPr>
                <w:sz w:val="24"/>
              </w:rPr>
              <w:t>故不新增生活</w:t>
            </w:r>
            <w:r>
              <w:rPr>
                <w:rFonts w:hint="eastAsia"/>
                <w:sz w:val="24"/>
              </w:rPr>
              <w:t>污水。因此本项目废水主要为</w:t>
            </w:r>
            <w:r>
              <w:rPr>
                <w:sz w:val="24"/>
              </w:rPr>
              <w:t>生产废水</w:t>
            </w:r>
            <w:r>
              <w:rPr>
                <w:rFonts w:hint="eastAsia"/>
                <w:sz w:val="24"/>
              </w:rPr>
              <w:t>。</w:t>
            </w:r>
          </w:p>
          <w:p>
            <w:pPr>
              <w:spacing w:line="360" w:lineRule="auto"/>
              <w:ind w:firstLine="480" w:firstLineChars="200"/>
              <w:outlineLvl w:val="0"/>
              <w:rPr>
                <w:sz w:val="24"/>
              </w:rPr>
            </w:pPr>
            <w:r>
              <w:rPr>
                <w:rFonts w:hint="eastAsia"/>
                <w:sz w:val="24"/>
              </w:rPr>
              <w:t>包括包括模具冷却废水、工件氮化氧化清洗废水、抛光清洗废水、喷淋产生的含氨废水。</w:t>
            </w:r>
          </w:p>
          <w:p>
            <w:pPr>
              <w:spacing w:line="360" w:lineRule="auto"/>
              <w:ind w:firstLine="480" w:firstLineChars="200"/>
              <w:outlineLvl w:val="0"/>
              <w:rPr>
                <w:sz w:val="24"/>
              </w:rPr>
            </w:pPr>
            <w:r>
              <w:rPr>
                <w:sz w:val="24"/>
              </w:rPr>
              <w:t>模具冷却废水</w:t>
            </w:r>
            <w:r>
              <w:rPr>
                <w:rFonts w:hint="eastAsia"/>
                <w:sz w:val="24"/>
              </w:rPr>
              <w:t>：</w:t>
            </w:r>
            <w:r>
              <w:rPr>
                <w:sz w:val="24"/>
              </w:rPr>
              <w:t>本项目模具采用冷却水冷却</w:t>
            </w:r>
            <w:r>
              <w:rPr>
                <w:rFonts w:hint="eastAsia"/>
                <w:sz w:val="24"/>
              </w:rPr>
              <w:t>，</w:t>
            </w:r>
            <w:r>
              <w:rPr>
                <w:sz w:val="24"/>
              </w:rPr>
              <w:t>该部分冷却水经高温后全部蒸发</w:t>
            </w:r>
            <w:r>
              <w:rPr>
                <w:rFonts w:hint="eastAsia"/>
                <w:sz w:val="24"/>
              </w:rPr>
              <w:t>，</w:t>
            </w:r>
            <w:r>
              <w:rPr>
                <w:sz w:val="24"/>
              </w:rPr>
              <w:t>无废水产生</w:t>
            </w:r>
            <w:r>
              <w:rPr>
                <w:rFonts w:hint="eastAsia"/>
                <w:sz w:val="24"/>
              </w:rPr>
              <w:t>。</w:t>
            </w:r>
          </w:p>
          <w:p>
            <w:pPr>
              <w:spacing w:line="360" w:lineRule="auto"/>
              <w:ind w:firstLine="480" w:firstLineChars="200"/>
              <w:outlineLvl w:val="0"/>
              <w:rPr>
                <w:sz w:val="24"/>
              </w:rPr>
            </w:pPr>
            <w:r>
              <w:rPr>
                <w:rFonts w:hint="eastAsia"/>
                <w:sz w:val="24"/>
              </w:rPr>
              <w:t>工件</w:t>
            </w:r>
            <w:r>
              <w:rPr>
                <w:sz w:val="24"/>
              </w:rPr>
              <w:t>氮化氧化清洗废水</w:t>
            </w:r>
            <w:r>
              <w:rPr>
                <w:rFonts w:hint="eastAsia"/>
                <w:sz w:val="24"/>
              </w:rPr>
              <w:t>：</w:t>
            </w:r>
            <w:r>
              <w:rPr>
                <w:sz w:val="24"/>
              </w:rPr>
              <w:t>项目</w:t>
            </w:r>
            <w:r>
              <w:rPr>
                <w:rFonts w:hint="eastAsia"/>
                <w:sz w:val="24"/>
              </w:rPr>
              <w:t>工件</w:t>
            </w:r>
            <w:r>
              <w:rPr>
                <w:sz w:val="24"/>
              </w:rPr>
              <w:t>氮化氧化后采用</w:t>
            </w:r>
            <w:r>
              <w:rPr>
                <w:rFonts w:hint="eastAsia"/>
                <w:sz w:val="24"/>
              </w:rPr>
              <w:t>五级</w:t>
            </w:r>
            <w:r>
              <w:rPr>
                <w:sz w:val="24"/>
              </w:rPr>
              <w:t>清洗</w:t>
            </w:r>
            <w:r>
              <w:rPr>
                <w:rFonts w:hint="eastAsia"/>
                <w:sz w:val="24"/>
              </w:rPr>
              <w:t>，</w:t>
            </w:r>
            <w:r>
              <w:rPr>
                <w:sz w:val="24"/>
              </w:rPr>
              <w:t>其中第一级</w:t>
            </w:r>
            <w:r>
              <w:rPr>
                <w:rFonts w:hint="eastAsia"/>
                <w:sz w:val="24"/>
              </w:rPr>
              <w:t>清洗</w:t>
            </w:r>
            <w:r>
              <w:rPr>
                <w:sz w:val="24"/>
              </w:rPr>
              <w:t>废水经收集后采用蒸馏</w:t>
            </w:r>
            <w:r>
              <w:rPr>
                <w:rFonts w:hint="eastAsia"/>
                <w:sz w:val="24"/>
              </w:rPr>
              <w:t>方法回收</w:t>
            </w:r>
            <w:r>
              <w:rPr>
                <w:sz w:val="24"/>
              </w:rPr>
              <w:t>固体盐</w:t>
            </w:r>
            <w:r>
              <w:rPr>
                <w:rFonts w:hint="eastAsia"/>
                <w:sz w:val="24"/>
              </w:rPr>
              <w:t>，后一级清洗废水作为上一级清洗水循环使用。因此此过程最终产生的废水仅为第一级清洗后产生的废水。废水产污系数按0</w:t>
            </w:r>
            <w:r>
              <w:rPr>
                <w:sz w:val="24"/>
              </w:rPr>
              <w:t>.8计算</w:t>
            </w:r>
            <w:r>
              <w:rPr>
                <w:rFonts w:hint="eastAsia"/>
                <w:sz w:val="24"/>
              </w:rPr>
              <w:t>，</w:t>
            </w:r>
            <w:r>
              <w:rPr>
                <w:sz w:val="24"/>
              </w:rPr>
              <w:t>则废水产生量为1.6m</w:t>
            </w:r>
            <w:r>
              <w:rPr>
                <w:sz w:val="24"/>
                <w:vertAlign w:val="superscript"/>
              </w:rPr>
              <w:t>3</w:t>
            </w:r>
            <w:r>
              <w:rPr>
                <w:sz w:val="24"/>
              </w:rPr>
              <w:t>/d</w:t>
            </w:r>
            <w:r>
              <w:rPr>
                <w:rFonts w:hint="eastAsia"/>
                <w:sz w:val="24"/>
              </w:rPr>
              <w:t>。项目针对第一级清洗废水拟采用蒸馏后回收固体盐，蒸馏产生水蒸气经冷却后作为模具冷却水使用，不外排。</w:t>
            </w:r>
          </w:p>
          <w:p>
            <w:pPr>
              <w:spacing w:line="360" w:lineRule="auto"/>
              <w:ind w:firstLine="480" w:firstLineChars="200"/>
              <w:outlineLvl w:val="0"/>
              <w:rPr>
                <w:sz w:val="24"/>
              </w:rPr>
            </w:pPr>
            <w:r>
              <w:rPr>
                <w:rFonts w:hint="eastAsia"/>
                <w:sz w:val="24"/>
              </w:rPr>
              <w:t>工件</w:t>
            </w:r>
            <w:r>
              <w:rPr>
                <w:sz w:val="24"/>
              </w:rPr>
              <w:t>抛光清洗废水</w:t>
            </w:r>
            <w:r>
              <w:rPr>
                <w:rFonts w:hint="eastAsia"/>
                <w:sz w:val="24"/>
              </w:rPr>
              <w:t>：</w:t>
            </w:r>
            <w:r>
              <w:rPr>
                <w:sz w:val="24"/>
              </w:rPr>
              <w:t>项目</w:t>
            </w:r>
            <w:r>
              <w:rPr>
                <w:rFonts w:hint="eastAsia"/>
                <w:sz w:val="24"/>
              </w:rPr>
              <w:t>工件</w:t>
            </w:r>
            <w:r>
              <w:rPr>
                <w:sz w:val="24"/>
              </w:rPr>
              <w:t>经</w:t>
            </w:r>
            <w:r>
              <w:rPr>
                <w:rFonts w:hint="eastAsia"/>
                <w:sz w:val="24"/>
              </w:rPr>
              <w:t>抛光</w:t>
            </w:r>
            <w:r>
              <w:rPr>
                <w:sz w:val="24"/>
              </w:rPr>
              <w:t>后用水清洗</w:t>
            </w:r>
            <w:r>
              <w:rPr>
                <w:rFonts w:hint="eastAsia"/>
                <w:sz w:val="24"/>
              </w:rPr>
              <w:t>，废水产污系数按0</w:t>
            </w:r>
            <w:r>
              <w:rPr>
                <w:sz w:val="24"/>
              </w:rPr>
              <w:t>.8计算</w:t>
            </w:r>
            <w:r>
              <w:rPr>
                <w:rFonts w:hint="eastAsia"/>
                <w:sz w:val="24"/>
              </w:rPr>
              <w:t>，</w:t>
            </w:r>
            <w:r>
              <w:rPr>
                <w:sz w:val="24"/>
              </w:rPr>
              <w:t>故</w:t>
            </w:r>
            <w:r>
              <w:rPr>
                <w:rFonts w:hint="eastAsia"/>
                <w:sz w:val="24"/>
              </w:rPr>
              <w:t>工件抛光</w:t>
            </w:r>
            <w:r>
              <w:rPr>
                <w:sz w:val="24"/>
              </w:rPr>
              <w:t>清洗废水产生量为</w:t>
            </w:r>
            <w:r>
              <w:rPr>
                <w:rFonts w:hint="eastAsia"/>
                <w:sz w:val="24"/>
              </w:rPr>
              <w:t>0</w:t>
            </w:r>
            <w:r>
              <w:rPr>
                <w:sz w:val="24"/>
              </w:rPr>
              <w:t>.64 m</w:t>
            </w:r>
            <w:r>
              <w:rPr>
                <w:sz w:val="24"/>
                <w:vertAlign w:val="superscript"/>
              </w:rPr>
              <w:t>3</w:t>
            </w:r>
            <w:r>
              <w:rPr>
                <w:sz w:val="24"/>
              </w:rPr>
              <w:t>/d</w:t>
            </w:r>
            <w:r>
              <w:rPr>
                <w:rFonts w:hint="eastAsia"/>
                <w:sz w:val="24"/>
              </w:rPr>
              <w:t>，</w:t>
            </w:r>
            <w:r>
              <w:rPr>
                <w:sz w:val="24"/>
              </w:rPr>
              <w:t>清洗废水经收集后用于模具冷却</w:t>
            </w:r>
            <w:r>
              <w:rPr>
                <w:rFonts w:hint="eastAsia"/>
                <w:sz w:val="24"/>
              </w:rPr>
              <w:t>，</w:t>
            </w:r>
            <w:r>
              <w:rPr>
                <w:sz w:val="24"/>
              </w:rPr>
              <w:t>不外排</w:t>
            </w:r>
            <w:r>
              <w:rPr>
                <w:rFonts w:hint="eastAsia"/>
                <w:sz w:val="24"/>
              </w:rPr>
              <w:t>。</w:t>
            </w:r>
          </w:p>
          <w:p>
            <w:pPr>
              <w:spacing w:line="360" w:lineRule="auto"/>
              <w:ind w:firstLine="480" w:firstLineChars="200"/>
              <w:outlineLvl w:val="0"/>
              <w:rPr>
                <w:sz w:val="24"/>
              </w:rPr>
            </w:pPr>
            <w:r>
              <w:rPr>
                <w:rFonts w:hint="eastAsia"/>
                <w:sz w:val="24"/>
              </w:rPr>
              <w:t>含氨废水：本项目喷淋废水产污系数按0</w:t>
            </w:r>
            <w:r>
              <w:rPr>
                <w:sz w:val="24"/>
              </w:rPr>
              <w:t>.8计算</w:t>
            </w:r>
            <w:r>
              <w:rPr>
                <w:rFonts w:hint="eastAsia"/>
                <w:sz w:val="24"/>
              </w:rPr>
              <w:t>，</w:t>
            </w:r>
            <w:r>
              <w:rPr>
                <w:sz w:val="24"/>
              </w:rPr>
              <w:t>则含氨废水产生量为</w:t>
            </w:r>
            <w:r>
              <w:rPr>
                <w:rFonts w:hint="eastAsia"/>
                <w:sz w:val="24"/>
              </w:rPr>
              <w:t>0</w:t>
            </w:r>
            <w:r>
              <w:rPr>
                <w:sz w:val="24"/>
              </w:rPr>
              <w:t>.4 m</w:t>
            </w:r>
            <w:r>
              <w:rPr>
                <w:sz w:val="24"/>
                <w:vertAlign w:val="superscript"/>
              </w:rPr>
              <w:t>3</w:t>
            </w:r>
            <w:r>
              <w:rPr>
                <w:sz w:val="24"/>
              </w:rPr>
              <w:t>/d</w:t>
            </w:r>
            <w:r>
              <w:rPr>
                <w:rFonts w:hint="eastAsia"/>
                <w:sz w:val="24"/>
              </w:rPr>
              <w:t>，</w:t>
            </w:r>
            <w:r>
              <w:rPr>
                <w:sz w:val="24"/>
              </w:rPr>
              <w:t>本项目</w:t>
            </w:r>
            <w:r>
              <w:rPr>
                <w:rFonts w:hint="eastAsia"/>
                <w:sz w:val="24"/>
              </w:rPr>
              <w:t>含氨</w:t>
            </w:r>
            <w:r>
              <w:rPr>
                <w:sz w:val="24"/>
              </w:rPr>
              <w:t>废水经收集</w:t>
            </w:r>
            <w:r>
              <w:rPr>
                <w:rFonts w:hint="eastAsia"/>
                <w:sz w:val="24"/>
              </w:rPr>
              <w:t>调p</w:t>
            </w:r>
            <w:r>
              <w:rPr>
                <w:sz w:val="24"/>
              </w:rPr>
              <w:t>H后循环使用</w:t>
            </w:r>
            <w:r>
              <w:rPr>
                <w:rFonts w:hint="eastAsia"/>
                <w:sz w:val="24"/>
              </w:rPr>
              <w:t>，</w:t>
            </w:r>
            <w:r>
              <w:rPr>
                <w:sz w:val="24"/>
              </w:rPr>
              <w:t>不外排</w:t>
            </w:r>
            <w:r>
              <w:rPr>
                <w:rFonts w:hint="eastAsia"/>
                <w:sz w:val="24"/>
              </w:rPr>
              <w:t>。</w:t>
            </w:r>
          </w:p>
          <w:p>
            <w:pPr>
              <w:spacing w:line="360" w:lineRule="auto"/>
              <w:ind w:firstLine="480" w:firstLineChars="200"/>
              <w:outlineLvl w:val="0"/>
              <w:rPr>
                <w:sz w:val="24"/>
              </w:rPr>
            </w:pPr>
            <w:r>
              <w:rPr>
                <w:sz w:val="24"/>
              </w:rPr>
              <w:t>本项目水平衡图件下图</w:t>
            </w:r>
            <w:r>
              <w:rPr>
                <w:rFonts w:hint="eastAsia"/>
                <w:sz w:val="24"/>
              </w:rPr>
              <w:t>。</w:t>
            </w:r>
          </w:p>
          <w:p>
            <w:pPr>
              <w:spacing w:line="360" w:lineRule="auto"/>
              <w:ind w:firstLine="480" w:firstLineChars="200"/>
              <w:outlineLvl w:val="0"/>
              <w:rPr>
                <w:sz w:val="24"/>
              </w:rPr>
            </w:pPr>
            <w:r>
              <w:rPr>
                <w:bCs/>
                <w:sz w:val="24"/>
              </w:rPr>
              <w:pict>
                <v:group id="画布 394" o:spid="_x0000_s15966" o:spt="203" style="height:295.4pt;width:466.8pt;" coordorigin="1379,5276" coordsize="9336,5908" editas="canvas">
                  <o:lock v:ext="edit"/>
                  <v:shape id="画布 394" o:spid="_x0000_s15967" o:spt="75" type="#_x0000_t75" style="position:absolute;left:1379;top:5276;height:5908;width:9336;" filled="f" o:preferrelative="f" stroked="f" coordsize="21600,21600">
                    <v:fill on="f" focussize="0,0"/>
                    <v:stroke on="f" joinstyle="miter"/>
                    <v:imagedata o:title=""/>
                    <o:lock v:ext="edit" rotation="t" text="t" aspectratio="t"/>
                  </v:shape>
                  <v:shape id="文本框 398" o:spid="_x0000_s15968" o:spt="202" type="#_x0000_t202" style="position:absolute;left:3338;top:7365;height:442;width:1458;" coordsize="21600,21600">
                    <v:path/>
                    <v:fill focussize="0,0"/>
                    <v:stroke joinstyle="miter"/>
                    <v:imagedata o:title=""/>
                    <o:lock v:ext="edit"/>
                    <v:textbox>
                      <w:txbxContent>
                        <w:p>
                          <w:pPr>
                            <w:jc w:val="center"/>
                            <w:rPr>
                              <w:szCs w:val="21"/>
                            </w:rPr>
                          </w:pPr>
                          <w:r>
                            <w:rPr>
                              <w:rFonts w:hint="eastAsia"/>
                              <w:szCs w:val="21"/>
                            </w:rPr>
                            <w:t>后清洗废水</w:t>
                          </w:r>
                        </w:p>
                      </w:txbxContent>
                    </v:textbox>
                  </v:shape>
                  <v:shape id="文本框 396" o:spid="_x0000_s15969" o:spt="202" type="#_x0000_t202" style="position:absolute;left:5775;top:7363;height:444;width:960;" coordsize="21600,21600">
                    <v:path/>
                    <v:fill focussize="0,0"/>
                    <v:stroke joinstyle="miter"/>
                    <v:imagedata o:title=""/>
                    <o:lock v:ext="edit"/>
                    <v:textbox>
                      <w:txbxContent>
                        <w:p>
                          <w:pPr>
                            <w:jc w:val="center"/>
                            <w:rPr>
                              <w:szCs w:val="21"/>
                            </w:rPr>
                          </w:pPr>
                          <w:r>
                            <w:rPr>
                              <w:rFonts w:hint="eastAsia"/>
                              <w:szCs w:val="21"/>
                            </w:rPr>
                            <w:t>沉淀</w:t>
                          </w:r>
                        </w:p>
                      </w:txbxContent>
                    </v:textbox>
                  </v:shape>
                  <v:shape id="文本框 447" o:spid="_x0000_s15970" o:spt="202" type="#_x0000_t202" style="position:absolute;left:3970;top:10647;height:443;width:4448;" filled="f" stroked="f" coordsize="21600,21600">
                    <v:path/>
                    <v:fill on="f" focussize="0,0"/>
                    <v:stroke on="f" joinstyle="miter"/>
                    <v:imagedata o:title=""/>
                    <o:lock v:ext="edit"/>
                    <v:textbox>
                      <w:txbxContent>
                        <w:p>
                          <w:pPr>
                            <w:jc w:val="center"/>
                            <w:rPr>
                              <w:rFonts w:ascii="宋体" w:hAnsi="宋体"/>
                              <w:b/>
                            </w:rPr>
                          </w:pPr>
                          <w:r>
                            <w:rPr>
                              <w:rFonts w:hint="eastAsia" w:ascii="宋体" w:hAnsi="宋体"/>
                              <w:b/>
                            </w:rPr>
                            <w:t>图</w:t>
                          </w:r>
                          <w:r>
                            <w:rPr>
                              <w:rFonts w:ascii="宋体" w:hAnsi="宋体"/>
                              <w:b/>
                            </w:rPr>
                            <w:t>1-1</w:t>
                          </w:r>
                          <w:r>
                            <w:rPr>
                              <w:rFonts w:hint="eastAsia" w:ascii="宋体" w:hAnsi="宋体"/>
                              <w:b/>
                            </w:rPr>
                            <w:t xml:space="preserve"> 项目</w:t>
                          </w:r>
                          <w:r>
                            <w:rPr>
                              <w:rFonts w:ascii="宋体" w:hAnsi="宋体"/>
                              <w:b/>
                            </w:rPr>
                            <w:t>水平衡图</w:t>
                          </w:r>
                          <w:r>
                            <w:rPr>
                              <w:rFonts w:hint="eastAsia" w:ascii="宋体" w:hAnsi="宋体"/>
                              <w:b/>
                            </w:rPr>
                            <w:t xml:space="preserve">  单位</w:t>
                          </w:r>
                          <w:r>
                            <w:rPr>
                              <w:rFonts w:ascii="宋体" w:hAnsi="宋体"/>
                              <w:b/>
                            </w:rPr>
                            <w:t>：m</w:t>
                          </w:r>
                          <w:r>
                            <w:rPr>
                              <w:rFonts w:ascii="宋体" w:hAnsi="宋体"/>
                              <w:b/>
                              <w:vertAlign w:val="superscript"/>
                            </w:rPr>
                            <w:t>3</w:t>
                          </w:r>
                          <w:r>
                            <w:rPr>
                              <w:rFonts w:ascii="宋体" w:hAnsi="宋体"/>
                              <w:b/>
                            </w:rPr>
                            <w:t>/d</w:t>
                          </w:r>
                        </w:p>
                      </w:txbxContent>
                    </v:textbox>
                  </v:shape>
                  <v:shape id="自选图形 1565" o:spid="_x0000_s15971" o:spt="32" type="#_x0000_t32" style="position:absolute;left:4796;top:7585;flip:y;height:1;width:979;" o:connectortype="straight" filled="f" coordsize="21600,21600">
                    <v:path arrowok="t"/>
                    <v:fill on="f" focussize="0,0"/>
                    <v:stroke endarrow="block"/>
                    <v:imagedata o:title=""/>
                    <o:lock v:ext="edit"/>
                  </v:shape>
                  <v:shape id="文本框 412" o:spid="_x0000_s15972" o:spt="202" type="#_x0000_t202" style="position:absolute;left:5007;top:7246;height:443;width:747;" filled="f" stroked="f" coordsize="21600,21600">
                    <v:path/>
                    <v:fill on="f" focussize="0,0"/>
                    <v:stroke on="f" joinstyle="miter"/>
                    <v:imagedata o:title=""/>
                    <o:lock v:ext="edit"/>
                    <v:textbox>
                      <w:txbxContent>
                        <w:p>
                          <w:pPr>
                            <w:rPr>
                              <w:szCs w:val="21"/>
                            </w:rPr>
                          </w:pPr>
                          <w:r>
                            <w:rPr>
                              <w:szCs w:val="21"/>
                            </w:rPr>
                            <w:t>0.64</w:t>
                          </w:r>
                        </w:p>
                      </w:txbxContent>
                    </v:textbox>
                  </v:shape>
                  <v:shape id="文本框 396" o:spid="_x0000_s15973" o:spt="202" type="#_x0000_t202" style="position:absolute;left:3340;top:5947;height:444;width:2141;" coordsize="21600,21600">
                    <v:path/>
                    <v:fill focussize="0,0"/>
                    <v:stroke joinstyle="miter"/>
                    <v:imagedata o:title=""/>
                    <o:lock v:ext="edit"/>
                    <v:textbox>
                      <w:txbxContent>
                        <w:p>
                          <w:pPr>
                            <w:jc w:val="center"/>
                            <w:rPr>
                              <w:szCs w:val="21"/>
                            </w:rPr>
                          </w:pPr>
                          <w:r>
                            <w:rPr>
                              <w:rFonts w:hint="eastAsia"/>
                              <w:szCs w:val="21"/>
                            </w:rPr>
                            <w:t>氮化氧化清洗废水</w:t>
                          </w:r>
                        </w:p>
                      </w:txbxContent>
                    </v:textbox>
                  </v:shape>
                  <v:shape id="文本框 396" o:spid="_x0000_s15974" o:spt="202" type="#_x0000_t202" style="position:absolute;left:5921;top:5945;height:444;width:1177;" coordsize="21600,21600">
                    <v:path/>
                    <v:fill focussize="0,0"/>
                    <v:stroke joinstyle="miter"/>
                    <v:imagedata o:title=""/>
                    <o:lock v:ext="edit"/>
                    <v:textbox>
                      <w:txbxContent>
                        <w:p>
                          <w:pPr>
                            <w:jc w:val="center"/>
                            <w:rPr>
                              <w:szCs w:val="21"/>
                            </w:rPr>
                          </w:pPr>
                          <w:r>
                            <w:rPr>
                              <w:rFonts w:hint="eastAsia"/>
                              <w:szCs w:val="21"/>
                            </w:rPr>
                            <w:t>蒸馏</w:t>
                          </w:r>
                        </w:p>
                      </w:txbxContent>
                    </v:textbox>
                  </v:shape>
                  <v:shape id="文本框 396" o:spid="_x0000_s15975" o:spt="202" type="#_x0000_t202" style="position:absolute;left:7617;top:5947;height:444;width:1177;" coordsize="21600,21600">
                    <v:path/>
                    <v:fill focussize="0,0"/>
                    <v:stroke joinstyle="miter"/>
                    <v:imagedata o:title=""/>
                    <o:lock v:ext="edit"/>
                    <v:textbox>
                      <w:txbxContent>
                        <w:p>
                          <w:pPr>
                            <w:jc w:val="center"/>
                            <w:rPr>
                              <w:szCs w:val="21"/>
                            </w:rPr>
                          </w:pPr>
                          <w:r>
                            <w:rPr>
                              <w:rFonts w:hint="eastAsia"/>
                              <w:szCs w:val="21"/>
                            </w:rPr>
                            <w:t>冷却</w:t>
                          </w:r>
                        </w:p>
                      </w:txbxContent>
                    </v:textbox>
                  </v:shape>
                  <v:shape id="文本框 398" o:spid="_x0000_s15976" o:spt="202" type="#_x0000_t202" style="position:absolute;left:3337;top:8390;height:442;width:1938;" coordsize="21600,21600">
                    <v:path/>
                    <v:fill focussize="0,0"/>
                    <v:stroke joinstyle="miter"/>
                    <v:imagedata o:title=""/>
                    <o:lock v:ext="edit"/>
                    <v:textbox>
                      <w:txbxContent>
                        <w:p>
                          <w:pPr>
                            <w:jc w:val="center"/>
                            <w:rPr>
                              <w:szCs w:val="21"/>
                            </w:rPr>
                          </w:pPr>
                          <w:r>
                            <w:rPr>
                              <w:rFonts w:hint="eastAsia"/>
                              <w:szCs w:val="21"/>
                            </w:rPr>
                            <w:t>模具冷却废水</w:t>
                          </w:r>
                        </w:p>
                      </w:txbxContent>
                    </v:textbox>
                  </v:shape>
                  <v:shape id="文本框 398" o:spid="_x0000_s15977" o:spt="202" type="#_x0000_t202" style="position:absolute;left:3330;top:9433;height:442;width:1675;" coordsize="21600,21600">
                    <v:path/>
                    <v:fill focussize="0,0"/>
                    <v:stroke joinstyle="miter"/>
                    <v:imagedata o:title=""/>
                    <o:lock v:ext="edit"/>
                    <v:textbox>
                      <w:txbxContent>
                        <w:p>
                          <w:pPr>
                            <w:jc w:val="center"/>
                            <w:rPr>
                              <w:szCs w:val="21"/>
                            </w:rPr>
                          </w:pPr>
                          <w:r>
                            <w:rPr>
                              <w:rFonts w:hint="eastAsia"/>
                              <w:szCs w:val="21"/>
                            </w:rPr>
                            <w:t>含氨废水</w:t>
                          </w:r>
                        </w:p>
                      </w:txbxContent>
                    </v:textbox>
                  </v:shape>
                  <v:shape id="自选图形 1580" o:spid="_x0000_s15978" o:spt="32" type="#_x0000_t32" style="position:absolute;left:5481;top:6167;flip:y;height:2;width:440;" o:connectortype="straight" filled="f" coordsize="21600,21600">
                    <v:path arrowok="t"/>
                    <v:fill on="f" focussize="0,0"/>
                    <v:stroke endarrow="block"/>
                    <v:imagedata o:title=""/>
                    <o:lock v:ext="edit"/>
                  </v:shape>
                  <v:shape id="自选图形 1581" o:spid="_x0000_s15979" o:spt="32" type="#_x0000_t32" style="position:absolute;left:7098;top:6167;height:2;width:519;" o:connectortype="straight" filled="f" coordsize="21600,21600">
                    <v:path arrowok="t"/>
                    <v:fill on="f" focussize="0,0"/>
                    <v:stroke endarrow="block"/>
                    <v:imagedata o:title=""/>
                    <o:lock v:ext="edit"/>
                  </v:shape>
                  <v:shape id="自选图形 1584" o:spid="_x0000_s15980" o:spt="32" type="#_x0000_t32" style="position:absolute;left:2898;top:7579;flip:y;height:2;width:440;" o:connectortype="straight" filled="f" coordsize="21600,21600">
                    <v:path arrowok="t"/>
                    <v:fill on="f" focussize="0,0"/>
                    <v:stroke endarrow="block"/>
                    <v:imagedata o:title=""/>
                    <o:lock v:ext="edit"/>
                  </v:shape>
                  <v:shape id="自选图形 1585" o:spid="_x0000_s15981" o:spt="32" type="#_x0000_t32" style="position:absolute;left:2897;top:8615;flip:y;height:2;width:440;" o:connectortype="straight" filled="f" coordsize="21600,21600">
                    <v:path arrowok="t"/>
                    <v:fill on="f" focussize="0,0"/>
                    <v:stroke endarrow="block"/>
                    <v:imagedata o:title=""/>
                    <o:lock v:ext="edit"/>
                  </v:shape>
                  <v:shape id="自选图形 1586" o:spid="_x0000_s15982" o:spt="32" type="#_x0000_t32" style="position:absolute;left:2890;top:9667;flip:y;height:2;width:440;" o:connectortype="straight" filled="f" coordsize="21600,21600">
                    <v:path arrowok="t"/>
                    <v:fill on="f" focussize="0,0"/>
                    <v:stroke endarrow="block"/>
                    <v:imagedata o:title=""/>
                    <o:lock v:ext="edit"/>
                  </v:shape>
                  <v:shape id="文本框 412" o:spid="_x0000_s15983" o:spt="202" type="#_x0000_t202" style="position:absolute;left:2849;top:9276;height:665;width:747;" filled="f" stroked="f" coordsize="21600,21600">
                    <v:path/>
                    <v:fill on="f" focussize="0,0"/>
                    <v:stroke on="f" joinstyle="miter"/>
                    <v:imagedata o:title=""/>
                    <o:lock v:ext="edit"/>
                    <v:textbox>
                      <w:txbxContent>
                        <w:p>
                          <w:pPr>
                            <w:jc w:val="center"/>
                            <w:rPr>
                              <w:szCs w:val="21"/>
                            </w:rPr>
                          </w:pPr>
                          <w:r>
                            <w:rPr>
                              <w:szCs w:val="21"/>
                            </w:rPr>
                            <w:t>0.5</w:t>
                          </w:r>
                        </w:p>
                      </w:txbxContent>
                    </v:textbox>
                  </v:shape>
                  <v:shape id="自选图形 1591" o:spid="_x0000_s15984" o:spt="32" type="#_x0000_t32" style="position:absolute;left:2818;top:6139;height:3470;width:31;" o:connectortype="straight" filled="f" coordsize="21600,21600">
                    <v:path arrowok="t"/>
                    <v:fill on="f" focussize="0,0"/>
                    <v:stroke/>
                    <v:imagedata o:title=""/>
                    <o:lock v:ext="edit"/>
                  </v:shape>
                  <v:shape id="文本框 412" o:spid="_x0000_s15985" o:spt="202" type="#_x0000_t202" style="position:absolute;left:2776;top:8266;height:443;width:747;" filled="f" stroked="f" coordsize="21600,21600">
                    <v:path/>
                    <v:fill on="f" focussize="0,0"/>
                    <v:stroke on="f" joinstyle="miter"/>
                    <v:imagedata o:title=""/>
                    <o:lock v:ext="edit"/>
                    <v:textbox>
                      <w:txbxContent>
                        <w:p>
                          <w:pPr>
                            <w:jc w:val="center"/>
                            <w:rPr>
                              <w:color w:val="FF0000"/>
                              <w:szCs w:val="21"/>
                            </w:rPr>
                          </w:pPr>
                          <w:r>
                            <w:rPr>
                              <w:color w:val="FF0000"/>
                              <w:szCs w:val="21"/>
                            </w:rPr>
                            <w:t>1.5</w:t>
                          </w:r>
                        </w:p>
                      </w:txbxContent>
                    </v:textbox>
                  </v:shape>
                  <v:shape id="任意多边形 418" o:spid="_x0000_s15986" style="position:absolute;left:3743;top:8059;height:313;width:362;" filled="f" coordsize="420,468" path="m0,468c26,325,53,182,105,156c157,130,263,338,315,312c367,286,403,26,420,0e">
                    <v:path arrowok="t"/>
                    <v:fill on="f" focussize="0,0"/>
                    <v:stroke dashstyle="1 1" endarrow="block"/>
                    <v:imagedata o:title=""/>
                    <o:lock v:ext="edit"/>
                  </v:shape>
                  <v:shape id="文本框 316" o:spid="_x0000_s15987" o:spt="202" type="#_x0000_t202" style="position:absolute;left:3935;top:7906;height:443;width:875;" filled="f" stroked="f" coordsize="21600,21600">
                    <v:path/>
                    <v:fill on="f" focussize="0,0"/>
                    <v:stroke on="f" joinstyle="miter"/>
                    <v:imagedata o:title=""/>
                    <o:lock v:ext="edit"/>
                    <v:textbox>
                      <w:txbxContent>
                        <w:p>
                          <w:pPr>
                            <w:jc w:val="center"/>
                            <w:rPr>
                              <w:color w:val="FF0000"/>
                              <w:szCs w:val="21"/>
                            </w:rPr>
                          </w:pPr>
                          <w:r>
                            <w:rPr>
                              <w:color w:val="FF0000"/>
                              <w:szCs w:val="21"/>
                            </w:rPr>
                            <w:t>2.14</w:t>
                          </w:r>
                        </w:p>
                      </w:txbxContent>
                    </v:textbox>
                  </v:shape>
                  <v:shape id="文本框 412" o:spid="_x0000_s15988" o:spt="202" type="#_x0000_t202" style="position:absolute;left:2786;top:7187;height:443;width:747;" filled="f" stroked="f" coordsize="21600,21600">
                    <v:path/>
                    <v:fill on="f" focussize="0,0"/>
                    <v:stroke on="f" joinstyle="miter"/>
                    <v:imagedata o:title=""/>
                    <o:lock v:ext="edit"/>
                    <v:textbox>
                      <w:txbxContent>
                        <w:p>
                          <w:pPr>
                            <w:jc w:val="center"/>
                            <w:rPr>
                              <w:szCs w:val="21"/>
                            </w:rPr>
                          </w:pPr>
                          <w:r>
                            <w:rPr>
                              <w:szCs w:val="21"/>
                            </w:rPr>
                            <w:t>0.8</w:t>
                          </w:r>
                        </w:p>
                      </w:txbxContent>
                    </v:textbox>
                  </v:shape>
                  <v:shape id="任意多边形 418" o:spid="_x0000_s15989" style="position:absolute;left:3630;top:7036;height:313;width:362;" filled="f" coordsize="420,468" path="m0,468c26,325,53,182,105,156c157,130,263,338,315,312c367,286,403,26,420,0e">
                    <v:path arrowok="t"/>
                    <v:fill on="f" focussize="0,0"/>
                    <v:stroke dashstyle="1 1" endarrow="block"/>
                    <v:imagedata o:title=""/>
                    <o:lock v:ext="edit"/>
                  </v:shape>
                  <v:shape id="文本框 316" o:spid="_x0000_s15990" o:spt="202" type="#_x0000_t202" style="position:absolute;left:3762;top:6883;height:443;width:875;" filled="f" stroked="f" coordsize="21600,21600">
                    <v:path/>
                    <v:fill on="f" focussize="0,0"/>
                    <v:stroke on="f" joinstyle="miter"/>
                    <v:imagedata o:title=""/>
                    <o:lock v:ext="edit"/>
                    <v:textbox>
                      <w:txbxContent>
                        <w:p>
                          <w:pPr>
                            <w:jc w:val="center"/>
                            <w:rPr>
                              <w:szCs w:val="21"/>
                            </w:rPr>
                          </w:pPr>
                          <w:r>
                            <w:rPr>
                              <w:szCs w:val="21"/>
                            </w:rPr>
                            <w:t>0.16</w:t>
                          </w:r>
                        </w:p>
                      </w:txbxContent>
                    </v:textbox>
                  </v:shape>
                  <v:shape id="自选图形 1598" o:spid="_x0000_s15991" o:spt="32" type="#_x0000_t32" style="position:absolute;left:2881;top:6169;flip:y;height:2;width:440;" o:connectortype="straight" filled="f" coordsize="21600,21600">
                    <v:path arrowok="t"/>
                    <v:fill on="f" focussize="0,0"/>
                    <v:stroke endarrow="block"/>
                    <v:imagedata o:title=""/>
                    <o:lock v:ext="edit"/>
                  </v:shape>
                  <v:shape id="文本框 412" o:spid="_x0000_s15992" o:spt="202" type="#_x0000_t202" style="position:absolute;left:2818;top:5747;height:784;width:747;" filled="f" stroked="f" coordsize="21600,21600">
                    <v:path/>
                    <v:fill on="f" focussize="0,0"/>
                    <v:stroke on="f" joinstyle="miter"/>
                    <v:imagedata o:title=""/>
                    <o:lock v:ext="edit"/>
                    <v:textbox>
                      <w:txbxContent>
                        <w:p>
                          <w:pPr>
                            <w:jc w:val="center"/>
                            <w:rPr>
                              <w:szCs w:val="21"/>
                            </w:rPr>
                          </w:pPr>
                          <w:r>
                            <w:rPr>
                              <w:szCs w:val="21"/>
                            </w:rPr>
                            <w:t>2.0</w:t>
                          </w:r>
                        </w:p>
                      </w:txbxContent>
                    </v:textbox>
                  </v:shape>
                  <v:shape id="文本框 412" o:spid="_x0000_s15993" o:spt="202" type="#_x0000_t202" style="position:absolute;left:5397;top:5836;height:443;width:747;" filled="f" stroked="f" coordsize="21600,21600">
                    <v:path/>
                    <v:fill on="f" focussize="0,0"/>
                    <v:stroke on="f" joinstyle="miter"/>
                    <v:imagedata o:title=""/>
                    <o:lock v:ext="edit"/>
                    <v:textbox>
                      <w:txbxContent>
                        <w:p>
                          <w:pPr>
                            <w:rPr>
                              <w:szCs w:val="21"/>
                            </w:rPr>
                          </w:pPr>
                          <w:r>
                            <w:rPr>
                              <w:szCs w:val="21"/>
                            </w:rPr>
                            <w:t>1.6</w:t>
                          </w:r>
                        </w:p>
                      </w:txbxContent>
                    </v:textbox>
                  </v:shape>
                  <v:shape id="文本框 412" o:spid="_x0000_s15994" o:spt="202" type="#_x0000_t202" style="position:absolute;left:7036;top:5818;height:443;width:747;" filled="f" stroked="f" coordsize="21600,21600">
                    <v:path/>
                    <v:fill on="f" focussize="0,0"/>
                    <v:stroke on="f" joinstyle="miter"/>
                    <v:imagedata o:title=""/>
                    <o:lock v:ext="edit"/>
                    <v:textbox>
                      <w:txbxContent>
                        <w:p>
                          <w:pPr>
                            <w:rPr>
                              <w:szCs w:val="21"/>
                            </w:rPr>
                          </w:pPr>
                          <w:r>
                            <w:rPr>
                              <w:szCs w:val="21"/>
                            </w:rPr>
                            <w:t>1.28</w:t>
                          </w:r>
                        </w:p>
                      </w:txbxContent>
                    </v:textbox>
                  </v:shape>
                  <v:shape id="任意多边形 418" o:spid="_x0000_s15995" style="position:absolute;left:4016;top:5607;height:313;width:362;" filled="f" coordsize="420,468" path="m0,468c26,325,53,182,105,156c157,130,263,338,315,312c367,286,403,26,420,0e">
                    <v:path arrowok="t"/>
                    <v:fill on="f" focussize="0,0"/>
                    <v:stroke dashstyle="1 1" endarrow="block"/>
                    <v:imagedata o:title=""/>
                    <o:lock v:ext="edit"/>
                  </v:shape>
                  <v:shape id="文本框 316" o:spid="_x0000_s15996" o:spt="202" type="#_x0000_t202" style="position:absolute;left:4208;top:5454;height:443;width:875;" filled="f" stroked="f" coordsize="21600,21600">
                    <v:path/>
                    <v:fill on="f" focussize="0,0"/>
                    <v:stroke on="f" joinstyle="miter"/>
                    <v:imagedata o:title=""/>
                    <o:lock v:ext="edit"/>
                    <v:textbox>
                      <w:txbxContent>
                        <w:p>
                          <w:pPr>
                            <w:jc w:val="center"/>
                            <w:rPr>
                              <w:szCs w:val="21"/>
                            </w:rPr>
                          </w:pPr>
                          <w:r>
                            <w:rPr>
                              <w:szCs w:val="21"/>
                            </w:rPr>
                            <w:t>0.4</w:t>
                          </w:r>
                        </w:p>
                      </w:txbxContent>
                    </v:textbox>
                  </v:shape>
                  <v:shape id="任意多边形 418" o:spid="_x0000_s15997" style="position:absolute;left:6071;top:5584;height:313;width:362;" filled="f" coordsize="420,468" path="m0,468c26,325,53,182,105,156c157,130,263,338,315,312c367,286,403,26,420,0e">
                    <v:path arrowok="t"/>
                    <v:fill on="f" focussize="0,0"/>
                    <v:stroke dashstyle="1 1" endarrow="block"/>
                    <v:imagedata o:title=""/>
                    <o:lock v:ext="edit"/>
                  </v:shape>
                  <v:shape id="文本框 316" o:spid="_x0000_s15998" o:spt="202" type="#_x0000_t202" style="position:absolute;left:6263;top:5431;height:443;width:875;" filled="f" stroked="f" coordsize="21600,21600">
                    <v:path/>
                    <v:fill on="f" focussize="0,0"/>
                    <v:stroke on="f" joinstyle="miter"/>
                    <v:imagedata o:title=""/>
                    <o:lock v:ext="edit"/>
                    <v:textbox>
                      <w:txbxContent>
                        <w:p>
                          <w:pPr>
                            <w:jc w:val="center"/>
                            <w:rPr>
                              <w:szCs w:val="21"/>
                            </w:rPr>
                          </w:pPr>
                          <w:r>
                            <w:rPr>
                              <w:szCs w:val="21"/>
                            </w:rPr>
                            <w:t>0.32</w:t>
                          </w:r>
                        </w:p>
                      </w:txbxContent>
                    </v:textbox>
                  </v:shape>
                  <v:shape id="任意多边形 418" o:spid="_x0000_s15999" style="position:absolute;left:3870;top:9120;height:313;width:362;" filled="f" coordsize="420,468" path="m0,468c26,325,53,182,105,156c157,130,263,338,315,312c367,286,403,26,420,0e">
                    <v:path arrowok="t"/>
                    <v:fill on="f" focussize="0,0"/>
                    <v:stroke dashstyle="1 1" endarrow="block"/>
                    <v:imagedata o:title=""/>
                    <o:lock v:ext="edit"/>
                  </v:shape>
                  <v:shape id="文本框 316" o:spid="_x0000_s16000" o:spt="202" type="#_x0000_t202" style="position:absolute;left:4062;top:8967;height:443;width:875;" filled="f" stroked="f" coordsize="21600,21600">
                    <v:path/>
                    <v:fill on="f" focussize="0,0"/>
                    <v:stroke on="f" joinstyle="miter"/>
                    <v:imagedata o:title=""/>
                    <o:lock v:ext="edit"/>
                    <v:textbox>
                      <w:txbxContent>
                        <w:p>
                          <w:pPr>
                            <w:jc w:val="center"/>
                            <w:rPr>
                              <w:szCs w:val="21"/>
                            </w:rPr>
                          </w:pPr>
                          <w:r>
                            <w:rPr>
                              <w:szCs w:val="21"/>
                            </w:rPr>
                            <w:t>0.1</w:t>
                          </w:r>
                        </w:p>
                      </w:txbxContent>
                    </v:textbox>
                  </v:shape>
                  <v:shape id="自选图形 1608" o:spid="_x0000_s16001" o:spt="34" type="#_x0000_t34" style="position:absolute;left:6306;top:4492;height:3795;width:1;rotation:5898240f;" o:connectortype="elbow" filled="f" coordsize="21600,21600" adj="7776000,-14588,-178286400">
                    <v:path arrowok="t"/>
                    <v:fill on="f" focussize="0,0"/>
                    <v:stroke endarrow="block"/>
                    <v:imagedata o:title=""/>
                    <o:lock v:ext="edit"/>
                  </v:shape>
                  <v:shape id="自选图形 1611" o:spid="_x0000_s16002" o:spt="33" type="#_x0000_t33" style="position:absolute;left:5363;top:7719;height:980;width:804;rotation:5898240f;" o:connectortype="elbow" filled="f" coordsize="21600,21600" adj="-169146,-88670,-169146">
                    <v:path arrowok="t"/>
                    <v:fill on="f" focussize="0,0"/>
                    <v:stroke endarrow="block"/>
                    <v:imagedata o:title=""/>
                    <o:lock v:ext="edit"/>
                  </v:shape>
                  <v:shape id="文本框 412" o:spid="_x0000_s16003" o:spt="202" type="#_x0000_t202" style="position:absolute;left:6205;top:7947;height:443;width:747;" filled="f" stroked="f" coordsize="21600,21600">
                    <v:path/>
                    <v:fill on="f" focussize="0,0"/>
                    <v:stroke on="f" joinstyle="miter"/>
                    <v:imagedata o:title=""/>
                    <o:lock v:ext="edit"/>
                    <v:textbox>
                      <w:txbxContent>
                        <w:p>
                          <w:pPr>
                            <w:rPr>
                              <w:szCs w:val="21"/>
                            </w:rPr>
                          </w:pPr>
                          <w:r>
                            <w:rPr>
                              <w:szCs w:val="21"/>
                            </w:rPr>
                            <w:t>0.64</w:t>
                          </w:r>
                        </w:p>
                      </w:txbxContent>
                    </v:textbox>
                  </v:shape>
                  <v:shape id="文本框 412" o:spid="_x0000_s16004" o:spt="202" type="#_x0000_t202" style="position:absolute;left:6048;top:6440;height:443;width:747;" filled="f" stroked="f" coordsize="21600,21600">
                    <v:path/>
                    <v:fill on="f" focussize="0,0"/>
                    <v:stroke on="f" joinstyle="miter"/>
                    <v:imagedata o:title=""/>
                    <o:lock v:ext="edit"/>
                    <v:textbox>
                      <w:txbxContent>
                        <w:p>
                          <w:pPr>
                            <w:rPr>
                              <w:szCs w:val="21"/>
                            </w:rPr>
                          </w:pPr>
                          <w:r>
                            <w:rPr>
                              <w:szCs w:val="21"/>
                            </w:rPr>
                            <w:t>1.28</w:t>
                          </w:r>
                        </w:p>
                      </w:txbxContent>
                    </v:textbox>
                  </v:shape>
                  <v:shape id="文本框 398" o:spid="_x0000_s16005" o:spt="202" type="#_x0000_t202" style="position:absolute;left:5526;top:9433;height:442;width:1675;" coordsize="21600,21600">
                    <v:path/>
                    <v:fill focussize="0,0"/>
                    <v:stroke joinstyle="miter"/>
                    <v:imagedata o:title=""/>
                    <o:lock v:ext="edit"/>
                    <v:textbox>
                      <w:txbxContent>
                        <w:p>
                          <w:pPr>
                            <w:jc w:val="center"/>
                            <w:rPr>
                              <w:szCs w:val="21"/>
                            </w:rPr>
                          </w:pPr>
                          <w:r>
                            <w:rPr>
                              <w:rFonts w:hint="eastAsia"/>
                              <w:szCs w:val="21"/>
                            </w:rPr>
                            <w:t>调p</w:t>
                          </w:r>
                          <w:r>
                            <w:rPr>
                              <w:szCs w:val="21"/>
                            </w:rPr>
                            <w:t>H</w:t>
                          </w:r>
                        </w:p>
                      </w:txbxContent>
                    </v:textbox>
                  </v:shape>
                  <v:shape id="自选图形 1615" o:spid="_x0000_s16006" o:spt="32" type="#_x0000_t32" style="position:absolute;left:5005;top:9654;height:1;width:521;" o:connectortype="straight" filled="f" coordsize="21600,21600">
                    <v:path arrowok="t"/>
                    <v:fill on="f" focussize="0,0"/>
                    <v:stroke endarrow="block"/>
                    <v:imagedata o:title=""/>
                    <o:lock v:ext="edit"/>
                  </v:shape>
                  <v:shape id="自选图形 1616" o:spid="_x0000_s16007" o:spt="34" type="#_x0000_t34" style="position:absolute;left:5263;top:8776;height:2196;width:1;rotation:5898240f;" o:connectortype="elbow" filled="f" coordsize="21600,21600" adj="7776000,-59911,-138348000">
                    <v:path arrowok="t"/>
                    <v:fill on="f" focussize="0,0"/>
                    <v:stroke endarrow="block"/>
                    <v:imagedata o:title=""/>
                    <o:lock v:ext="edit"/>
                  </v:shape>
                  <v:shape id="文本框 412" o:spid="_x0000_s16008" o:spt="202" type="#_x0000_t202" style="position:absolute;left:4909;top:9276;height:443;width:747;" filled="f" stroked="f" coordsize="21600,21600">
                    <v:path/>
                    <v:fill on="f" focussize="0,0"/>
                    <v:stroke on="f" joinstyle="miter"/>
                    <v:imagedata o:title=""/>
                    <o:lock v:ext="edit"/>
                    <v:textbox>
                      <w:txbxContent>
                        <w:p>
                          <w:pPr>
                            <w:jc w:val="center"/>
                            <w:rPr>
                              <w:szCs w:val="21"/>
                            </w:rPr>
                          </w:pPr>
                          <w:r>
                            <w:rPr>
                              <w:szCs w:val="21"/>
                            </w:rPr>
                            <w:t>0.4</w:t>
                          </w:r>
                        </w:p>
                      </w:txbxContent>
                    </v:textbox>
                  </v:shape>
                  <v:shape id="文本框 412" o:spid="_x0000_s16009" o:spt="202" type="#_x0000_t202" style="position:absolute;left:5131;top:9855;height:443;width:747;" filled="f" stroked="f" coordsize="21600,21600">
                    <v:path/>
                    <v:fill on="f" focussize="0,0"/>
                    <v:stroke on="f" joinstyle="miter"/>
                    <v:imagedata o:title=""/>
                    <o:lock v:ext="edit"/>
                    <v:textbox>
                      <w:txbxContent>
                        <w:p>
                          <w:pPr>
                            <w:jc w:val="center"/>
                            <w:rPr>
                              <w:szCs w:val="21"/>
                            </w:rPr>
                          </w:pPr>
                          <w:r>
                            <w:rPr>
                              <w:szCs w:val="21"/>
                            </w:rPr>
                            <w:t>0.4</w:t>
                          </w:r>
                        </w:p>
                      </w:txbxContent>
                    </v:textbox>
                  </v:shape>
                  <v:shape id="自选图形 1619" o:spid="_x0000_s16010" o:spt="32" type="#_x0000_t32" style="position:absolute;left:1939;top:7980;flip:y;height:1;width:979;" o:connectortype="straight" filled="f" coordsize="21600,21600">
                    <v:path arrowok="t"/>
                    <v:fill on="f" focussize="0,0"/>
                    <v:stroke endarrow="block"/>
                    <v:imagedata o:title=""/>
                    <o:lock v:ext="edit"/>
                  </v:shape>
                  <v:shape id="文本框 412" o:spid="_x0000_s16011" o:spt="202" type="#_x0000_t202" style="position:absolute;left:1939;top:7388;height:443;width:747;" filled="f" stroked="f" coordsize="21600,21600">
                    <v:path/>
                    <v:fill on="f" focussize="0,0"/>
                    <v:stroke on="f" joinstyle="miter"/>
                    <v:imagedata o:title=""/>
                    <o:lock v:ext="edit"/>
                    <v:textbox>
                      <w:txbxContent>
                        <w:p>
                          <w:pPr>
                            <w:jc w:val="center"/>
                            <w:rPr>
                              <w:szCs w:val="21"/>
                            </w:rPr>
                          </w:pPr>
                          <w:r>
                            <w:rPr>
                              <w:szCs w:val="21"/>
                            </w:rPr>
                            <w:t>4.3</w:t>
                          </w:r>
                        </w:p>
                      </w:txbxContent>
                    </v:textbox>
                  </v:shape>
                  <w10:wrap type="none"/>
                  <w10:anchorlock/>
                </v:group>
              </w:pict>
            </w:r>
          </w:p>
          <w:p>
            <w:pPr>
              <w:spacing w:line="360" w:lineRule="auto"/>
              <w:ind w:firstLine="480" w:firstLineChars="200"/>
              <w:outlineLvl w:val="0"/>
              <w:rPr>
                <w:sz w:val="24"/>
              </w:rPr>
            </w:pPr>
            <w:r>
              <w:rPr>
                <w:sz w:val="24"/>
              </w:rPr>
              <w:t>（2）供电</w:t>
            </w:r>
          </w:p>
          <w:p>
            <w:pPr>
              <w:spacing w:line="360" w:lineRule="auto"/>
              <w:ind w:firstLine="480" w:firstLineChars="200"/>
              <w:outlineLvl w:val="0"/>
              <w:rPr>
                <w:sz w:val="24"/>
              </w:rPr>
            </w:pPr>
            <w:r>
              <w:rPr>
                <w:sz w:val="24"/>
              </w:rPr>
              <w:t>由</w:t>
            </w:r>
            <w:r>
              <w:rPr>
                <w:rFonts w:hint="eastAsia"/>
                <w:sz w:val="24"/>
              </w:rPr>
              <w:t>乐山</w:t>
            </w:r>
            <w:r>
              <w:rPr>
                <w:sz w:val="24"/>
              </w:rPr>
              <w:t>市供电局的电网供电，本项目</w:t>
            </w:r>
            <w:r>
              <w:rPr>
                <w:rFonts w:hint="eastAsia"/>
                <w:sz w:val="24"/>
              </w:rPr>
              <w:t>年用电量为</w:t>
            </w:r>
            <w:r>
              <w:rPr>
                <w:sz w:val="24"/>
              </w:rPr>
              <w:t>28</w:t>
            </w:r>
            <w:r>
              <w:rPr>
                <w:rFonts w:hint="eastAsia"/>
                <w:sz w:val="24"/>
              </w:rPr>
              <w:t>万kwh。</w:t>
            </w:r>
          </w:p>
          <w:p>
            <w:pPr>
              <w:spacing w:line="360" w:lineRule="auto"/>
              <w:rPr>
                <w:b/>
                <w:bCs/>
                <w:sz w:val="28"/>
              </w:rPr>
            </w:pPr>
            <w:r>
              <w:rPr>
                <w:rFonts w:hint="eastAsia"/>
                <w:b/>
                <w:bCs/>
                <w:sz w:val="28"/>
              </w:rPr>
              <w:t>八</w:t>
            </w:r>
            <w:r>
              <w:rPr>
                <w:b/>
                <w:bCs/>
                <w:sz w:val="28"/>
              </w:rPr>
              <w:t>、劳动定员及生产制度</w:t>
            </w:r>
          </w:p>
          <w:p>
            <w:pPr>
              <w:spacing w:line="360" w:lineRule="auto"/>
              <w:ind w:firstLine="480" w:firstLineChars="200"/>
              <w:outlineLvl w:val="0"/>
              <w:rPr>
                <w:iCs/>
                <w:sz w:val="28"/>
              </w:rPr>
            </w:pPr>
            <w:r>
              <w:rPr>
                <w:sz w:val="24"/>
              </w:rPr>
              <w:t>本项目</w:t>
            </w:r>
            <w:r>
              <w:rPr>
                <w:rFonts w:hint="eastAsia"/>
                <w:sz w:val="24"/>
              </w:rPr>
              <w:t>建成</w:t>
            </w:r>
            <w:r>
              <w:rPr>
                <w:sz w:val="24"/>
              </w:rPr>
              <w:t>后劳动</w:t>
            </w:r>
            <w:r>
              <w:rPr>
                <w:rFonts w:hint="eastAsia"/>
                <w:sz w:val="24"/>
              </w:rPr>
              <w:t>人员</w:t>
            </w:r>
            <w:r>
              <w:rPr>
                <w:sz w:val="24"/>
              </w:rPr>
              <w:t>20</w:t>
            </w:r>
            <w:r>
              <w:rPr>
                <w:rFonts w:hint="eastAsia"/>
                <w:sz w:val="24"/>
              </w:rPr>
              <w:t>人，由原厂内员工进行调剂，不新增人员。</w:t>
            </w:r>
            <w:r>
              <w:rPr>
                <w:sz w:val="24"/>
              </w:rPr>
              <w:t>生产实行</w:t>
            </w:r>
            <w:r>
              <w:rPr>
                <w:rFonts w:hint="eastAsia"/>
                <w:sz w:val="24"/>
              </w:rPr>
              <w:t>三班制</w:t>
            </w:r>
            <w:r>
              <w:rPr>
                <w:sz w:val="24"/>
              </w:rPr>
              <w:t>，每班</w:t>
            </w:r>
            <w:r>
              <w:rPr>
                <w:rFonts w:hint="eastAsia"/>
                <w:sz w:val="24"/>
              </w:rPr>
              <w:t>工作8</w:t>
            </w:r>
            <w:r>
              <w:rPr>
                <w:sz w:val="24"/>
              </w:rPr>
              <w:t>小时，年总生产天数</w:t>
            </w:r>
            <w:r>
              <w:rPr>
                <w:rFonts w:hint="eastAsia"/>
                <w:sz w:val="24"/>
              </w:rPr>
              <w:t>2</w:t>
            </w:r>
            <w:r>
              <w:rPr>
                <w:sz w:val="24"/>
              </w:rPr>
              <w:t>8</w:t>
            </w:r>
            <w:r>
              <w:rPr>
                <w:rFonts w:hint="eastAsia"/>
                <w:sz w:val="24"/>
              </w:rPr>
              <w:t>0</w:t>
            </w:r>
            <w:r>
              <w:rPr>
                <w:sz w:val="24"/>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9468" w:type="dxa"/>
            <w:gridSpan w:val="11"/>
          </w:tcPr>
          <w:p>
            <w:pPr>
              <w:spacing w:line="360" w:lineRule="auto"/>
              <w:rPr>
                <w:b/>
                <w:sz w:val="28"/>
              </w:rPr>
            </w:pPr>
            <w:r>
              <w:rPr>
                <w:b/>
                <w:sz w:val="28"/>
              </w:rPr>
              <w:t xml:space="preserve">与本项目有关的原有污染情况及主要环境问题： </w:t>
            </w:r>
          </w:p>
          <w:p>
            <w:pPr>
              <w:spacing w:line="360" w:lineRule="auto"/>
              <w:ind w:firstLine="480" w:firstLineChars="200"/>
              <w:rPr>
                <w:rStyle w:val="527"/>
                <w:sz w:val="24"/>
              </w:rPr>
            </w:pPr>
            <w:r>
              <w:rPr>
                <w:rFonts w:hint="eastAsia" w:ascii="宋体" w:hAnsi="宋体"/>
                <w:sz w:val="24"/>
              </w:rPr>
              <w:t>本项目位于乐山市市中区工业集中区水口-罗汉工业园区内，在乐山豪森锅具有限公司现有厂房内进行改建。乐山豪森锅具有限公司于2</w:t>
            </w:r>
            <w:r>
              <w:rPr>
                <w:rFonts w:ascii="宋体" w:hAnsi="宋体"/>
                <w:sz w:val="24"/>
              </w:rPr>
              <w:t>010年5</w:t>
            </w:r>
            <w:r>
              <w:rPr>
                <w:rFonts w:hint="eastAsia" w:ascii="宋体" w:hAnsi="宋体"/>
                <w:sz w:val="24"/>
              </w:rPr>
              <w:t>月取得了乐山市市中区环保局《关于乐山豪森锅具有限公司扩建锅具生产线项目环境影响报告表的批复》（乐中环建管[</w:t>
            </w:r>
            <w:r>
              <w:rPr>
                <w:rFonts w:ascii="宋体" w:hAnsi="宋体"/>
                <w:sz w:val="24"/>
              </w:rPr>
              <w:t>2010]44号</w:t>
            </w:r>
            <w:r>
              <w:rPr>
                <w:rFonts w:hint="eastAsia" w:ascii="宋体" w:hAnsi="宋体"/>
                <w:sz w:val="24"/>
              </w:rPr>
              <w:t>），并于2</w:t>
            </w:r>
            <w:r>
              <w:rPr>
                <w:rFonts w:ascii="宋体" w:hAnsi="宋体"/>
                <w:sz w:val="24"/>
              </w:rPr>
              <w:t>014年</w:t>
            </w:r>
            <w:r>
              <w:rPr>
                <w:rFonts w:hint="eastAsia" w:ascii="宋体" w:hAnsi="宋体"/>
                <w:sz w:val="24"/>
              </w:rPr>
              <w:t>8月通过乐山市市中区环保局的竣工验收（乐中环验[</w:t>
            </w:r>
            <w:r>
              <w:rPr>
                <w:rFonts w:ascii="宋体" w:hAnsi="宋体"/>
                <w:sz w:val="24"/>
              </w:rPr>
              <w:t>2014]9号</w:t>
            </w:r>
            <w:r>
              <w:rPr>
                <w:rFonts w:hint="eastAsia" w:ascii="宋体" w:hAnsi="宋体"/>
                <w:sz w:val="24"/>
              </w:rPr>
              <w:t>）。</w:t>
            </w:r>
            <w:r>
              <w:rPr>
                <w:rFonts w:hint="eastAsia"/>
                <w:sz w:val="24"/>
              </w:rPr>
              <w:t>根据现场踏勘</w:t>
            </w:r>
            <w:r>
              <w:rPr>
                <w:rStyle w:val="527"/>
                <w:rFonts w:hint="eastAsia"/>
                <w:sz w:val="24"/>
              </w:rPr>
              <w:t>，现有项目基本情况如下所述：</w:t>
            </w:r>
          </w:p>
          <w:p>
            <w:pPr>
              <w:spacing w:line="360" w:lineRule="auto"/>
              <w:ind w:firstLine="482" w:firstLineChars="200"/>
              <w:rPr>
                <w:rStyle w:val="527"/>
                <w:b/>
                <w:bCs/>
                <w:sz w:val="24"/>
              </w:rPr>
            </w:pPr>
            <w:r>
              <w:rPr>
                <w:rStyle w:val="527"/>
                <w:rFonts w:hint="eastAsia"/>
                <w:b/>
                <w:bCs/>
                <w:sz w:val="24"/>
              </w:rPr>
              <w:t>1、项目组成</w:t>
            </w:r>
          </w:p>
          <w:p>
            <w:pPr>
              <w:spacing w:line="360" w:lineRule="auto"/>
              <w:ind w:firstLine="480" w:firstLineChars="200"/>
              <w:rPr>
                <w:sz w:val="24"/>
              </w:rPr>
            </w:pPr>
            <w:r>
              <w:rPr>
                <w:rFonts w:hint="eastAsia"/>
                <w:sz w:val="24"/>
              </w:rPr>
              <w:t>现有项目组成如下表所示：</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tabs>
                <w:tab w:val="center" w:pos="4866"/>
                <w:tab w:val="left" w:pos="6660"/>
              </w:tabs>
              <w:spacing w:line="360" w:lineRule="auto"/>
              <w:jc w:val="center"/>
              <w:outlineLvl w:val="0"/>
              <w:rPr>
                <w:rFonts w:ascii="宋体" w:hAnsi="宋体"/>
                <w:b/>
                <w:sz w:val="24"/>
              </w:rPr>
            </w:pPr>
            <w:r>
              <w:rPr>
                <w:rFonts w:hint="eastAsia" w:ascii="宋体" w:hAnsi="宋体"/>
                <w:b/>
                <w:sz w:val="24"/>
              </w:rPr>
              <w:t>表1-8  项目组成情况</w:t>
            </w:r>
          </w:p>
          <w:tbl>
            <w:tblPr>
              <w:tblStyle w:val="53"/>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381"/>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459" w:type="dxa"/>
                  <w:vMerge w:val="restart"/>
                  <w:vAlign w:val="center"/>
                </w:tcPr>
                <w:p>
                  <w:pPr>
                    <w:jc w:val="center"/>
                    <w:rPr>
                      <w:szCs w:val="21"/>
                    </w:rPr>
                  </w:pPr>
                  <w:r>
                    <w:rPr>
                      <w:szCs w:val="21"/>
                    </w:rPr>
                    <w:t>工程类别</w:t>
                  </w:r>
                </w:p>
              </w:tc>
              <w:tc>
                <w:tcPr>
                  <w:tcW w:w="2381" w:type="dxa"/>
                  <w:vMerge w:val="restart"/>
                  <w:vAlign w:val="center"/>
                </w:tcPr>
                <w:p>
                  <w:pPr>
                    <w:jc w:val="center"/>
                    <w:rPr>
                      <w:szCs w:val="21"/>
                    </w:rPr>
                  </w:pPr>
                  <w:r>
                    <w:rPr>
                      <w:szCs w:val="21"/>
                    </w:rPr>
                    <w:t>项目组成</w:t>
                  </w:r>
                </w:p>
              </w:tc>
              <w:tc>
                <w:tcPr>
                  <w:tcW w:w="5438" w:type="dxa"/>
                  <w:vMerge w:val="restart"/>
                  <w:vAlign w:val="center"/>
                </w:tcPr>
                <w:p>
                  <w:pPr>
                    <w:jc w:val="center"/>
                    <w:rPr>
                      <w:szCs w:val="21"/>
                    </w:rPr>
                  </w:pPr>
                  <w:r>
                    <w:rPr>
                      <w:szCs w:val="21"/>
                    </w:rPr>
                    <w:t>建设内容及规模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459" w:type="dxa"/>
                  <w:vMerge w:val="continue"/>
                  <w:vAlign w:val="center"/>
                </w:tcPr>
                <w:p>
                  <w:pPr>
                    <w:jc w:val="center"/>
                    <w:rPr>
                      <w:szCs w:val="21"/>
                    </w:rPr>
                  </w:pPr>
                </w:p>
              </w:tc>
              <w:tc>
                <w:tcPr>
                  <w:tcW w:w="2381" w:type="dxa"/>
                  <w:vMerge w:val="continue"/>
                  <w:vAlign w:val="center"/>
                </w:tcPr>
                <w:p>
                  <w:pPr>
                    <w:jc w:val="center"/>
                    <w:rPr>
                      <w:szCs w:val="21"/>
                    </w:rPr>
                  </w:pPr>
                </w:p>
              </w:tc>
              <w:tc>
                <w:tcPr>
                  <w:tcW w:w="5438"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459" w:type="dxa"/>
                  <w:vMerge w:val="restart"/>
                  <w:vAlign w:val="center"/>
                </w:tcPr>
                <w:p>
                  <w:pPr>
                    <w:jc w:val="center"/>
                    <w:rPr>
                      <w:szCs w:val="21"/>
                    </w:rPr>
                  </w:pPr>
                  <w:r>
                    <w:rPr>
                      <w:szCs w:val="21"/>
                    </w:rPr>
                    <w:t>主体工程</w:t>
                  </w:r>
                </w:p>
              </w:tc>
              <w:tc>
                <w:tcPr>
                  <w:tcW w:w="2381" w:type="dxa"/>
                  <w:vAlign w:val="center"/>
                </w:tcPr>
                <w:p>
                  <w:pPr>
                    <w:jc w:val="center"/>
                    <w:rPr>
                      <w:szCs w:val="21"/>
                    </w:rPr>
                  </w:pPr>
                  <w:r>
                    <w:rPr>
                      <w:rFonts w:hint="eastAsia"/>
                      <w:szCs w:val="21"/>
                    </w:rPr>
                    <w:t>铸造车间</w:t>
                  </w:r>
                </w:p>
              </w:tc>
              <w:tc>
                <w:tcPr>
                  <w:tcW w:w="5438" w:type="dxa"/>
                  <w:vAlign w:val="center"/>
                </w:tcPr>
                <w:p>
                  <w:pPr>
                    <w:jc w:val="center"/>
                    <w:rPr>
                      <w:szCs w:val="21"/>
                    </w:rPr>
                  </w:pPr>
                  <w:r>
                    <w:rPr>
                      <w:rFonts w:hint="eastAsia"/>
                      <w:szCs w:val="21"/>
                    </w:rPr>
                    <w:t>砖混结构，建筑面积7</w:t>
                  </w:r>
                  <w:r>
                    <w:rPr>
                      <w:szCs w:val="21"/>
                    </w:rPr>
                    <w:t>68</w:t>
                  </w:r>
                  <w:r>
                    <w:rPr>
                      <w:rFonts w:hint="eastAsia"/>
                      <w:szCs w:val="21"/>
                    </w:rPr>
                    <w:t>m</w:t>
                  </w:r>
                  <w:r>
                    <w:rPr>
                      <w:rFonts w:hint="eastAsia"/>
                      <w:szCs w:val="21"/>
                      <w:vertAlign w:val="superscript"/>
                    </w:rPr>
                    <w:t>2</w:t>
                  </w:r>
                  <w:r>
                    <w:rPr>
                      <w:rFonts w:hint="eastAsia"/>
                      <w:szCs w:val="21"/>
                    </w:rPr>
                    <w:t>，设置熔化炉、铸压等设备，对生铁进行融化、压铸。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459" w:type="dxa"/>
                  <w:vMerge w:val="continue"/>
                  <w:vAlign w:val="center"/>
                </w:tcPr>
                <w:p>
                  <w:pPr>
                    <w:jc w:val="center"/>
                    <w:rPr>
                      <w:szCs w:val="21"/>
                    </w:rPr>
                  </w:pPr>
                </w:p>
              </w:tc>
              <w:tc>
                <w:tcPr>
                  <w:tcW w:w="2381" w:type="dxa"/>
                  <w:vAlign w:val="center"/>
                </w:tcPr>
                <w:p>
                  <w:pPr>
                    <w:jc w:val="center"/>
                    <w:rPr>
                      <w:szCs w:val="21"/>
                    </w:rPr>
                  </w:pPr>
                  <w:r>
                    <w:rPr>
                      <w:rFonts w:hint="eastAsia"/>
                      <w:szCs w:val="21"/>
                    </w:rPr>
                    <w:t>精工、氧化车间</w:t>
                  </w:r>
                </w:p>
              </w:tc>
              <w:tc>
                <w:tcPr>
                  <w:tcW w:w="5438" w:type="dxa"/>
                  <w:vAlign w:val="center"/>
                </w:tcPr>
                <w:p>
                  <w:pPr>
                    <w:jc w:val="center"/>
                    <w:rPr>
                      <w:szCs w:val="21"/>
                    </w:rPr>
                  </w:pPr>
                  <w:r>
                    <w:rPr>
                      <w:rFonts w:hint="eastAsia"/>
                      <w:szCs w:val="21"/>
                    </w:rPr>
                    <w:t>建筑面积2</w:t>
                  </w:r>
                  <w:r>
                    <w:rPr>
                      <w:szCs w:val="21"/>
                    </w:rPr>
                    <w:t>268m</w:t>
                  </w:r>
                  <w:r>
                    <w:rPr>
                      <w:szCs w:val="21"/>
                      <w:vertAlign w:val="superscript"/>
                    </w:rPr>
                    <w:t>2</w:t>
                  </w:r>
                  <w:r>
                    <w:rPr>
                      <w:rFonts w:hint="eastAsia"/>
                      <w:szCs w:val="21"/>
                    </w:rPr>
                    <w:t>，</w:t>
                  </w:r>
                  <w:r>
                    <w:rPr>
                      <w:szCs w:val="21"/>
                    </w:rPr>
                    <w:t>设置数控机床</w:t>
                  </w:r>
                  <w:r>
                    <w:rPr>
                      <w:rFonts w:hint="eastAsia"/>
                      <w:szCs w:val="21"/>
                    </w:rPr>
                    <w:t>、</w:t>
                  </w:r>
                  <w:r>
                    <w:rPr>
                      <w:szCs w:val="21"/>
                    </w:rPr>
                    <w:t>磨削设备</w:t>
                  </w:r>
                  <w:r>
                    <w:rPr>
                      <w:rFonts w:hint="eastAsia"/>
                      <w:szCs w:val="21"/>
                    </w:rPr>
                    <w:t>、</w:t>
                  </w:r>
                  <w:r>
                    <w:rPr>
                      <w:szCs w:val="21"/>
                    </w:rPr>
                    <w:t>氧化炉等设备进行表面处理</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459" w:type="dxa"/>
                  <w:vAlign w:val="center"/>
                </w:tcPr>
                <w:p>
                  <w:pPr>
                    <w:jc w:val="center"/>
                    <w:rPr>
                      <w:szCs w:val="21"/>
                    </w:rPr>
                  </w:pPr>
                  <w:r>
                    <w:rPr>
                      <w:szCs w:val="21"/>
                    </w:rPr>
                    <w:t>辅助</w:t>
                  </w:r>
                </w:p>
                <w:p>
                  <w:pPr>
                    <w:jc w:val="center"/>
                    <w:rPr>
                      <w:szCs w:val="21"/>
                    </w:rPr>
                  </w:pPr>
                  <w:r>
                    <w:rPr>
                      <w:szCs w:val="21"/>
                    </w:rPr>
                    <w:t>工程</w:t>
                  </w:r>
                </w:p>
              </w:tc>
              <w:tc>
                <w:tcPr>
                  <w:tcW w:w="2381" w:type="dxa"/>
                  <w:vAlign w:val="center"/>
                </w:tcPr>
                <w:p>
                  <w:pPr>
                    <w:jc w:val="center"/>
                    <w:rPr>
                      <w:szCs w:val="21"/>
                    </w:rPr>
                  </w:pPr>
                  <w:r>
                    <w:rPr>
                      <w:rFonts w:hint="eastAsia"/>
                      <w:szCs w:val="21"/>
                    </w:rPr>
                    <w:t>研发中心、总装车间、库房</w:t>
                  </w:r>
                </w:p>
              </w:tc>
              <w:tc>
                <w:tcPr>
                  <w:tcW w:w="5438" w:type="dxa"/>
                  <w:vAlign w:val="center"/>
                </w:tcPr>
                <w:p>
                  <w:pPr>
                    <w:jc w:val="center"/>
                    <w:rPr>
                      <w:szCs w:val="21"/>
                    </w:rPr>
                  </w:pPr>
                  <w:r>
                    <w:rPr>
                      <w:rFonts w:hint="eastAsia"/>
                      <w:szCs w:val="21"/>
                    </w:rPr>
                    <w:t>总装车间、成品库房、研发中心合建，建筑面积2</w:t>
                  </w:r>
                  <w:r>
                    <w:rPr>
                      <w:szCs w:val="21"/>
                    </w:rPr>
                    <w:t>800m</w:t>
                  </w:r>
                  <w:r>
                    <w:rPr>
                      <w:szCs w:val="21"/>
                      <w:vertAlign w:val="superscript"/>
                    </w:rPr>
                    <w:t>2</w:t>
                  </w:r>
                  <w:r>
                    <w:rPr>
                      <w:rFonts w:hint="eastAsia"/>
                      <w:szCs w:val="21"/>
                    </w:rPr>
                    <w:t>，</w:t>
                  </w:r>
                  <w:r>
                    <w:rPr>
                      <w:szCs w:val="21"/>
                    </w:rPr>
                    <w:t>钢结构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1459" w:type="dxa"/>
                  <w:vMerge w:val="restart"/>
                  <w:vAlign w:val="center"/>
                </w:tcPr>
                <w:p>
                  <w:pPr>
                    <w:jc w:val="center"/>
                    <w:rPr>
                      <w:szCs w:val="21"/>
                    </w:rPr>
                  </w:pPr>
                  <w:r>
                    <w:rPr>
                      <w:szCs w:val="21"/>
                    </w:rPr>
                    <w:t>公用</w:t>
                  </w:r>
                </w:p>
                <w:p>
                  <w:pPr>
                    <w:jc w:val="center"/>
                    <w:rPr>
                      <w:szCs w:val="21"/>
                    </w:rPr>
                  </w:pPr>
                  <w:r>
                    <w:rPr>
                      <w:szCs w:val="21"/>
                    </w:rPr>
                    <w:t>工程</w:t>
                  </w:r>
                </w:p>
              </w:tc>
              <w:tc>
                <w:tcPr>
                  <w:tcW w:w="2381" w:type="dxa"/>
                  <w:vAlign w:val="center"/>
                </w:tcPr>
                <w:p>
                  <w:pPr>
                    <w:jc w:val="center"/>
                    <w:rPr>
                      <w:szCs w:val="21"/>
                    </w:rPr>
                  </w:pPr>
                  <w:r>
                    <w:rPr>
                      <w:rFonts w:hint="eastAsia"/>
                      <w:szCs w:val="21"/>
                    </w:rPr>
                    <w:t>供电</w:t>
                  </w:r>
                </w:p>
              </w:tc>
              <w:tc>
                <w:tcPr>
                  <w:tcW w:w="5438" w:type="dxa"/>
                  <w:vAlign w:val="center"/>
                </w:tcPr>
                <w:p>
                  <w:pPr>
                    <w:jc w:val="center"/>
                    <w:rPr>
                      <w:szCs w:val="21"/>
                    </w:rPr>
                  </w:pPr>
                  <w:r>
                    <w:rPr>
                      <w:rFonts w:hint="eastAsia"/>
                    </w:rPr>
                    <w:t>当地电网供电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 w:hRule="atLeast"/>
                <w:jc w:val="center"/>
              </w:trPr>
              <w:tc>
                <w:tcPr>
                  <w:tcW w:w="1459" w:type="dxa"/>
                  <w:vMerge w:val="continue"/>
                  <w:vAlign w:val="center"/>
                </w:tcPr>
                <w:p>
                  <w:pPr>
                    <w:jc w:val="center"/>
                    <w:rPr>
                      <w:szCs w:val="21"/>
                    </w:rPr>
                  </w:pPr>
                </w:p>
              </w:tc>
              <w:tc>
                <w:tcPr>
                  <w:tcW w:w="2381" w:type="dxa"/>
                  <w:vAlign w:val="center"/>
                </w:tcPr>
                <w:p>
                  <w:pPr>
                    <w:jc w:val="center"/>
                    <w:rPr>
                      <w:szCs w:val="21"/>
                    </w:rPr>
                  </w:pPr>
                  <w:r>
                    <w:rPr>
                      <w:rFonts w:hint="eastAsia"/>
                      <w:szCs w:val="21"/>
                    </w:rPr>
                    <w:t>供排水</w:t>
                  </w:r>
                </w:p>
              </w:tc>
              <w:tc>
                <w:tcPr>
                  <w:tcW w:w="5438" w:type="dxa"/>
                  <w:vAlign w:val="center"/>
                </w:tcPr>
                <w:p>
                  <w:pPr>
                    <w:rPr>
                      <w:szCs w:val="21"/>
                    </w:rPr>
                  </w:pPr>
                  <w:r>
                    <w:rPr>
                      <w:rFonts w:hint="eastAsia"/>
                      <w:szCs w:val="21"/>
                    </w:rPr>
                    <w:t>供水：园区管网供给</w:t>
                  </w:r>
                </w:p>
                <w:p>
                  <w:pPr>
                    <w:rPr>
                      <w:szCs w:val="21"/>
                    </w:rPr>
                  </w:pPr>
                  <w:r>
                    <w:rPr>
                      <w:rFonts w:hint="eastAsia"/>
                      <w:szCs w:val="21"/>
                    </w:rPr>
                    <w:t>排水：生产废水全部回用，不外排；生活污水经化粪池处理后排入园区污水管网；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 w:hRule="atLeast"/>
                <w:jc w:val="center"/>
              </w:trPr>
              <w:tc>
                <w:tcPr>
                  <w:tcW w:w="1459" w:type="dxa"/>
                  <w:vMerge w:val="restart"/>
                  <w:vAlign w:val="center"/>
                </w:tcPr>
                <w:p>
                  <w:pPr>
                    <w:jc w:val="center"/>
                    <w:rPr>
                      <w:szCs w:val="21"/>
                    </w:rPr>
                  </w:pPr>
                  <w:r>
                    <w:rPr>
                      <w:rFonts w:hint="eastAsia"/>
                      <w:szCs w:val="21"/>
                    </w:rPr>
                    <w:t>办公生活区</w:t>
                  </w:r>
                </w:p>
              </w:tc>
              <w:tc>
                <w:tcPr>
                  <w:tcW w:w="2381" w:type="dxa"/>
                  <w:vMerge w:val="restart"/>
                  <w:vAlign w:val="center"/>
                </w:tcPr>
                <w:p>
                  <w:pPr>
                    <w:jc w:val="center"/>
                    <w:rPr>
                      <w:szCs w:val="21"/>
                    </w:rPr>
                  </w:pPr>
                  <w:r>
                    <w:rPr>
                      <w:rFonts w:hint="eastAsia"/>
                      <w:szCs w:val="21"/>
                    </w:rPr>
                    <w:t>办公室</w:t>
                  </w:r>
                </w:p>
              </w:tc>
              <w:tc>
                <w:tcPr>
                  <w:tcW w:w="5438" w:type="dxa"/>
                  <w:tcBorders>
                    <w:right w:val="single" w:color="auto" w:sz="4" w:space="0"/>
                  </w:tcBorders>
                  <w:vAlign w:val="center"/>
                </w:tcPr>
                <w:p>
                  <w:pPr>
                    <w:rPr>
                      <w:szCs w:val="21"/>
                    </w:rPr>
                  </w:pPr>
                  <w:r>
                    <w:rPr>
                      <w:rFonts w:hint="eastAsia"/>
                      <w:szCs w:val="21"/>
                    </w:rPr>
                    <w:t>框架结构，3</w:t>
                  </w:r>
                  <w:r>
                    <w:rPr>
                      <w:szCs w:val="21"/>
                    </w:rPr>
                    <w:t>F</w:t>
                  </w:r>
                  <w:r>
                    <w:rPr>
                      <w:rFonts w:hint="eastAsia"/>
                      <w:szCs w:val="21"/>
                    </w:rPr>
                    <w:t>，</w:t>
                  </w:r>
                  <w:r>
                    <w:rPr>
                      <w:szCs w:val="21"/>
                    </w:rPr>
                    <w:t>建筑面积1191.1</w:t>
                  </w:r>
                  <w:r>
                    <w:rPr>
                      <w:rFonts w:hint="eastAsia"/>
                      <w:szCs w:val="21"/>
                    </w:rPr>
                    <w:t xml:space="preserve"> m</w:t>
                  </w:r>
                  <w:r>
                    <w:rPr>
                      <w:rFonts w:hint="eastAsia"/>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 w:hRule="atLeast"/>
                <w:jc w:val="center"/>
              </w:trPr>
              <w:tc>
                <w:tcPr>
                  <w:tcW w:w="1459" w:type="dxa"/>
                  <w:vMerge w:val="continue"/>
                  <w:vAlign w:val="center"/>
                </w:tcPr>
                <w:p>
                  <w:pPr>
                    <w:jc w:val="center"/>
                    <w:rPr>
                      <w:szCs w:val="21"/>
                    </w:rPr>
                  </w:pPr>
                </w:p>
              </w:tc>
              <w:tc>
                <w:tcPr>
                  <w:tcW w:w="2381" w:type="dxa"/>
                  <w:vMerge w:val="continue"/>
                  <w:vAlign w:val="center"/>
                </w:tcPr>
                <w:p>
                  <w:pPr>
                    <w:jc w:val="center"/>
                    <w:rPr>
                      <w:szCs w:val="21"/>
                    </w:rPr>
                  </w:pPr>
                </w:p>
              </w:tc>
              <w:tc>
                <w:tcPr>
                  <w:tcW w:w="5438" w:type="dxa"/>
                  <w:tcBorders>
                    <w:right w:val="single" w:color="auto" w:sz="4" w:space="0"/>
                  </w:tcBorders>
                  <w:vAlign w:val="center"/>
                </w:tcPr>
                <w:p>
                  <w:pPr>
                    <w:rPr>
                      <w:szCs w:val="21"/>
                    </w:rPr>
                  </w:pPr>
                  <w:r>
                    <w:rPr>
                      <w:rFonts w:hint="eastAsia"/>
                      <w:szCs w:val="21"/>
                    </w:rPr>
                    <w:t>砖混结构，建筑面积3</w:t>
                  </w:r>
                  <w:r>
                    <w:rPr>
                      <w:szCs w:val="21"/>
                    </w:rPr>
                    <w:t>18.3m</w:t>
                  </w:r>
                  <w:r>
                    <w:rPr>
                      <w:szCs w:val="21"/>
                      <w:vertAlign w:val="superscript"/>
                    </w:rPr>
                    <w:t>2</w:t>
                  </w:r>
                  <w:r>
                    <w:rPr>
                      <w:rFonts w:hint="eastAsia"/>
                      <w:szCs w:val="21"/>
                    </w:rPr>
                    <w:t>，</w:t>
                  </w:r>
                  <w:r>
                    <w:rPr>
                      <w:szCs w:val="21"/>
                    </w:rPr>
                    <w:t>设有食堂</w:t>
                  </w:r>
                  <w:r>
                    <w:rPr>
                      <w:rFonts w:hint="eastAsia"/>
                      <w:szCs w:val="21"/>
                    </w:rPr>
                    <w:t>、</w:t>
                  </w:r>
                  <w:r>
                    <w:rPr>
                      <w:szCs w:val="21"/>
                    </w:rPr>
                    <w:t>浴室</w:t>
                  </w:r>
                  <w:r>
                    <w:rPr>
                      <w:rFonts w:hint="eastAsia"/>
                      <w:szCs w:val="21"/>
                    </w:rPr>
                    <w:t>、</w:t>
                  </w:r>
                  <w:r>
                    <w:rPr>
                      <w:szCs w:val="21"/>
                    </w:rPr>
                    <w:t>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 w:hRule="atLeast"/>
                <w:jc w:val="center"/>
              </w:trPr>
              <w:tc>
                <w:tcPr>
                  <w:tcW w:w="1459" w:type="dxa"/>
                  <w:vMerge w:val="continue"/>
                  <w:vAlign w:val="center"/>
                </w:tcPr>
                <w:p>
                  <w:pPr>
                    <w:jc w:val="center"/>
                    <w:rPr>
                      <w:szCs w:val="21"/>
                    </w:rPr>
                  </w:pPr>
                </w:p>
              </w:tc>
              <w:tc>
                <w:tcPr>
                  <w:tcW w:w="2381" w:type="dxa"/>
                  <w:vMerge w:val="continue"/>
                  <w:vAlign w:val="center"/>
                </w:tcPr>
                <w:p>
                  <w:pPr>
                    <w:jc w:val="center"/>
                    <w:rPr>
                      <w:szCs w:val="21"/>
                    </w:rPr>
                  </w:pPr>
                </w:p>
              </w:tc>
              <w:tc>
                <w:tcPr>
                  <w:tcW w:w="5438" w:type="dxa"/>
                  <w:tcBorders>
                    <w:right w:val="single" w:color="auto" w:sz="4" w:space="0"/>
                  </w:tcBorders>
                  <w:vAlign w:val="center"/>
                </w:tcPr>
                <w:p>
                  <w:pPr>
                    <w:rPr>
                      <w:szCs w:val="21"/>
                    </w:rPr>
                  </w:pPr>
                  <w:r>
                    <w:rPr>
                      <w:rFonts w:hint="eastAsia"/>
                      <w:szCs w:val="21"/>
                    </w:rPr>
                    <w:t>砖混结构，5</w:t>
                  </w:r>
                  <w:r>
                    <w:rPr>
                      <w:szCs w:val="21"/>
                    </w:rPr>
                    <w:t>F</w:t>
                  </w:r>
                  <w:r>
                    <w:rPr>
                      <w:rFonts w:hint="eastAsia"/>
                      <w:szCs w:val="21"/>
                    </w:rPr>
                    <w:t>，</w:t>
                  </w:r>
                  <w:r>
                    <w:rPr>
                      <w:szCs w:val="21"/>
                    </w:rPr>
                    <w:t>建筑面积</w:t>
                  </w:r>
                  <w:r>
                    <w:rPr>
                      <w:rFonts w:hint="eastAsia"/>
                      <w:szCs w:val="21"/>
                    </w:rPr>
                    <w:t>2</w:t>
                  </w:r>
                  <w:r>
                    <w:rPr>
                      <w:szCs w:val="21"/>
                    </w:rPr>
                    <w:t>117.5m</w:t>
                  </w:r>
                  <w:r>
                    <w:rPr>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1459" w:type="dxa"/>
                  <w:vMerge w:val="restart"/>
                  <w:vAlign w:val="center"/>
                </w:tcPr>
                <w:p>
                  <w:pPr>
                    <w:jc w:val="center"/>
                    <w:rPr>
                      <w:szCs w:val="21"/>
                    </w:rPr>
                  </w:pPr>
                  <w:r>
                    <w:rPr>
                      <w:rFonts w:hint="eastAsia"/>
                      <w:szCs w:val="21"/>
                    </w:rPr>
                    <w:t>环保工程</w:t>
                  </w:r>
                </w:p>
              </w:tc>
              <w:tc>
                <w:tcPr>
                  <w:tcW w:w="2381" w:type="dxa"/>
                  <w:vAlign w:val="center"/>
                </w:tcPr>
                <w:p>
                  <w:pPr>
                    <w:snapToGrid w:val="0"/>
                    <w:jc w:val="center"/>
                    <w:rPr>
                      <w:szCs w:val="21"/>
                    </w:rPr>
                  </w:pPr>
                  <w:r>
                    <w:rPr>
                      <w:szCs w:val="21"/>
                    </w:rPr>
                    <w:t>废气处理系统</w:t>
                  </w:r>
                </w:p>
              </w:tc>
              <w:tc>
                <w:tcPr>
                  <w:tcW w:w="5438" w:type="dxa"/>
                  <w:vAlign w:val="center"/>
                </w:tcPr>
                <w:p>
                  <w:pPr>
                    <w:spacing w:line="240" w:lineRule="atLeast"/>
                    <w:rPr>
                      <w:szCs w:val="21"/>
                    </w:rPr>
                  </w:pPr>
                  <w:r>
                    <w:rPr>
                      <w:rFonts w:hint="eastAsia"/>
                      <w:szCs w:val="21"/>
                    </w:rPr>
                    <w:t>食堂油烟：抽油烟机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459" w:type="dxa"/>
                  <w:vMerge w:val="continue"/>
                  <w:vAlign w:val="center"/>
                </w:tcPr>
                <w:p>
                  <w:pPr>
                    <w:jc w:val="center"/>
                    <w:rPr>
                      <w:szCs w:val="21"/>
                    </w:rPr>
                  </w:pPr>
                </w:p>
              </w:tc>
              <w:tc>
                <w:tcPr>
                  <w:tcW w:w="2381" w:type="dxa"/>
                  <w:vAlign w:val="center"/>
                </w:tcPr>
                <w:p>
                  <w:pPr>
                    <w:snapToGrid w:val="0"/>
                    <w:jc w:val="center"/>
                    <w:rPr>
                      <w:szCs w:val="21"/>
                    </w:rPr>
                  </w:pPr>
                  <w:r>
                    <w:rPr>
                      <w:szCs w:val="21"/>
                    </w:rPr>
                    <w:t>噪声治理</w:t>
                  </w:r>
                </w:p>
              </w:tc>
              <w:tc>
                <w:tcPr>
                  <w:tcW w:w="5438" w:type="dxa"/>
                  <w:vAlign w:val="center"/>
                </w:tcPr>
                <w:p>
                  <w:pPr>
                    <w:widowControl/>
                    <w:rPr>
                      <w:szCs w:val="21"/>
                    </w:rPr>
                  </w:pPr>
                  <w:r>
                    <w:rPr>
                      <w:szCs w:val="21"/>
                    </w:rPr>
                    <w:t>设备噪声，采取距离衰减、减振</w:t>
                  </w:r>
                  <w:r>
                    <w:rPr>
                      <w:rFonts w:hint="eastAsia"/>
                      <w:szCs w:val="21"/>
                    </w:rPr>
                    <w:t>、</w:t>
                  </w:r>
                  <w:r>
                    <w:rPr>
                      <w:szCs w:val="21"/>
                    </w:rPr>
                    <w:t>墙体隔声等措施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1459" w:type="dxa"/>
                  <w:vMerge w:val="continue"/>
                </w:tcPr>
                <w:p>
                  <w:pPr>
                    <w:jc w:val="center"/>
                    <w:rPr>
                      <w:szCs w:val="21"/>
                    </w:rPr>
                  </w:pPr>
                </w:p>
              </w:tc>
              <w:tc>
                <w:tcPr>
                  <w:tcW w:w="2381" w:type="dxa"/>
                  <w:vAlign w:val="center"/>
                </w:tcPr>
                <w:p>
                  <w:pPr>
                    <w:snapToGrid w:val="0"/>
                    <w:jc w:val="center"/>
                    <w:rPr>
                      <w:szCs w:val="21"/>
                    </w:rPr>
                  </w:pPr>
                  <w:r>
                    <w:rPr>
                      <w:rFonts w:hint="eastAsia"/>
                      <w:szCs w:val="21"/>
                    </w:rPr>
                    <w:t>废水</w:t>
                  </w:r>
                </w:p>
              </w:tc>
              <w:tc>
                <w:tcPr>
                  <w:tcW w:w="5438" w:type="dxa"/>
                  <w:vAlign w:val="center"/>
                </w:tcPr>
                <w:p>
                  <w:pPr>
                    <w:rPr>
                      <w:szCs w:val="21"/>
                    </w:rPr>
                  </w:pPr>
                  <w:r>
                    <w:rPr>
                      <w:rFonts w:hint="eastAsia"/>
                      <w:szCs w:val="21"/>
                    </w:rPr>
                    <w:t>化粪池（4</w:t>
                  </w:r>
                  <w:r>
                    <w:rPr>
                      <w:szCs w:val="21"/>
                    </w:rPr>
                    <w:t>0m</w:t>
                  </w:r>
                  <w:r>
                    <w:rPr>
                      <w:szCs w:val="21"/>
                      <w:vertAlign w:val="superscript"/>
                    </w:rPr>
                    <w:t>3</w:t>
                  </w:r>
                  <w:r>
                    <w:rPr>
                      <w:rFonts w:hint="eastAsia"/>
                      <w:szCs w:val="21"/>
                    </w:rPr>
                    <w:t>）。</w:t>
                  </w:r>
                </w:p>
              </w:tc>
            </w:tr>
          </w:tbl>
          <w:p>
            <w:pPr>
              <w:spacing w:line="360" w:lineRule="auto"/>
              <w:ind w:firstLine="480" w:firstLineChars="200"/>
              <w:rPr>
                <w:rStyle w:val="527"/>
                <w:sz w:val="24"/>
              </w:rPr>
            </w:pPr>
            <w:r>
              <w:rPr>
                <w:rFonts w:hint="eastAsia"/>
                <w:sz w:val="24"/>
              </w:rPr>
              <w:t xml:space="preserve">  </w:t>
            </w:r>
            <w:r>
              <w:rPr>
                <w:rStyle w:val="527"/>
                <w:rFonts w:hint="eastAsia"/>
                <w:b/>
                <w:bCs/>
                <w:sz w:val="24"/>
              </w:rPr>
              <w:t>2、现有产品方案</w:t>
            </w:r>
          </w:p>
          <w:p>
            <w:pPr>
              <w:spacing w:line="360" w:lineRule="auto"/>
              <w:ind w:firstLine="840" w:firstLineChars="350"/>
              <w:rPr>
                <w:rFonts w:ascii="黑体" w:hAnsi="黑体" w:eastAsia="黑体"/>
                <w:sz w:val="24"/>
              </w:rPr>
            </w:pPr>
            <w:r>
              <w:rPr>
                <w:rFonts w:hint="eastAsia"/>
                <w:sz w:val="24"/>
              </w:rPr>
              <w:t>现有公司内主要产品为铸铁锅，具体产量如下：</w:t>
            </w:r>
            <w:r>
              <w:rPr>
                <w:sz w:val="24"/>
              </w:rPr>
              <w:t xml:space="preserve"> </w:t>
            </w:r>
          </w:p>
          <w:p>
            <w:pPr>
              <w:tabs>
                <w:tab w:val="center" w:pos="4866"/>
                <w:tab w:val="left" w:pos="6660"/>
              </w:tabs>
              <w:spacing w:line="360" w:lineRule="auto"/>
              <w:jc w:val="center"/>
              <w:outlineLvl w:val="0"/>
              <w:rPr>
                <w:rFonts w:ascii="宋体" w:hAnsi="宋体"/>
                <w:b/>
                <w:sz w:val="24"/>
              </w:rPr>
            </w:pPr>
            <w:r>
              <w:rPr>
                <w:rFonts w:hint="eastAsia" w:ascii="宋体" w:hAnsi="宋体"/>
                <w:b/>
                <w:sz w:val="24"/>
              </w:rPr>
              <w:t>表1-7     产品方案</w:t>
            </w:r>
          </w:p>
          <w:tbl>
            <w:tblPr>
              <w:tblStyle w:val="53"/>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552"/>
              <w:gridCol w:w="184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2263" w:type="dxa"/>
                  <w:vAlign w:val="center"/>
                </w:tcPr>
                <w:p>
                  <w:pPr>
                    <w:jc w:val="center"/>
                    <w:rPr>
                      <w:szCs w:val="21"/>
                    </w:rPr>
                  </w:pPr>
                  <w:r>
                    <w:rPr>
                      <w:rFonts w:hint="eastAsia"/>
                      <w:szCs w:val="21"/>
                    </w:rPr>
                    <w:t>产品名称</w:t>
                  </w:r>
                </w:p>
              </w:tc>
              <w:tc>
                <w:tcPr>
                  <w:tcW w:w="2552" w:type="dxa"/>
                  <w:vAlign w:val="center"/>
                </w:tcPr>
                <w:p>
                  <w:pPr>
                    <w:jc w:val="center"/>
                    <w:rPr>
                      <w:szCs w:val="21"/>
                    </w:rPr>
                  </w:pPr>
                  <w:r>
                    <w:rPr>
                      <w:rFonts w:hint="eastAsia"/>
                      <w:szCs w:val="21"/>
                    </w:rPr>
                    <w:t>年产量</w:t>
                  </w:r>
                </w:p>
              </w:tc>
              <w:tc>
                <w:tcPr>
                  <w:tcW w:w="1843" w:type="dxa"/>
                  <w:vAlign w:val="center"/>
                </w:tcPr>
                <w:p>
                  <w:pPr>
                    <w:jc w:val="center"/>
                    <w:rPr>
                      <w:szCs w:val="21"/>
                    </w:rPr>
                  </w:pPr>
                  <w:r>
                    <w:rPr>
                      <w:rFonts w:hint="eastAsia"/>
                      <w:szCs w:val="21"/>
                    </w:rPr>
                    <w:t>单位</w:t>
                  </w:r>
                </w:p>
              </w:tc>
              <w:tc>
                <w:tcPr>
                  <w:tcW w:w="2551"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2263" w:type="dxa"/>
                  <w:vMerge w:val="restart"/>
                  <w:vAlign w:val="center"/>
                </w:tcPr>
                <w:p>
                  <w:pPr>
                    <w:jc w:val="center"/>
                    <w:rPr>
                      <w:szCs w:val="21"/>
                    </w:rPr>
                  </w:pPr>
                  <w:r>
                    <w:rPr>
                      <w:rFonts w:hint="eastAsia"/>
                      <w:szCs w:val="21"/>
                    </w:rPr>
                    <w:t>铸铁锅</w:t>
                  </w:r>
                </w:p>
              </w:tc>
              <w:tc>
                <w:tcPr>
                  <w:tcW w:w="2552" w:type="dxa"/>
                  <w:vAlign w:val="center"/>
                </w:tcPr>
                <w:p>
                  <w:pPr>
                    <w:jc w:val="center"/>
                    <w:rPr>
                      <w:szCs w:val="21"/>
                    </w:rPr>
                  </w:pPr>
                  <w:r>
                    <w:rPr>
                      <w:szCs w:val="21"/>
                    </w:rPr>
                    <w:t>200万</w:t>
                  </w:r>
                </w:p>
              </w:tc>
              <w:tc>
                <w:tcPr>
                  <w:tcW w:w="1843" w:type="dxa"/>
                  <w:vAlign w:val="center"/>
                </w:tcPr>
                <w:p>
                  <w:pPr>
                    <w:jc w:val="center"/>
                    <w:rPr>
                      <w:szCs w:val="21"/>
                    </w:rPr>
                  </w:pPr>
                  <w:r>
                    <w:rPr>
                      <w:rFonts w:hint="eastAsia"/>
                      <w:szCs w:val="21"/>
                    </w:rPr>
                    <w:t>口</w:t>
                  </w:r>
                </w:p>
              </w:tc>
              <w:tc>
                <w:tcPr>
                  <w:tcW w:w="2551" w:type="dxa"/>
                  <w:vAlign w:val="center"/>
                </w:tcPr>
                <w:p>
                  <w:pPr>
                    <w:jc w:val="center"/>
                    <w:rPr>
                      <w:szCs w:val="21"/>
                    </w:rPr>
                  </w:pPr>
                  <w:r>
                    <w:rPr>
                      <w:rFonts w:hint="eastAsia"/>
                      <w:szCs w:val="21"/>
                    </w:rPr>
                    <w:t>经过表面氧化处理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2263" w:type="dxa"/>
                  <w:vMerge w:val="continue"/>
                  <w:vAlign w:val="center"/>
                </w:tcPr>
                <w:p>
                  <w:pPr>
                    <w:jc w:val="center"/>
                    <w:rPr>
                      <w:szCs w:val="21"/>
                    </w:rPr>
                  </w:pPr>
                </w:p>
              </w:tc>
              <w:tc>
                <w:tcPr>
                  <w:tcW w:w="2552" w:type="dxa"/>
                  <w:vAlign w:val="center"/>
                </w:tcPr>
                <w:p>
                  <w:pPr>
                    <w:jc w:val="center"/>
                    <w:rPr>
                      <w:szCs w:val="21"/>
                    </w:rPr>
                  </w:pPr>
                  <w:r>
                    <w:rPr>
                      <w:rFonts w:hint="eastAsia"/>
                      <w:szCs w:val="21"/>
                    </w:rPr>
                    <w:t>2</w:t>
                  </w:r>
                  <w:r>
                    <w:rPr>
                      <w:szCs w:val="21"/>
                    </w:rPr>
                    <w:t>0万</w:t>
                  </w:r>
                </w:p>
              </w:tc>
              <w:tc>
                <w:tcPr>
                  <w:tcW w:w="1843" w:type="dxa"/>
                  <w:vAlign w:val="center"/>
                </w:tcPr>
                <w:p>
                  <w:pPr>
                    <w:jc w:val="center"/>
                    <w:rPr>
                      <w:szCs w:val="21"/>
                    </w:rPr>
                  </w:pPr>
                  <w:r>
                    <w:rPr>
                      <w:rFonts w:hint="eastAsia"/>
                      <w:szCs w:val="21"/>
                    </w:rPr>
                    <w:t>口</w:t>
                  </w:r>
                </w:p>
              </w:tc>
              <w:tc>
                <w:tcPr>
                  <w:tcW w:w="2551" w:type="dxa"/>
                  <w:vAlign w:val="center"/>
                </w:tcPr>
                <w:p>
                  <w:pPr>
                    <w:jc w:val="center"/>
                    <w:rPr>
                      <w:szCs w:val="21"/>
                    </w:rPr>
                  </w:pPr>
                  <w:r>
                    <w:rPr>
                      <w:rFonts w:hint="eastAsia"/>
                      <w:szCs w:val="21"/>
                    </w:rPr>
                    <w:t>不经过表面氧化处理</w:t>
                  </w:r>
                </w:p>
              </w:tc>
            </w:tr>
          </w:tbl>
          <w:p>
            <w:pPr>
              <w:spacing w:line="360" w:lineRule="auto"/>
              <w:rPr>
                <w:sz w:val="24"/>
              </w:rPr>
            </w:pPr>
            <w:r>
              <w:rPr>
                <w:rFonts w:hint="eastAsia"/>
                <w:b/>
                <w:sz w:val="24"/>
              </w:rPr>
              <w:t xml:space="preserve">    </w:t>
            </w:r>
            <w:r>
              <w:rPr>
                <w:rFonts w:hint="eastAsia"/>
                <w:bCs/>
                <w:sz w:val="24"/>
              </w:rPr>
              <w:t xml:space="preserve">  </w:t>
            </w:r>
            <w:r>
              <w:rPr>
                <w:rFonts w:hint="eastAsia"/>
                <w:b/>
                <w:sz w:val="24"/>
              </w:rPr>
              <w:t>3、主要生产设备</w:t>
            </w:r>
          </w:p>
          <w:p>
            <w:pPr>
              <w:spacing w:line="360" w:lineRule="auto"/>
              <w:ind w:firstLine="480" w:firstLineChars="200"/>
              <w:rPr>
                <w:rFonts w:ascii="黑体" w:hAnsi="黑体" w:eastAsia="黑体"/>
                <w:sz w:val="24"/>
              </w:rPr>
            </w:pPr>
            <w:r>
              <w:rPr>
                <w:rFonts w:hint="eastAsia"/>
                <w:sz w:val="24"/>
              </w:rPr>
              <w:t>现有厂区主要生产设备如下表所示：</w:t>
            </w:r>
          </w:p>
          <w:p>
            <w:pPr>
              <w:tabs>
                <w:tab w:val="center" w:pos="4866"/>
                <w:tab w:val="left" w:pos="6660"/>
              </w:tabs>
              <w:spacing w:line="360" w:lineRule="auto"/>
              <w:jc w:val="center"/>
              <w:outlineLvl w:val="0"/>
              <w:rPr>
                <w:rFonts w:ascii="宋体" w:hAnsi="宋体"/>
                <w:b/>
                <w:sz w:val="24"/>
              </w:rPr>
            </w:pPr>
            <w:r>
              <w:rPr>
                <w:rFonts w:hint="eastAsia" w:ascii="宋体" w:hAnsi="宋体"/>
                <w:b/>
                <w:sz w:val="24"/>
              </w:rPr>
              <w:t>表1-9    主要生产设备一览表</w:t>
            </w:r>
          </w:p>
          <w:tbl>
            <w:tblPr>
              <w:tblStyle w:val="53"/>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310"/>
              <w:gridCol w:w="2110"/>
              <w:gridCol w:w="153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规格型号</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铸压设备</w:t>
                  </w:r>
                </w:p>
              </w:tc>
              <w:tc>
                <w:tcPr>
                  <w:tcW w:w="2110" w:type="dxa"/>
                  <w:vAlign w:val="center"/>
                </w:tcPr>
                <w:p>
                  <w:pPr>
                    <w:widowControl/>
                    <w:jc w:val="center"/>
                    <w:rPr>
                      <w:rFonts w:ascii="宋体" w:hAnsi="宋体" w:cs="宋体"/>
                      <w:kern w:val="0"/>
                      <w:szCs w:val="21"/>
                    </w:rPr>
                  </w:pPr>
                  <w:r>
                    <w:rPr>
                      <w:rFonts w:ascii="宋体" w:hAnsi="宋体" w:cs="宋体"/>
                      <w:kern w:val="0"/>
                      <w:szCs w:val="21"/>
                    </w:rPr>
                    <w:t>/</w:t>
                  </w:r>
                </w:p>
              </w:tc>
              <w:tc>
                <w:tcPr>
                  <w:tcW w:w="1536" w:type="dxa"/>
                  <w:vAlign w:val="center"/>
                </w:tcPr>
                <w:p>
                  <w:pPr>
                    <w:widowControl/>
                    <w:jc w:val="center"/>
                    <w:rPr>
                      <w:rFonts w:ascii="宋体" w:hAnsi="宋体" w:cs="宋体"/>
                      <w:kern w:val="0"/>
                      <w:szCs w:val="21"/>
                    </w:rPr>
                  </w:pPr>
                  <w:r>
                    <w:rPr>
                      <w:rFonts w:ascii="宋体" w:hAnsi="宋体" w:cs="宋体"/>
                      <w:kern w:val="0"/>
                      <w:szCs w:val="21"/>
                    </w:rPr>
                    <w:t>3台</w:t>
                  </w:r>
                </w:p>
              </w:tc>
              <w:tc>
                <w:tcPr>
                  <w:tcW w:w="153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310" w:type="dxa"/>
                  <w:vAlign w:val="center"/>
                </w:tcPr>
                <w:p>
                  <w:pPr>
                    <w:jc w:val="center"/>
                    <w:rPr>
                      <w:rFonts w:ascii="宋体" w:hAnsi="宋体" w:cs="宋体"/>
                      <w:kern w:val="0"/>
                      <w:szCs w:val="21"/>
                    </w:rPr>
                  </w:pPr>
                  <w:r>
                    <w:rPr>
                      <w:rFonts w:hint="eastAsia" w:ascii="宋体" w:hAnsi="宋体" w:cs="宋体"/>
                      <w:kern w:val="0"/>
                      <w:szCs w:val="21"/>
                    </w:rPr>
                    <w:t>直读光谱仪</w:t>
                  </w:r>
                </w:p>
              </w:tc>
              <w:tc>
                <w:tcPr>
                  <w:tcW w:w="2110" w:type="dxa"/>
                  <w:vAlign w:val="center"/>
                </w:tcPr>
                <w:p>
                  <w:pPr>
                    <w:widowControl/>
                    <w:jc w:val="center"/>
                    <w:rPr>
                      <w:rFonts w:ascii="宋体" w:hAnsi="宋体" w:cs="宋体"/>
                      <w:kern w:val="0"/>
                      <w:szCs w:val="21"/>
                    </w:rPr>
                  </w:pPr>
                  <w:r>
                    <w:rPr>
                      <w:rFonts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1台</w:t>
                  </w:r>
                </w:p>
              </w:tc>
              <w:tc>
                <w:tcPr>
                  <w:tcW w:w="153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T</w:t>
                  </w:r>
                  <w:r>
                    <w:rPr>
                      <w:rFonts w:ascii="宋体" w:hAnsi="宋体" w:cs="宋体"/>
                      <w:kern w:val="0"/>
                      <w:szCs w:val="21"/>
                    </w:rPr>
                    <w:t>F打孔机</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ascii="宋体" w:hAnsi="宋体" w:cs="宋体"/>
                      <w:kern w:val="0"/>
                      <w:szCs w:val="21"/>
                    </w:rPr>
                    <w:t>8台</w:t>
                  </w:r>
                </w:p>
              </w:tc>
              <w:tc>
                <w:tcPr>
                  <w:tcW w:w="15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310" w:type="dxa"/>
                  <w:vAlign w:val="center"/>
                </w:tcPr>
                <w:p>
                  <w:pPr>
                    <w:jc w:val="center"/>
                    <w:rPr>
                      <w:rFonts w:ascii="宋体" w:hAnsi="宋体" w:cs="宋体"/>
                      <w:kern w:val="0"/>
                      <w:szCs w:val="21"/>
                    </w:rPr>
                  </w:pPr>
                  <w:r>
                    <w:rPr>
                      <w:rFonts w:hint="eastAsia" w:ascii="宋体" w:hAnsi="宋体" w:cs="宋体"/>
                      <w:kern w:val="0"/>
                      <w:szCs w:val="21"/>
                    </w:rPr>
                    <w:t>数控机床</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ascii="宋体" w:hAnsi="宋体" w:cs="宋体"/>
                      <w:kern w:val="0"/>
                      <w:szCs w:val="21"/>
                    </w:rPr>
                    <w:t>5台</w:t>
                  </w:r>
                </w:p>
              </w:tc>
              <w:tc>
                <w:tcPr>
                  <w:tcW w:w="1536"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自动封箱捆绑生产线</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1300型</w:t>
                  </w:r>
                </w:p>
              </w:tc>
              <w:tc>
                <w:tcPr>
                  <w:tcW w:w="1536" w:type="dxa"/>
                  <w:vAlign w:val="center"/>
                </w:tcPr>
                <w:p>
                  <w:pPr>
                    <w:widowControl/>
                    <w:jc w:val="center"/>
                    <w:rPr>
                      <w:rFonts w:ascii="宋体" w:hAnsi="宋体" w:cs="宋体"/>
                      <w:kern w:val="0"/>
                      <w:szCs w:val="21"/>
                    </w:rPr>
                  </w:pPr>
                  <w:r>
                    <w:rPr>
                      <w:rFonts w:ascii="宋体" w:hAnsi="宋体" w:cs="宋体"/>
                      <w:kern w:val="0"/>
                      <w:szCs w:val="21"/>
                    </w:rPr>
                    <w:t>1条</w:t>
                  </w:r>
                </w:p>
              </w:tc>
              <w:tc>
                <w:tcPr>
                  <w:tcW w:w="15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310" w:type="dxa"/>
                  <w:vAlign w:val="center"/>
                </w:tcPr>
                <w:p>
                  <w:pPr>
                    <w:jc w:val="center"/>
                    <w:rPr>
                      <w:rFonts w:ascii="宋体" w:hAnsi="宋体" w:cs="宋体"/>
                      <w:kern w:val="0"/>
                      <w:szCs w:val="21"/>
                    </w:rPr>
                  </w:pPr>
                  <w:r>
                    <w:rPr>
                      <w:rFonts w:hint="eastAsia" w:ascii="宋体" w:hAnsi="宋体" w:cs="宋体"/>
                      <w:kern w:val="0"/>
                      <w:szCs w:val="21"/>
                    </w:rPr>
                    <w:t>电动葫芦</w:t>
                  </w:r>
                </w:p>
              </w:tc>
              <w:tc>
                <w:tcPr>
                  <w:tcW w:w="2110" w:type="dxa"/>
                  <w:vAlign w:val="center"/>
                </w:tcPr>
                <w:p>
                  <w:pPr>
                    <w:widowControl/>
                    <w:jc w:val="center"/>
                    <w:rPr>
                      <w:rFonts w:ascii="宋体" w:hAnsi="宋体" w:cs="宋体"/>
                      <w:kern w:val="0"/>
                      <w:szCs w:val="21"/>
                    </w:rPr>
                  </w:pPr>
                  <w:r>
                    <w:rPr>
                      <w:rFonts w:ascii="宋体" w:hAnsi="宋体" w:cs="宋体"/>
                      <w:kern w:val="0"/>
                      <w:szCs w:val="21"/>
                    </w:rPr>
                    <w:t>MD-9M</w:t>
                  </w:r>
                </w:p>
              </w:tc>
              <w:tc>
                <w:tcPr>
                  <w:tcW w:w="1536" w:type="dxa"/>
                  <w:vAlign w:val="center"/>
                </w:tcPr>
                <w:p>
                  <w:pPr>
                    <w:widowControl/>
                    <w:jc w:val="center"/>
                    <w:rPr>
                      <w:rFonts w:ascii="宋体" w:hAnsi="宋体" w:cs="宋体"/>
                      <w:kern w:val="0"/>
                      <w:szCs w:val="21"/>
                    </w:rPr>
                  </w:pPr>
                  <w:r>
                    <w:rPr>
                      <w:rFonts w:ascii="宋体" w:hAnsi="宋体" w:cs="宋体"/>
                      <w:kern w:val="0"/>
                      <w:szCs w:val="21"/>
                    </w:rPr>
                    <w:t>3台</w:t>
                  </w:r>
                </w:p>
              </w:tc>
              <w:tc>
                <w:tcPr>
                  <w:tcW w:w="1536"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风机</w:t>
                  </w:r>
                </w:p>
              </w:tc>
              <w:tc>
                <w:tcPr>
                  <w:tcW w:w="2110" w:type="dxa"/>
                  <w:vAlign w:val="center"/>
                </w:tcPr>
                <w:p>
                  <w:pPr>
                    <w:widowControl/>
                    <w:jc w:val="center"/>
                    <w:rPr>
                      <w:rFonts w:ascii="宋体" w:hAnsi="宋体" w:cs="宋体"/>
                      <w:kern w:val="0"/>
                      <w:szCs w:val="21"/>
                    </w:rPr>
                  </w:pPr>
                  <w:r>
                    <w:rPr>
                      <w:rFonts w:ascii="宋体" w:hAnsi="宋体" w:cs="宋体"/>
                      <w:kern w:val="0"/>
                      <w:szCs w:val="21"/>
                    </w:rPr>
                    <w:t>WT35-7</w:t>
                  </w:r>
                </w:p>
              </w:tc>
              <w:tc>
                <w:tcPr>
                  <w:tcW w:w="1536" w:type="dxa"/>
                  <w:vAlign w:val="center"/>
                </w:tcPr>
                <w:p>
                  <w:pPr>
                    <w:widowControl/>
                    <w:jc w:val="center"/>
                    <w:rPr>
                      <w:rFonts w:ascii="宋体" w:hAnsi="宋体" w:cs="宋体"/>
                      <w:kern w:val="0"/>
                      <w:szCs w:val="21"/>
                    </w:rPr>
                  </w:pPr>
                  <w:r>
                    <w:rPr>
                      <w:rFonts w:ascii="宋体" w:hAnsi="宋体" w:cs="宋体"/>
                      <w:kern w:val="0"/>
                      <w:szCs w:val="21"/>
                    </w:rPr>
                    <w:t>1台</w:t>
                  </w:r>
                </w:p>
              </w:tc>
              <w:tc>
                <w:tcPr>
                  <w:tcW w:w="15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310" w:type="dxa"/>
                  <w:vAlign w:val="center"/>
                </w:tcPr>
                <w:p>
                  <w:pPr>
                    <w:jc w:val="center"/>
                    <w:rPr>
                      <w:rFonts w:ascii="宋体" w:hAnsi="宋体" w:cs="宋体"/>
                      <w:kern w:val="0"/>
                      <w:szCs w:val="21"/>
                    </w:rPr>
                  </w:pPr>
                  <w:r>
                    <w:rPr>
                      <w:rFonts w:ascii="宋体" w:hAnsi="宋体" w:cs="宋体"/>
                      <w:kern w:val="0"/>
                      <w:szCs w:val="21"/>
                    </w:rPr>
                    <w:t>内抛机</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ZKZD</w:t>
                  </w:r>
                </w:p>
              </w:tc>
              <w:tc>
                <w:tcPr>
                  <w:tcW w:w="1536" w:type="dxa"/>
                  <w:vAlign w:val="center"/>
                </w:tcPr>
                <w:p>
                  <w:pPr>
                    <w:widowControl/>
                    <w:jc w:val="center"/>
                    <w:rPr>
                      <w:rFonts w:ascii="宋体" w:hAnsi="宋体" w:cs="宋体"/>
                      <w:kern w:val="0"/>
                      <w:szCs w:val="21"/>
                    </w:rPr>
                  </w:pPr>
                  <w:r>
                    <w:rPr>
                      <w:rFonts w:ascii="宋体" w:hAnsi="宋体" w:cs="宋体"/>
                      <w:kern w:val="0"/>
                      <w:szCs w:val="21"/>
                    </w:rPr>
                    <w:t>12台</w:t>
                  </w:r>
                </w:p>
              </w:tc>
              <w:tc>
                <w:tcPr>
                  <w:tcW w:w="1536"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310" w:type="dxa"/>
                  <w:vAlign w:val="center"/>
                </w:tcPr>
                <w:p>
                  <w:pPr>
                    <w:jc w:val="center"/>
                    <w:rPr>
                      <w:rFonts w:ascii="宋体" w:hAnsi="宋体" w:cs="宋体"/>
                      <w:kern w:val="0"/>
                      <w:szCs w:val="21"/>
                    </w:rPr>
                  </w:pPr>
                  <w:r>
                    <w:rPr>
                      <w:rFonts w:ascii="宋体" w:hAnsi="宋体" w:cs="宋体"/>
                      <w:kern w:val="0"/>
                      <w:szCs w:val="21"/>
                    </w:rPr>
                    <w:t>中频炉</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1台</w:t>
                  </w:r>
                </w:p>
              </w:tc>
              <w:tc>
                <w:tcPr>
                  <w:tcW w:w="1536"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2310" w:type="dxa"/>
                  <w:vAlign w:val="center"/>
                </w:tcPr>
                <w:p>
                  <w:pPr>
                    <w:jc w:val="center"/>
                    <w:rPr>
                      <w:rFonts w:ascii="宋体" w:hAnsi="宋体" w:cs="宋体"/>
                      <w:kern w:val="0"/>
                      <w:szCs w:val="21"/>
                    </w:rPr>
                  </w:pPr>
                  <w:r>
                    <w:rPr>
                      <w:rFonts w:ascii="宋体" w:hAnsi="宋体" w:cs="宋体"/>
                      <w:kern w:val="0"/>
                      <w:szCs w:val="21"/>
                    </w:rPr>
                    <w:t>中频电炉配套设备</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1套</w:t>
                  </w:r>
                </w:p>
              </w:tc>
              <w:tc>
                <w:tcPr>
                  <w:tcW w:w="1536"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ascii="宋体" w:hAnsi="宋体" w:cs="宋体"/>
                      <w:kern w:val="0"/>
                      <w:szCs w:val="21"/>
                    </w:rPr>
                    <w:t>11</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氮化炉（电能）</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hint="eastAsia" w:ascii="宋体" w:hAnsi="宋体" w:cs="宋体"/>
                      <w:kern w:val="0"/>
                      <w:szCs w:val="21"/>
                    </w:rPr>
                    <w:t>2台</w:t>
                  </w:r>
                </w:p>
              </w:tc>
              <w:tc>
                <w:tcPr>
                  <w:tcW w:w="1536"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2" w:type="dxa"/>
                  <w:vAlign w:val="center"/>
                </w:tcPr>
                <w:p>
                  <w:pPr>
                    <w:widowControl/>
                    <w:jc w:val="center"/>
                    <w:rPr>
                      <w:rFonts w:ascii="宋体" w:hAnsi="宋体" w:cs="宋体"/>
                      <w:kern w:val="0"/>
                      <w:szCs w:val="21"/>
                    </w:rPr>
                  </w:pPr>
                  <w:r>
                    <w:rPr>
                      <w:rFonts w:ascii="宋体" w:hAnsi="宋体" w:cs="宋体"/>
                      <w:kern w:val="0"/>
                      <w:szCs w:val="21"/>
                    </w:rPr>
                    <w:t>12</w:t>
                  </w:r>
                </w:p>
              </w:tc>
              <w:tc>
                <w:tcPr>
                  <w:tcW w:w="2310" w:type="dxa"/>
                  <w:vAlign w:val="center"/>
                </w:tcPr>
                <w:p>
                  <w:pPr>
                    <w:widowControl/>
                    <w:jc w:val="center"/>
                    <w:rPr>
                      <w:rFonts w:ascii="宋体" w:hAnsi="宋体" w:cs="宋体"/>
                      <w:kern w:val="0"/>
                      <w:szCs w:val="21"/>
                    </w:rPr>
                  </w:pPr>
                  <w:r>
                    <w:rPr>
                      <w:rFonts w:hint="eastAsia" w:ascii="宋体" w:hAnsi="宋体" w:cs="宋体"/>
                      <w:kern w:val="0"/>
                      <w:szCs w:val="21"/>
                    </w:rPr>
                    <w:t>氧化炉（电能）</w:t>
                  </w:r>
                </w:p>
              </w:tc>
              <w:tc>
                <w:tcPr>
                  <w:tcW w:w="2110" w:type="dxa"/>
                  <w:vAlign w:val="center"/>
                </w:tcPr>
                <w:p>
                  <w:pPr>
                    <w:widowControl/>
                    <w:jc w:val="center"/>
                    <w:rPr>
                      <w:rFonts w:ascii="宋体" w:hAnsi="宋体" w:cs="宋体"/>
                      <w:kern w:val="0"/>
                      <w:szCs w:val="21"/>
                    </w:rPr>
                  </w:pPr>
                  <w:r>
                    <w:rPr>
                      <w:rFonts w:hint="eastAsia" w:ascii="宋体" w:hAnsi="宋体" w:cs="宋体"/>
                      <w:kern w:val="0"/>
                      <w:szCs w:val="21"/>
                    </w:rPr>
                    <w:t>/</w:t>
                  </w:r>
                </w:p>
              </w:tc>
              <w:tc>
                <w:tcPr>
                  <w:tcW w:w="1536" w:type="dxa"/>
                  <w:vAlign w:val="center"/>
                </w:tcPr>
                <w:p>
                  <w:pPr>
                    <w:widowControl/>
                    <w:jc w:val="center"/>
                    <w:rPr>
                      <w:rFonts w:ascii="宋体" w:hAnsi="宋体" w:cs="宋体"/>
                      <w:kern w:val="0"/>
                      <w:szCs w:val="21"/>
                    </w:rPr>
                  </w:pPr>
                  <w:r>
                    <w:rPr>
                      <w:rFonts w:ascii="宋体" w:hAnsi="宋体" w:cs="宋体"/>
                      <w:kern w:val="0"/>
                      <w:szCs w:val="21"/>
                    </w:rPr>
                    <w:t>2</w:t>
                  </w:r>
                  <w:r>
                    <w:rPr>
                      <w:rFonts w:hint="eastAsia" w:ascii="宋体" w:hAnsi="宋体" w:cs="宋体"/>
                      <w:kern w:val="0"/>
                      <w:szCs w:val="21"/>
                    </w:rPr>
                    <w:t>台</w:t>
                  </w:r>
                </w:p>
              </w:tc>
              <w:tc>
                <w:tcPr>
                  <w:tcW w:w="1536" w:type="dxa"/>
                  <w:vAlign w:val="center"/>
                </w:tcPr>
                <w:p>
                  <w:pPr>
                    <w:jc w:val="center"/>
                    <w:rPr>
                      <w:rFonts w:ascii="宋体" w:hAnsi="宋体" w:cs="宋体"/>
                      <w:kern w:val="0"/>
                      <w:szCs w:val="21"/>
                    </w:rPr>
                  </w:pPr>
                </w:p>
              </w:tc>
            </w:tr>
          </w:tbl>
          <w:p>
            <w:pPr>
              <w:tabs>
                <w:tab w:val="center" w:pos="4866"/>
                <w:tab w:val="left" w:pos="6660"/>
              </w:tabs>
              <w:spacing w:line="360" w:lineRule="auto"/>
              <w:ind w:firstLine="482" w:firstLineChars="200"/>
              <w:outlineLvl w:val="0"/>
              <w:rPr>
                <w:b/>
                <w:sz w:val="24"/>
              </w:rPr>
            </w:pPr>
            <w:r>
              <w:rPr>
                <w:rFonts w:hint="eastAsia"/>
                <w:b/>
                <w:sz w:val="24"/>
              </w:rPr>
              <w:t>4、生产工艺流程</w:t>
            </w:r>
          </w:p>
          <w:p>
            <w:pPr>
              <w:spacing w:line="360" w:lineRule="auto"/>
              <w:ind w:firstLine="420" w:firstLineChars="200"/>
              <w:rPr>
                <w:sz w:val="24"/>
              </w:rPr>
            </w:pPr>
            <w:r>
              <w:rPr>
                <w:rFonts w:hint="eastAsia"/>
              </w:rPr>
              <w:t xml:space="preserve"> </w:t>
            </w:r>
            <w:r>
              <w:rPr>
                <w:rFonts w:hint="eastAsia"/>
                <w:sz w:val="24"/>
              </w:rPr>
              <w:t>现有公司生产工艺流程如下图所示：</w:t>
            </w:r>
          </w:p>
          <w:p>
            <w:pPr>
              <w:spacing w:line="360" w:lineRule="auto"/>
              <w:ind w:firstLine="482" w:firstLineChars="200"/>
              <w:rPr>
                <w:sz w:val="24"/>
              </w:rPr>
            </w:pPr>
            <w:r>
              <w:rPr>
                <w:b/>
                <w:sz w:val="24"/>
              </w:rPr>
              <w:pict>
                <v:group id="_x0000_s16097" o:spid="_x0000_s16097" o:spt="203" style="height:281.05pt;width:451.5pt;" coordorigin="1418,2794" coordsize="9030,5621" editas="canvas">
                  <o:lock v:ext="edit"/>
                  <v:shape id="_x0000_s16098" o:spid="_x0000_s16098" o:spt="75" type="#_x0000_t75" style="position:absolute;left:1418;top:2794;height:5621;width:9030;" filled="f" o:preferrelative="t" stroked="f" coordsize="21600,21600">
                    <v:fill on="f" focussize="0,0"/>
                    <v:stroke on="f" joinstyle="miter"/>
                    <v:imagedata o:title=""/>
                    <o:lock v:ext="edit" rotation="t" text="t" aspectratio="t"/>
                  </v:shape>
                  <v:shape id="文本框 4" o:spid="_x0000_s16099" o:spt="202" type="#_x0000_t202" style="position:absolute;left:3729;top:7837;height:466;width:4725;" filled="t" stroked="f" coordsize="21600,21600">
                    <v:path/>
                    <v:fill type="gradient" on="t" angle="90" focussize="0,0">
                      <o:fill type="gradientUnscaled" v:ext="backwardCompatible"/>
                    </v:fill>
                    <v:stroke on="f" weight="0.25pt" joinstyle="miter"/>
                    <v:imagedata o:title=""/>
                    <o:lock v:ext="edit"/>
                    <v:textbox>
                      <w:txbxContent>
                        <w:p>
                          <w:pPr>
                            <w:rPr>
                              <w:rFonts w:ascii="宋体" w:hAnsi="宋体"/>
                              <w:b/>
                            </w:rPr>
                          </w:pPr>
                          <w:r>
                            <w:rPr>
                              <w:rFonts w:hint="eastAsia" w:ascii="宋体" w:hAnsi="宋体"/>
                              <w:b/>
                            </w:rPr>
                            <w:t xml:space="preserve">图1-1 </w:t>
                          </w:r>
                          <w:r>
                            <w:rPr>
                              <w:rFonts w:ascii="宋体" w:hAnsi="宋体"/>
                              <w:b/>
                            </w:rPr>
                            <w:t xml:space="preserve">  </w:t>
                          </w:r>
                          <w:r>
                            <w:rPr>
                              <w:rFonts w:hint="eastAsia" w:ascii="宋体" w:hAnsi="宋体"/>
                              <w:b/>
                            </w:rPr>
                            <w:t>生产工艺流程及产污节点图</w:t>
                          </w:r>
                        </w:p>
                      </w:txbxContent>
                    </v:textbox>
                  </v:shape>
                  <v:shape id="文本框 6" o:spid="_x0000_s16100" o:spt="202" type="#_x0000_t202" style="position:absolute;left:5303;top:3156;height:466;width:1257;" filled="t" coordsize="21600,21600">
                    <v:path/>
                    <v:fill type="gradient" on="t" angle="90" focussize="0,0">
                      <o:fill type="gradientUnscaled" v:ext="backwardCompatible"/>
                    </v:fill>
                    <v:stroke weight="0.25pt" joinstyle="miter"/>
                    <v:imagedata o:title=""/>
                    <o:lock v:ext="edit"/>
                    <v:textbox>
                      <w:txbxContent>
                        <w:p>
                          <w:pPr>
                            <w:spacing w:line="240" w:lineRule="exact"/>
                            <w:jc w:val="center"/>
                            <w:rPr>
                              <w:szCs w:val="21"/>
                            </w:rPr>
                          </w:pPr>
                          <w:r>
                            <w:rPr>
                              <w:rFonts w:hint="eastAsia"/>
                              <w:szCs w:val="21"/>
                            </w:rPr>
                            <w:t>采购</w:t>
                          </w:r>
                        </w:p>
                      </w:txbxContent>
                    </v:textbox>
                  </v:shape>
                  <v:shape id="文本框 7" o:spid="_x0000_s16101" o:spt="202" type="#_x0000_t202" style="position:absolute;left:5303;top:3936;height:466;width:1257;" filled="t" coordsize="21600,21600">
                    <v:path/>
                    <v:fill type="gradient" on="t" angle="90" focussize="0,0">
                      <o:fill type="gradientUnscaled" v:ext="backwardCompatible"/>
                    </v:fill>
                    <v:stroke weight="0.25pt" joinstyle="miter"/>
                    <v:imagedata o:title=""/>
                    <o:lock v:ext="edit"/>
                    <v:textbox>
                      <w:txbxContent>
                        <w:p>
                          <w:pPr>
                            <w:ind w:firstLine="210" w:firstLineChars="100"/>
                          </w:pPr>
                          <w:r>
                            <w:rPr>
                              <w:rFonts w:hint="eastAsia"/>
                            </w:rPr>
                            <w:t>下料</w:t>
                          </w:r>
                        </w:p>
                      </w:txbxContent>
                    </v:textbox>
                  </v:shape>
                  <v:line id="直线 8" o:spid="_x0000_s16102" o:spt="20" style="position:absolute;left:5929;top:3624;height:312;width:4;" coordsize="21600,21600">
                    <v:path arrowok="t"/>
                    <v:fill focussize="0,0"/>
                    <v:stroke weight="0.25pt" endarrow="block"/>
                    <v:imagedata o:title=""/>
                    <o:lock v:ext="edit"/>
                  </v:line>
                  <v:shape id="文本框 9" o:spid="_x0000_s16103" o:spt="202" type="#_x0000_t202" style="position:absolute;left:5303;top:4716;height:466;width:1257;" filled="t" coordsize="21600,21600">
                    <v:path/>
                    <v:fill type="gradient" on="t" angle="90" focussize="0,0">
                      <o:fill type="gradientUnscaled" v:ext="backwardCompatible"/>
                    </v:fill>
                    <v:stroke weight="0.25pt" joinstyle="miter"/>
                    <v:imagedata o:title=""/>
                    <o:lock v:ext="edit"/>
                    <v:textbox>
                      <w:txbxContent>
                        <w:p>
                          <w:pPr>
                            <w:ind w:firstLine="210" w:firstLineChars="100"/>
                          </w:pPr>
                          <w:r>
                            <w:rPr>
                              <w:rFonts w:hint="eastAsia"/>
                            </w:rPr>
                            <w:t>熔化</w:t>
                          </w:r>
                        </w:p>
                      </w:txbxContent>
                    </v:textbox>
                  </v:shape>
                  <v:line id="直线 10" o:spid="_x0000_s16104" o:spt="20" style="position:absolute;left:5929;top:4404;height:310;width:4;" coordsize="21600,21600">
                    <v:path arrowok="t"/>
                    <v:fill focussize="0,0"/>
                    <v:stroke weight="0.25pt" endarrow="block"/>
                    <v:imagedata o:title=""/>
                    <o:lock v:ext="edit"/>
                  </v:line>
                  <v:shape id="文本框 12" o:spid="_x0000_s16105" o:spt="202" type="#_x0000_t202" style="position:absolute;left:5303;top:5546;height:466;width:1257;" filled="t" coordsize="21600,21600">
                    <v:path/>
                    <v:fill type="gradient" on="t" angle="90" focussize="0,0">
                      <o:fill type="gradientUnscaled" v:ext="backwardCompatible"/>
                    </v:fill>
                    <v:stroke weight="0.25pt" joinstyle="miter"/>
                    <v:imagedata o:title=""/>
                    <o:lock v:ext="edit"/>
                    <v:textbox>
                      <w:txbxContent>
                        <w:p>
                          <w:pPr>
                            <w:ind w:firstLine="210" w:firstLineChars="100"/>
                          </w:pPr>
                          <w:r>
                            <w:rPr>
                              <w:rFonts w:hint="eastAsia"/>
                            </w:rPr>
                            <w:t>压铸</w:t>
                          </w:r>
                        </w:p>
                      </w:txbxContent>
                    </v:textbox>
                  </v:shape>
                  <v:line id="直线 13" o:spid="_x0000_s16106" o:spt="20" style="position:absolute;left:5929;top:5184;height:362;width:4;" coordsize="21600,21600">
                    <v:path arrowok="t"/>
                    <v:fill focussize="0,0"/>
                    <v:stroke weight="0.25pt" endarrow="block"/>
                    <v:imagedata o:title=""/>
                    <o:lock v:ext="edit"/>
                  </v:line>
                  <v:shape id="文本框 15" o:spid="_x0000_s16107" o:spt="202" type="#_x0000_t202" style="position:absolute;left:5303;top:6276;height:466;width:1257;" filled="t" coordsize="21600,21600">
                    <v:path/>
                    <v:fill type="gradient" on="t" angle="90" focussize="0,0">
                      <o:fill type="gradientUnscaled" v:ext="backwardCompatible"/>
                    </v:fill>
                    <v:stroke weight="0.25pt" joinstyle="miter"/>
                    <v:imagedata o:title=""/>
                    <o:lock v:ext="edit"/>
                    <v:textbox>
                      <w:txbxContent>
                        <w:p>
                          <w:r>
                            <w:rPr>
                              <w:rFonts w:hint="eastAsia"/>
                            </w:rPr>
                            <w:t>表面磨削</w:t>
                          </w:r>
                        </w:p>
                      </w:txbxContent>
                    </v:textbox>
                  </v:shape>
                  <v:line id="直线 16" o:spid="_x0000_s16108" o:spt="20" style="position:absolute;left:5929;top:5964;height:310;width:4;" coordsize="21600,21600">
                    <v:path arrowok="t"/>
                    <v:fill focussize="0,0"/>
                    <v:stroke weight="0.25pt" endarrow="block"/>
                    <v:imagedata o:title=""/>
                    <o:lock v:ext="edit"/>
                  </v:line>
                  <v:shape id="文本框 23" o:spid="_x0000_s16109" o:spt="202" type="#_x0000_t202" style="position:absolute;left:5303;top:7114;height:466;width:1307;" filled="t" coordsize="21600,21600">
                    <v:path/>
                    <v:fill type="gradient" on="t" angle="90" focussize="0,0">
                      <o:fill type="gradientUnscaled" v:ext="backwardCompatible"/>
                    </v:fill>
                    <v:stroke weight="0.25pt" joinstyle="miter"/>
                    <v:imagedata o:title=""/>
                    <o:lock v:ext="edit"/>
                    <v:textbox>
                      <w:txbxContent>
                        <w:p>
                          <w:pPr>
                            <w:ind w:firstLine="210" w:firstLineChars="100"/>
                          </w:pPr>
                          <w:r>
                            <w:rPr>
                              <w:rFonts w:hint="eastAsia"/>
                            </w:rPr>
                            <w:t>包装</w:t>
                          </w:r>
                        </w:p>
                      </w:txbxContent>
                    </v:textbox>
                  </v:shape>
                  <v:shape id="文本框 27" o:spid="_x0000_s16110" o:spt="202" type="#_x0000_t202" style="position:absolute;left:3563;top:7110;height:466;width:1257;" filled="t" coordsize="21600,21600">
                    <v:path/>
                    <v:fill type="gradient" on="t" angle="90" focussize="0,0">
                      <o:fill type="gradientUnscaled" v:ext="backwardCompatible"/>
                    </v:fill>
                    <v:stroke weight="0.25pt" joinstyle="miter"/>
                    <v:imagedata o:title=""/>
                    <o:lock v:ext="edit"/>
                    <v:textbox>
                      <w:txbxContent>
                        <w:p>
                          <w:r>
                            <w:rPr>
                              <w:rFonts w:hint="eastAsia"/>
                            </w:rPr>
                            <w:t>表面氧化</w:t>
                          </w:r>
                        </w:p>
                      </w:txbxContent>
                    </v:textbox>
                  </v:shape>
                  <v:line id="直线 47" o:spid="_x0000_s16111" o:spt="20" style="position:absolute;left:5934;top:6742;height:310;width:4;" coordsize="21600,21600">
                    <v:path arrowok="t"/>
                    <v:fill focussize="0,0"/>
                    <v:stroke weight="0.25pt" endarrow="block"/>
                    <v:imagedata o:title=""/>
                    <o:lock v:ext="edit"/>
                  </v:line>
                  <v:line id="直线 55" o:spid="_x0000_s16112" o:spt="20" style="position:absolute;left:6829;top:5689;flip:y;height:1;width:630;" coordsize="21600,21600">
                    <v:path arrowok="t"/>
                    <v:fill focussize="0,0"/>
                    <v:stroke weight="0.5pt" dashstyle="dash" endarrow="block"/>
                    <v:imagedata o:title=""/>
                    <o:lock v:ext="edit"/>
                  </v:line>
                  <v:rect id="矩形 56" o:spid="_x0000_s16113" o:spt="1" style="position:absolute;left:7764;top:4773;height:468;width:2310;" filled="f" stroked="f" coordsize="21600,21600">
                    <v:path/>
                    <v:fill on="f" focussize="0,0"/>
                    <v:stroke on="f"/>
                    <v:imagedata o:title=""/>
                    <o:lock v:ext="edit"/>
                    <v:textbox>
                      <w:txbxContent>
                        <w:p>
                          <w:pPr>
                            <w:ind w:firstLine="105" w:firstLineChars="50"/>
                          </w:pPr>
                          <w:r>
                            <w:rPr>
                              <w:rFonts w:hint="eastAsia"/>
                            </w:rPr>
                            <w:t>粉尘、噪声</w:t>
                          </w:r>
                        </w:p>
                      </w:txbxContent>
                    </v:textbox>
                  </v:rect>
                  <v:line id="直线 55" o:spid="_x0000_s16114" o:spt="20" style="position:absolute;left:6829;top:5028;flip:y;height:1;width:630;" coordsize="21600,21600">
                    <v:path arrowok="t"/>
                    <v:fill focussize="0,0"/>
                    <v:stroke weight="0.5pt" dashstyle="dash" endarrow="block"/>
                    <v:imagedata o:title=""/>
                    <o:lock v:ext="edit"/>
                  </v:line>
                  <v:line id="直线 55" o:spid="_x0000_s16115" o:spt="20" style="position:absolute;left:6879;top:6493;flip:y;height:1;width:630;" coordsize="21600,21600">
                    <v:path arrowok="t"/>
                    <v:fill focussize="0,0"/>
                    <v:stroke weight="0.5pt" dashstyle="dash" endarrow="block"/>
                    <v:imagedata o:title=""/>
                    <o:lock v:ext="edit"/>
                  </v:line>
                  <v:shape id="文本框 1303" o:spid="_x0000_s16116" o:spt="202" type="#_x0000_t202" style="position:absolute;left:7764;top:5470;height:466;width:1170;" stroked="t" coordsize="21600,21600">
                    <v:path/>
                    <v:fill focussize="0,0"/>
                    <v:stroke color="#FFFFFF" joinstyle="miter"/>
                    <v:imagedata o:title=""/>
                    <o:lock v:ext="edit"/>
                    <v:textbox>
                      <w:txbxContent>
                        <w:p>
                          <w:r>
                            <w:rPr>
                              <w:rFonts w:hint="eastAsia"/>
                            </w:rPr>
                            <w:t>粉尘</w:t>
                          </w:r>
                        </w:p>
                      </w:txbxContent>
                    </v:textbox>
                  </v:shape>
                  <v:shape id="文本框 1304" o:spid="_x0000_s16117" o:spt="202" type="#_x0000_t202" style="position:absolute;left:7906;top:6257;height:466;width:1496;" stroked="t" coordsize="21600,21600">
                    <v:path/>
                    <v:fill focussize="0,0"/>
                    <v:stroke color="#FFFFFF" joinstyle="miter"/>
                    <v:imagedata o:title=""/>
                    <o:lock v:ext="edit"/>
                    <v:textbox>
                      <w:txbxContent>
                        <w:p>
                          <w:r>
                            <w:t>噪声</w:t>
                          </w:r>
                          <w:r>
                            <w:rPr>
                              <w:rFonts w:hint="eastAsia"/>
                            </w:rPr>
                            <w:t>、粉尘</w:t>
                          </w:r>
                        </w:p>
                      </w:txbxContent>
                    </v:textbox>
                  </v:shape>
                  <v:shape id="自选图形 1448" o:spid="_x0000_s16118" o:spt="33" type="#_x0000_t33" style="position:absolute;left:4192;top:6509;flip:y;height:601;width:1111;rotation:11796480f;" o:connectortype="elbow" filled="f" coordsize="21600,21600" adj="-109380,186457,-109380">
                    <v:path arrowok="t"/>
                    <v:fill on="f" focussize="0,0"/>
                    <v:stroke endarrow="block"/>
                    <v:imagedata o:title=""/>
                    <o:lock v:ext="edit"/>
                  </v:shape>
                  <v:shape id="自选图形 1449" o:spid="_x0000_s16119" o:spt="32" type="#_x0000_t32" style="position:absolute;left:4820;top:7343;height:4;width:483;" o:connectortype="straight" filled="f" coordsize="21600,21600">
                    <v:path arrowok="t"/>
                    <v:fill on="f" focussize="0,0"/>
                    <v:stroke endarrow="block"/>
                    <v:imagedata o:title=""/>
                    <o:lock v:ext="edit"/>
                  </v:shape>
                  <w10:wrap type="none"/>
                  <w10:anchorlock/>
                </v:group>
              </w:pict>
            </w:r>
            <w:r>
              <w:rPr>
                <w:rFonts w:hint="eastAsia"/>
                <w:sz w:val="24"/>
              </w:rPr>
              <w:t xml:space="preserve"> </w:t>
            </w:r>
            <w:r>
              <w:rPr>
                <w:sz w:val="24"/>
              </w:rPr>
              <w:t xml:space="preserve">   流程简述</w:t>
            </w:r>
            <w:r>
              <w:rPr>
                <w:rFonts w:hint="eastAsia"/>
                <w:sz w:val="24"/>
              </w:rPr>
              <w:t>：</w:t>
            </w:r>
          </w:p>
          <w:p>
            <w:pPr>
              <w:spacing w:line="360" w:lineRule="auto"/>
              <w:ind w:firstLine="480" w:firstLineChars="200"/>
              <w:rPr>
                <w:rStyle w:val="527"/>
                <w:sz w:val="24"/>
              </w:rPr>
            </w:pPr>
            <w:r>
              <w:rPr>
                <w:sz w:val="24"/>
              </w:rPr>
              <w:t>现有项目全部采用特选特供</w:t>
            </w:r>
            <w:r>
              <w:rPr>
                <w:rFonts w:hint="eastAsia"/>
                <w:sz w:val="24"/>
              </w:rPr>
              <w:t>2</w:t>
            </w:r>
            <w:r>
              <w:rPr>
                <w:sz w:val="24"/>
              </w:rPr>
              <w:t>2号优质原生铁</w:t>
            </w:r>
            <w:r>
              <w:rPr>
                <w:rFonts w:hint="eastAsia"/>
                <w:sz w:val="24"/>
              </w:rPr>
              <w:t>，</w:t>
            </w:r>
            <w:r>
              <w:rPr>
                <w:sz w:val="24"/>
              </w:rPr>
              <w:t>使用电路熔化</w:t>
            </w:r>
            <w:r>
              <w:rPr>
                <w:rFonts w:hint="eastAsia"/>
                <w:sz w:val="24"/>
              </w:rPr>
              <w:t>，</w:t>
            </w:r>
            <w:r>
              <w:rPr>
                <w:sz w:val="24"/>
              </w:rPr>
              <w:t>再利用铁模将熔化</w:t>
            </w:r>
            <w:r>
              <w:rPr>
                <w:rFonts w:hint="eastAsia"/>
                <w:sz w:val="24"/>
              </w:rPr>
              <w:t>的铁水压铸成型，然后采用磨削机对压铸成型的毛坯进行打磨抛光，再对部分产品进行高温氧化处理（不适用化学表面处理），最后对成品锅具进行包装。</w:t>
            </w:r>
          </w:p>
          <w:p>
            <w:pPr>
              <w:spacing w:line="360" w:lineRule="auto"/>
              <w:rPr>
                <w:rStyle w:val="527"/>
                <w:b/>
                <w:sz w:val="24"/>
              </w:rPr>
            </w:pPr>
            <w:r>
              <w:rPr>
                <w:rStyle w:val="527"/>
                <w:rFonts w:hint="eastAsia"/>
                <w:b/>
                <w:sz w:val="24"/>
              </w:rPr>
              <w:t>5、现有工程主要污染物及治理措施</w:t>
            </w:r>
          </w:p>
          <w:p>
            <w:pPr>
              <w:spacing w:line="360" w:lineRule="auto"/>
              <w:ind w:firstLine="482" w:firstLineChars="200"/>
              <w:rPr>
                <w:b/>
                <w:sz w:val="24"/>
              </w:rPr>
            </w:pPr>
            <w:r>
              <w:rPr>
                <w:rFonts w:hint="eastAsia"/>
                <w:b/>
                <w:sz w:val="24"/>
              </w:rPr>
              <w:t>1）废气污染物及治理措施</w:t>
            </w:r>
          </w:p>
          <w:p>
            <w:pPr>
              <w:spacing w:line="360" w:lineRule="auto"/>
              <w:ind w:firstLine="480" w:firstLineChars="200"/>
              <w:rPr>
                <w:sz w:val="24"/>
              </w:rPr>
            </w:pPr>
            <w:r>
              <w:rPr>
                <w:rFonts w:hint="eastAsia"/>
                <w:sz w:val="24"/>
              </w:rPr>
              <w:t>（1）废气产生情况</w:t>
            </w:r>
          </w:p>
          <w:p>
            <w:pPr>
              <w:spacing w:line="360" w:lineRule="auto"/>
              <w:ind w:firstLine="480" w:firstLineChars="200"/>
              <w:rPr>
                <w:sz w:val="24"/>
              </w:rPr>
            </w:pPr>
            <w:r>
              <w:rPr>
                <w:rFonts w:hint="eastAsia"/>
                <w:sz w:val="24"/>
              </w:rPr>
              <w:t>项目废气主要为模具浇注产生的烟尘、锅具磨削粉尘以及食堂油烟。</w:t>
            </w:r>
          </w:p>
          <w:p>
            <w:pPr>
              <w:numPr>
                <w:ilvl w:val="0"/>
                <w:numId w:val="3"/>
              </w:numPr>
              <w:spacing w:line="360" w:lineRule="auto"/>
              <w:rPr>
                <w:sz w:val="24"/>
              </w:rPr>
            </w:pPr>
            <w:r>
              <w:rPr>
                <w:rFonts w:hint="eastAsia"/>
                <w:sz w:val="24"/>
              </w:rPr>
              <w:t>模具浇注产生粉尘</w:t>
            </w:r>
          </w:p>
          <w:p>
            <w:pPr>
              <w:spacing w:line="360" w:lineRule="auto"/>
              <w:ind w:firstLine="480"/>
              <w:rPr>
                <w:sz w:val="24"/>
              </w:rPr>
            </w:pPr>
            <w:r>
              <w:rPr>
                <w:rFonts w:hint="eastAsia"/>
                <w:sz w:val="24"/>
              </w:rPr>
              <w:t>现有项目采用数控车床对锅具进行磨削，磨削过程在数控车床封闭箱体内进行。磨削过程中产生的粉尘主要为铁屑，在箱体内沉降后每天清除，收集后外售。</w:t>
            </w:r>
          </w:p>
          <w:p>
            <w:pPr>
              <w:numPr>
                <w:ilvl w:val="0"/>
                <w:numId w:val="3"/>
              </w:numPr>
              <w:spacing w:line="360" w:lineRule="auto"/>
              <w:rPr>
                <w:sz w:val="24"/>
              </w:rPr>
            </w:pPr>
            <w:r>
              <w:rPr>
                <w:rFonts w:hint="eastAsia"/>
                <w:sz w:val="24"/>
              </w:rPr>
              <w:t>模具浇注产生的烟尘</w:t>
            </w:r>
          </w:p>
          <w:p>
            <w:pPr>
              <w:spacing w:line="360" w:lineRule="auto"/>
              <w:ind w:firstLine="480" w:firstLineChars="200"/>
              <w:rPr>
                <w:sz w:val="24"/>
              </w:rPr>
            </w:pPr>
            <w:r>
              <w:rPr>
                <w:sz w:val="24"/>
              </w:rPr>
              <w:t>现有项目模具浇注会产生含氧化铁的扬尘</w:t>
            </w:r>
            <w:r>
              <w:rPr>
                <w:rFonts w:hint="eastAsia"/>
                <w:sz w:val="24"/>
              </w:rPr>
              <w:t>，</w:t>
            </w:r>
            <w:r>
              <w:rPr>
                <w:sz w:val="24"/>
              </w:rPr>
              <w:t>因该环节产生的含氧化铁扬尘粒径相对较大</w:t>
            </w:r>
            <w:r>
              <w:rPr>
                <w:rFonts w:hint="eastAsia"/>
                <w:sz w:val="24"/>
              </w:rPr>
              <w:t>，经过在车间内自然沉降、洒水降尘后排放浓度较低。</w:t>
            </w:r>
          </w:p>
          <w:p>
            <w:pPr>
              <w:spacing w:line="360" w:lineRule="auto"/>
              <w:ind w:firstLine="480" w:firstLineChars="200"/>
              <w:rPr>
                <w:sz w:val="24"/>
              </w:rPr>
            </w:pPr>
            <w:r>
              <w:rPr>
                <w:sz w:val="24"/>
              </w:rPr>
              <w:t>根据业主提供检测报告</w:t>
            </w:r>
            <w:r>
              <w:rPr>
                <w:rFonts w:hint="eastAsia"/>
                <w:sz w:val="24"/>
              </w:rPr>
              <w:t>（川中环检字（2</w:t>
            </w:r>
            <w:r>
              <w:rPr>
                <w:sz w:val="24"/>
              </w:rPr>
              <w:t>018</w:t>
            </w:r>
            <w:r>
              <w:rPr>
                <w:rFonts w:hint="eastAsia"/>
                <w:sz w:val="24"/>
              </w:rPr>
              <w:t>）第（废气、噪声）0</w:t>
            </w:r>
            <w:r>
              <w:rPr>
                <w:sz w:val="24"/>
              </w:rPr>
              <w:t>887号</w:t>
            </w:r>
            <w:r>
              <w:rPr>
                <w:rFonts w:hint="eastAsia"/>
                <w:sz w:val="24"/>
              </w:rPr>
              <w:t>），现有项目厂界无组织废气监测结果如下表。</w:t>
            </w:r>
          </w:p>
          <w:p>
            <w:pPr>
              <w:spacing w:line="360" w:lineRule="auto"/>
              <w:jc w:val="center"/>
              <w:rPr>
                <w:b/>
                <w:sz w:val="24"/>
              </w:rPr>
            </w:pPr>
            <w:r>
              <w:rPr>
                <w:rFonts w:hint="eastAsia"/>
                <w:b/>
                <w:sz w:val="24"/>
              </w:rPr>
              <w:t>表1</w:t>
            </w:r>
            <w:r>
              <w:rPr>
                <w:b/>
                <w:sz w:val="24"/>
              </w:rPr>
              <w:t xml:space="preserve">-10 </w:t>
            </w:r>
            <w:r>
              <w:rPr>
                <w:rFonts w:hint="eastAsia"/>
                <w:b/>
                <w:sz w:val="24"/>
              </w:rPr>
              <w:t>现有项目厂界无组织废气监测结果表</w:t>
            </w:r>
          </w:p>
          <w:tbl>
            <w:tblPr>
              <w:tblStyle w:val="53"/>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684"/>
              <w:gridCol w:w="1624"/>
              <w:gridCol w:w="1155"/>
              <w:gridCol w:w="1155"/>
              <w:gridCol w:w="1155"/>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Merge w:val="restart"/>
                  <w:vAlign w:val="center"/>
                </w:tcPr>
                <w:p>
                  <w:pPr>
                    <w:adjustRightInd w:val="0"/>
                    <w:snapToGrid w:val="0"/>
                    <w:jc w:val="center"/>
                    <w:rPr>
                      <w:szCs w:val="21"/>
                    </w:rPr>
                  </w:pPr>
                  <w:r>
                    <w:rPr>
                      <w:rFonts w:hint="eastAsia"/>
                      <w:szCs w:val="21"/>
                    </w:rPr>
                    <w:t>监测项目</w:t>
                  </w:r>
                </w:p>
              </w:tc>
              <w:tc>
                <w:tcPr>
                  <w:tcW w:w="684" w:type="dxa"/>
                  <w:vMerge w:val="restart"/>
                  <w:vAlign w:val="center"/>
                </w:tcPr>
                <w:p>
                  <w:pPr>
                    <w:adjustRightInd w:val="0"/>
                    <w:snapToGrid w:val="0"/>
                    <w:jc w:val="center"/>
                    <w:rPr>
                      <w:szCs w:val="21"/>
                    </w:rPr>
                  </w:pPr>
                  <w:r>
                    <w:rPr>
                      <w:rFonts w:hint="eastAsia"/>
                      <w:szCs w:val="21"/>
                    </w:rPr>
                    <w:t>点位编号</w:t>
                  </w:r>
                </w:p>
              </w:tc>
              <w:tc>
                <w:tcPr>
                  <w:tcW w:w="1624" w:type="dxa"/>
                  <w:vMerge w:val="restart"/>
                  <w:vAlign w:val="center"/>
                </w:tcPr>
                <w:p>
                  <w:pPr>
                    <w:adjustRightInd w:val="0"/>
                    <w:snapToGrid w:val="0"/>
                    <w:jc w:val="center"/>
                    <w:rPr>
                      <w:szCs w:val="21"/>
                    </w:rPr>
                  </w:pPr>
                  <w:r>
                    <w:rPr>
                      <w:rFonts w:hint="eastAsia"/>
                      <w:szCs w:val="21"/>
                    </w:rPr>
                    <w:t>监测点位</w:t>
                  </w:r>
                </w:p>
              </w:tc>
              <w:tc>
                <w:tcPr>
                  <w:tcW w:w="3465" w:type="dxa"/>
                  <w:gridSpan w:val="3"/>
                  <w:vAlign w:val="center"/>
                </w:tcPr>
                <w:p>
                  <w:pPr>
                    <w:adjustRightInd w:val="0"/>
                    <w:snapToGrid w:val="0"/>
                    <w:jc w:val="center"/>
                    <w:rPr>
                      <w:szCs w:val="21"/>
                    </w:rPr>
                  </w:pPr>
                  <w:r>
                    <w:rPr>
                      <w:rFonts w:hint="eastAsia"/>
                      <w:szCs w:val="21"/>
                    </w:rPr>
                    <w:t>检测结果</w:t>
                  </w:r>
                </w:p>
              </w:tc>
              <w:tc>
                <w:tcPr>
                  <w:tcW w:w="1155" w:type="dxa"/>
                  <w:vMerge w:val="restart"/>
                  <w:vAlign w:val="center"/>
                </w:tcPr>
                <w:p>
                  <w:pPr>
                    <w:adjustRightInd w:val="0"/>
                    <w:snapToGrid w:val="0"/>
                    <w:jc w:val="center"/>
                    <w:rPr>
                      <w:szCs w:val="21"/>
                    </w:rPr>
                  </w:pPr>
                  <w:r>
                    <w:rPr>
                      <w:rFonts w:hint="eastAsia"/>
                      <w:szCs w:val="21"/>
                    </w:rPr>
                    <w:t>标准限值</w:t>
                  </w:r>
                </w:p>
              </w:tc>
              <w:tc>
                <w:tcPr>
                  <w:tcW w:w="1155" w:type="dxa"/>
                  <w:vMerge w:val="restart"/>
                  <w:vAlign w:val="center"/>
                </w:tcPr>
                <w:p>
                  <w:pPr>
                    <w:adjustRightInd w:val="0"/>
                    <w:snapToGrid w:val="0"/>
                    <w:jc w:val="center"/>
                    <w:rPr>
                      <w:szCs w:val="21"/>
                    </w:rPr>
                  </w:pPr>
                  <w:r>
                    <w:rPr>
                      <w:rFonts w:hint="eastAsia"/>
                      <w:szCs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Merge w:val="continue"/>
                  <w:vAlign w:val="center"/>
                </w:tcPr>
                <w:p>
                  <w:pPr>
                    <w:adjustRightInd w:val="0"/>
                    <w:snapToGrid w:val="0"/>
                    <w:jc w:val="center"/>
                    <w:rPr>
                      <w:szCs w:val="21"/>
                    </w:rPr>
                  </w:pPr>
                </w:p>
              </w:tc>
              <w:tc>
                <w:tcPr>
                  <w:tcW w:w="684" w:type="dxa"/>
                  <w:vMerge w:val="continue"/>
                  <w:vAlign w:val="center"/>
                </w:tcPr>
                <w:p>
                  <w:pPr>
                    <w:adjustRightInd w:val="0"/>
                    <w:snapToGrid w:val="0"/>
                    <w:jc w:val="center"/>
                    <w:rPr>
                      <w:szCs w:val="21"/>
                    </w:rPr>
                  </w:pPr>
                </w:p>
              </w:tc>
              <w:tc>
                <w:tcPr>
                  <w:tcW w:w="1624" w:type="dxa"/>
                  <w:vMerge w:val="continue"/>
                  <w:vAlign w:val="center"/>
                </w:tcPr>
                <w:p>
                  <w:pPr>
                    <w:adjustRightInd w:val="0"/>
                    <w:snapToGrid w:val="0"/>
                    <w:jc w:val="center"/>
                    <w:rPr>
                      <w:szCs w:val="21"/>
                    </w:rPr>
                  </w:pPr>
                </w:p>
              </w:tc>
              <w:tc>
                <w:tcPr>
                  <w:tcW w:w="1155" w:type="dxa"/>
                  <w:vAlign w:val="center"/>
                </w:tcPr>
                <w:p>
                  <w:pPr>
                    <w:adjustRightInd w:val="0"/>
                    <w:snapToGrid w:val="0"/>
                    <w:jc w:val="center"/>
                    <w:rPr>
                      <w:szCs w:val="21"/>
                    </w:rPr>
                  </w:pPr>
                  <w:r>
                    <w:rPr>
                      <w:rFonts w:hint="eastAsia"/>
                      <w:szCs w:val="21"/>
                    </w:rPr>
                    <w:t>第一次</w:t>
                  </w:r>
                </w:p>
              </w:tc>
              <w:tc>
                <w:tcPr>
                  <w:tcW w:w="1155" w:type="dxa"/>
                  <w:vAlign w:val="center"/>
                </w:tcPr>
                <w:p>
                  <w:pPr>
                    <w:adjustRightInd w:val="0"/>
                    <w:snapToGrid w:val="0"/>
                    <w:jc w:val="center"/>
                    <w:rPr>
                      <w:szCs w:val="21"/>
                    </w:rPr>
                  </w:pPr>
                  <w:r>
                    <w:rPr>
                      <w:rFonts w:hint="eastAsia"/>
                      <w:szCs w:val="21"/>
                    </w:rPr>
                    <w:t>第二次</w:t>
                  </w:r>
                </w:p>
              </w:tc>
              <w:tc>
                <w:tcPr>
                  <w:tcW w:w="1155" w:type="dxa"/>
                  <w:vAlign w:val="center"/>
                </w:tcPr>
                <w:p>
                  <w:pPr>
                    <w:adjustRightInd w:val="0"/>
                    <w:snapToGrid w:val="0"/>
                    <w:jc w:val="center"/>
                    <w:rPr>
                      <w:szCs w:val="21"/>
                    </w:rPr>
                  </w:pPr>
                  <w:r>
                    <w:rPr>
                      <w:rFonts w:hint="eastAsia"/>
                      <w:szCs w:val="21"/>
                    </w:rPr>
                    <w:t>第三次</w:t>
                  </w:r>
                </w:p>
              </w:tc>
              <w:tc>
                <w:tcPr>
                  <w:tcW w:w="1155" w:type="dxa"/>
                  <w:vMerge w:val="continue"/>
                  <w:vAlign w:val="center"/>
                </w:tcPr>
                <w:p>
                  <w:pPr>
                    <w:adjustRightInd w:val="0"/>
                    <w:snapToGrid w:val="0"/>
                    <w:jc w:val="center"/>
                    <w:rPr>
                      <w:szCs w:val="21"/>
                    </w:rPr>
                  </w:pPr>
                </w:p>
              </w:tc>
              <w:tc>
                <w:tcPr>
                  <w:tcW w:w="1155"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Merge w:val="restart"/>
                  <w:vAlign w:val="center"/>
                </w:tcPr>
                <w:p>
                  <w:pPr>
                    <w:adjustRightInd w:val="0"/>
                    <w:snapToGrid w:val="0"/>
                    <w:jc w:val="center"/>
                    <w:rPr>
                      <w:szCs w:val="21"/>
                    </w:rPr>
                  </w:pPr>
                  <w:r>
                    <w:rPr>
                      <w:rFonts w:hint="eastAsia"/>
                      <w:szCs w:val="21"/>
                    </w:rPr>
                    <w:t>颗粒物</w:t>
                  </w:r>
                </w:p>
              </w:tc>
              <w:tc>
                <w:tcPr>
                  <w:tcW w:w="684" w:type="dxa"/>
                  <w:vAlign w:val="center"/>
                </w:tcPr>
                <w:p>
                  <w:pPr>
                    <w:adjustRightInd w:val="0"/>
                    <w:snapToGrid w:val="0"/>
                    <w:jc w:val="center"/>
                    <w:rPr>
                      <w:szCs w:val="21"/>
                    </w:rPr>
                  </w:pPr>
                  <w:r>
                    <w:rPr>
                      <w:rFonts w:hint="eastAsia"/>
                      <w:szCs w:val="21"/>
                    </w:rPr>
                    <w:t>1#</w:t>
                  </w:r>
                </w:p>
              </w:tc>
              <w:tc>
                <w:tcPr>
                  <w:tcW w:w="1624" w:type="dxa"/>
                  <w:vAlign w:val="center"/>
                </w:tcPr>
                <w:p>
                  <w:pPr>
                    <w:adjustRightInd w:val="0"/>
                    <w:snapToGrid w:val="0"/>
                    <w:jc w:val="center"/>
                    <w:rPr>
                      <w:szCs w:val="21"/>
                    </w:rPr>
                  </w:pPr>
                  <w:r>
                    <w:rPr>
                      <w:rFonts w:hint="eastAsia"/>
                      <w:szCs w:val="21"/>
                    </w:rPr>
                    <w:t>厂界下风向</w:t>
                  </w:r>
                </w:p>
              </w:tc>
              <w:tc>
                <w:tcPr>
                  <w:tcW w:w="1155" w:type="dxa"/>
                  <w:vAlign w:val="center"/>
                </w:tcPr>
                <w:p>
                  <w:pPr>
                    <w:adjustRightInd w:val="0"/>
                    <w:snapToGrid w:val="0"/>
                    <w:jc w:val="center"/>
                    <w:rPr>
                      <w:szCs w:val="21"/>
                    </w:rPr>
                  </w:pPr>
                  <w:r>
                    <w:rPr>
                      <w:rFonts w:hint="eastAsia"/>
                      <w:szCs w:val="21"/>
                    </w:rPr>
                    <w:t>0</w:t>
                  </w:r>
                  <w:r>
                    <w:rPr>
                      <w:szCs w:val="21"/>
                    </w:rPr>
                    <w:t>.251</w:t>
                  </w:r>
                </w:p>
              </w:tc>
              <w:tc>
                <w:tcPr>
                  <w:tcW w:w="1155" w:type="dxa"/>
                  <w:vAlign w:val="center"/>
                </w:tcPr>
                <w:p>
                  <w:pPr>
                    <w:adjustRightInd w:val="0"/>
                    <w:snapToGrid w:val="0"/>
                    <w:jc w:val="center"/>
                    <w:rPr>
                      <w:szCs w:val="21"/>
                    </w:rPr>
                  </w:pPr>
                  <w:r>
                    <w:rPr>
                      <w:rFonts w:hint="eastAsia"/>
                      <w:szCs w:val="21"/>
                    </w:rPr>
                    <w:t>0</w:t>
                  </w:r>
                  <w:r>
                    <w:rPr>
                      <w:szCs w:val="21"/>
                    </w:rPr>
                    <w:t>.234</w:t>
                  </w:r>
                </w:p>
              </w:tc>
              <w:tc>
                <w:tcPr>
                  <w:tcW w:w="1155" w:type="dxa"/>
                  <w:vAlign w:val="center"/>
                </w:tcPr>
                <w:p>
                  <w:pPr>
                    <w:adjustRightInd w:val="0"/>
                    <w:snapToGrid w:val="0"/>
                    <w:jc w:val="center"/>
                    <w:rPr>
                      <w:szCs w:val="21"/>
                    </w:rPr>
                  </w:pPr>
                  <w:r>
                    <w:rPr>
                      <w:rFonts w:hint="eastAsia"/>
                      <w:szCs w:val="21"/>
                    </w:rPr>
                    <w:t>0</w:t>
                  </w:r>
                  <w:r>
                    <w:rPr>
                      <w:szCs w:val="21"/>
                    </w:rPr>
                    <w:t>.318</w:t>
                  </w:r>
                </w:p>
              </w:tc>
              <w:tc>
                <w:tcPr>
                  <w:tcW w:w="1155" w:type="dxa"/>
                  <w:vMerge w:val="restart"/>
                  <w:vAlign w:val="center"/>
                </w:tcPr>
                <w:p>
                  <w:pPr>
                    <w:adjustRightInd w:val="0"/>
                    <w:snapToGrid w:val="0"/>
                    <w:jc w:val="center"/>
                    <w:rPr>
                      <w:szCs w:val="21"/>
                    </w:rPr>
                  </w:pPr>
                  <w:r>
                    <w:rPr>
                      <w:rFonts w:hint="eastAsia"/>
                      <w:szCs w:val="21"/>
                    </w:rPr>
                    <w:t>1</w:t>
                  </w:r>
                  <w:r>
                    <w:rPr>
                      <w:szCs w:val="21"/>
                    </w:rPr>
                    <w:t>.0</w:t>
                  </w:r>
                </w:p>
              </w:tc>
              <w:tc>
                <w:tcPr>
                  <w:tcW w:w="1155" w:type="dxa"/>
                  <w:vMerge w:val="restart"/>
                  <w:vAlign w:val="center"/>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Merge w:val="continue"/>
                  <w:vAlign w:val="center"/>
                </w:tcPr>
                <w:p>
                  <w:pPr>
                    <w:adjustRightInd w:val="0"/>
                    <w:snapToGrid w:val="0"/>
                    <w:rPr>
                      <w:szCs w:val="21"/>
                    </w:rPr>
                  </w:pPr>
                </w:p>
              </w:tc>
              <w:tc>
                <w:tcPr>
                  <w:tcW w:w="684" w:type="dxa"/>
                  <w:vAlign w:val="center"/>
                </w:tcPr>
                <w:p>
                  <w:pPr>
                    <w:adjustRightInd w:val="0"/>
                    <w:snapToGrid w:val="0"/>
                    <w:jc w:val="center"/>
                    <w:rPr>
                      <w:szCs w:val="21"/>
                    </w:rPr>
                  </w:pPr>
                  <w:r>
                    <w:rPr>
                      <w:rFonts w:hint="eastAsia"/>
                      <w:szCs w:val="21"/>
                    </w:rPr>
                    <w:t>2#</w:t>
                  </w:r>
                </w:p>
              </w:tc>
              <w:tc>
                <w:tcPr>
                  <w:tcW w:w="1624" w:type="dxa"/>
                  <w:vAlign w:val="center"/>
                </w:tcPr>
                <w:p>
                  <w:pPr>
                    <w:adjustRightInd w:val="0"/>
                    <w:snapToGrid w:val="0"/>
                    <w:jc w:val="center"/>
                    <w:rPr>
                      <w:szCs w:val="21"/>
                    </w:rPr>
                  </w:pPr>
                  <w:r>
                    <w:rPr>
                      <w:rFonts w:hint="eastAsia"/>
                      <w:szCs w:val="21"/>
                    </w:rPr>
                    <w:t>厂界下风向</w:t>
                  </w:r>
                </w:p>
              </w:tc>
              <w:tc>
                <w:tcPr>
                  <w:tcW w:w="1155" w:type="dxa"/>
                  <w:vAlign w:val="center"/>
                </w:tcPr>
                <w:p>
                  <w:pPr>
                    <w:adjustRightInd w:val="0"/>
                    <w:snapToGrid w:val="0"/>
                    <w:jc w:val="center"/>
                    <w:rPr>
                      <w:szCs w:val="21"/>
                    </w:rPr>
                  </w:pPr>
                  <w:r>
                    <w:rPr>
                      <w:rFonts w:hint="eastAsia"/>
                      <w:szCs w:val="21"/>
                    </w:rPr>
                    <w:t>0</w:t>
                  </w:r>
                  <w:r>
                    <w:rPr>
                      <w:szCs w:val="21"/>
                    </w:rPr>
                    <w:t>.271</w:t>
                  </w:r>
                </w:p>
              </w:tc>
              <w:tc>
                <w:tcPr>
                  <w:tcW w:w="1155" w:type="dxa"/>
                  <w:vAlign w:val="center"/>
                </w:tcPr>
                <w:p>
                  <w:pPr>
                    <w:adjustRightInd w:val="0"/>
                    <w:snapToGrid w:val="0"/>
                    <w:jc w:val="center"/>
                    <w:rPr>
                      <w:szCs w:val="21"/>
                    </w:rPr>
                  </w:pPr>
                  <w:r>
                    <w:rPr>
                      <w:rFonts w:hint="eastAsia"/>
                      <w:szCs w:val="21"/>
                    </w:rPr>
                    <w:t>0</w:t>
                  </w:r>
                  <w:r>
                    <w:rPr>
                      <w:szCs w:val="21"/>
                    </w:rPr>
                    <w:t>.215</w:t>
                  </w:r>
                </w:p>
              </w:tc>
              <w:tc>
                <w:tcPr>
                  <w:tcW w:w="1155" w:type="dxa"/>
                  <w:vAlign w:val="center"/>
                </w:tcPr>
                <w:p>
                  <w:pPr>
                    <w:adjustRightInd w:val="0"/>
                    <w:snapToGrid w:val="0"/>
                    <w:jc w:val="center"/>
                    <w:rPr>
                      <w:szCs w:val="21"/>
                    </w:rPr>
                  </w:pPr>
                  <w:r>
                    <w:rPr>
                      <w:rFonts w:hint="eastAsia"/>
                      <w:szCs w:val="21"/>
                    </w:rPr>
                    <w:t>0</w:t>
                  </w:r>
                  <w:r>
                    <w:rPr>
                      <w:szCs w:val="21"/>
                    </w:rPr>
                    <w:t>.238</w:t>
                  </w:r>
                </w:p>
              </w:tc>
              <w:tc>
                <w:tcPr>
                  <w:tcW w:w="1155" w:type="dxa"/>
                  <w:vMerge w:val="continue"/>
                  <w:vAlign w:val="center"/>
                </w:tcPr>
                <w:p>
                  <w:pPr>
                    <w:adjustRightInd w:val="0"/>
                    <w:snapToGrid w:val="0"/>
                    <w:rPr>
                      <w:szCs w:val="21"/>
                    </w:rPr>
                  </w:pPr>
                </w:p>
              </w:tc>
              <w:tc>
                <w:tcPr>
                  <w:tcW w:w="1155" w:type="dxa"/>
                  <w:vMerge w:val="continue"/>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Merge w:val="continue"/>
                  <w:vAlign w:val="center"/>
                </w:tcPr>
                <w:p>
                  <w:pPr>
                    <w:adjustRightInd w:val="0"/>
                    <w:snapToGrid w:val="0"/>
                    <w:rPr>
                      <w:szCs w:val="21"/>
                    </w:rPr>
                  </w:pPr>
                </w:p>
              </w:tc>
              <w:tc>
                <w:tcPr>
                  <w:tcW w:w="684" w:type="dxa"/>
                  <w:vAlign w:val="center"/>
                </w:tcPr>
                <w:p>
                  <w:pPr>
                    <w:adjustRightInd w:val="0"/>
                    <w:snapToGrid w:val="0"/>
                    <w:jc w:val="center"/>
                    <w:rPr>
                      <w:szCs w:val="21"/>
                    </w:rPr>
                  </w:pPr>
                  <w:r>
                    <w:rPr>
                      <w:rFonts w:hint="eastAsia"/>
                      <w:szCs w:val="21"/>
                    </w:rPr>
                    <w:t>3#</w:t>
                  </w:r>
                </w:p>
              </w:tc>
              <w:tc>
                <w:tcPr>
                  <w:tcW w:w="1624" w:type="dxa"/>
                  <w:vAlign w:val="center"/>
                </w:tcPr>
                <w:p>
                  <w:pPr>
                    <w:adjustRightInd w:val="0"/>
                    <w:snapToGrid w:val="0"/>
                    <w:jc w:val="center"/>
                    <w:rPr>
                      <w:szCs w:val="21"/>
                    </w:rPr>
                  </w:pPr>
                  <w:r>
                    <w:rPr>
                      <w:rFonts w:hint="eastAsia"/>
                      <w:szCs w:val="21"/>
                    </w:rPr>
                    <w:t>厂界下风向</w:t>
                  </w:r>
                </w:p>
              </w:tc>
              <w:tc>
                <w:tcPr>
                  <w:tcW w:w="1155" w:type="dxa"/>
                  <w:vAlign w:val="center"/>
                </w:tcPr>
                <w:p>
                  <w:pPr>
                    <w:adjustRightInd w:val="0"/>
                    <w:snapToGrid w:val="0"/>
                    <w:jc w:val="center"/>
                    <w:rPr>
                      <w:szCs w:val="21"/>
                    </w:rPr>
                  </w:pPr>
                  <w:r>
                    <w:rPr>
                      <w:rFonts w:hint="eastAsia"/>
                      <w:szCs w:val="21"/>
                    </w:rPr>
                    <w:t>0</w:t>
                  </w:r>
                  <w:r>
                    <w:rPr>
                      <w:szCs w:val="21"/>
                    </w:rPr>
                    <w:t>.292</w:t>
                  </w:r>
                </w:p>
              </w:tc>
              <w:tc>
                <w:tcPr>
                  <w:tcW w:w="1155" w:type="dxa"/>
                  <w:vAlign w:val="center"/>
                </w:tcPr>
                <w:p>
                  <w:pPr>
                    <w:adjustRightInd w:val="0"/>
                    <w:snapToGrid w:val="0"/>
                    <w:jc w:val="center"/>
                    <w:rPr>
                      <w:szCs w:val="21"/>
                    </w:rPr>
                  </w:pPr>
                  <w:r>
                    <w:rPr>
                      <w:rFonts w:hint="eastAsia"/>
                      <w:szCs w:val="21"/>
                    </w:rPr>
                    <w:t>0</w:t>
                  </w:r>
                  <w:r>
                    <w:rPr>
                      <w:szCs w:val="21"/>
                    </w:rPr>
                    <w:t>.259</w:t>
                  </w:r>
                </w:p>
              </w:tc>
              <w:tc>
                <w:tcPr>
                  <w:tcW w:w="1155" w:type="dxa"/>
                  <w:vAlign w:val="center"/>
                </w:tcPr>
                <w:p>
                  <w:pPr>
                    <w:adjustRightInd w:val="0"/>
                    <w:snapToGrid w:val="0"/>
                    <w:jc w:val="center"/>
                    <w:rPr>
                      <w:szCs w:val="21"/>
                    </w:rPr>
                  </w:pPr>
                  <w:r>
                    <w:rPr>
                      <w:rFonts w:hint="eastAsia"/>
                      <w:szCs w:val="21"/>
                    </w:rPr>
                    <w:t>0</w:t>
                  </w:r>
                  <w:r>
                    <w:rPr>
                      <w:szCs w:val="21"/>
                    </w:rPr>
                    <w:t>.239</w:t>
                  </w:r>
                </w:p>
              </w:tc>
              <w:tc>
                <w:tcPr>
                  <w:tcW w:w="1155" w:type="dxa"/>
                  <w:vMerge w:val="continue"/>
                  <w:vAlign w:val="center"/>
                </w:tcPr>
                <w:p>
                  <w:pPr>
                    <w:adjustRightInd w:val="0"/>
                    <w:snapToGrid w:val="0"/>
                    <w:rPr>
                      <w:szCs w:val="21"/>
                    </w:rPr>
                  </w:pPr>
                </w:p>
              </w:tc>
              <w:tc>
                <w:tcPr>
                  <w:tcW w:w="1155" w:type="dxa"/>
                  <w:vMerge w:val="continue"/>
                  <w:vAlign w:val="center"/>
                </w:tcPr>
                <w:p>
                  <w:pPr>
                    <w:adjustRightInd w:val="0"/>
                    <w:snapToGrid w:val="0"/>
                    <w:rPr>
                      <w:szCs w:val="21"/>
                    </w:rPr>
                  </w:pPr>
                </w:p>
              </w:tc>
            </w:tr>
          </w:tbl>
          <w:p>
            <w:pPr>
              <w:spacing w:line="360" w:lineRule="auto"/>
              <w:ind w:firstLine="480" w:firstLineChars="200"/>
              <w:rPr>
                <w:sz w:val="24"/>
              </w:rPr>
            </w:pPr>
            <w:r>
              <w:rPr>
                <w:rFonts w:hint="eastAsia"/>
                <w:sz w:val="24"/>
              </w:rPr>
              <w:t>由上表可知，现有项目生产过程产生的废气厂界浓度满足《大气污染物综合排放标准》（G</w:t>
            </w:r>
            <w:r>
              <w:rPr>
                <w:sz w:val="24"/>
              </w:rPr>
              <w:t>B16297-1996</w:t>
            </w:r>
            <w:r>
              <w:rPr>
                <w:rFonts w:hint="eastAsia"/>
                <w:sz w:val="24"/>
              </w:rPr>
              <w:t>）表2中无组织排放浓度限值，因此现有项目采取的治理措施合理，无需整改。</w:t>
            </w:r>
          </w:p>
          <w:p>
            <w:pPr>
              <w:numPr>
                <w:ilvl w:val="0"/>
                <w:numId w:val="3"/>
              </w:numPr>
              <w:spacing w:line="360" w:lineRule="auto"/>
              <w:rPr>
                <w:sz w:val="24"/>
              </w:rPr>
            </w:pPr>
            <w:r>
              <w:rPr>
                <w:rFonts w:hint="eastAsia"/>
                <w:sz w:val="24"/>
              </w:rPr>
              <w:t>食堂油烟</w:t>
            </w:r>
          </w:p>
          <w:p>
            <w:pPr>
              <w:spacing w:line="360" w:lineRule="auto"/>
              <w:ind w:firstLine="480" w:firstLineChars="200"/>
              <w:rPr>
                <w:sz w:val="24"/>
              </w:rPr>
            </w:pPr>
            <w:r>
              <w:rPr>
                <w:sz w:val="24"/>
              </w:rPr>
              <w:t>现有项目设置有食堂</w:t>
            </w:r>
            <w:r>
              <w:rPr>
                <w:rFonts w:hint="eastAsia"/>
                <w:sz w:val="24"/>
              </w:rPr>
              <w:t>，</w:t>
            </w:r>
            <w:r>
              <w:rPr>
                <w:sz w:val="24"/>
              </w:rPr>
              <w:t>为员工提供三餐</w:t>
            </w:r>
            <w:r>
              <w:rPr>
                <w:rFonts w:hint="eastAsia"/>
                <w:sz w:val="24"/>
              </w:rPr>
              <w:t>。</w:t>
            </w:r>
            <w:r>
              <w:rPr>
                <w:rFonts w:hint="eastAsia" w:ascii="宋体" w:hAnsi="宋体"/>
                <w:sz w:val="24"/>
              </w:rPr>
              <w:t>炒菜</w:t>
            </w:r>
            <w:r>
              <w:rPr>
                <w:rFonts w:ascii="宋体" w:hAnsi="宋体"/>
                <w:sz w:val="24"/>
              </w:rPr>
              <w:t>过程中有食堂油烟废气产生。油烟产生量约为</w:t>
            </w:r>
            <w:r>
              <w:rPr>
                <w:rFonts w:hint="eastAsia" w:ascii="宋体" w:hAnsi="宋体"/>
                <w:sz w:val="24"/>
              </w:rPr>
              <w:t>0</w:t>
            </w:r>
            <w:r>
              <w:rPr>
                <w:rFonts w:ascii="宋体" w:hAnsi="宋体"/>
                <w:sz w:val="24"/>
              </w:rPr>
              <w:t>.12kg/h</w:t>
            </w:r>
            <w:r>
              <w:rPr>
                <w:rFonts w:hint="eastAsia" w:ascii="宋体" w:hAnsi="宋体"/>
                <w:sz w:val="24"/>
              </w:rPr>
              <w:t>，</w:t>
            </w:r>
            <w:r>
              <w:rPr>
                <w:rFonts w:ascii="宋体" w:hAnsi="宋体"/>
                <w:sz w:val="24"/>
              </w:rPr>
              <w:t>采用抽油烟机处理后经集中管道屋顶高空排放</w:t>
            </w:r>
            <w:r>
              <w:rPr>
                <w:rFonts w:hint="eastAsia" w:ascii="宋体" w:hAnsi="宋体"/>
                <w:sz w:val="24"/>
              </w:rPr>
              <w:t>。</w:t>
            </w:r>
          </w:p>
          <w:p>
            <w:pPr>
              <w:spacing w:line="360" w:lineRule="auto"/>
              <w:ind w:firstLine="482" w:firstLineChars="200"/>
              <w:rPr>
                <w:b/>
              </w:rPr>
            </w:pPr>
            <w:r>
              <w:rPr>
                <w:rFonts w:hint="eastAsia"/>
                <w:b/>
                <w:sz w:val="24"/>
              </w:rPr>
              <w:t>2）废水污染物及治理措施</w:t>
            </w:r>
          </w:p>
          <w:p>
            <w:pPr>
              <w:spacing w:line="360" w:lineRule="auto"/>
              <w:ind w:firstLine="480" w:firstLineChars="200"/>
              <w:rPr>
                <w:sz w:val="24"/>
              </w:rPr>
            </w:pPr>
            <w:r>
              <w:rPr>
                <w:rFonts w:hint="eastAsia"/>
                <w:sz w:val="24"/>
              </w:rPr>
              <w:t>现有项目生产过程中产生的生产废水全部回用，不外排。</w:t>
            </w:r>
          </w:p>
          <w:p>
            <w:pPr>
              <w:spacing w:line="360" w:lineRule="auto"/>
              <w:ind w:firstLine="480" w:firstLineChars="200"/>
              <w:rPr>
                <w:sz w:val="24"/>
              </w:rPr>
            </w:pPr>
            <w:r>
              <w:rPr>
                <w:sz w:val="24"/>
              </w:rPr>
              <w:t>生活污水产生量约为</w:t>
            </w:r>
            <w:r>
              <w:rPr>
                <w:rFonts w:hint="eastAsia"/>
                <w:sz w:val="24"/>
              </w:rPr>
              <w:t>3</w:t>
            </w:r>
            <w:r>
              <w:rPr>
                <w:sz w:val="24"/>
              </w:rPr>
              <w:t>1.05 m</w:t>
            </w:r>
            <w:r>
              <w:rPr>
                <w:sz w:val="24"/>
                <w:vertAlign w:val="superscript"/>
              </w:rPr>
              <w:t>3</w:t>
            </w:r>
            <w:r>
              <w:rPr>
                <w:sz w:val="24"/>
              </w:rPr>
              <w:t>/d</w:t>
            </w:r>
            <w:r>
              <w:rPr>
                <w:rFonts w:hint="eastAsia"/>
                <w:sz w:val="24"/>
              </w:rPr>
              <w:t>，</w:t>
            </w:r>
            <w:r>
              <w:rPr>
                <w:sz w:val="24"/>
              </w:rPr>
              <w:t>经化粪池预处理后排入园区污水管网</w:t>
            </w:r>
            <w:r>
              <w:rPr>
                <w:rFonts w:hint="eastAsia"/>
                <w:sz w:val="24"/>
              </w:rPr>
              <w:t>。</w:t>
            </w:r>
          </w:p>
          <w:p>
            <w:pPr>
              <w:adjustRightInd w:val="0"/>
              <w:snapToGrid w:val="0"/>
              <w:spacing w:line="440" w:lineRule="exact"/>
              <w:ind w:firstLine="482" w:firstLineChars="200"/>
              <w:rPr>
                <w:b/>
                <w:sz w:val="24"/>
              </w:rPr>
            </w:pPr>
            <w:r>
              <w:rPr>
                <w:rFonts w:hint="eastAsia"/>
                <w:b/>
                <w:sz w:val="24"/>
              </w:rPr>
              <w:t>3）噪声污染物及治理措施</w:t>
            </w:r>
          </w:p>
          <w:p>
            <w:pPr>
              <w:adjustRightInd w:val="0"/>
              <w:snapToGrid w:val="0"/>
              <w:spacing w:line="440" w:lineRule="exact"/>
              <w:ind w:firstLine="540"/>
              <w:rPr>
                <w:sz w:val="24"/>
              </w:rPr>
            </w:pPr>
            <w:r>
              <w:rPr>
                <w:rFonts w:hint="eastAsia"/>
                <w:sz w:val="24"/>
              </w:rPr>
              <w:t>现有项目产生的噪声主要来源于电炉、磨削机等设备运行时产生噪声。</w:t>
            </w:r>
          </w:p>
          <w:p>
            <w:pPr>
              <w:adjustRightInd w:val="0"/>
              <w:snapToGrid w:val="0"/>
              <w:spacing w:line="440" w:lineRule="exact"/>
              <w:ind w:firstLine="540"/>
              <w:rPr>
                <w:sz w:val="24"/>
              </w:rPr>
            </w:pPr>
            <w:r>
              <w:rPr>
                <w:sz w:val="24"/>
              </w:rPr>
              <w:t>本项目采取的主要噪声控制措施是合理布局</w:t>
            </w:r>
            <w:r>
              <w:rPr>
                <w:rFonts w:hint="eastAsia"/>
                <w:sz w:val="24"/>
              </w:rPr>
              <w:t>，</w:t>
            </w:r>
            <w:r>
              <w:rPr>
                <w:sz w:val="24"/>
              </w:rPr>
              <w:t>将高噪声设备布置于车间中央位置</w:t>
            </w:r>
            <w:r>
              <w:rPr>
                <w:rFonts w:hint="eastAsia"/>
                <w:sz w:val="24"/>
              </w:rPr>
              <w:t>，</w:t>
            </w:r>
            <w:r>
              <w:rPr>
                <w:sz w:val="24"/>
              </w:rPr>
              <w:t>设置减振</w:t>
            </w:r>
            <w:r>
              <w:rPr>
                <w:rFonts w:hint="eastAsia"/>
                <w:sz w:val="24"/>
              </w:rPr>
              <w:t>、</w:t>
            </w:r>
            <w:r>
              <w:rPr>
                <w:sz w:val="24"/>
              </w:rPr>
              <w:t>墙体隔声</w:t>
            </w:r>
            <w:r>
              <w:rPr>
                <w:rFonts w:hint="eastAsia"/>
                <w:sz w:val="24"/>
              </w:rPr>
              <w:t>等措施。根据</w:t>
            </w:r>
            <w:r>
              <w:rPr>
                <w:sz w:val="24"/>
              </w:rPr>
              <w:t>业主提供检测报告</w:t>
            </w:r>
            <w:r>
              <w:rPr>
                <w:rFonts w:hint="eastAsia"/>
                <w:sz w:val="24"/>
              </w:rPr>
              <w:t>（川中环检字（2</w:t>
            </w:r>
            <w:r>
              <w:rPr>
                <w:sz w:val="24"/>
              </w:rPr>
              <w:t>018</w:t>
            </w:r>
            <w:r>
              <w:rPr>
                <w:rFonts w:hint="eastAsia"/>
                <w:sz w:val="24"/>
              </w:rPr>
              <w:t>）第（废气、噪声）0</w:t>
            </w:r>
            <w:r>
              <w:rPr>
                <w:sz w:val="24"/>
              </w:rPr>
              <w:t>887号</w:t>
            </w:r>
            <w:r>
              <w:rPr>
                <w:rFonts w:hint="eastAsia"/>
                <w:sz w:val="24"/>
              </w:rPr>
              <w:t>），现有项目厂界噪声监测结果如下表。</w:t>
            </w:r>
          </w:p>
          <w:p>
            <w:pPr>
              <w:adjustRightInd w:val="0"/>
              <w:snapToGrid w:val="0"/>
              <w:spacing w:line="440" w:lineRule="exact"/>
              <w:jc w:val="center"/>
              <w:rPr>
                <w:b/>
                <w:sz w:val="24"/>
              </w:rPr>
            </w:pPr>
            <w:r>
              <w:rPr>
                <w:rFonts w:hint="eastAsia"/>
                <w:b/>
                <w:sz w:val="24"/>
              </w:rPr>
              <w:t>表1</w:t>
            </w:r>
            <w:r>
              <w:rPr>
                <w:b/>
                <w:sz w:val="24"/>
              </w:rPr>
              <w:t xml:space="preserve">-11 </w:t>
            </w:r>
            <w:r>
              <w:rPr>
                <w:rFonts w:hint="eastAsia"/>
                <w:b/>
                <w:sz w:val="24"/>
              </w:rPr>
              <w:t>现有项目厂界噪声监测结果表</w:t>
            </w:r>
          </w:p>
          <w:tbl>
            <w:tblPr>
              <w:tblStyle w:val="53"/>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539"/>
              <w:gridCol w:w="1539"/>
              <w:gridCol w:w="1540"/>
              <w:gridCol w:w="154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9" w:type="dxa"/>
                  <w:vMerge w:val="restart"/>
                  <w:vAlign w:val="center"/>
                </w:tcPr>
                <w:p>
                  <w:pPr>
                    <w:adjustRightInd w:val="0"/>
                    <w:snapToGrid w:val="0"/>
                    <w:jc w:val="center"/>
                    <w:rPr>
                      <w:szCs w:val="21"/>
                    </w:rPr>
                  </w:pPr>
                  <w:r>
                    <w:rPr>
                      <w:szCs w:val="21"/>
                    </w:rPr>
                    <w:t>监测点位</w:t>
                  </w:r>
                </w:p>
              </w:tc>
              <w:tc>
                <w:tcPr>
                  <w:tcW w:w="3078" w:type="dxa"/>
                  <w:gridSpan w:val="2"/>
                  <w:vAlign w:val="center"/>
                </w:tcPr>
                <w:p>
                  <w:pPr>
                    <w:adjustRightInd w:val="0"/>
                    <w:snapToGrid w:val="0"/>
                    <w:jc w:val="center"/>
                    <w:rPr>
                      <w:szCs w:val="21"/>
                    </w:rPr>
                  </w:pPr>
                  <w:r>
                    <w:rPr>
                      <w:rFonts w:hint="eastAsia"/>
                      <w:szCs w:val="21"/>
                    </w:rPr>
                    <w:t>监测结果</w:t>
                  </w:r>
                </w:p>
              </w:tc>
              <w:tc>
                <w:tcPr>
                  <w:tcW w:w="3080" w:type="dxa"/>
                  <w:gridSpan w:val="2"/>
                  <w:vAlign w:val="center"/>
                </w:tcPr>
                <w:p>
                  <w:pPr>
                    <w:adjustRightInd w:val="0"/>
                    <w:snapToGrid w:val="0"/>
                    <w:jc w:val="center"/>
                    <w:rPr>
                      <w:szCs w:val="21"/>
                    </w:rPr>
                  </w:pPr>
                  <w:r>
                    <w:rPr>
                      <w:rFonts w:hint="eastAsia"/>
                      <w:szCs w:val="21"/>
                    </w:rPr>
                    <w:t>标准限值</w:t>
                  </w:r>
                </w:p>
              </w:tc>
              <w:tc>
                <w:tcPr>
                  <w:tcW w:w="1540" w:type="dxa"/>
                  <w:vMerge w:val="restart"/>
                  <w:vAlign w:val="center"/>
                </w:tcPr>
                <w:p>
                  <w:pPr>
                    <w:adjustRightInd w:val="0"/>
                    <w:snapToGrid w:val="0"/>
                    <w:jc w:val="center"/>
                    <w:rPr>
                      <w:szCs w:val="21"/>
                    </w:rPr>
                  </w:pPr>
                  <w:r>
                    <w:rPr>
                      <w:rFonts w:hint="eastAsia"/>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9" w:type="dxa"/>
                  <w:vMerge w:val="continue"/>
                  <w:vAlign w:val="center"/>
                </w:tcPr>
                <w:p>
                  <w:pPr>
                    <w:adjustRightInd w:val="0"/>
                    <w:snapToGrid w:val="0"/>
                    <w:jc w:val="center"/>
                    <w:rPr>
                      <w:szCs w:val="21"/>
                    </w:rPr>
                  </w:pPr>
                </w:p>
              </w:tc>
              <w:tc>
                <w:tcPr>
                  <w:tcW w:w="1539" w:type="dxa"/>
                  <w:vAlign w:val="center"/>
                </w:tcPr>
                <w:p>
                  <w:pPr>
                    <w:adjustRightInd w:val="0"/>
                    <w:snapToGrid w:val="0"/>
                    <w:jc w:val="center"/>
                    <w:rPr>
                      <w:szCs w:val="21"/>
                    </w:rPr>
                  </w:pPr>
                  <w:r>
                    <w:rPr>
                      <w:rFonts w:hint="eastAsia"/>
                      <w:szCs w:val="21"/>
                    </w:rPr>
                    <w:t>昼间</w:t>
                  </w:r>
                </w:p>
              </w:tc>
              <w:tc>
                <w:tcPr>
                  <w:tcW w:w="1539" w:type="dxa"/>
                  <w:vAlign w:val="center"/>
                </w:tcPr>
                <w:p>
                  <w:pPr>
                    <w:adjustRightInd w:val="0"/>
                    <w:snapToGrid w:val="0"/>
                    <w:jc w:val="center"/>
                    <w:rPr>
                      <w:szCs w:val="21"/>
                    </w:rPr>
                  </w:pPr>
                  <w:r>
                    <w:rPr>
                      <w:rFonts w:hint="eastAsia"/>
                      <w:szCs w:val="21"/>
                    </w:rPr>
                    <w:t>夜间</w:t>
                  </w:r>
                </w:p>
              </w:tc>
              <w:tc>
                <w:tcPr>
                  <w:tcW w:w="1540" w:type="dxa"/>
                  <w:vAlign w:val="center"/>
                </w:tcPr>
                <w:p>
                  <w:pPr>
                    <w:adjustRightInd w:val="0"/>
                    <w:snapToGrid w:val="0"/>
                    <w:jc w:val="center"/>
                    <w:rPr>
                      <w:szCs w:val="21"/>
                    </w:rPr>
                  </w:pPr>
                  <w:r>
                    <w:rPr>
                      <w:rFonts w:hint="eastAsia"/>
                      <w:szCs w:val="21"/>
                    </w:rPr>
                    <w:t>昼间</w:t>
                  </w:r>
                </w:p>
              </w:tc>
              <w:tc>
                <w:tcPr>
                  <w:tcW w:w="1540" w:type="dxa"/>
                  <w:vAlign w:val="center"/>
                </w:tcPr>
                <w:p>
                  <w:pPr>
                    <w:adjustRightInd w:val="0"/>
                    <w:snapToGrid w:val="0"/>
                    <w:jc w:val="center"/>
                    <w:rPr>
                      <w:szCs w:val="21"/>
                    </w:rPr>
                  </w:pPr>
                  <w:r>
                    <w:rPr>
                      <w:rFonts w:hint="eastAsia"/>
                      <w:szCs w:val="21"/>
                    </w:rPr>
                    <w:t>夜间</w:t>
                  </w:r>
                </w:p>
              </w:tc>
              <w:tc>
                <w:tcPr>
                  <w:tcW w:w="1540"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9" w:type="dxa"/>
                  <w:vAlign w:val="center"/>
                </w:tcPr>
                <w:p>
                  <w:pPr>
                    <w:adjustRightInd w:val="0"/>
                    <w:snapToGrid w:val="0"/>
                    <w:jc w:val="center"/>
                    <w:rPr>
                      <w:szCs w:val="21"/>
                    </w:rPr>
                  </w:pPr>
                  <w:r>
                    <w:rPr>
                      <w:rFonts w:hint="eastAsia"/>
                      <w:szCs w:val="21"/>
                    </w:rPr>
                    <w:t>1#北面场界</w:t>
                  </w:r>
                </w:p>
              </w:tc>
              <w:tc>
                <w:tcPr>
                  <w:tcW w:w="1539" w:type="dxa"/>
                  <w:vAlign w:val="center"/>
                </w:tcPr>
                <w:p>
                  <w:pPr>
                    <w:adjustRightInd w:val="0"/>
                    <w:snapToGrid w:val="0"/>
                    <w:jc w:val="center"/>
                    <w:rPr>
                      <w:szCs w:val="21"/>
                    </w:rPr>
                  </w:pPr>
                  <w:r>
                    <w:rPr>
                      <w:rFonts w:hint="eastAsia"/>
                      <w:szCs w:val="21"/>
                    </w:rPr>
                    <w:t>5</w:t>
                  </w:r>
                  <w:r>
                    <w:rPr>
                      <w:szCs w:val="21"/>
                    </w:rPr>
                    <w:t>7.5</w:t>
                  </w:r>
                </w:p>
              </w:tc>
              <w:tc>
                <w:tcPr>
                  <w:tcW w:w="1539" w:type="dxa"/>
                  <w:vAlign w:val="center"/>
                </w:tcPr>
                <w:p>
                  <w:pPr>
                    <w:adjustRightInd w:val="0"/>
                    <w:snapToGrid w:val="0"/>
                    <w:jc w:val="center"/>
                    <w:rPr>
                      <w:szCs w:val="21"/>
                    </w:rPr>
                  </w:pPr>
                  <w:r>
                    <w:rPr>
                      <w:szCs w:val="21"/>
                    </w:rPr>
                    <w:t>51.7</w:t>
                  </w:r>
                </w:p>
              </w:tc>
              <w:tc>
                <w:tcPr>
                  <w:tcW w:w="1540" w:type="dxa"/>
                  <w:vAlign w:val="center"/>
                </w:tcPr>
                <w:p>
                  <w:pPr>
                    <w:adjustRightInd w:val="0"/>
                    <w:snapToGrid w:val="0"/>
                    <w:jc w:val="center"/>
                    <w:rPr>
                      <w:szCs w:val="21"/>
                    </w:rPr>
                  </w:pPr>
                  <w:r>
                    <w:rPr>
                      <w:rFonts w:hint="eastAsia"/>
                      <w:szCs w:val="21"/>
                    </w:rPr>
                    <w:t>6</w:t>
                  </w:r>
                  <w:r>
                    <w:rPr>
                      <w:szCs w:val="21"/>
                    </w:rPr>
                    <w:t>5</w:t>
                  </w:r>
                </w:p>
              </w:tc>
              <w:tc>
                <w:tcPr>
                  <w:tcW w:w="1540" w:type="dxa"/>
                  <w:vAlign w:val="center"/>
                </w:tcPr>
                <w:p>
                  <w:pPr>
                    <w:adjustRightInd w:val="0"/>
                    <w:snapToGrid w:val="0"/>
                    <w:jc w:val="center"/>
                    <w:rPr>
                      <w:szCs w:val="21"/>
                    </w:rPr>
                  </w:pPr>
                  <w:r>
                    <w:rPr>
                      <w:rFonts w:hint="eastAsia"/>
                      <w:szCs w:val="21"/>
                    </w:rPr>
                    <w:t>5</w:t>
                  </w:r>
                  <w:r>
                    <w:rPr>
                      <w:szCs w:val="21"/>
                    </w:rPr>
                    <w:t>5</w:t>
                  </w:r>
                </w:p>
              </w:tc>
              <w:tc>
                <w:tcPr>
                  <w:tcW w:w="1540" w:type="dxa"/>
                  <w:vAlign w:val="center"/>
                </w:tcPr>
                <w:p>
                  <w:pPr>
                    <w:adjustRightInd w:val="0"/>
                    <w:snapToGrid w:val="0"/>
                    <w:jc w:val="center"/>
                    <w:rPr>
                      <w:szCs w:val="21"/>
                    </w:rPr>
                  </w:pPr>
                  <w:r>
                    <w:rPr>
                      <w:rFonts w:hint="eastAsia"/>
                      <w:szCs w:val="21"/>
                    </w:rPr>
                    <w:t>达标</w:t>
                  </w:r>
                </w:p>
              </w:tc>
            </w:tr>
          </w:tbl>
          <w:p>
            <w:pPr>
              <w:adjustRightInd w:val="0"/>
              <w:snapToGrid w:val="0"/>
              <w:spacing w:line="440" w:lineRule="exact"/>
              <w:ind w:firstLine="540"/>
              <w:rPr>
                <w:sz w:val="24"/>
              </w:rPr>
            </w:pPr>
            <w:r>
              <w:rPr>
                <w:rFonts w:hint="eastAsia"/>
                <w:sz w:val="24"/>
              </w:rPr>
              <w:t>根据上表可知，项目厂界噪声满足《工业企业环境噪声排放标准》（G</w:t>
            </w:r>
            <w:r>
              <w:rPr>
                <w:sz w:val="24"/>
              </w:rPr>
              <w:t>B12348-2008</w:t>
            </w:r>
            <w:r>
              <w:rPr>
                <w:rFonts w:hint="eastAsia"/>
                <w:sz w:val="24"/>
              </w:rPr>
              <w:t>）中3类功能区要求。</w:t>
            </w:r>
          </w:p>
          <w:p>
            <w:pPr>
              <w:adjustRightInd w:val="0"/>
              <w:snapToGrid w:val="0"/>
              <w:spacing w:line="440" w:lineRule="exact"/>
              <w:ind w:firstLine="482" w:firstLineChars="200"/>
              <w:rPr>
                <w:b/>
                <w:sz w:val="24"/>
              </w:rPr>
            </w:pPr>
            <w:r>
              <w:rPr>
                <w:rFonts w:hint="eastAsia"/>
                <w:b/>
                <w:sz w:val="24"/>
              </w:rPr>
              <w:t>4）固体废弃物及治理措施</w:t>
            </w:r>
          </w:p>
          <w:p>
            <w:pPr>
              <w:adjustRightInd w:val="0"/>
              <w:snapToGrid w:val="0"/>
              <w:spacing w:line="440" w:lineRule="exact"/>
              <w:ind w:firstLine="480" w:firstLineChars="200"/>
              <w:rPr>
                <w:rFonts w:hAnsi="宋体"/>
                <w:sz w:val="24"/>
              </w:rPr>
            </w:pPr>
            <w:r>
              <w:rPr>
                <w:rFonts w:hint="eastAsia" w:hAnsi="宋体"/>
                <w:sz w:val="24"/>
              </w:rPr>
              <w:t>根据</w:t>
            </w:r>
            <w:r>
              <w:rPr>
                <w:rFonts w:hAnsi="宋体"/>
                <w:sz w:val="24"/>
              </w:rPr>
              <w:t>现场踏勘，</w:t>
            </w:r>
            <w:r>
              <w:rPr>
                <w:rFonts w:hint="eastAsia" w:hAnsi="宋体"/>
                <w:sz w:val="24"/>
              </w:rPr>
              <w:t>现有项目产生的固废主要包括锅具磨削产生的铁屑、化粪池污泥、检修废油以及生活垃圾。</w:t>
            </w:r>
          </w:p>
          <w:p>
            <w:pPr>
              <w:adjustRightInd w:val="0"/>
              <w:snapToGrid w:val="0"/>
              <w:spacing w:line="440" w:lineRule="exact"/>
              <w:ind w:firstLine="480" w:firstLineChars="200"/>
              <w:rPr>
                <w:rFonts w:hAnsi="宋体"/>
                <w:sz w:val="24"/>
              </w:rPr>
            </w:pPr>
            <w:r>
              <w:rPr>
                <w:rFonts w:hAnsi="宋体"/>
                <w:sz w:val="24"/>
              </w:rPr>
              <w:t>锅具磨削产生的铁屑</w:t>
            </w:r>
            <w:r>
              <w:rPr>
                <w:rFonts w:hint="eastAsia" w:hAnsi="宋体"/>
                <w:sz w:val="24"/>
              </w:rPr>
              <w:t>：铁屑产生量约为5</w:t>
            </w:r>
            <w:r>
              <w:rPr>
                <w:rFonts w:hAnsi="宋体"/>
                <w:sz w:val="24"/>
              </w:rPr>
              <w:t>50t/a</w:t>
            </w:r>
            <w:r>
              <w:rPr>
                <w:rFonts w:hint="eastAsia" w:hAnsi="宋体"/>
                <w:sz w:val="24"/>
              </w:rPr>
              <w:t>，</w:t>
            </w:r>
            <w:r>
              <w:rPr>
                <w:rFonts w:hAnsi="宋体"/>
                <w:sz w:val="24"/>
              </w:rPr>
              <w:t>经收集后外售</w:t>
            </w:r>
            <w:r>
              <w:rPr>
                <w:rFonts w:hint="eastAsia" w:hAnsi="宋体"/>
                <w:sz w:val="24"/>
              </w:rPr>
              <w:t>。</w:t>
            </w:r>
          </w:p>
          <w:p>
            <w:pPr>
              <w:adjustRightInd w:val="0"/>
              <w:snapToGrid w:val="0"/>
              <w:spacing w:line="440" w:lineRule="exact"/>
              <w:ind w:firstLine="480" w:firstLineChars="200"/>
              <w:rPr>
                <w:rFonts w:hAnsi="宋体"/>
                <w:sz w:val="24"/>
              </w:rPr>
            </w:pPr>
            <w:r>
              <w:rPr>
                <w:rFonts w:hAnsi="宋体"/>
                <w:sz w:val="24"/>
              </w:rPr>
              <w:t>化粪池污泥</w:t>
            </w:r>
            <w:r>
              <w:rPr>
                <w:rFonts w:hint="eastAsia" w:hAnsi="宋体"/>
                <w:sz w:val="24"/>
              </w:rPr>
              <w:t>：</w:t>
            </w:r>
            <w:r>
              <w:rPr>
                <w:rFonts w:hAnsi="宋体"/>
                <w:sz w:val="24"/>
              </w:rPr>
              <w:t>产生量约为</w:t>
            </w:r>
            <w:r>
              <w:rPr>
                <w:rFonts w:hint="eastAsia" w:hAnsi="宋体"/>
                <w:sz w:val="24"/>
              </w:rPr>
              <w:t>5t/a，委托当地环卫部门清掏。</w:t>
            </w:r>
          </w:p>
          <w:p>
            <w:pPr>
              <w:adjustRightInd w:val="0"/>
              <w:snapToGrid w:val="0"/>
              <w:spacing w:line="440" w:lineRule="exact"/>
              <w:ind w:firstLine="480" w:firstLineChars="200"/>
              <w:rPr>
                <w:rFonts w:hAnsi="宋体"/>
                <w:sz w:val="24"/>
              </w:rPr>
            </w:pPr>
            <w:r>
              <w:rPr>
                <w:rFonts w:hAnsi="宋体"/>
                <w:sz w:val="24"/>
              </w:rPr>
              <w:t>检修废油</w:t>
            </w:r>
            <w:r>
              <w:rPr>
                <w:rFonts w:hint="eastAsia" w:hAnsi="宋体"/>
                <w:sz w:val="24"/>
              </w:rPr>
              <w:t>：产生量约0</w:t>
            </w:r>
            <w:r>
              <w:rPr>
                <w:rFonts w:hAnsi="宋体"/>
                <w:sz w:val="24"/>
              </w:rPr>
              <w:t>.05t/a</w:t>
            </w:r>
            <w:r>
              <w:rPr>
                <w:rFonts w:hint="eastAsia" w:hAnsi="宋体"/>
                <w:sz w:val="24"/>
              </w:rPr>
              <w:t>，</w:t>
            </w:r>
            <w:r>
              <w:rPr>
                <w:rFonts w:hAnsi="宋体"/>
                <w:sz w:val="24"/>
              </w:rPr>
              <w:t>目前采取的措施为用桶收集后堆放在厂房内</w:t>
            </w:r>
            <w:r>
              <w:rPr>
                <w:rFonts w:hint="eastAsia" w:hAnsi="宋体"/>
                <w:sz w:val="24"/>
              </w:rPr>
              <w:t>。</w:t>
            </w:r>
            <w:r>
              <w:rPr>
                <w:rFonts w:hAnsi="宋体"/>
                <w:sz w:val="24"/>
              </w:rPr>
              <w:t>存在的问题是未设置单独的危废暂存间</w:t>
            </w:r>
            <w:r>
              <w:rPr>
                <w:rFonts w:hint="eastAsia" w:hAnsi="宋体"/>
                <w:sz w:val="24"/>
              </w:rPr>
              <w:t>、</w:t>
            </w:r>
            <w:r>
              <w:rPr>
                <w:rFonts w:hAnsi="宋体"/>
                <w:sz w:val="24"/>
              </w:rPr>
              <w:t>未设置围堰等</w:t>
            </w:r>
            <w:r>
              <w:rPr>
                <w:rFonts w:hint="eastAsia" w:hAnsi="宋体"/>
                <w:sz w:val="24"/>
              </w:rPr>
              <w:t>。</w:t>
            </w:r>
          </w:p>
          <w:p>
            <w:pPr>
              <w:adjustRightInd w:val="0"/>
              <w:snapToGrid w:val="0"/>
              <w:spacing w:line="440" w:lineRule="exact"/>
              <w:ind w:firstLine="480" w:firstLineChars="200"/>
              <w:rPr>
                <w:rFonts w:hAnsi="宋体"/>
                <w:sz w:val="24"/>
              </w:rPr>
            </w:pPr>
            <w:r>
              <w:rPr>
                <w:rFonts w:hint="eastAsia" w:hAnsi="宋体"/>
                <w:sz w:val="24"/>
              </w:rPr>
              <w:t>生活垃圾：生活垃圾产生量为0</w:t>
            </w:r>
            <w:r>
              <w:rPr>
                <w:rFonts w:hAnsi="宋体"/>
                <w:sz w:val="24"/>
              </w:rPr>
              <w:t>.23t/d</w:t>
            </w:r>
            <w:r>
              <w:rPr>
                <w:rFonts w:hint="eastAsia" w:hAnsi="宋体"/>
                <w:sz w:val="24"/>
              </w:rPr>
              <w:t>，</w:t>
            </w:r>
            <w:r>
              <w:rPr>
                <w:rFonts w:hAnsi="宋体"/>
                <w:sz w:val="24"/>
              </w:rPr>
              <w:t>收集后交由当地环卫部门处理</w:t>
            </w:r>
            <w:r>
              <w:rPr>
                <w:rFonts w:hint="eastAsia" w:hAnsi="宋体"/>
                <w:sz w:val="24"/>
              </w:rPr>
              <w:t>。</w:t>
            </w:r>
          </w:p>
          <w:p>
            <w:pPr>
              <w:spacing w:line="460" w:lineRule="exact"/>
              <w:rPr>
                <w:b/>
                <w:sz w:val="24"/>
              </w:rPr>
            </w:pPr>
            <w:r>
              <w:rPr>
                <w:rFonts w:hint="eastAsia"/>
                <w:sz w:val="24"/>
              </w:rPr>
              <w:t xml:space="preserve">    </w:t>
            </w:r>
            <w:r>
              <w:rPr>
                <w:rFonts w:hint="eastAsia"/>
                <w:b/>
                <w:sz w:val="24"/>
              </w:rPr>
              <w:t>6、卫生防护距离</w:t>
            </w:r>
          </w:p>
          <w:p>
            <w:pPr>
              <w:spacing w:line="460" w:lineRule="exact"/>
              <w:ind w:firstLine="480"/>
              <w:rPr>
                <w:sz w:val="24"/>
              </w:rPr>
            </w:pPr>
            <w:r>
              <w:rPr>
                <w:rFonts w:hint="eastAsia"/>
                <w:sz w:val="24"/>
              </w:rPr>
              <w:t>现有项目未设置卫生防护距离。</w:t>
            </w:r>
          </w:p>
          <w:p>
            <w:pPr>
              <w:spacing w:line="460" w:lineRule="exact"/>
              <w:ind w:firstLine="472" w:firstLineChars="196"/>
              <w:rPr>
                <w:b/>
                <w:sz w:val="24"/>
              </w:rPr>
            </w:pPr>
            <w:r>
              <w:rPr>
                <w:rFonts w:hint="eastAsia"/>
                <w:b/>
                <w:sz w:val="24"/>
              </w:rPr>
              <w:t>7、</w:t>
            </w:r>
            <w:r>
              <w:rPr>
                <w:b/>
                <w:sz w:val="24"/>
              </w:rPr>
              <w:t>目前存在的主要环保问题及整改措施</w:t>
            </w:r>
          </w:p>
          <w:p>
            <w:pPr>
              <w:spacing w:line="360" w:lineRule="auto"/>
              <w:ind w:firstLine="480"/>
              <w:rPr>
                <w:rStyle w:val="527"/>
                <w:b/>
                <w:sz w:val="24"/>
              </w:rPr>
            </w:pPr>
            <w:r>
              <w:rPr>
                <w:rStyle w:val="527"/>
                <w:rFonts w:hint="eastAsia"/>
                <w:b/>
                <w:sz w:val="24"/>
              </w:rPr>
              <w:t>存在问题：</w:t>
            </w:r>
          </w:p>
          <w:p>
            <w:pPr>
              <w:spacing w:line="360" w:lineRule="auto"/>
              <w:ind w:firstLine="480"/>
              <w:rPr>
                <w:rStyle w:val="527"/>
                <w:sz w:val="24"/>
              </w:rPr>
            </w:pPr>
            <w:r>
              <w:rPr>
                <w:rStyle w:val="527"/>
                <w:rFonts w:hint="eastAsia"/>
                <w:sz w:val="24"/>
              </w:rPr>
              <w:t>（1）检修废油的收集、暂存、处理不满足危险废物管理相关要求。</w:t>
            </w:r>
          </w:p>
          <w:p>
            <w:pPr>
              <w:spacing w:line="360" w:lineRule="auto"/>
              <w:ind w:firstLine="480"/>
              <w:rPr>
                <w:rStyle w:val="527"/>
                <w:sz w:val="24"/>
              </w:rPr>
            </w:pPr>
            <w:r>
              <w:rPr>
                <w:rStyle w:val="527"/>
                <w:rFonts w:hint="eastAsia"/>
                <w:sz w:val="24"/>
              </w:rPr>
              <w:t>（2）项目原辅料储存管理不规范，现场堆放凌乱。</w:t>
            </w:r>
          </w:p>
          <w:p>
            <w:pPr>
              <w:spacing w:line="360" w:lineRule="auto"/>
              <w:ind w:firstLine="480"/>
              <w:rPr>
                <w:rStyle w:val="527"/>
                <w:b/>
                <w:sz w:val="24"/>
              </w:rPr>
            </w:pPr>
            <w:r>
              <w:rPr>
                <w:rStyle w:val="527"/>
                <w:rFonts w:hint="eastAsia"/>
                <w:b/>
                <w:sz w:val="24"/>
              </w:rPr>
              <w:t>“以新带老”</w:t>
            </w:r>
            <w:r>
              <w:rPr>
                <w:rStyle w:val="527"/>
                <w:b/>
                <w:sz w:val="24"/>
              </w:rPr>
              <w:t>措施</w:t>
            </w:r>
            <w:r>
              <w:rPr>
                <w:rStyle w:val="527"/>
                <w:rFonts w:hint="eastAsia"/>
                <w:b/>
                <w:sz w:val="24"/>
              </w:rPr>
              <w:t>：</w:t>
            </w:r>
          </w:p>
          <w:p>
            <w:pPr>
              <w:spacing w:line="360" w:lineRule="auto"/>
              <w:ind w:firstLine="480"/>
              <w:rPr>
                <w:rStyle w:val="527"/>
                <w:sz w:val="24"/>
              </w:rPr>
            </w:pPr>
            <w:r>
              <w:rPr>
                <w:rStyle w:val="527"/>
                <w:rFonts w:hint="eastAsia"/>
                <w:sz w:val="24"/>
              </w:rPr>
              <w:t>1、设置单独的危废暂存间，采用“三防”措施，地面采用重点防渗硬化处理，设置围堰，设置相应的标识标牌，对检修废油进行分类规范收集暂存后交由有资质单位处理。</w:t>
            </w:r>
          </w:p>
          <w:p>
            <w:pPr>
              <w:spacing w:line="360" w:lineRule="auto"/>
              <w:ind w:firstLine="480"/>
              <w:rPr>
                <w:rStyle w:val="527"/>
                <w:sz w:val="24"/>
              </w:rPr>
            </w:pPr>
            <w:r>
              <w:rPr>
                <w:rStyle w:val="527"/>
                <w:sz w:val="24"/>
              </w:rPr>
              <w:t>2</w:t>
            </w:r>
            <w:r>
              <w:rPr>
                <w:rStyle w:val="527"/>
                <w:rFonts w:hint="eastAsia"/>
                <w:sz w:val="24"/>
              </w:rPr>
              <w:t>、加强厂区管理，规范原辅料堆放，实行分类、分区存放。</w:t>
            </w:r>
          </w:p>
          <w:p>
            <w:pPr>
              <w:spacing w:line="360" w:lineRule="auto"/>
              <w:ind w:firstLine="480"/>
              <w:rPr>
                <w:sz w:val="24"/>
              </w:rPr>
            </w:pPr>
          </w:p>
        </w:tc>
      </w:tr>
    </w:tbl>
    <w:p>
      <w:pPr>
        <w:pStyle w:val="3"/>
        <w:jc w:val="both"/>
        <w:rPr>
          <w:rFonts w:ascii="宋体" w:hAnsi="宋体" w:cs="宋体"/>
          <w:b/>
          <w:bCs/>
          <w:sz w:val="30"/>
          <w:szCs w:val="30"/>
        </w:rPr>
      </w:pPr>
      <w:r>
        <w:rPr>
          <w:rFonts w:hint="eastAsia" w:ascii="宋体" w:hAnsi="宋体" w:cs="宋体"/>
          <w:b/>
          <w:bCs/>
          <w:sz w:val="30"/>
          <w:szCs w:val="30"/>
        </w:rPr>
        <w:t>表二、建设项目所在地自然环境简况</w:t>
      </w:r>
    </w:p>
    <w:tbl>
      <w:tblPr>
        <w:tblStyle w:val="53"/>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9" w:hRule="atLeast"/>
        </w:trPr>
        <w:tc>
          <w:tcPr>
            <w:tcW w:w="9648" w:type="dxa"/>
          </w:tcPr>
          <w:p>
            <w:pPr>
              <w:spacing w:line="360" w:lineRule="auto"/>
              <w:rPr>
                <w:rFonts w:ascii="宋体" w:hAnsi="宋体"/>
                <w:b/>
                <w:spacing w:val="-6"/>
                <w:sz w:val="24"/>
              </w:rPr>
            </w:pPr>
            <w:r>
              <w:rPr>
                <w:rFonts w:hint="eastAsia" w:ascii="宋体" w:hAnsi="宋体"/>
                <w:b/>
                <w:spacing w:val="-6"/>
                <w:sz w:val="24"/>
              </w:rPr>
              <w:t>自然环境简况</w:t>
            </w:r>
            <w:r>
              <w:rPr>
                <w:rFonts w:ascii="宋体" w:hAnsi="宋体"/>
                <w:b/>
                <w:spacing w:val="-6"/>
                <w:sz w:val="24"/>
              </w:rPr>
              <w:t>(</w:t>
            </w:r>
            <w:r>
              <w:rPr>
                <w:rFonts w:hint="eastAsia" w:ascii="宋体" w:hAnsi="宋体"/>
                <w:b/>
                <w:spacing w:val="-6"/>
                <w:sz w:val="24"/>
              </w:rPr>
              <w:t>地形、地貌、地质、气候、气象、水文、植被、生物多样性等</w:t>
            </w:r>
            <w:r>
              <w:rPr>
                <w:rFonts w:ascii="宋体" w:hAnsi="宋体"/>
                <w:b/>
                <w:spacing w:val="-6"/>
                <w:sz w:val="24"/>
              </w:rPr>
              <w:t>)</w:t>
            </w:r>
            <w:r>
              <w:rPr>
                <w:rFonts w:hint="eastAsia" w:ascii="宋体" w:hAnsi="宋体"/>
                <w:b/>
                <w:spacing w:val="-6"/>
                <w:sz w:val="24"/>
              </w:rPr>
              <w:t>：</w:t>
            </w:r>
          </w:p>
          <w:p>
            <w:pPr>
              <w:spacing w:line="360" w:lineRule="auto"/>
              <w:rPr>
                <w:rFonts w:ascii="宋体" w:hAnsi="宋体" w:cs="宋体"/>
                <w:b/>
                <w:bCs/>
                <w:sz w:val="28"/>
                <w:szCs w:val="28"/>
              </w:rPr>
            </w:pPr>
            <w:r>
              <w:rPr>
                <w:rFonts w:hint="eastAsia" w:ascii="宋体" w:hAnsi="宋体" w:cs="宋体"/>
                <w:b/>
                <w:bCs/>
                <w:sz w:val="28"/>
                <w:szCs w:val="28"/>
              </w:rPr>
              <w:t>一、地理位置</w:t>
            </w:r>
          </w:p>
          <w:p>
            <w:pPr>
              <w:spacing w:line="360" w:lineRule="auto"/>
              <w:ind w:firstLine="480" w:firstLineChars="200"/>
              <w:rPr>
                <w:bCs/>
                <w:kern w:val="0"/>
                <w:sz w:val="24"/>
              </w:rPr>
            </w:pPr>
            <w:r>
              <w:rPr>
                <w:bCs/>
                <w:kern w:val="0"/>
                <w:sz w:val="24"/>
              </w:rPr>
              <w:t>乐山市地处四川盆地边缘，北接眉山市，东临内江市和自贡市，东南与宜宾市接壤，西北与雅安市连界，西南与凉山州毗邻，辖区面积12826平方公里。</w:t>
            </w:r>
            <w:r>
              <w:rPr>
                <w:rFonts w:hint="eastAsia"/>
                <w:bCs/>
                <w:kern w:val="0"/>
                <w:sz w:val="24"/>
              </w:rPr>
              <w:t>境内海拔高度320-4077米，平均海拔500米。</w:t>
            </w:r>
          </w:p>
          <w:p>
            <w:pPr>
              <w:spacing w:line="360" w:lineRule="auto"/>
              <w:ind w:firstLine="482" w:firstLineChars="200"/>
              <w:rPr>
                <w:b/>
                <w:bCs/>
                <w:sz w:val="24"/>
              </w:rPr>
            </w:pPr>
            <w:r>
              <w:rPr>
                <w:b/>
                <w:sz w:val="24"/>
              </w:rPr>
              <w:t>本项目选址</w:t>
            </w:r>
            <w:r>
              <w:rPr>
                <w:b/>
                <w:bCs/>
                <w:sz w:val="24"/>
              </w:rPr>
              <w:t>于乐山市市中区</w:t>
            </w:r>
            <w:r>
              <w:rPr>
                <w:rFonts w:hint="eastAsia"/>
                <w:b/>
                <w:bCs/>
                <w:sz w:val="24"/>
              </w:rPr>
              <w:t>集中工业园区水口-罗汉工业园区内</w:t>
            </w:r>
            <w:r>
              <w:rPr>
                <w:b/>
                <w:bCs/>
                <w:sz w:val="24"/>
              </w:rPr>
              <w:t>，项目地理位置图详见附图1。</w:t>
            </w:r>
          </w:p>
          <w:p>
            <w:pPr>
              <w:spacing w:line="360" w:lineRule="auto"/>
              <w:rPr>
                <w:rFonts w:ascii="宋体" w:hAnsi="宋体" w:cs="宋体"/>
                <w:b/>
                <w:bCs/>
                <w:sz w:val="28"/>
                <w:szCs w:val="28"/>
              </w:rPr>
            </w:pPr>
            <w:r>
              <w:rPr>
                <w:rFonts w:hint="eastAsia" w:ascii="宋体" w:hAnsi="宋体" w:cs="宋体"/>
                <w:b/>
                <w:bCs/>
                <w:sz w:val="28"/>
                <w:szCs w:val="28"/>
              </w:rPr>
              <w:t>二、</w:t>
            </w:r>
            <w:r>
              <w:rPr>
                <w:rFonts w:ascii="宋体" w:hAnsi="宋体" w:cs="宋体"/>
                <w:b/>
                <w:bCs/>
                <w:sz w:val="28"/>
                <w:szCs w:val="28"/>
              </w:rPr>
              <w:t>地形、地貌、地质、地震情况</w:t>
            </w:r>
          </w:p>
          <w:p>
            <w:pPr>
              <w:autoSpaceDE w:val="0"/>
              <w:autoSpaceDN w:val="0"/>
              <w:spacing w:line="360" w:lineRule="auto"/>
              <w:ind w:firstLine="480" w:firstLineChars="200"/>
              <w:rPr>
                <w:kern w:val="0"/>
                <w:sz w:val="24"/>
              </w:rPr>
            </w:pPr>
            <w:r>
              <w:rPr>
                <w:kern w:val="0"/>
                <w:sz w:val="24"/>
              </w:rPr>
              <w:t>项目所在地填土层为杂填土，分布于场地大部分范围内，层厚1.5～8.8米。冲积层包括粉质粘土、细砂、卵石。粉质粘土浅灰色，稍湿，可塑。局部分布于场地内，厚度1.5～8.8米。细砂层，浅灰色，以透镜体分布于卵石层顶板上或卵石层中，厚度0.5～2.0米。卵石层，浅灰色～深灰色，饱和，卵石含量50～70％，充填20～30％细砂、粘性土，夹少量的漂石。其中稍密砂卵石层，卵石粒经多为2～6厘米，含量约50～60％，以层状、透镜体分布，中密～密实卵石粒经多为5～8厘米，卵石含量约55～70％，主要以层状分布，少量呈透镜体。</w:t>
            </w:r>
          </w:p>
          <w:p>
            <w:pPr>
              <w:autoSpaceDE w:val="0"/>
              <w:autoSpaceDN w:val="0"/>
              <w:spacing w:line="360" w:lineRule="auto"/>
              <w:ind w:firstLine="480" w:firstLineChars="200"/>
              <w:rPr>
                <w:kern w:val="0"/>
                <w:sz w:val="24"/>
              </w:rPr>
            </w:pPr>
            <w:r>
              <w:rPr>
                <w:kern w:val="0"/>
                <w:sz w:val="24"/>
              </w:rPr>
              <w:t>场地地下水属潜水，主要由大气降水及生活用水补给，卵石层为主要的含水层。根据区域地质资料，场地地下水对混凝土无腐蚀性。</w:t>
            </w:r>
          </w:p>
          <w:p>
            <w:pPr>
              <w:autoSpaceDE w:val="0"/>
              <w:autoSpaceDN w:val="0"/>
              <w:spacing w:line="360" w:lineRule="auto"/>
              <w:ind w:firstLine="480" w:firstLineChars="200"/>
              <w:rPr>
                <w:kern w:val="0"/>
                <w:sz w:val="24"/>
              </w:rPr>
            </w:pPr>
            <w:r>
              <w:rPr>
                <w:kern w:val="0"/>
                <w:sz w:val="24"/>
              </w:rPr>
              <w:t>根据《中国地震基本烈度区划图(1990版)》的划分，拟建场区地震烈度为</w:t>
            </w:r>
            <w:r>
              <w:rPr>
                <w:rFonts w:ascii="宋体"/>
                <w:kern w:val="0"/>
                <w:sz w:val="24"/>
              </w:rPr>
              <w:t>Ⅶ</w:t>
            </w:r>
            <w:r>
              <w:rPr>
                <w:kern w:val="0"/>
                <w:sz w:val="24"/>
              </w:rPr>
              <w:t>度。</w:t>
            </w:r>
            <w:r>
              <w:rPr>
                <w:bCs/>
                <w:sz w:val="24"/>
              </w:rPr>
              <w:t>地壳基本稳定，本区地震裂度为七度区，构筑物应按七度设防。</w:t>
            </w:r>
          </w:p>
          <w:p>
            <w:pPr>
              <w:spacing w:line="360" w:lineRule="auto"/>
              <w:rPr>
                <w:rFonts w:ascii="宋体" w:hAnsi="宋体" w:cs="宋体"/>
                <w:b/>
                <w:bCs/>
                <w:sz w:val="28"/>
                <w:szCs w:val="28"/>
              </w:rPr>
            </w:pPr>
            <w:bookmarkStart w:id="0" w:name="_Toc335571992"/>
            <w:bookmarkStart w:id="1" w:name="_Toc335571653"/>
            <w:r>
              <w:rPr>
                <w:rFonts w:hint="eastAsia" w:ascii="宋体" w:hAnsi="宋体" w:cs="宋体"/>
                <w:b/>
                <w:bCs/>
                <w:sz w:val="28"/>
                <w:szCs w:val="28"/>
              </w:rPr>
              <w:t>三、</w:t>
            </w:r>
            <w:bookmarkEnd w:id="0"/>
            <w:bookmarkEnd w:id="1"/>
            <w:r>
              <w:rPr>
                <w:rFonts w:hint="eastAsia" w:ascii="宋体" w:hAnsi="宋体" w:cs="宋体"/>
                <w:b/>
                <w:bCs/>
                <w:sz w:val="28"/>
                <w:szCs w:val="28"/>
              </w:rPr>
              <w:t>气候特征</w:t>
            </w:r>
          </w:p>
          <w:p>
            <w:pPr>
              <w:autoSpaceDE w:val="0"/>
              <w:autoSpaceDN w:val="0"/>
              <w:spacing w:line="360" w:lineRule="auto"/>
              <w:ind w:firstLine="480" w:firstLineChars="200"/>
              <w:rPr>
                <w:kern w:val="0"/>
                <w:sz w:val="24"/>
              </w:rPr>
            </w:pPr>
            <w:bookmarkStart w:id="2" w:name="_Toc328324130"/>
            <w:r>
              <w:rPr>
                <w:kern w:val="0"/>
                <w:sz w:val="24"/>
              </w:rPr>
              <w:t>乐山市气候温和，雨量充沛，四季分明，为典型的亚热带季风气候。</w:t>
            </w:r>
            <w:r>
              <w:rPr>
                <w:rFonts w:hint="eastAsia"/>
                <w:kern w:val="0"/>
                <w:sz w:val="24"/>
              </w:rPr>
              <w:t>气候温和，四季分明，早春，气候多变化；夏季无酷暑，雨量较多；秋季湿度大；冬无严寒，霜雪少。全年阴天多，日照不足。其主要气候特征如下：</w:t>
            </w:r>
          </w:p>
          <w:p>
            <w:pPr>
              <w:spacing w:line="360" w:lineRule="auto"/>
              <w:ind w:firstLine="480" w:firstLineChars="200"/>
              <w:rPr>
                <w:sz w:val="24"/>
              </w:rPr>
            </w:pPr>
            <w:r>
              <w:rPr>
                <w:sz w:val="24"/>
              </w:rPr>
              <w:t>多年平均气温</w:t>
            </w:r>
            <w:r>
              <w:rPr>
                <w:rFonts w:hint="eastAsia"/>
                <w:sz w:val="24"/>
              </w:rPr>
              <w:t>：</w:t>
            </w:r>
            <w:r>
              <w:rPr>
                <w:sz w:val="24"/>
              </w:rPr>
              <w:t>1</w:t>
            </w:r>
            <w:r>
              <w:rPr>
                <w:rFonts w:hint="eastAsia"/>
                <w:sz w:val="24"/>
              </w:rPr>
              <w:t>7.3</w:t>
            </w:r>
            <w:r>
              <w:rPr>
                <w:rFonts w:ascii="宋体"/>
                <w:sz w:val="24"/>
              </w:rPr>
              <w:t>℃</w:t>
            </w:r>
            <w:r>
              <w:rPr>
                <w:sz w:val="24"/>
              </w:rPr>
              <w:t xml:space="preserve">；          </w:t>
            </w:r>
            <w:r>
              <w:rPr>
                <w:rFonts w:hint="eastAsia"/>
                <w:sz w:val="24"/>
              </w:rPr>
              <w:t xml:space="preserve"> </w:t>
            </w:r>
            <w:r>
              <w:rPr>
                <w:sz w:val="24"/>
              </w:rPr>
              <w:t xml:space="preserve"> 多年平均相对湿度</w:t>
            </w:r>
            <w:r>
              <w:rPr>
                <w:rFonts w:hint="eastAsia"/>
                <w:sz w:val="24"/>
              </w:rPr>
              <w:t>：</w:t>
            </w:r>
            <w:r>
              <w:rPr>
                <w:sz w:val="24"/>
              </w:rPr>
              <w:t>8</w:t>
            </w:r>
            <w:r>
              <w:rPr>
                <w:rFonts w:hint="eastAsia"/>
                <w:sz w:val="24"/>
              </w:rPr>
              <w:t>1</w:t>
            </w:r>
            <w:r>
              <w:rPr>
                <w:sz w:val="24"/>
              </w:rPr>
              <w:t>%；</w:t>
            </w:r>
          </w:p>
          <w:p>
            <w:pPr>
              <w:spacing w:line="360" w:lineRule="auto"/>
              <w:ind w:firstLine="480" w:firstLineChars="200"/>
              <w:rPr>
                <w:sz w:val="24"/>
              </w:rPr>
            </w:pPr>
            <w:r>
              <w:rPr>
                <w:sz w:val="24"/>
              </w:rPr>
              <w:t>多年平均降</w:t>
            </w:r>
            <w:r>
              <w:rPr>
                <w:rFonts w:hint="eastAsia"/>
                <w:sz w:val="24"/>
              </w:rPr>
              <w:t>雨</w:t>
            </w:r>
            <w:r>
              <w:rPr>
                <w:sz w:val="24"/>
              </w:rPr>
              <w:t>量</w:t>
            </w:r>
            <w:r>
              <w:rPr>
                <w:rFonts w:hint="eastAsia"/>
                <w:sz w:val="24"/>
              </w:rPr>
              <w:t>：</w:t>
            </w:r>
            <w:r>
              <w:rPr>
                <w:sz w:val="24"/>
              </w:rPr>
              <w:t>1</w:t>
            </w:r>
            <w:r>
              <w:rPr>
                <w:rFonts w:hint="eastAsia"/>
                <w:sz w:val="24"/>
              </w:rPr>
              <w:t>121.1</w:t>
            </w:r>
            <w:r>
              <w:rPr>
                <w:sz w:val="24"/>
              </w:rPr>
              <w:t>mm；       多年平均蒸发量</w:t>
            </w:r>
            <w:r>
              <w:rPr>
                <w:rFonts w:hint="eastAsia"/>
                <w:sz w:val="24"/>
              </w:rPr>
              <w:t>：726.6</w:t>
            </w:r>
            <w:r>
              <w:rPr>
                <w:sz w:val="24"/>
              </w:rPr>
              <w:t>mm；</w:t>
            </w:r>
          </w:p>
          <w:p>
            <w:pPr>
              <w:spacing w:line="360" w:lineRule="auto"/>
              <w:ind w:firstLine="480" w:firstLineChars="200"/>
              <w:rPr>
                <w:sz w:val="24"/>
              </w:rPr>
            </w:pPr>
            <w:r>
              <w:rPr>
                <w:sz w:val="24"/>
              </w:rPr>
              <w:t>年平均日照时数：1</w:t>
            </w:r>
            <w:r>
              <w:rPr>
                <w:rFonts w:hint="eastAsia"/>
                <w:sz w:val="24"/>
              </w:rPr>
              <w:t>161</w:t>
            </w:r>
            <w:r>
              <w:rPr>
                <w:sz w:val="24"/>
              </w:rPr>
              <w:t>h；          主导风向</w:t>
            </w:r>
            <w:r>
              <w:rPr>
                <w:rFonts w:hint="eastAsia"/>
                <w:sz w:val="24"/>
              </w:rPr>
              <w:t>：WN</w:t>
            </w:r>
            <w:r>
              <w:rPr>
                <w:sz w:val="24"/>
              </w:rPr>
              <w:t>；</w:t>
            </w:r>
            <w:r>
              <w:rPr>
                <w:rFonts w:hint="eastAsia"/>
                <w:sz w:val="24"/>
              </w:rPr>
              <w:t>累年次主导风向：N；</w:t>
            </w:r>
          </w:p>
          <w:p>
            <w:pPr>
              <w:spacing w:line="360" w:lineRule="auto"/>
              <w:ind w:firstLine="480" w:firstLineChars="200"/>
              <w:rPr>
                <w:sz w:val="24"/>
              </w:rPr>
            </w:pPr>
            <w:r>
              <w:rPr>
                <w:sz w:val="24"/>
              </w:rPr>
              <w:t>平均风速</w:t>
            </w:r>
            <w:r>
              <w:rPr>
                <w:rFonts w:hint="eastAsia"/>
                <w:sz w:val="24"/>
              </w:rPr>
              <w:t>：</w:t>
            </w:r>
            <w:r>
              <w:rPr>
                <w:sz w:val="24"/>
              </w:rPr>
              <w:t>1.</w:t>
            </w:r>
            <w:r>
              <w:rPr>
                <w:rFonts w:hint="eastAsia"/>
                <w:sz w:val="24"/>
              </w:rPr>
              <w:t>2</w:t>
            </w:r>
            <w:r>
              <w:rPr>
                <w:sz w:val="24"/>
              </w:rPr>
              <w:t xml:space="preserve">m/s；               </w:t>
            </w:r>
            <w:r>
              <w:rPr>
                <w:rFonts w:hint="eastAsia"/>
                <w:sz w:val="24"/>
              </w:rPr>
              <w:t xml:space="preserve"> </w:t>
            </w:r>
            <w:r>
              <w:rPr>
                <w:sz w:val="24"/>
              </w:rPr>
              <w:t>常年静风频率</w:t>
            </w:r>
            <w:r>
              <w:rPr>
                <w:rFonts w:hint="eastAsia"/>
                <w:sz w:val="24"/>
              </w:rPr>
              <w:t>：35</w:t>
            </w:r>
            <w:r>
              <w:rPr>
                <w:sz w:val="24"/>
              </w:rPr>
              <w:t>%。</w:t>
            </w:r>
          </w:p>
          <w:p>
            <w:pPr>
              <w:spacing w:line="360" w:lineRule="auto"/>
              <w:rPr>
                <w:rFonts w:ascii="宋体" w:hAnsi="宋体" w:cs="宋体"/>
                <w:b/>
                <w:bCs/>
                <w:sz w:val="28"/>
                <w:szCs w:val="28"/>
              </w:rPr>
            </w:pPr>
            <w:bookmarkStart w:id="3" w:name="_Toc335571654"/>
            <w:bookmarkStart w:id="4" w:name="_Toc335571993"/>
            <w:r>
              <w:rPr>
                <w:rFonts w:hint="eastAsia" w:ascii="宋体" w:hAnsi="宋体" w:cs="宋体"/>
                <w:b/>
                <w:bCs/>
                <w:sz w:val="28"/>
                <w:szCs w:val="28"/>
              </w:rPr>
              <w:t>四、</w:t>
            </w:r>
            <w:bookmarkEnd w:id="2"/>
            <w:bookmarkEnd w:id="3"/>
            <w:bookmarkEnd w:id="4"/>
            <w:r>
              <w:rPr>
                <w:rFonts w:hint="eastAsia" w:ascii="宋体" w:hAnsi="宋体" w:cs="宋体"/>
                <w:b/>
                <w:bCs/>
                <w:sz w:val="28"/>
                <w:szCs w:val="28"/>
              </w:rPr>
              <w:t>水文特征</w:t>
            </w:r>
          </w:p>
          <w:p>
            <w:pPr>
              <w:autoSpaceDE w:val="0"/>
              <w:autoSpaceDN w:val="0"/>
              <w:spacing w:line="360" w:lineRule="auto"/>
              <w:ind w:firstLine="480" w:firstLineChars="200"/>
              <w:rPr>
                <w:sz w:val="24"/>
              </w:rPr>
            </w:pPr>
            <w:r>
              <w:rPr>
                <w:sz w:val="24"/>
              </w:rPr>
              <w:t>乐山市位于东南季风和西南季风的影响区域，加之地面的抬升作用，气候湿润，雨量丰沛，水源十分丰富，中等干旱年境内水量可达165.1亿立方米。乐山附近绝大部分河流属于岷江水系，其中主要支流大渡河和青衣江均在市中心城区内汇入。</w:t>
            </w:r>
          </w:p>
          <w:p>
            <w:pPr>
              <w:spacing w:line="360" w:lineRule="auto"/>
              <w:ind w:firstLine="480" w:firstLineChars="200"/>
              <w:rPr>
                <w:sz w:val="24"/>
              </w:rPr>
            </w:pPr>
            <w:r>
              <w:rPr>
                <w:rFonts w:hint="eastAsia" w:cs="宋体"/>
                <w:sz w:val="24"/>
              </w:rPr>
              <w:t>（1）</w:t>
            </w:r>
            <w:r>
              <w:rPr>
                <w:sz w:val="24"/>
              </w:rPr>
              <w:t>大渡河</w:t>
            </w:r>
          </w:p>
          <w:p>
            <w:pPr>
              <w:spacing w:line="360" w:lineRule="auto"/>
              <w:ind w:firstLine="480" w:firstLineChars="200"/>
              <w:rPr>
                <w:sz w:val="24"/>
              </w:rPr>
            </w:pPr>
            <w:r>
              <w:rPr>
                <w:sz w:val="24"/>
              </w:rPr>
              <w:t>大渡河是岷江最大的支流，流经乐山市辖的金口河区、峨边县、沙湾区至中心城区肖公嘴汇入岷江。据上游52公里的福禄水文站资料：历史最大流量为10800m</w:t>
            </w:r>
            <w:r>
              <w:rPr>
                <w:sz w:val="24"/>
                <w:vertAlign w:val="superscript"/>
              </w:rPr>
              <w:t>3</w:t>
            </w:r>
            <w:r>
              <w:rPr>
                <w:sz w:val="24"/>
              </w:rPr>
              <w:t>/s，年平均流量1500m</w:t>
            </w:r>
            <w:r>
              <w:rPr>
                <w:sz w:val="24"/>
                <w:vertAlign w:val="superscript"/>
              </w:rPr>
              <w:t>3</w:t>
            </w:r>
            <w:r>
              <w:rPr>
                <w:sz w:val="24"/>
              </w:rPr>
              <w:t>/s，历年最小流量为258m</w:t>
            </w:r>
            <w:r>
              <w:rPr>
                <w:sz w:val="24"/>
                <w:vertAlign w:val="superscript"/>
              </w:rPr>
              <w:t>3</w:t>
            </w:r>
            <w:r>
              <w:rPr>
                <w:sz w:val="24"/>
              </w:rPr>
              <w:t>/s，年均径流总量473亿立方米，为岷江干流径流总量的61％，汛期(6～9月)径流量则占全年的61.7％。</w:t>
            </w:r>
          </w:p>
          <w:p>
            <w:pPr>
              <w:spacing w:line="360" w:lineRule="auto"/>
              <w:ind w:firstLine="480" w:firstLineChars="200"/>
              <w:rPr>
                <w:sz w:val="24"/>
              </w:rPr>
            </w:pPr>
            <w:r>
              <w:rPr>
                <w:sz w:val="24"/>
              </w:rPr>
              <w:t>（2）青衣江</w:t>
            </w:r>
          </w:p>
          <w:p>
            <w:pPr>
              <w:autoSpaceDE w:val="0"/>
              <w:autoSpaceDN w:val="0"/>
              <w:spacing w:line="360" w:lineRule="auto"/>
              <w:ind w:firstLine="480" w:firstLineChars="200"/>
              <w:rPr>
                <w:sz w:val="24"/>
              </w:rPr>
            </w:pPr>
            <w:r>
              <w:rPr>
                <w:sz w:val="24"/>
              </w:rPr>
              <w:t>青衣江由西北部雅安入乐山市境，流经洪雅、夹江至乐山城区草鞋渡与大渡河合流，据在乐山上游39公里处的夹江水文站资料：历年最大流量达16000m</w:t>
            </w:r>
            <w:r>
              <w:rPr>
                <w:sz w:val="24"/>
                <w:vertAlign w:val="superscript"/>
              </w:rPr>
              <w:t>3</w:t>
            </w:r>
            <w:r>
              <w:rPr>
                <w:sz w:val="24"/>
              </w:rPr>
              <w:t>/s，多年平均流量为550m</w:t>
            </w:r>
            <w:r>
              <w:rPr>
                <w:sz w:val="24"/>
                <w:vertAlign w:val="superscript"/>
              </w:rPr>
              <w:t>3</w:t>
            </w:r>
            <w:r>
              <w:rPr>
                <w:sz w:val="24"/>
              </w:rPr>
              <w:t>/s，历年最小流量78m</w:t>
            </w:r>
            <w:r>
              <w:rPr>
                <w:sz w:val="24"/>
                <w:vertAlign w:val="superscript"/>
              </w:rPr>
              <w:t>3</w:t>
            </w:r>
            <w:r>
              <w:rPr>
                <w:sz w:val="24"/>
              </w:rPr>
              <w:t>/s。年均径流总量169.9亿立方米，为岷江干流径流总量的22％，汛期(6～9月)径流量占全年的64.4％。</w:t>
            </w:r>
          </w:p>
          <w:p>
            <w:pPr>
              <w:autoSpaceDE w:val="0"/>
              <w:autoSpaceDN w:val="0"/>
              <w:spacing w:line="360" w:lineRule="auto"/>
              <w:ind w:firstLine="480" w:firstLineChars="200"/>
              <w:rPr>
                <w:sz w:val="24"/>
              </w:rPr>
            </w:pPr>
            <w:r>
              <w:rPr>
                <w:sz w:val="24"/>
              </w:rPr>
              <w:t>（3）岷江</w:t>
            </w:r>
          </w:p>
          <w:p>
            <w:pPr>
              <w:spacing w:line="360" w:lineRule="auto"/>
              <w:ind w:firstLine="480" w:firstLineChars="200"/>
              <w:rPr>
                <w:sz w:val="24"/>
              </w:rPr>
            </w:pPr>
            <w:r>
              <w:rPr>
                <w:sz w:val="24"/>
              </w:rPr>
              <w:t>岷江自成都平原入乐山市境，流经市中区、五通桥和犍为等区县，至宜宾汇入长江，先后接纳大渡河、青衣江、马边河等支流汇入。据在乐山上游104公里处的彭山水文站资料：历年最大流量为19900m</w:t>
            </w:r>
            <w:r>
              <w:rPr>
                <w:sz w:val="24"/>
                <w:vertAlign w:val="superscript"/>
              </w:rPr>
              <w:t>3</w:t>
            </w:r>
            <w:r>
              <w:rPr>
                <w:sz w:val="24"/>
              </w:rPr>
              <w:t>/s，多年平均流量466m</w:t>
            </w:r>
            <w:r>
              <w:rPr>
                <w:sz w:val="24"/>
                <w:vertAlign w:val="superscript"/>
              </w:rPr>
              <w:t>3</w:t>
            </w:r>
            <w:r>
              <w:rPr>
                <w:sz w:val="24"/>
              </w:rPr>
              <w:t>/s，年均径流总量147亿立方米，汛期(6～9月)径流量占全年的73％，9月份以后河流水量逐渐减少，冬末春初雨量最少，地面径流枯竭，河流仅靠地下水补给，加之沿途引流灌溉，每年1～2月水量最枯，历年最小流量仅19m</w:t>
            </w:r>
            <w:r>
              <w:rPr>
                <w:sz w:val="24"/>
                <w:vertAlign w:val="superscript"/>
              </w:rPr>
              <w:t>3</w:t>
            </w:r>
            <w:r>
              <w:rPr>
                <w:sz w:val="24"/>
              </w:rPr>
              <w:t>/s，多年平均最小流量21.5m</w:t>
            </w:r>
            <w:r>
              <w:rPr>
                <w:sz w:val="24"/>
                <w:vertAlign w:val="superscript"/>
              </w:rPr>
              <w:t>3</w:t>
            </w:r>
            <w:r>
              <w:rPr>
                <w:sz w:val="24"/>
              </w:rPr>
              <w:t>/s。</w:t>
            </w:r>
          </w:p>
          <w:p>
            <w:pPr>
              <w:autoSpaceDE w:val="0"/>
              <w:autoSpaceDN w:val="0"/>
              <w:spacing w:line="360" w:lineRule="auto"/>
              <w:ind w:firstLine="480" w:firstLineChars="200"/>
              <w:rPr>
                <w:sz w:val="24"/>
              </w:rPr>
            </w:pPr>
            <w:r>
              <w:rPr>
                <w:sz w:val="24"/>
              </w:rPr>
              <w:t>在市中区接纳大渡河和青衣江后，岷江水量倍增，据在乐山下游28公里处的五通桥水文站资料：历年最大流量达25200m</w:t>
            </w:r>
            <w:r>
              <w:rPr>
                <w:sz w:val="24"/>
                <w:vertAlign w:val="superscript"/>
              </w:rPr>
              <w:t>3</w:t>
            </w:r>
            <w:r>
              <w:rPr>
                <w:sz w:val="24"/>
              </w:rPr>
              <w:t>/s，多年平均流量为2432m</w:t>
            </w:r>
            <w:r>
              <w:rPr>
                <w:sz w:val="24"/>
                <w:vertAlign w:val="superscript"/>
              </w:rPr>
              <w:t>3</w:t>
            </w:r>
            <w:r>
              <w:rPr>
                <w:sz w:val="24"/>
              </w:rPr>
              <w:t>/s，历年最小流量330m</w:t>
            </w:r>
            <w:r>
              <w:rPr>
                <w:sz w:val="24"/>
                <w:vertAlign w:val="superscript"/>
              </w:rPr>
              <w:t>3</w:t>
            </w:r>
            <w:r>
              <w:rPr>
                <w:sz w:val="24"/>
              </w:rPr>
              <w:t>/s，年均径流总量775亿立方米，汛期(6～9月)径流量则占全年的66.2％。</w:t>
            </w:r>
          </w:p>
          <w:p>
            <w:pPr>
              <w:spacing w:line="360" w:lineRule="auto"/>
              <w:rPr>
                <w:b/>
                <w:sz w:val="28"/>
                <w:szCs w:val="28"/>
              </w:rPr>
            </w:pPr>
            <w:bookmarkStart w:id="5" w:name="_Toc335571656"/>
            <w:r>
              <w:rPr>
                <w:b/>
                <w:sz w:val="28"/>
                <w:szCs w:val="28"/>
              </w:rPr>
              <w:t>五、</w:t>
            </w:r>
            <w:bookmarkEnd w:id="5"/>
            <w:r>
              <w:rPr>
                <w:rFonts w:hint="eastAsia"/>
                <w:b/>
                <w:sz w:val="28"/>
                <w:szCs w:val="28"/>
              </w:rPr>
              <w:t>植被、生物多样性</w:t>
            </w:r>
          </w:p>
          <w:p>
            <w:pPr>
              <w:autoSpaceDE w:val="0"/>
              <w:autoSpaceDN w:val="0"/>
              <w:spacing w:line="360" w:lineRule="auto"/>
              <w:ind w:firstLine="480" w:firstLineChars="200"/>
              <w:rPr>
                <w:kern w:val="0"/>
                <w:sz w:val="24"/>
              </w:rPr>
            </w:pPr>
            <w:r>
              <w:rPr>
                <w:kern w:val="0"/>
                <w:sz w:val="24"/>
              </w:rPr>
              <w:t>以人工栽培作物和经济林木为主，自然植被主要是偏湿性常绿阔叶林。乐山市动、植物资源丰富，除人工养殖和种植的动物、植物外，目前已掌握的野生动植物种类共有五千五百余种。</w:t>
            </w:r>
          </w:p>
          <w:p>
            <w:pPr>
              <w:autoSpaceDE w:val="0"/>
              <w:autoSpaceDN w:val="0"/>
              <w:spacing w:line="360" w:lineRule="auto"/>
              <w:ind w:firstLine="480" w:firstLineChars="200"/>
              <w:rPr>
                <w:kern w:val="0"/>
                <w:sz w:val="24"/>
              </w:rPr>
            </w:pPr>
            <w:r>
              <w:rPr>
                <w:kern w:val="0"/>
                <w:sz w:val="24"/>
              </w:rPr>
              <w:t>独特的自然风光及人文景观构成的旅游资源是乐山主要资源优势，嘉州山水壮丽、奇秀、清雅、幽静，使乐山市中心城区成为独具魅力的旅游胜地。</w:t>
            </w:r>
          </w:p>
          <w:p>
            <w:pPr>
              <w:spacing w:line="360" w:lineRule="auto"/>
              <w:ind w:firstLine="482" w:firstLineChars="200"/>
              <w:rPr>
                <w:rFonts w:hAnsi="宋体"/>
                <w:b/>
                <w:sz w:val="24"/>
              </w:rPr>
            </w:pPr>
            <w:r>
              <w:rPr>
                <w:b/>
                <w:kern w:val="0"/>
                <w:sz w:val="24"/>
              </w:rPr>
              <w:t>据调查，</w:t>
            </w:r>
            <w:r>
              <w:rPr>
                <w:rFonts w:hint="eastAsia"/>
                <w:b/>
                <w:kern w:val="0"/>
                <w:sz w:val="24"/>
              </w:rPr>
              <w:t>项目</w:t>
            </w:r>
            <w:r>
              <w:rPr>
                <w:b/>
                <w:kern w:val="0"/>
                <w:sz w:val="24"/>
              </w:rPr>
              <w:t>所在</w:t>
            </w:r>
            <w:r>
              <w:rPr>
                <w:rFonts w:hint="eastAsia"/>
                <w:b/>
                <w:kern w:val="0"/>
                <w:sz w:val="24"/>
              </w:rPr>
              <w:t>区域人类活动频繁，</w:t>
            </w:r>
            <w:r>
              <w:rPr>
                <w:b/>
                <w:kern w:val="0"/>
                <w:sz w:val="24"/>
              </w:rPr>
              <w:t>无</w:t>
            </w:r>
            <w:r>
              <w:rPr>
                <w:rFonts w:hint="eastAsia"/>
                <w:b/>
                <w:kern w:val="0"/>
                <w:sz w:val="24"/>
              </w:rPr>
              <w:t>国家</w:t>
            </w:r>
            <w:r>
              <w:rPr>
                <w:b/>
                <w:kern w:val="0"/>
                <w:sz w:val="24"/>
              </w:rPr>
              <w:t>珍稀</w:t>
            </w:r>
            <w:r>
              <w:rPr>
                <w:rFonts w:hint="eastAsia"/>
                <w:b/>
                <w:kern w:val="0"/>
                <w:sz w:val="24"/>
              </w:rPr>
              <w:t>保护</w:t>
            </w:r>
            <w:r>
              <w:rPr>
                <w:b/>
                <w:kern w:val="0"/>
                <w:sz w:val="24"/>
              </w:rPr>
              <w:t>动、植物</w:t>
            </w:r>
            <w:r>
              <w:rPr>
                <w:rFonts w:hint="eastAsia"/>
                <w:b/>
                <w:kern w:val="0"/>
                <w:sz w:val="24"/>
              </w:rPr>
              <w:t>分布</w:t>
            </w:r>
            <w:r>
              <w:rPr>
                <w:b/>
                <w:kern w:val="0"/>
                <w:sz w:val="24"/>
              </w:rPr>
              <w:t>。</w:t>
            </w:r>
          </w:p>
          <w:p>
            <w:pPr>
              <w:spacing w:line="360" w:lineRule="auto"/>
              <w:rPr>
                <w:b/>
                <w:sz w:val="28"/>
                <w:szCs w:val="28"/>
              </w:rPr>
            </w:pPr>
            <w:r>
              <w:rPr>
                <w:rFonts w:hint="eastAsia"/>
                <w:b/>
                <w:sz w:val="28"/>
                <w:szCs w:val="28"/>
              </w:rPr>
              <w:t>六</w:t>
            </w:r>
            <w:r>
              <w:rPr>
                <w:b/>
                <w:sz w:val="28"/>
                <w:szCs w:val="28"/>
              </w:rPr>
              <w:t>、</w:t>
            </w:r>
            <w:r>
              <w:rPr>
                <w:rFonts w:hint="eastAsia"/>
                <w:b/>
                <w:sz w:val="28"/>
                <w:szCs w:val="28"/>
              </w:rPr>
              <w:t>乐山大佛风景名胜区概况</w:t>
            </w:r>
          </w:p>
          <w:p>
            <w:pPr>
              <w:spacing w:line="360" w:lineRule="auto"/>
              <w:ind w:firstLine="480" w:firstLineChars="200"/>
              <w:rPr>
                <w:sz w:val="24"/>
              </w:rPr>
            </w:pPr>
            <w:r>
              <w:rPr>
                <w:rFonts w:hAnsi="宋体"/>
                <w:sz w:val="24"/>
              </w:rPr>
              <w:t>乐山大佛风景名胜区（以下简称风景区）位于中华人民共和国四川省乐山市市中区中部，岷江、大渡河和青衣江三江汇流处，与城市市区隔河相望，地理坐标为东经</w:t>
            </w:r>
            <w:r>
              <w:rPr>
                <w:sz w:val="24"/>
              </w:rPr>
              <w:t>103°43′119.5″—103°47′06″，北纬29°31′119.5″—29°35′17″。面积17.88平方公里。</w:t>
            </w:r>
          </w:p>
          <w:p>
            <w:pPr>
              <w:spacing w:line="360" w:lineRule="auto"/>
              <w:ind w:firstLine="480" w:firstLineChars="200"/>
              <w:rPr>
                <w:sz w:val="24"/>
              </w:rPr>
            </w:pPr>
            <w:r>
              <w:rPr>
                <w:rFonts w:hAnsi="宋体"/>
                <w:sz w:val="24"/>
              </w:rPr>
              <w:t>风景名胜以文物古迹为优，其中国家重点文物保护单位</w:t>
            </w:r>
            <w:r>
              <w:rPr>
                <w:sz w:val="24"/>
              </w:rPr>
              <w:t>2</w:t>
            </w:r>
            <w:r>
              <w:rPr>
                <w:rFonts w:hAnsi="宋体"/>
                <w:sz w:val="24"/>
              </w:rPr>
              <w:t>处：乐山大佛和麻浩崖墓；省级文物保护单位</w:t>
            </w:r>
            <w:r>
              <w:rPr>
                <w:sz w:val="24"/>
              </w:rPr>
              <w:t>5</w:t>
            </w:r>
            <w:r>
              <w:rPr>
                <w:rFonts w:hAnsi="宋体"/>
                <w:sz w:val="24"/>
              </w:rPr>
              <w:t>处：凌云寺、乌尤离堆、灵宝塔、乌尤寺、柿子湾崖墓；市级文物保护单位</w:t>
            </w:r>
            <w:r>
              <w:rPr>
                <w:sz w:val="24"/>
              </w:rPr>
              <w:t>5</w:t>
            </w:r>
            <w:r>
              <w:rPr>
                <w:rFonts w:hAnsi="宋体"/>
                <w:sz w:val="24"/>
              </w:rPr>
              <w:t>处：东岩崖墓、东坡楼、三龟九顶城、东山寺、崖墓博物馆。</w:t>
            </w:r>
          </w:p>
          <w:p>
            <w:pPr>
              <w:spacing w:line="360" w:lineRule="auto"/>
              <w:ind w:firstLine="480" w:firstLineChars="200"/>
              <w:rPr>
                <w:sz w:val="24"/>
              </w:rPr>
            </w:pPr>
            <w:r>
              <w:rPr>
                <w:rFonts w:hAnsi="宋体"/>
                <w:sz w:val="24"/>
              </w:rPr>
              <w:t>自然风景主要有嘉州山水特色的三江汇流、青衣三岛、巨形睡佛、凤洲田园等。</w:t>
            </w:r>
          </w:p>
          <w:p>
            <w:pPr>
              <w:spacing w:line="360" w:lineRule="auto"/>
              <w:ind w:firstLine="480" w:firstLineChars="200"/>
              <w:rPr>
                <w:sz w:val="24"/>
              </w:rPr>
            </w:pPr>
            <w:r>
              <w:rPr>
                <w:rFonts w:hAnsi="宋体"/>
                <w:sz w:val="24"/>
              </w:rPr>
              <w:t>布局结构：采用</w:t>
            </w:r>
            <w:r>
              <w:rPr>
                <w:rFonts w:ascii="宋体" w:hAnsi="宋体"/>
                <w:sz w:val="24"/>
              </w:rPr>
              <w:t>“环状串珠式”结构，形成“一环五片”布</w:t>
            </w:r>
            <w:r>
              <w:rPr>
                <w:rFonts w:hAnsi="宋体"/>
                <w:sz w:val="24"/>
              </w:rPr>
              <w:t>局。</w:t>
            </w:r>
          </w:p>
          <w:p>
            <w:pPr>
              <w:spacing w:line="360" w:lineRule="auto"/>
              <w:ind w:firstLine="480" w:firstLineChars="200"/>
              <w:rPr>
                <w:sz w:val="24"/>
              </w:rPr>
            </w:pPr>
            <w:r>
              <w:rPr>
                <w:rFonts w:hAnsi="宋体"/>
                <w:sz w:val="24"/>
              </w:rPr>
              <w:t>规划从任家坝沿乐五路至乌尤坝，从乌尤坝过岷江至任家场，沿杜家坝游览道至小铜河过河至风州岛，从风州岛过河至肖坝，沿滨河路至嘉州古城区，沿岷江大桥至任家坝闭合，形成陆、水结合的风景区旅游主环线和区间交通环线，由该环线串联了大佛景区、凤洲景区、龟城山景区、马鞍山景区、杜家坝景区五个景区。</w:t>
            </w:r>
          </w:p>
          <w:p>
            <w:pPr>
              <w:spacing w:line="360" w:lineRule="auto"/>
              <w:ind w:firstLine="480" w:firstLineChars="200"/>
              <w:rPr>
                <w:sz w:val="24"/>
              </w:rPr>
            </w:pPr>
            <w:r>
              <w:rPr>
                <w:sz w:val="24"/>
              </w:rPr>
              <w:t>1、一环：任家坝——凌云山——乌尤山——杜家坝——凤洲——古城区——任家坝的陆上和水上游览环线。</w:t>
            </w:r>
          </w:p>
          <w:p>
            <w:pPr>
              <w:spacing w:line="360" w:lineRule="auto"/>
              <w:ind w:firstLine="480" w:firstLineChars="200"/>
              <w:rPr>
                <w:sz w:val="24"/>
              </w:rPr>
            </w:pPr>
            <w:r>
              <w:rPr>
                <w:sz w:val="24"/>
              </w:rPr>
              <w:t>2</w:t>
            </w:r>
            <w:r>
              <w:rPr>
                <w:rFonts w:hAnsi="宋体"/>
                <w:sz w:val="24"/>
              </w:rPr>
              <w:t>、五片：大佛景区、三江景区、龟城山景区、马鞍山景区、杜家坝景区。</w:t>
            </w:r>
          </w:p>
          <w:p>
            <w:pPr>
              <w:adjustRightInd w:val="0"/>
              <w:snapToGrid w:val="0"/>
              <w:spacing w:line="360" w:lineRule="auto"/>
              <w:ind w:firstLine="337" w:firstLineChars="147"/>
              <w:rPr>
                <w:rFonts w:hAnsi="宋体"/>
                <w:b/>
                <w:bCs/>
                <w:sz w:val="24"/>
              </w:rPr>
            </w:pPr>
            <w:r>
              <w:rPr>
                <w:rFonts w:hAnsi="宋体"/>
                <w:b/>
                <w:spacing w:val="-6"/>
                <w:sz w:val="24"/>
              </w:rPr>
              <w:t>本项目不在乐山大佛风景区范围内，项目所在地无风景名胜区和需要保护的文物古迹。</w:t>
            </w:r>
          </w:p>
        </w:tc>
      </w:tr>
    </w:tbl>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spacing w:line="360" w:lineRule="auto"/>
        <w:rPr>
          <w:rFonts w:ascii="宋体" w:hAnsi="宋体"/>
          <w:b/>
          <w:sz w:val="30"/>
        </w:rPr>
      </w:pPr>
    </w:p>
    <w:p>
      <w:pPr>
        <w:pStyle w:val="3"/>
        <w:jc w:val="both"/>
        <w:rPr>
          <w:rFonts w:ascii="宋体" w:hAnsi="宋体" w:cs="宋体"/>
          <w:b/>
          <w:bCs/>
          <w:sz w:val="30"/>
          <w:szCs w:val="30"/>
        </w:rPr>
      </w:pPr>
      <w:r>
        <w:rPr>
          <w:rFonts w:hint="eastAsia" w:ascii="宋体" w:hAnsi="宋体" w:cs="宋体"/>
          <w:b/>
          <w:bCs/>
          <w:sz w:val="30"/>
          <w:szCs w:val="30"/>
        </w:rPr>
        <w:t>表三、环境质量状况</w:t>
      </w:r>
    </w:p>
    <w:tbl>
      <w:tblPr>
        <w:tblStyle w:val="53"/>
        <w:tblW w:w="98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8" w:hRule="atLeast"/>
        </w:trPr>
        <w:tc>
          <w:tcPr>
            <w:tcW w:w="9828" w:type="dxa"/>
          </w:tcPr>
          <w:p>
            <w:pPr>
              <w:spacing w:line="360" w:lineRule="auto"/>
              <w:rPr>
                <w:rFonts w:eastAsia="黑体"/>
                <w:sz w:val="28"/>
              </w:rPr>
            </w:pPr>
            <w:r>
              <w:rPr>
                <w:rFonts w:eastAsia="黑体"/>
                <w:sz w:val="28"/>
              </w:rPr>
              <w:t>建设项目所在地区域环境质量现状及主要环境问题：</w:t>
            </w:r>
          </w:p>
          <w:p>
            <w:pPr>
              <w:adjustRightInd w:val="0"/>
              <w:snapToGrid w:val="0"/>
              <w:spacing w:line="360" w:lineRule="auto"/>
              <w:ind w:firstLine="482" w:firstLineChars="200"/>
              <w:rPr>
                <w:b/>
                <w:sz w:val="24"/>
              </w:rPr>
            </w:pPr>
            <w:r>
              <w:rPr>
                <w:b/>
                <w:sz w:val="24"/>
              </w:rPr>
              <w:t>1、环境空气质量现状</w:t>
            </w:r>
          </w:p>
          <w:p>
            <w:pPr>
              <w:adjustRightInd w:val="0"/>
              <w:snapToGrid w:val="0"/>
              <w:spacing w:line="360" w:lineRule="auto"/>
              <w:ind w:firstLine="482" w:firstLineChars="200"/>
              <w:rPr>
                <w:b/>
                <w:sz w:val="24"/>
              </w:rPr>
            </w:pPr>
            <w:r>
              <w:rPr>
                <w:b/>
                <w:sz w:val="24"/>
              </w:rPr>
              <w:t>1）项目所在区域环境质量达标情况</w:t>
            </w:r>
          </w:p>
          <w:p>
            <w:pPr>
              <w:adjustRightInd w:val="0"/>
              <w:snapToGrid w:val="0"/>
              <w:spacing w:line="360" w:lineRule="auto"/>
              <w:ind w:firstLine="480" w:firstLineChars="200"/>
              <w:rPr>
                <w:sz w:val="24"/>
              </w:rPr>
            </w:pPr>
            <w:r>
              <w:rPr>
                <w:sz w:val="24"/>
              </w:rPr>
              <w:t>本项目位于乐山市中区</w:t>
            </w:r>
            <w:r>
              <w:rPr>
                <w:rFonts w:hint="eastAsia"/>
                <w:sz w:val="24"/>
              </w:rPr>
              <w:t>工业集中区水口-罗汉工业区内</w:t>
            </w:r>
            <w:r>
              <w:rPr>
                <w:sz w:val="24"/>
              </w:rPr>
              <w:t>，项目所在区域环境功能区属二类区，因此，环境空气质量现状采用《环境空气质量标准》（GB3095-2012）中的二级标准，根据《2017年市中区环境质量公报》，乐山市市中区环境空气质量主要指标见下表。</w:t>
            </w:r>
          </w:p>
          <w:p>
            <w:pPr>
              <w:adjustRightInd w:val="0"/>
              <w:snapToGrid w:val="0"/>
              <w:spacing w:line="360" w:lineRule="auto"/>
              <w:jc w:val="center"/>
              <w:rPr>
                <w:b/>
                <w:sz w:val="24"/>
              </w:rPr>
            </w:pPr>
            <w:r>
              <w:rPr>
                <w:b/>
                <w:sz w:val="24"/>
              </w:rPr>
              <w:t>表3-1 2017年市中区环境空气质量主要指标  单位：µg/m</w:t>
            </w:r>
            <w:r>
              <w:rPr>
                <w:b/>
                <w:sz w:val="24"/>
                <w:vertAlign w:val="superscript"/>
              </w:rPr>
              <w:t>3</w:t>
            </w:r>
            <w:r>
              <w:rPr>
                <w:b/>
                <w:sz w:val="24"/>
              </w:rPr>
              <w:t>，CO：mg/m</w:t>
            </w:r>
            <w:r>
              <w:rPr>
                <w:b/>
                <w:sz w:val="24"/>
                <w:vertAlign w:val="superscript"/>
              </w:rPr>
              <w:t>3</w:t>
            </w:r>
          </w:p>
          <w:tbl>
            <w:tblPr>
              <w:tblStyle w:val="53"/>
              <w:tblW w:w="8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93"/>
              <w:gridCol w:w="1476"/>
              <w:gridCol w:w="1477"/>
              <w:gridCol w:w="147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jc w:val="center"/>
                    <w:rPr>
                      <w:rFonts w:ascii="宋体" w:hAnsi="宋体"/>
                      <w:szCs w:val="21"/>
                    </w:rPr>
                  </w:pPr>
                  <w:r>
                    <w:rPr>
                      <w:rFonts w:ascii="宋体" w:hAnsi="宋体"/>
                      <w:szCs w:val="21"/>
                    </w:rPr>
                    <w:t>污染物</w:t>
                  </w:r>
                </w:p>
              </w:tc>
              <w:tc>
                <w:tcPr>
                  <w:tcW w:w="1993" w:type="dxa"/>
                  <w:vAlign w:val="center"/>
                </w:tcPr>
                <w:p>
                  <w:pPr>
                    <w:adjustRightInd w:val="0"/>
                    <w:snapToGrid w:val="0"/>
                    <w:jc w:val="center"/>
                    <w:rPr>
                      <w:rFonts w:ascii="宋体" w:hAnsi="宋体"/>
                      <w:szCs w:val="21"/>
                    </w:rPr>
                  </w:pPr>
                  <w:r>
                    <w:rPr>
                      <w:rFonts w:ascii="宋体" w:hAnsi="宋体"/>
                      <w:szCs w:val="21"/>
                    </w:rPr>
                    <w:t>年评价指标</w:t>
                  </w:r>
                </w:p>
              </w:tc>
              <w:tc>
                <w:tcPr>
                  <w:tcW w:w="1476" w:type="dxa"/>
                  <w:vAlign w:val="center"/>
                </w:tcPr>
                <w:p>
                  <w:pPr>
                    <w:adjustRightInd w:val="0"/>
                    <w:snapToGrid w:val="0"/>
                    <w:jc w:val="center"/>
                    <w:rPr>
                      <w:rFonts w:ascii="宋体" w:hAnsi="宋体"/>
                      <w:szCs w:val="21"/>
                    </w:rPr>
                  </w:pPr>
                  <w:r>
                    <w:rPr>
                      <w:rFonts w:ascii="宋体" w:hAnsi="宋体"/>
                      <w:szCs w:val="21"/>
                    </w:rPr>
                    <w:t>现状浓度</w:t>
                  </w:r>
                  <w:r>
                    <w:rPr>
                      <w:rFonts w:hint="eastAsia" w:ascii="宋体" w:hAnsi="宋体"/>
                      <w:szCs w:val="21"/>
                    </w:rPr>
                    <w:t>（</w:t>
                  </w:r>
                  <w:r>
                    <w:rPr>
                      <w:rFonts w:hint="eastAsia" w:ascii="宋体" w:hAnsi="宋体" w:cs="宋体"/>
                      <w:b/>
                      <w:bCs/>
                      <w:szCs w:val="21"/>
                    </w:rPr>
                    <w:t>µ</w:t>
                  </w:r>
                  <w:r>
                    <w:rPr>
                      <w:rFonts w:hint="eastAsia" w:ascii="Calibri" w:hAnsi="Calibri"/>
                      <w:b/>
                      <w:bCs/>
                      <w:szCs w:val="21"/>
                    </w:rPr>
                    <w:t>g/m³</w:t>
                  </w:r>
                  <w:r>
                    <w:rPr>
                      <w:rFonts w:hint="eastAsia" w:ascii="宋体" w:hAnsi="宋体"/>
                      <w:szCs w:val="21"/>
                    </w:rPr>
                    <w:t>）</w:t>
                  </w:r>
                </w:p>
              </w:tc>
              <w:tc>
                <w:tcPr>
                  <w:tcW w:w="1477" w:type="dxa"/>
                  <w:vAlign w:val="center"/>
                </w:tcPr>
                <w:p>
                  <w:pPr>
                    <w:adjustRightInd w:val="0"/>
                    <w:snapToGrid w:val="0"/>
                    <w:jc w:val="center"/>
                    <w:rPr>
                      <w:rFonts w:ascii="宋体" w:hAnsi="宋体"/>
                      <w:szCs w:val="21"/>
                    </w:rPr>
                  </w:pPr>
                  <w:r>
                    <w:rPr>
                      <w:rFonts w:ascii="宋体" w:hAnsi="宋体"/>
                      <w:szCs w:val="21"/>
                    </w:rPr>
                    <w:t>标准值</w:t>
                  </w:r>
                </w:p>
                <w:p>
                  <w:pPr>
                    <w:adjustRightInd w:val="0"/>
                    <w:snapToGrid w:val="0"/>
                    <w:jc w:val="center"/>
                    <w:rPr>
                      <w:rFonts w:ascii="宋体" w:hAnsi="宋体"/>
                      <w:szCs w:val="21"/>
                    </w:rPr>
                  </w:pPr>
                  <w:r>
                    <w:rPr>
                      <w:rFonts w:hint="eastAsia" w:ascii="宋体" w:hAnsi="宋体"/>
                      <w:szCs w:val="21"/>
                    </w:rPr>
                    <w:t>（</w:t>
                  </w:r>
                  <w:r>
                    <w:rPr>
                      <w:rFonts w:hint="eastAsia" w:ascii="宋体" w:hAnsi="宋体" w:cs="宋体"/>
                      <w:b/>
                      <w:bCs/>
                      <w:szCs w:val="21"/>
                    </w:rPr>
                    <w:t>µ</w:t>
                  </w:r>
                  <w:r>
                    <w:rPr>
                      <w:rFonts w:hint="eastAsia" w:ascii="Calibri" w:hAnsi="Calibri"/>
                      <w:b/>
                      <w:bCs/>
                      <w:szCs w:val="21"/>
                    </w:rPr>
                    <w:t>g/m³</w:t>
                  </w:r>
                  <w:r>
                    <w:rPr>
                      <w:rFonts w:hint="eastAsia" w:ascii="宋体" w:hAnsi="宋体"/>
                      <w:szCs w:val="21"/>
                    </w:rPr>
                    <w:t>）</w:t>
                  </w:r>
                </w:p>
              </w:tc>
              <w:tc>
                <w:tcPr>
                  <w:tcW w:w="1477" w:type="dxa"/>
                  <w:vAlign w:val="center"/>
                </w:tcPr>
                <w:p>
                  <w:pPr>
                    <w:adjustRightInd w:val="0"/>
                    <w:snapToGrid w:val="0"/>
                    <w:jc w:val="center"/>
                    <w:rPr>
                      <w:rFonts w:ascii="宋体" w:hAnsi="宋体"/>
                      <w:szCs w:val="21"/>
                    </w:rPr>
                  </w:pPr>
                  <w:r>
                    <w:rPr>
                      <w:rFonts w:ascii="宋体" w:hAnsi="宋体"/>
                      <w:szCs w:val="21"/>
                    </w:rPr>
                    <w:t>占标率</w:t>
                  </w:r>
                  <w:r>
                    <w:rPr>
                      <w:rFonts w:hint="eastAsia" w:ascii="宋体" w:hAnsi="宋体"/>
                      <w:szCs w:val="21"/>
                    </w:rPr>
                    <w:t>（%）</w:t>
                  </w:r>
                </w:p>
              </w:tc>
              <w:tc>
                <w:tcPr>
                  <w:tcW w:w="1477" w:type="dxa"/>
                  <w:vAlign w:val="center"/>
                </w:tcPr>
                <w:p>
                  <w:pPr>
                    <w:adjustRightInd w:val="0"/>
                    <w:snapToGrid w:val="0"/>
                    <w:jc w:val="center"/>
                    <w:rPr>
                      <w:rFonts w:ascii="宋体" w:hAnsi="宋体"/>
                      <w:szCs w:val="21"/>
                    </w:rPr>
                  </w:pPr>
                  <w:r>
                    <w:rPr>
                      <w:rFonts w:ascii="宋体" w:hAnsi="宋体"/>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jc w:val="center"/>
                    <w:rPr>
                      <w:rFonts w:ascii="宋体" w:hAnsi="宋体"/>
                      <w:szCs w:val="21"/>
                    </w:rPr>
                  </w:pPr>
                  <w:r>
                    <w:rPr>
                      <w:rFonts w:hint="eastAsia" w:ascii="宋体" w:hAnsi="宋体"/>
                      <w:szCs w:val="21"/>
                    </w:rPr>
                    <w:t>S</w:t>
                  </w:r>
                  <w:r>
                    <w:rPr>
                      <w:rFonts w:ascii="宋体" w:hAnsi="宋体"/>
                      <w:szCs w:val="21"/>
                    </w:rPr>
                    <w:t>O</w:t>
                  </w:r>
                  <w:r>
                    <w:rPr>
                      <w:rFonts w:ascii="宋体" w:hAnsi="宋体"/>
                      <w:szCs w:val="21"/>
                      <w:vertAlign w:val="subscript"/>
                    </w:rPr>
                    <w:t>2</w:t>
                  </w:r>
                </w:p>
              </w:tc>
              <w:tc>
                <w:tcPr>
                  <w:tcW w:w="1993" w:type="dxa"/>
                  <w:vAlign w:val="center"/>
                </w:tcPr>
                <w:p>
                  <w:pPr>
                    <w:adjustRightInd w:val="0"/>
                    <w:snapToGrid w:val="0"/>
                    <w:jc w:val="center"/>
                    <w:rPr>
                      <w:rFonts w:ascii="宋体" w:hAnsi="宋体"/>
                      <w:szCs w:val="21"/>
                    </w:rPr>
                  </w:pPr>
                  <w:r>
                    <w:rPr>
                      <w:rFonts w:ascii="宋体" w:hAnsi="宋体"/>
                      <w:szCs w:val="21"/>
                    </w:rPr>
                    <w:t>年平均质量浓度</w:t>
                  </w:r>
                </w:p>
              </w:tc>
              <w:tc>
                <w:tcPr>
                  <w:tcW w:w="1476" w:type="dxa"/>
                  <w:vAlign w:val="center"/>
                </w:tcPr>
                <w:p>
                  <w:pPr>
                    <w:adjustRightInd w:val="0"/>
                    <w:snapToGrid w:val="0"/>
                    <w:jc w:val="center"/>
                    <w:rPr>
                      <w:rFonts w:ascii="宋体" w:hAnsi="宋体"/>
                      <w:szCs w:val="21"/>
                    </w:rPr>
                  </w:pPr>
                  <w:r>
                    <w:rPr>
                      <w:rFonts w:ascii="宋体" w:hAnsi="宋体"/>
                      <w:szCs w:val="21"/>
                    </w:rPr>
                    <w:t>11.5</w:t>
                  </w:r>
                </w:p>
              </w:tc>
              <w:tc>
                <w:tcPr>
                  <w:tcW w:w="1477" w:type="dxa"/>
                  <w:vAlign w:val="center"/>
                </w:tcPr>
                <w:p>
                  <w:pPr>
                    <w:adjustRightInd w:val="0"/>
                    <w:snapToGrid w:val="0"/>
                    <w:jc w:val="center"/>
                    <w:rPr>
                      <w:rFonts w:ascii="宋体" w:hAnsi="宋体"/>
                      <w:szCs w:val="21"/>
                    </w:rPr>
                  </w:pPr>
                  <w:r>
                    <w:rPr>
                      <w:rFonts w:hint="eastAsia" w:ascii="宋体" w:hAnsi="宋体"/>
                      <w:szCs w:val="21"/>
                    </w:rPr>
                    <w:t>6</w:t>
                  </w:r>
                  <w:r>
                    <w:rPr>
                      <w:rFonts w:ascii="宋体" w:hAnsi="宋体"/>
                      <w:szCs w:val="21"/>
                    </w:rPr>
                    <w:t>0</w:t>
                  </w:r>
                </w:p>
              </w:tc>
              <w:tc>
                <w:tcPr>
                  <w:tcW w:w="1477" w:type="dxa"/>
                  <w:vAlign w:val="center"/>
                </w:tcPr>
                <w:p>
                  <w:pPr>
                    <w:adjustRightInd w:val="0"/>
                    <w:snapToGrid w:val="0"/>
                    <w:jc w:val="center"/>
                    <w:rPr>
                      <w:rFonts w:ascii="宋体" w:hAnsi="宋体"/>
                      <w:szCs w:val="21"/>
                    </w:rPr>
                  </w:pPr>
                  <w:r>
                    <w:rPr>
                      <w:rFonts w:ascii="宋体" w:hAnsi="宋体"/>
                      <w:szCs w:val="21"/>
                    </w:rPr>
                    <w:t>19.2</w:t>
                  </w:r>
                </w:p>
              </w:tc>
              <w:tc>
                <w:tcPr>
                  <w:tcW w:w="1477" w:type="dxa"/>
                  <w:vAlign w:val="center"/>
                </w:tcPr>
                <w:p>
                  <w:pPr>
                    <w:adjustRightInd w:val="0"/>
                    <w:snapToGrid w:val="0"/>
                    <w:jc w:val="center"/>
                    <w:rPr>
                      <w:rFonts w:ascii="宋体" w:hAnsi="宋体"/>
                      <w:szCs w:val="21"/>
                    </w:rPr>
                  </w:pPr>
                  <w:r>
                    <w:rPr>
                      <w:rFonts w:ascii="宋体" w:hAnsi="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jc w:val="center"/>
                    <w:rPr>
                      <w:rFonts w:ascii="宋体" w:hAnsi="宋体"/>
                      <w:szCs w:val="21"/>
                    </w:rPr>
                  </w:pPr>
                  <w:r>
                    <w:rPr>
                      <w:rFonts w:hint="eastAsia" w:ascii="宋体" w:hAnsi="宋体"/>
                      <w:szCs w:val="21"/>
                    </w:rPr>
                    <w:t>N</w:t>
                  </w:r>
                  <w:r>
                    <w:rPr>
                      <w:rFonts w:ascii="宋体" w:hAnsi="宋体"/>
                      <w:szCs w:val="21"/>
                    </w:rPr>
                    <w:t>O</w:t>
                  </w:r>
                  <w:r>
                    <w:rPr>
                      <w:rFonts w:ascii="宋体" w:hAnsi="宋体"/>
                      <w:szCs w:val="21"/>
                      <w:vertAlign w:val="subscript"/>
                    </w:rPr>
                    <w:t>2</w:t>
                  </w:r>
                </w:p>
              </w:tc>
              <w:tc>
                <w:tcPr>
                  <w:tcW w:w="1993" w:type="dxa"/>
                  <w:vAlign w:val="center"/>
                </w:tcPr>
                <w:p>
                  <w:pPr>
                    <w:adjustRightInd w:val="0"/>
                    <w:snapToGrid w:val="0"/>
                    <w:jc w:val="center"/>
                    <w:rPr>
                      <w:rFonts w:ascii="宋体" w:hAnsi="宋体"/>
                      <w:szCs w:val="21"/>
                    </w:rPr>
                  </w:pPr>
                  <w:r>
                    <w:rPr>
                      <w:rFonts w:ascii="宋体" w:hAnsi="宋体"/>
                      <w:szCs w:val="21"/>
                    </w:rPr>
                    <w:t>年平均质量浓度</w:t>
                  </w:r>
                </w:p>
              </w:tc>
              <w:tc>
                <w:tcPr>
                  <w:tcW w:w="1476" w:type="dxa"/>
                  <w:vAlign w:val="center"/>
                </w:tcPr>
                <w:p>
                  <w:pPr>
                    <w:adjustRightInd w:val="0"/>
                    <w:snapToGrid w:val="0"/>
                    <w:jc w:val="center"/>
                    <w:rPr>
                      <w:rFonts w:ascii="宋体" w:hAnsi="宋体"/>
                      <w:szCs w:val="21"/>
                    </w:rPr>
                  </w:pPr>
                  <w:r>
                    <w:rPr>
                      <w:rFonts w:ascii="宋体" w:hAnsi="宋体"/>
                      <w:szCs w:val="21"/>
                    </w:rPr>
                    <w:t>33.7</w:t>
                  </w:r>
                </w:p>
              </w:tc>
              <w:tc>
                <w:tcPr>
                  <w:tcW w:w="1477" w:type="dxa"/>
                  <w:vAlign w:val="center"/>
                </w:tcPr>
                <w:p>
                  <w:pPr>
                    <w:adjustRightInd w:val="0"/>
                    <w:snapToGrid w:val="0"/>
                    <w:jc w:val="center"/>
                    <w:rPr>
                      <w:rFonts w:ascii="宋体" w:hAnsi="宋体"/>
                      <w:szCs w:val="21"/>
                    </w:rPr>
                  </w:pPr>
                  <w:r>
                    <w:rPr>
                      <w:rFonts w:hint="eastAsia" w:ascii="宋体" w:hAnsi="宋体"/>
                      <w:szCs w:val="21"/>
                    </w:rPr>
                    <w:t>4</w:t>
                  </w:r>
                  <w:r>
                    <w:rPr>
                      <w:rFonts w:ascii="宋体" w:hAnsi="宋体"/>
                      <w:szCs w:val="21"/>
                    </w:rPr>
                    <w:t>0</w:t>
                  </w:r>
                </w:p>
              </w:tc>
              <w:tc>
                <w:tcPr>
                  <w:tcW w:w="1477" w:type="dxa"/>
                  <w:vAlign w:val="center"/>
                </w:tcPr>
                <w:p>
                  <w:pPr>
                    <w:adjustRightInd w:val="0"/>
                    <w:snapToGrid w:val="0"/>
                    <w:jc w:val="center"/>
                    <w:rPr>
                      <w:rFonts w:ascii="宋体" w:hAnsi="宋体"/>
                      <w:szCs w:val="21"/>
                    </w:rPr>
                  </w:pPr>
                  <w:r>
                    <w:rPr>
                      <w:rFonts w:hint="eastAsia" w:ascii="宋体" w:hAnsi="宋体"/>
                      <w:szCs w:val="21"/>
                    </w:rPr>
                    <w:t>8</w:t>
                  </w:r>
                  <w:r>
                    <w:rPr>
                      <w:rFonts w:ascii="宋体" w:hAnsi="宋体"/>
                      <w:szCs w:val="21"/>
                    </w:rPr>
                    <w:t>4.3</w:t>
                  </w:r>
                </w:p>
              </w:tc>
              <w:tc>
                <w:tcPr>
                  <w:tcW w:w="1477" w:type="dxa"/>
                  <w:vAlign w:val="center"/>
                </w:tcPr>
                <w:p>
                  <w:pPr>
                    <w:adjustRightInd w:val="0"/>
                    <w:snapToGrid w:val="0"/>
                    <w:jc w:val="center"/>
                    <w:rPr>
                      <w:rFonts w:ascii="宋体" w:hAnsi="宋体"/>
                      <w:szCs w:val="21"/>
                    </w:rPr>
                  </w:pPr>
                  <w:r>
                    <w:rPr>
                      <w:rFonts w:ascii="宋体" w:hAnsi="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jc w:val="center"/>
                    <w:rPr>
                      <w:rFonts w:ascii="宋体" w:hAnsi="宋体"/>
                      <w:szCs w:val="21"/>
                    </w:rPr>
                  </w:pPr>
                  <w:r>
                    <w:rPr>
                      <w:rFonts w:hint="eastAsia" w:ascii="宋体" w:hAnsi="宋体"/>
                      <w:szCs w:val="21"/>
                    </w:rPr>
                    <w:t>C</w:t>
                  </w:r>
                  <w:r>
                    <w:rPr>
                      <w:rFonts w:ascii="宋体" w:hAnsi="宋体"/>
                      <w:szCs w:val="21"/>
                    </w:rPr>
                    <w:t>O</w:t>
                  </w:r>
                </w:p>
              </w:tc>
              <w:tc>
                <w:tcPr>
                  <w:tcW w:w="1993" w:type="dxa"/>
                  <w:vAlign w:val="center"/>
                </w:tcPr>
                <w:p>
                  <w:pPr>
                    <w:adjustRightInd w:val="0"/>
                    <w:snapToGrid w:val="0"/>
                    <w:jc w:val="center"/>
                    <w:rPr>
                      <w:rFonts w:ascii="宋体" w:hAnsi="宋体"/>
                      <w:szCs w:val="21"/>
                    </w:rPr>
                  </w:pPr>
                  <w:r>
                    <w:rPr>
                      <w:rFonts w:ascii="宋体" w:hAnsi="宋体"/>
                      <w:szCs w:val="21"/>
                    </w:rPr>
                    <w:t>第</w:t>
                  </w:r>
                  <w:r>
                    <w:rPr>
                      <w:rFonts w:hint="eastAsia" w:ascii="宋体" w:hAnsi="宋体"/>
                      <w:szCs w:val="21"/>
                    </w:rPr>
                    <w:t>9</w:t>
                  </w:r>
                  <w:r>
                    <w:rPr>
                      <w:rFonts w:ascii="宋体" w:hAnsi="宋体"/>
                      <w:szCs w:val="21"/>
                    </w:rPr>
                    <w:t>5百位数</w:t>
                  </w:r>
                  <w:r>
                    <w:rPr>
                      <w:rFonts w:hint="eastAsia" w:ascii="宋体" w:hAnsi="宋体"/>
                      <w:szCs w:val="21"/>
                    </w:rPr>
                    <w:t>2</w:t>
                  </w:r>
                  <w:r>
                    <w:rPr>
                      <w:rFonts w:ascii="宋体" w:hAnsi="宋体"/>
                      <w:szCs w:val="21"/>
                    </w:rPr>
                    <w:t>4h评价质量浓度</w:t>
                  </w:r>
                </w:p>
              </w:tc>
              <w:tc>
                <w:tcPr>
                  <w:tcW w:w="1476" w:type="dxa"/>
                  <w:vAlign w:val="center"/>
                </w:tcPr>
                <w:p>
                  <w:pPr>
                    <w:adjustRightInd w:val="0"/>
                    <w:snapToGrid w:val="0"/>
                    <w:jc w:val="center"/>
                    <w:rPr>
                      <w:rFonts w:ascii="宋体" w:hAnsi="宋体"/>
                      <w:szCs w:val="21"/>
                    </w:rPr>
                  </w:pPr>
                  <w:r>
                    <w:rPr>
                      <w:rFonts w:ascii="宋体" w:hAnsi="宋体"/>
                      <w:szCs w:val="21"/>
                    </w:rPr>
                    <w:t>1.5</w:t>
                  </w:r>
                </w:p>
              </w:tc>
              <w:tc>
                <w:tcPr>
                  <w:tcW w:w="1477" w:type="dxa"/>
                  <w:vAlign w:val="center"/>
                </w:tcPr>
                <w:p>
                  <w:pPr>
                    <w:adjustRightInd w:val="0"/>
                    <w:snapToGrid w:val="0"/>
                    <w:jc w:val="center"/>
                    <w:rPr>
                      <w:rFonts w:ascii="宋体" w:hAnsi="宋体"/>
                      <w:szCs w:val="21"/>
                    </w:rPr>
                  </w:pPr>
                  <w:r>
                    <w:rPr>
                      <w:rFonts w:ascii="宋体" w:hAnsi="宋体"/>
                      <w:szCs w:val="21"/>
                    </w:rPr>
                    <w:t>4</w:t>
                  </w:r>
                </w:p>
              </w:tc>
              <w:tc>
                <w:tcPr>
                  <w:tcW w:w="1477" w:type="dxa"/>
                  <w:vAlign w:val="center"/>
                </w:tcPr>
                <w:p>
                  <w:pPr>
                    <w:adjustRightInd w:val="0"/>
                    <w:snapToGrid w:val="0"/>
                    <w:jc w:val="center"/>
                    <w:rPr>
                      <w:rFonts w:ascii="宋体" w:hAnsi="宋体"/>
                      <w:szCs w:val="21"/>
                    </w:rPr>
                  </w:pPr>
                  <w:r>
                    <w:rPr>
                      <w:rFonts w:ascii="宋体" w:hAnsi="宋体"/>
                      <w:szCs w:val="21"/>
                    </w:rPr>
                    <w:t>37.5</w:t>
                  </w:r>
                </w:p>
              </w:tc>
              <w:tc>
                <w:tcPr>
                  <w:tcW w:w="1477" w:type="dxa"/>
                  <w:vAlign w:val="center"/>
                </w:tcPr>
                <w:p>
                  <w:pPr>
                    <w:adjustRightInd w:val="0"/>
                    <w:snapToGrid w:val="0"/>
                    <w:jc w:val="center"/>
                    <w:rPr>
                      <w:rFonts w:ascii="宋体" w:hAnsi="宋体"/>
                      <w:szCs w:val="21"/>
                    </w:rPr>
                  </w:pPr>
                  <w:r>
                    <w:rPr>
                      <w:rFonts w:ascii="宋体" w:hAnsi="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jc w:val="center"/>
                    <w:rPr>
                      <w:rFonts w:ascii="宋体" w:hAnsi="宋体"/>
                      <w:szCs w:val="21"/>
                    </w:rPr>
                  </w:pPr>
                  <w:r>
                    <w:rPr>
                      <w:rFonts w:hint="eastAsia" w:ascii="宋体" w:hAnsi="宋体"/>
                      <w:szCs w:val="21"/>
                    </w:rPr>
                    <w:t>O</w:t>
                  </w:r>
                  <w:r>
                    <w:rPr>
                      <w:rFonts w:ascii="宋体" w:hAnsi="宋体"/>
                      <w:szCs w:val="21"/>
                      <w:vertAlign w:val="subscript"/>
                    </w:rPr>
                    <w:t>3</w:t>
                  </w:r>
                </w:p>
              </w:tc>
              <w:tc>
                <w:tcPr>
                  <w:tcW w:w="1993" w:type="dxa"/>
                  <w:vAlign w:val="center"/>
                </w:tcPr>
                <w:p>
                  <w:pPr>
                    <w:adjustRightInd w:val="0"/>
                    <w:snapToGrid w:val="0"/>
                    <w:jc w:val="center"/>
                    <w:rPr>
                      <w:rFonts w:ascii="宋体" w:hAnsi="宋体"/>
                      <w:szCs w:val="21"/>
                    </w:rPr>
                  </w:pPr>
                  <w:r>
                    <w:rPr>
                      <w:szCs w:val="21"/>
                    </w:rPr>
                    <w:t>第90百分位</w:t>
                  </w:r>
                  <w:r>
                    <w:rPr>
                      <w:rFonts w:hint="eastAsia"/>
                      <w:szCs w:val="21"/>
                    </w:rPr>
                    <w:t>8</w:t>
                  </w:r>
                  <w:r>
                    <w:rPr>
                      <w:szCs w:val="21"/>
                    </w:rPr>
                    <w:t>h评价质量浓度</w:t>
                  </w:r>
                </w:p>
              </w:tc>
              <w:tc>
                <w:tcPr>
                  <w:tcW w:w="1476" w:type="dxa"/>
                  <w:vAlign w:val="center"/>
                </w:tcPr>
                <w:p>
                  <w:pPr>
                    <w:adjustRightInd w:val="0"/>
                    <w:snapToGrid w:val="0"/>
                    <w:jc w:val="center"/>
                    <w:rPr>
                      <w:rFonts w:ascii="宋体" w:hAnsi="宋体"/>
                      <w:szCs w:val="21"/>
                    </w:rPr>
                  </w:pPr>
                  <w:r>
                    <w:rPr>
                      <w:rFonts w:ascii="宋体" w:hAnsi="宋体"/>
                      <w:szCs w:val="21"/>
                    </w:rPr>
                    <w:t>157</w:t>
                  </w:r>
                </w:p>
              </w:tc>
              <w:tc>
                <w:tcPr>
                  <w:tcW w:w="1477" w:type="dxa"/>
                  <w:vAlign w:val="center"/>
                </w:tcPr>
                <w:p>
                  <w:pPr>
                    <w:adjustRightInd w:val="0"/>
                    <w:snapToGrid w:val="0"/>
                    <w:jc w:val="center"/>
                    <w:rPr>
                      <w:rFonts w:ascii="宋体" w:hAnsi="宋体"/>
                      <w:szCs w:val="21"/>
                    </w:rPr>
                  </w:pPr>
                  <w:r>
                    <w:rPr>
                      <w:rFonts w:hint="eastAsia" w:ascii="宋体" w:hAnsi="宋体"/>
                      <w:szCs w:val="21"/>
                    </w:rPr>
                    <w:t>1</w:t>
                  </w:r>
                  <w:r>
                    <w:rPr>
                      <w:rFonts w:ascii="宋体" w:hAnsi="宋体"/>
                      <w:szCs w:val="21"/>
                    </w:rPr>
                    <w:t>60</w:t>
                  </w:r>
                </w:p>
              </w:tc>
              <w:tc>
                <w:tcPr>
                  <w:tcW w:w="1477" w:type="dxa"/>
                  <w:vAlign w:val="center"/>
                </w:tcPr>
                <w:p>
                  <w:pPr>
                    <w:adjustRightInd w:val="0"/>
                    <w:snapToGrid w:val="0"/>
                    <w:jc w:val="center"/>
                    <w:rPr>
                      <w:rFonts w:ascii="宋体" w:hAnsi="宋体"/>
                      <w:szCs w:val="21"/>
                    </w:rPr>
                  </w:pPr>
                  <w:r>
                    <w:rPr>
                      <w:rFonts w:ascii="宋体" w:hAnsi="宋体"/>
                      <w:szCs w:val="21"/>
                    </w:rPr>
                    <w:t>98.13</w:t>
                  </w:r>
                </w:p>
              </w:tc>
              <w:tc>
                <w:tcPr>
                  <w:tcW w:w="1477" w:type="dxa"/>
                  <w:vAlign w:val="center"/>
                </w:tcPr>
                <w:p>
                  <w:pPr>
                    <w:adjustRightInd w:val="0"/>
                    <w:snapToGrid w:val="0"/>
                    <w:jc w:val="center"/>
                    <w:rPr>
                      <w:rFonts w:ascii="宋体" w:hAnsi="宋体"/>
                      <w:szCs w:val="21"/>
                    </w:rPr>
                  </w:pPr>
                  <w:r>
                    <w:rPr>
                      <w:rFonts w:ascii="宋体" w:hAnsi="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jc w:val="center"/>
                    <w:rPr>
                      <w:rFonts w:ascii="宋体" w:hAnsi="宋体"/>
                      <w:szCs w:val="21"/>
                    </w:rPr>
                  </w:pPr>
                  <w:r>
                    <w:rPr>
                      <w:rFonts w:hint="eastAsia" w:ascii="宋体" w:hAnsi="宋体"/>
                      <w:szCs w:val="21"/>
                    </w:rPr>
                    <w:t>P</w:t>
                  </w:r>
                  <w:r>
                    <w:rPr>
                      <w:rFonts w:ascii="宋体" w:hAnsi="宋体"/>
                      <w:szCs w:val="21"/>
                    </w:rPr>
                    <w:t>M</w:t>
                  </w:r>
                  <w:r>
                    <w:rPr>
                      <w:rFonts w:ascii="宋体" w:hAnsi="宋体"/>
                      <w:szCs w:val="21"/>
                      <w:vertAlign w:val="subscript"/>
                    </w:rPr>
                    <w:t>10</w:t>
                  </w:r>
                </w:p>
              </w:tc>
              <w:tc>
                <w:tcPr>
                  <w:tcW w:w="1993" w:type="dxa"/>
                  <w:vAlign w:val="center"/>
                </w:tcPr>
                <w:p>
                  <w:pPr>
                    <w:adjustRightInd w:val="0"/>
                    <w:snapToGrid w:val="0"/>
                    <w:jc w:val="center"/>
                    <w:rPr>
                      <w:szCs w:val="21"/>
                    </w:rPr>
                  </w:pPr>
                  <w:r>
                    <w:rPr>
                      <w:rFonts w:ascii="宋体" w:hAnsi="宋体"/>
                      <w:szCs w:val="21"/>
                    </w:rPr>
                    <w:t>年平均质量浓度</w:t>
                  </w:r>
                </w:p>
              </w:tc>
              <w:tc>
                <w:tcPr>
                  <w:tcW w:w="1476" w:type="dxa"/>
                  <w:vAlign w:val="center"/>
                </w:tcPr>
                <w:p>
                  <w:pPr>
                    <w:adjustRightInd w:val="0"/>
                    <w:snapToGrid w:val="0"/>
                    <w:jc w:val="center"/>
                    <w:rPr>
                      <w:rFonts w:ascii="宋体" w:hAnsi="宋体"/>
                      <w:szCs w:val="21"/>
                    </w:rPr>
                  </w:pPr>
                  <w:r>
                    <w:rPr>
                      <w:rFonts w:ascii="宋体" w:hAnsi="宋体"/>
                      <w:szCs w:val="21"/>
                    </w:rPr>
                    <w:t>77.8</w:t>
                  </w:r>
                </w:p>
              </w:tc>
              <w:tc>
                <w:tcPr>
                  <w:tcW w:w="1477" w:type="dxa"/>
                  <w:vAlign w:val="center"/>
                </w:tcPr>
                <w:p>
                  <w:pPr>
                    <w:adjustRightInd w:val="0"/>
                    <w:snapToGrid w:val="0"/>
                    <w:jc w:val="center"/>
                    <w:rPr>
                      <w:rFonts w:ascii="宋体" w:hAnsi="宋体"/>
                      <w:szCs w:val="21"/>
                    </w:rPr>
                  </w:pPr>
                  <w:r>
                    <w:rPr>
                      <w:rFonts w:hint="eastAsia" w:ascii="宋体" w:hAnsi="宋体"/>
                      <w:szCs w:val="21"/>
                    </w:rPr>
                    <w:t>7</w:t>
                  </w:r>
                  <w:r>
                    <w:rPr>
                      <w:rFonts w:ascii="宋体" w:hAnsi="宋体"/>
                      <w:szCs w:val="21"/>
                    </w:rPr>
                    <w:t>0</w:t>
                  </w:r>
                </w:p>
              </w:tc>
              <w:tc>
                <w:tcPr>
                  <w:tcW w:w="1477" w:type="dxa"/>
                  <w:vAlign w:val="center"/>
                </w:tcPr>
                <w:p>
                  <w:pPr>
                    <w:adjustRightInd w:val="0"/>
                    <w:snapToGrid w:val="0"/>
                    <w:jc w:val="center"/>
                    <w:rPr>
                      <w:rFonts w:ascii="宋体" w:hAnsi="宋体"/>
                      <w:szCs w:val="21"/>
                    </w:rPr>
                  </w:pPr>
                  <w:r>
                    <w:rPr>
                      <w:rFonts w:ascii="宋体" w:hAnsi="宋体"/>
                      <w:szCs w:val="21"/>
                    </w:rPr>
                    <w:t>111.1</w:t>
                  </w:r>
                </w:p>
              </w:tc>
              <w:tc>
                <w:tcPr>
                  <w:tcW w:w="1477" w:type="dxa"/>
                  <w:vAlign w:val="center"/>
                </w:tcPr>
                <w:p>
                  <w:pPr>
                    <w:adjustRightInd w:val="0"/>
                    <w:snapToGrid w:val="0"/>
                    <w:jc w:val="center"/>
                    <w:rPr>
                      <w:rFonts w:ascii="宋体" w:hAnsi="宋体"/>
                      <w:szCs w:val="21"/>
                    </w:rPr>
                  </w:pPr>
                  <w:r>
                    <w:rPr>
                      <w:rFonts w:ascii="宋体" w:hAnsi="宋体"/>
                      <w:szCs w:val="21"/>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jc w:val="center"/>
                    <w:rPr>
                      <w:rFonts w:ascii="宋体" w:hAnsi="宋体"/>
                      <w:szCs w:val="21"/>
                    </w:rPr>
                  </w:pPr>
                  <w:r>
                    <w:rPr>
                      <w:rFonts w:hint="eastAsia" w:ascii="宋体" w:hAnsi="宋体"/>
                      <w:szCs w:val="21"/>
                    </w:rPr>
                    <w:t>P</w:t>
                  </w:r>
                  <w:r>
                    <w:rPr>
                      <w:rFonts w:ascii="宋体" w:hAnsi="宋体"/>
                      <w:szCs w:val="21"/>
                    </w:rPr>
                    <w:t>M</w:t>
                  </w:r>
                  <w:r>
                    <w:rPr>
                      <w:rFonts w:ascii="宋体" w:hAnsi="宋体"/>
                      <w:szCs w:val="21"/>
                      <w:vertAlign w:val="subscript"/>
                    </w:rPr>
                    <w:t>2.5</w:t>
                  </w:r>
                </w:p>
              </w:tc>
              <w:tc>
                <w:tcPr>
                  <w:tcW w:w="1993" w:type="dxa"/>
                  <w:vAlign w:val="center"/>
                </w:tcPr>
                <w:p>
                  <w:pPr>
                    <w:adjustRightInd w:val="0"/>
                    <w:snapToGrid w:val="0"/>
                    <w:jc w:val="center"/>
                    <w:rPr>
                      <w:szCs w:val="21"/>
                    </w:rPr>
                  </w:pPr>
                  <w:r>
                    <w:rPr>
                      <w:rFonts w:ascii="宋体" w:hAnsi="宋体"/>
                      <w:szCs w:val="21"/>
                    </w:rPr>
                    <w:t>年平均质量浓度</w:t>
                  </w:r>
                </w:p>
              </w:tc>
              <w:tc>
                <w:tcPr>
                  <w:tcW w:w="1476" w:type="dxa"/>
                  <w:vAlign w:val="center"/>
                </w:tcPr>
                <w:p>
                  <w:pPr>
                    <w:adjustRightInd w:val="0"/>
                    <w:snapToGrid w:val="0"/>
                    <w:jc w:val="center"/>
                    <w:rPr>
                      <w:rFonts w:ascii="宋体" w:hAnsi="宋体"/>
                      <w:szCs w:val="21"/>
                    </w:rPr>
                  </w:pPr>
                  <w:r>
                    <w:rPr>
                      <w:rFonts w:ascii="宋体" w:hAnsi="宋体"/>
                      <w:szCs w:val="21"/>
                    </w:rPr>
                    <w:t>55.4</w:t>
                  </w:r>
                </w:p>
              </w:tc>
              <w:tc>
                <w:tcPr>
                  <w:tcW w:w="1477" w:type="dxa"/>
                  <w:vAlign w:val="center"/>
                </w:tcPr>
                <w:p>
                  <w:pPr>
                    <w:adjustRightInd w:val="0"/>
                    <w:snapToGrid w:val="0"/>
                    <w:jc w:val="center"/>
                    <w:rPr>
                      <w:rFonts w:ascii="宋体" w:hAnsi="宋体"/>
                      <w:szCs w:val="21"/>
                    </w:rPr>
                  </w:pPr>
                  <w:r>
                    <w:rPr>
                      <w:rFonts w:hint="eastAsia" w:ascii="宋体" w:hAnsi="宋体"/>
                      <w:szCs w:val="21"/>
                    </w:rPr>
                    <w:t>3</w:t>
                  </w:r>
                  <w:r>
                    <w:rPr>
                      <w:rFonts w:ascii="宋体" w:hAnsi="宋体"/>
                      <w:szCs w:val="21"/>
                    </w:rPr>
                    <w:t>5</w:t>
                  </w:r>
                </w:p>
              </w:tc>
              <w:tc>
                <w:tcPr>
                  <w:tcW w:w="1477" w:type="dxa"/>
                  <w:vAlign w:val="center"/>
                </w:tcPr>
                <w:p>
                  <w:pPr>
                    <w:adjustRightInd w:val="0"/>
                    <w:snapToGrid w:val="0"/>
                    <w:jc w:val="center"/>
                    <w:rPr>
                      <w:rFonts w:ascii="宋体" w:hAnsi="宋体"/>
                      <w:szCs w:val="21"/>
                    </w:rPr>
                  </w:pPr>
                  <w:r>
                    <w:rPr>
                      <w:rFonts w:ascii="宋体" w:hAnsi="宋体"/>
                      <w:szCs w:val="21"/>
                    </w:rPr>
                    <w:t>158.3</w:t>
                  </w:r>
                </w:p>
              </w:tc>
              <w:tc>
                <w:tcPr>
                  <w:tcW w:w="1477" w:type="dxa"/>
                  <w:vAlign w:val="center"/>
                </w:tcPr>
                <w:p>
                  <w:pPr>
                    <w:adjustRightInd w:val="0"/>
                    <w:snapToGrid w:val="0"/>
                    <w:jc w:val="center"/>
                    <w:rPr>
                      <w:rFonts w:ascii="宋体" w:hAnsi="宋体"/>
                      <w:szCs w:val="21"/>
                    </w:rPr>
                  </w:pPr>
                  <w:r>
                    <w:rPr>
                      <w:rFonts w:ascii="宋体" w:hAnsi="宋体"/>
                      <w:szCs w:val="21"/>
                    </w:rPr>
                    <w:t>不达标</w:t>
                  </w:r>
                </w:p>
              </w:tc>
            </w:tr>
          </w:tbl>
          <w:p>
            <w:pPr>
              <w:spacing w:line="360" w:lineRule="auto"/>
              <w:ind w:firstLine="480" w:firstLineChars="200"/>
              <w:rPr>
                <w:sz w:val="24"/>
              </w:rPr>
            </w:pPr>
            <w:r>
              <w:rPr>
                <w:sz w:val="24"/>
              </w:rPr>
              <w:t>由上表统计结果可知，乐山市市中区PM</w:t>
            </w:r>
            <w:r>
              <w:rPr>
                <w:sz w:val="24"/>
                <w:vertAlign w:val="subscript"/>
              </w:rPr>
              <w:t>10</w:t>
            </w:r>
            <w:r>
              <w:rPr>
                <w:sz w:val="24"/>
              </w:rPr>
              <w:t>、PM</w:t>
            </w:r>
            <w:r>
              <w:rPr>
                <w:sz w:val="24"/>
                <w:vertAlign w:val="subscript"/>
              </w:rPr>
              <w:t>2.5</w:t>
            </w:r>
            <w:r>
              <w:rPr>
                <w:sz w:val="24"/>
              </w:rPr>
              <w:t>均出现超标，超标倍数分别为1.11、1.58，</w:t>
            </w:r>
            <w:r>
              <w:rPr>
                <w:b/>
                <w:sz w:val="24"/>
              </w:rPr>
              <w:t>项目所在区域为环境空气质量不达标区</w:t>
            </w:r>
            <w:r>
              <w:rPr>
                <w:sz w:val="24"/>
              </w:rPr>
              <w:t>。</w:t>
            </w:r>
          </w:p>
          <w:p>
            <w:pPr>
              <w:spacing w:line="360" w:lineRule="auto"/>
              <w:ind w:firstLine="480" w:firstLineChars="200"/>
              <w:rPr>
                <w:rFonts w:ascii="Calibri" w:hAnsi="Calibri"/>
                <w:sz w:val="24"/>
              </w:rPr>
            </w:pPr>
            <w:r>
              <w:rPr>
                <w:sz w:val="24"/>
              </w:rPr>
              <w:t>根据《乐山市空气质量限期达标规划</w:t>
            </w:r>
            <w:bookmarkStart w:id="6" w:name="_Toc457575539"/>
            <w:bookmarkStart w:id="7" w:name="_Toc457575671"/>
            <w:r>
              <w:rPr>
                <w:sz w:val="24"/>
              </w:rPr>
              <w:t>（2017-2025）</w:t>
            </w:r>
            <w:bookmarkEnd w:id="6"/>
            <w:bookmarkEnd w:id="7"/>
            <w:r>
              <w:rPr>
                <w:sz w:val="24"/>
              </w:rPr>
              <w:t>》，乐山市近期采取产业和能源结构调整措施、大气污染治理的措施等一系列措施后，在2025年底前实现空气质量6项主要污染物（二氧化硫、二氧化氮、可吸</w:t>
            </w:r>
            <w:r>
              <w:rPr>
                <w:rFonts w:hint="eastAsia" w:ascii="Calibri" w:hAnsi="Calibri"/>
                <w:sz w:val="24"/>
              </w:rPr>
              <w:t>入颗粒物、细颗粒物、一氧化碳、臭氧）全面达标。</w:t>
            </w:r>
          </w:p>
          <w:p>
            <w:pPr>
              <w:spacing w:line="360" w:lineRule="auto"/>
              <w:ind w:firstLine="480" w:firstLineChars="200"/>
              <w:rPr>
                <w:sz w:val="24"/>
              </w:rPr>
            </w:pPr>
            <w:r>
              <w:rPr>
                <w:sz w:val="24"/>
              </w:rPr>
              <w:t>本项目所在区域不达标指标PM</w:t>
            </w:r>
            <w:r>
              <w:rPr>
                <w:sz w:val="24"/>
                <w:vertAlign w:val="subscript"/>
              </w:rPr>
              <w:t>10</w:t>
            </w:r>
            <w:r>
              <w:rPr>
                <w:sz w:val="24"/>
              </w:rPr>
              <w:t>年平均质量浓度预期可达到小于70µg/m³的要求，PM</w:t>
            </w:r>
            <w:r>
              <w:rPr>
                <w:sz w:val="24"/>
                <w:vertAlign w:val="subscript"/>
              </w:rPr>
              <w:t>2.5</w:t>
            </w:r>
            <w:r>
              <w:rPr>
                <w:sz w:val="24"/>
              </w:rPr>
              <w:t>年平均质量浓度预期可达到小于35µg/m³的要求，满足《环境空气质量标准》（GB3095-2012）及其修改单中二级标准的要求。</w:t>
            </w:r>
          </w:p>
          <w:p>
            <w:pPr>
              <w:spacing w:line="360" w:lineRule="auto"/>
              <w:ind w:firstLine="480" w:firstLineChars="200"/>
              <w:rPr>
                <w:rFonts w:ascii="Calibri" w:hAnsi="Calibri"/>
                <w:sz w:val="24"/>
              </w:rPr>
            </w:pPr>
            <w:r>
              <w:rPr>
                <w:rFonts w:hint="eastAsia" w:ascii="Calibri" w:hAnsi="Calibri"/>
                <w:sz w:val="24"/>
              </w:rPr>
              <w:t>乐山市空气质量达标规划指标详见下表：</w:t>
            </w:r>
          </w:p>
          <w:p>
            <w:pPr>
              <w:spacing w:line="360" w:lineRule="auto"/>
              <w:ind w:firstLine="480" w:firstLineChars="200"/>
              <w:rPr>
                <w:rFonts w:ascii="Calibri" w:hAnsi="Calibri"/>
                <w:sz w:val="24"/>
              </w:rPr>
            </w:pPr>
          </w:p>
          <w:p>
            <w:pPr>
              <w:spacing w:line="360" w:lineRule="auto"/>
              <w:ind w:firstLine="480" w:firstLineChars="200"/>
              <w:rPr>
                <w:rFonts w:ascii="Calibri" w:hAnsi="Calibri"/>
                <w:sz w:val="24"/>
              </w:rPr>
            </w:pPr>
          </w:p>
          <w:p>
            <w:pPr>
              <w:spacing w:line="360" w:lineRule="auto"/>
              <w:ind w:firstLine="480" w:firstLineChars="200"/>
              <w:rPr>
                <w:rFonts w:ascii="Calibri" w:hAnsi="Calibri"/>
                <w:sz w:val="24"/>
              </w:rPr>
            </w:pPr>
          </w:p>
          <w:p>
            <w:pPr>
              <w:spacing w:line="360" w:lineRule="auto"/>
              <w:ind w:firstLine="480" w:firstLineChars="200"/>
              <w:rPr>
                <w:rFonts w:ascii="Calibri" w:hAnsi="Calibri"/>
                <w:sz w:val="24"/>
              </w:rPr>
            </w:pPr>
          </w:p>
          <w:p>
            <w:pPr>
              <w:spacing w:line="360" w:lineRule="auto"/>
              <w:ind w:firstLine="480" w:firstLineChars="200"/>
              <w:rPr>
                <w:rFonts w:ascii="Calibri" w:hAnsi="Calibri"/>
                <w:sz w:val="24"/>
              </w:rPr>
            </w:pPr>
          </w:p>
          <w:p>
            <w:pPr>
              <w:spacing w:line="360" w:lineRule="auto"/>
              <w:ind w:firstLine="2168" w:firstLineChars="900"/>
              <w:rPr>
                <w:rFonts w:ascii="宋体" w:hAnsi="宋体"/>
                <w:b/>
                <w:bCs/>
                <w:sz w:val="24"/>
              </w:rPr>
            </w:pPr>
            <w:r>
              <w:rPr>
                <w:rFonts w:hint="eastAsia" w:ascii="宋体" w:hAnsi="宋体"/>
                <w:b/>
                <w:bCs/>
                <w:sz w:val="24"/>
              </w:rPr>
              <w:t>表</w:t>
            </w:r>
            <w:r>
              <w:rPr>
                <w:rFonts w:ascii="宋体" w:hAnsi="宋体"/>
                <w:b/>
                <w:bCs/>
                <w:sz w:val="24"/>
              </w:rPr>
              <w:t>3-2</w:t>
            </w:r>
            <w:r>
              <w:rPr>
                <w:rFonts w:hint="eastAsia" w:ascii="宋体" w:hAnsi="宋体"/>
                <w:b/>
                <w:bCs/>
                <w:sz w:val="24"/>
              </w:rPr>
              <w:t xml:space="preserve"> 乐山市空气质量达标规划指标</w:t>
            </w:r>
          </w:p>
          <w:tbl>
            <w:tblPr>
              <w:tblStyle w:val="53"/>
              <w:tblW w:w="8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5"/>
              <w:gridCol w:w="1449"/>
              <w:gridCol w:w="1512"/>
              <w:gridCol w:w="1318"/>
              <w:gridCol w:w="1667"/>
              <w:gridCol w:w="784"/>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9" w:hRule="atLeast"/>
                <w:jc w:val="center"/>
              </w:trPr>
              <w:tc>
                <w:tcPr>
                  <w:tcW w:w="735" w:type="dxa"/>
                  <w:vMerge w:val="restart"/>
                  <w:vAlign w:val="center"/>
                </w:tcPr>
                <w:p>
                  <w:pPr>
                    <w:widowControl/>
                    <w:snapToGrid w:val="0"/>
                    <w:jc w:val="center"/>
                    <w:rPr>
                      <w:rFonts w:ascii="宋体" w:hAnsi="宋体" w:cs="宋体"/>
                      <w:b/>
                      <w:kern w:val="0"/>
                      <w:szCs w:val="21"/>
                    </w:rPr>
                  </w:pPr>
                  <w:r>
                    <w:rPr>
                      <w:rFonts w:hint="eastAsia" w:ascii="宋体" w:hAnsi="宋体" w:cs="宋体"/>
                      <w:b/>
                      <w:kern w:val="0"/>
                      <w:szCs w:val="21"/>
                    </w:rPr>
                    <w:t>序号</w:t>
                  </w:r>
                </w:p>
              </w:tc>
              <w:tc>
                <w:tcPr>
                  <w:tcW w:w="1449" w:type="dxa"/>
                  <w:vMerge w:val="restart"/>
                  <w:vAlign w:val="center"/>
                </w:tcPr>
                <w:p>
                  <w:pPr>
                    <w:widowControl/>
                    <w:snapToGrid w:val="0"/>
                    <w:jc w:val="center"/>
                    <w:rPr>
                      <w:rFonts w:ascii="宋体" w:hAnsi="宋体" w:cs="宋体"/>
                      <w:b/>
                      <w:kern w:val="0"/>
                      <w:szCs w:val="21"/>
                    </w:rPr>
                  </w:pPr>
                  <w:r>
                    <w:rPr>
                      <w:rFonts w:hint="eastAsia" w:ascii="宋体" w:hAnsi="宋体" w:cs="宋体"/>
                      <w:b/>
                      <w:kern w:val="0"/>
                      <w:szCs w:val="21"/>
                    </w:rPr>
                    <w:t>环境质量指标单位：</w:t>
                  </w:r>
                  <w:r>
                    <w:rPr>
                      <w:rFonts w:hint="eastAsia" w:ascii="宋体" w:hAnsi="宋体" w:cs="宋体"/>
                      <w:kern w:val="0"/>
                      <w:szCs w:val="21"/>
                    </w:rPr>
                    <w:t>（μg/m</w:t>
                  </w:r>
                  <w:r>
                    <w:rPr>
                      <w:rFonts w:hint="eastAsia" w:ascii="宋体" w:hAnsi="宋体" w:cs="宋体"/>
                      <w:kern w:val="0"/>
                      <w:szCs w:val="21"/>
                      <w:vertAlign w:val="superscript"/>
                    </w:rPr>
                    <w:t>3</w:t>
                  </w:r>
                  <w:r>
                    <w:rPr>
                      <w:rFonts w:hint="eastAsia" w:ascii="宋体" w:hAnsi="宋体" w:cs="宋体"/>
                      <w:kern w:val="0"/>
                      <w:szCs w:val="21"/>
                    </w:rPr>
                    <w:t>）</w:t>
                  </w:r>
                </w:p>
              </w:tc>
              <w:tc>
                <w:tcPr>
                  <w:tcW w:w="1512" w:type="dxa"/>
                  <w:vMerge w:val="restart"/>
                  <w:vAlign w:val="center"/>
                </w:tcPr>
                <w:p>
                  <w:pPr>
                    <w:widowControl/>
                    <w:snapToGrid w:val="0"/>
                    <w:jc w:val="center"/>
                    <w:rPr>
                      <w:rFonts w:ascii="宋体" w:hAnsi="宋体" w:cs="宋体"/>
                      <w:b/>
                      <w:kern w:val="0"/>
                      <w:szCs w:val="21"/>
                    </w:rPr>
                  </w:pPr>
                  <w:r>
                    <w:rPr>
                      <w:rFonts w:hint="eastAsia" w:ascii="宋体" w:hAnsi="宋体" w:cs="宋体"/>
                      <w:b/>
                      <w:kern w:val="0"/>
                      <w:szCs w:val="21"/>
                    </w:rPr>
                    <w:t>2016年</w:t>
                  </w:r>
                </w:p>
                <w:p>
                  <w:pPr>
                    <w:widowControl/>
                    <w:snapToGrid w:val="0"/>
                    <w:jc w:val="center"/>
                    <w:rPr>
                      <w:rFonts w:ascii="宋体" w:hAnsi="宋体" w:cs="宋体"/>
                      <w:b/>
                      <w:kern w:val="0"/>
                      <w:szCs w:val="21"/>
                    </w:rPr>
                  </w:pPr>
                  <w:r>
                    <w:rPr>
                      <w:rFonts w:hint="eastAsia" w:ascii="宋体" w:hAnsi="宋体" w:cs="宋体"/>
                      <w:b/>
                      <w:kern w:val="0"/>
                      <w:szCs w:val="21"/>
                    </w:rPr>
                    <w:t>现状值</w:t>
                  </w:r>
                </w:p>
              </w:tc>
              <w:tc>
                <w:tcPr>
                  <w:tcW w:w="2985" w:type="dxa"/>
                  <w:gridSpan w:val="2"/>
                  <w:vAlign w:val="center"/>
                </w:tcPr>
                <w:p>
                  <w:pPr>
                    <w:widowControl/>
                    <w:snapToGrid w:val="0"/>
                    <w:jc w:val="center"/>
                    <w:rPr>
                      <w:rFonts w:ascii="宋体" w:hAnsi="宋体" w:cs="宋体"/>
                      <w:b/>
                      <w:kern w:val="0"/>
                      <w:szCs w:val="21"/>
                    </w:rPr>
                  </w:pPr>
                  <w:r>
                    <w:rPr>
                      <w:rFonts w:hint="eastAsia" w:ascii="宋体" w:hAnsi="宋体" w:cs="宋体"/>
                      <w:b/>
                      <w:kern w:val="0"/>
                      <w:szCs w:val="21"/>
                    </w:rPr>
                    <w:t>目标值</w:t>
                  </w:r>
                </w:p>
              </w:tc>
              <w:tc>
                <w:tcPr>
                  <w:tcW w:w="784" w:type="dxa"/>
                  <w:vMerge w:val="restart"/>
                  <w:vAlign w:val="center"/>
                </w:tcPr>
                <w:p>
                  <w:pPr>
                    <w:widowControl/>
                    <w:snapToGrid w:val="0"/>
                    <w:jc w:val="center"/>
                    <w:rPr>
                      <w:rFonts w:ascii="宋体" w:hAnsi="宋体" w:cs="宋体"/>
                      <w:b/>
                      <w:kern w:val="0"/>
                      <w:szCs w:val="21"/>
                    </w:rPr>
                  </w:pPr>
                  <w:r>
                    <w:rPr>
                      <w:rFonts w:hint="eastAsia" w:ascii="宋体" w:hAnsi="宋体" w:cs="宋体"/>
                      <w:b/>
                      <w:kern w:val="0"/>
                      <w:szCs w:val="21"/>
                    </w:rPr>
                    <w:t>国家空气质量标准</w:t>
                  </w:r>
                </w:p>
              </w:tc>
              <w:tc>
                <w:tcPr>
                  <w:tcW w:w="1235" w:type="dxa"/>
                  <w:vMerge w:val="restart"/>
                  <w:vAlign w:val="center"/>
                </w:tcPr>
                <w:p>
                  <w:pPr>
                    <w:widowControl/>
                    <w:snapToGrid w:val="0"/>
                    <w:jc w:val="center"/>
                    <w:rPr>
                      <w:rFonts w:ascii="宋体" w:hAnsi="宋体" w:cs="宋体"/>
                      <w:b/>
                      <w:kern w:val="0"/>
                      <w:szCs w:val="21"/>
                    </w:rPr>
                  </w:pPr>
                  <w:r>
                    <w:rPr>
                      <w:rFonts w:hint="eastAsia" w:ascii="宋体" w:hAnsi="宋体" w:cs="宋体"/>
                      <w:b/>
                      <w:kern w:val="0"/>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7" w:hRule="atLeast"/>
                <w:jc w:val="center"/>
              </w:trPr>
              <w:tc>
                <w:tcPr>
                  <w:tcW w:w="735" w:type="dxa"/>
                  <w:vMerge w:val="continue"/>
                  <w:vAlign w:val="center"/>
                </w:tcPr>
                <w:p>
                  <w:pPr>
                    <w:widowControl/>
                    <w:snapToGrid w:val="0"/>
                    <w:jc w:val="center"/>
                    <w:rPr>
                      <w:rFonts w:ascii="宋体" w:hAnsi="宋体" w:cs="宋体"/>
                      <w:kern w:val="0"/>
                      <w:szCs w:val="21"/>
                    </w:rPr>
                  </w:pPr>
                </w:p>
              </w:tc>
              <w:tc>
                <w:tcPr>
                  <w:tcW w:w="1449" w:type="dxa"/>
                  <w:vMerge w:val="continue"/>
                  <w:vAlign w:val="center"/>
                </w:tcPr>
                <w:p>
                  <w:pPr>
                    <w:widowControl/>
                    <w:snapToGrid w:val="0"/>
                    <w:jc w:val="center"/>
                    <w:rPr>
                      <w:rFonts w:ascii="宋体" w:hAnsi="宋体" w:cs="宋体"/>
                      <w:kern w:val="0"/>
                      <w:szCs w:val="21"/>
                    </w:rPr>
                  </w:pPr>
                </w:p>
              </w:tc>
              <w:tc>
                <w:tcPr>
                  <w:tcW w:w="1512" w:type="dxa"/>
                  <w:vMerge w:val="continue"/>
                  <w:vAlign w:val="center"/>
                </w:tcPr>
                <w:p>
                  <w:pPr>
                    <w:widowControl/>
                    <w:snapToGrid w:val="0"/>
                    <w:jc w:val="center"/>
                    <w:rPr>
                      <w:rFonts w:ascii="宋体" w:hAnsi="宋体" w:cs="宋体"/>
                      <w:kern w:val="0"/>
                      <w:szCs w:val="21"/>
                    </w:rPr>
                  </w:pPr>
                </w:p>
              </w:tc>
              <w:tc>
                <w:tcPr>
                  <w:tcW w:w="1318" w:type="dxa"/>
                  <w:vAlign w:val="center"/>
                </w:tcPr>
                <w:p>
                  <w:pPr>
                    <w:widowControl/>
                    <w:snapToGrid w:val="0"/>
                    <w:jc w:val="center"/>
                    <w:rPr>
                      <w:rFonts w:ascii="宋体" w:hAnsi="宋体" w:cs="宋体"/>
                      <w:b/>
                      <w:kern w:val="0"/>
                      <w:szCs w:val="21"/>
                    </w:rPr>
                  </w:pPr>
                  <w:r>
                    <w:rPr>
                      <w:rFonts w:hint="eastAsia" w:ascii="宋体" w:hAnsi="宋体" w:cs="宋体"/>
                      <w:b/>
                      <w:kern w:val="0"/>
                      <w:szCs w:val="21"/>
                    </w:rPr>
                    <w:t>近期2020年</w:t>
                  </w:r>
                </w:p>
              </w:tc>
              <w:tc>
                <w:tcPr>
                  <w:tcW w:w="1667" w:type="dxa"/>
                  <w:vAlign w:val="center"/>
                </w:tcPr>
                <w:p>
                  <w:pPr>
                    <w:widowControl/>
                    <w:snapToGrid w:val="0"/>
                    <w:jc w:val="center"/>
                    <w:rPr>
                      <w:rFonts w:ascii="宋体" w:hAnsi="宋体" w:cs="宋体"/>
                      <w:b/>
                      <w:kern w:val="0"/>
                      <w:szCs w:val="21"/>
                    </w:rPr>
                  </w:pPr>
                  <w:r>
                    <w:rPr>
                      <w:rFonts w:hint="eastAsia" w:ascii="宋体" w:hAnsi="宋体" w:cs="宋体"/>
                      <w:b/>
                      <w:kern w:val="0"/>
                      <w:szCs w:val="21"/>
                    </w:rPr>
                    <w:t>中远期2025年</w:t>
                  </w:r>
                </w:p>
              </w:tc>
              <w:tc>
                <w:tcPr>
                  <w:tcW w:w="784" w:type="dxa"/>
                  <w:vMerge w:val="continue"/>
                  <w:vAlign w:val="center"/>
                </w:tcPr>
                <w:p>
                  <w:pPr>
                    <w:widowControl/>
                    <w:snapToGrid w:val="0"/>
                    <w:jc w:val="center"/>
                    <w:rPr>
                      <w:rFonts w:ascii="宋体" w:hAnsi="宋体" w:cs="宋体"/>
                      <w:kern w:val="0"/>
                      <w:szCs w:val="21"/>
                    </w:rPr>
                  </w:pPr>
                </w:p>
              </w:tc>
              <w:tc>
                <w:tcPr>
                  <w:tcW w:w="1235" w:type="dxa"/>
                  <w:vMerge w:val="continue"/>
                  <w:vAlign w:val="center"/>
                </w:tcPr>
                <w:p>
                  <w:pPr>
                    <w:widowControl/>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7" w:hRule="atLeast"/>
                <w:jc w:val="center"/>
              </w:trPr>
              <w:tc>
                <w:tcPr>
                  <w:tcW w:w="735" w:type="dxa"/>
                  <w:vAlign w:val="center"/>
                </w:tcPr>
                <w:p>
                  <w:pPr>
                    <w:widowControl/>
                    <w:snapToGrid w:val="0"/>
                    <w:jc w:val="center"/>
                    <w:rPr>
                      <w:rFonts w:ascii="宋体" w:hAnsi="宋体" w:cs="宋体"/>
                      <w:kern w:val="0"/>
                      <w:szCs w:val="21"/>
                    </w:rPr>
                  </w:pPr>
                  <w:r>
                    <w:rPr>
                      <w:rFonts w:hint="eastAsia" w:ascii="宋体" w:hAnsi="宋体" w:cs="宋体"/>
                      <w:kern w:val="0"/>
                      <w:szCs w:val="21"/>
                    </w:rPr>
                    <w:t>1</w:t>
                  </w:r>
                </w:p>
              </w:tc>
              <w:tc>
                <w:tcPr>
                  <w:tcW w:w="1449" w:type="dxa"/>
                  <w:vAlign w:val="center"/>
                </w:tcPr>
                <w:p>
                  <w:pPr>
                    <w:widowControl/>
                    <w:snapToGrid w:val="0"/>
                    <w:jc w:val="center"/>
                    <w:rPr>
                      <w:rFonts w:ascii="宋体" w:hAnsi="宋体" w:cs="宋体"/>
                      <w:kern w:val="0"/>
                      <w:szCs w:val="21"/>
                    </w:rPr>
                  </w:pPr>
                  <w:r>
                    <w:rPr>
                      <w:rFonts w:hint="eastAsia" w:ascii="宋体" w:hAnsi="宋体" w:cs="宋体"/>
                      <w:kern w:val="0"/>
                      <w:szCs w:val="21"/>
                    </w:rPr>
                    <w:t>二氧化硫年均浓度</w:t>
                  </w:r>
                </w:p>
              </w:tc>
              <w:tc>
                <w:tcPr>
                  <w:tcW w:w="1512" w:type="dxa"/>
                  <w:vAlign w:val="center"/>
                </w:tcPr>
                <w:p>
                  <w:pPr>
                    <w:widowControl/>
                    <w:snapToGrid w:val="0"/>
                    <w:jc w:val="center"/>
                    <w:rPr>
                      <w:rFonts w:ascii="宋体" w:hAnsi="宋体" w:cs="宋体"/>
                      <w:kern w:val="0"/>
                      <w:szCs w:val="21"/>
                    </w:rPr>
                  </w:pPr>
                  <w:r>
                    <w:rPr>
                      <w:rFonts w:hint="eastAsia" w:ascii="宋体" w:hAnsi="宋体" w:cs="宋体"/>
                      <w:kern w:val="0"/>
                      <w:szCs w:val="21"/>
                    </w:rPr>
                    <w:t>17.3</w:t>
                  </w:r>
                </w:p>
              </w:tc>
              <w:tc>
                <w:tcPr>
                  <w:tcW w:w="2985" w:type="dxa"/>
                  <w:gridSpan w:val="2"/>
                  <w:vAlign w:val="center"/>
                </w:tcPr>
                <w:p>
                  <w:pPr>
                    <w:widowControl/>
                    <w:snapToGrid w:val="0"/>
                    <w:jc w:val="center"/>
                    <w:rPr>
                      <w:rFonts w:ascii="宋体" w:hAnsi="宋体" w:cs="宋体"/>
                      <w:kern w:val="0"/>
                      <w:szCs w:val="21"/>
                    </w:rPr>
                  </w:pPr>
                  <w:r>
                    <w:rPr>
                      <w:rFonts w:hint="eastAsia" w:ascii="宋体" w:hAnsi="宋体" w:cs="宋体"/>
                      <w:kern w:val="0"/>
                      <w:szCs w:val="21"/>
                    </w:rPr>
                    <w:t>≤20</w:t>
                  </w:r>
                </w:p>
              </w:tc>
              <w:tc>
                <w:tcPr>
                  <w:tcW w:w="784" w:type="dxa"/>
                  <w:vAlign w:val="center"/>
                </w:tcPr>
                <w:p>
                  <w:pPr>
                    <w:widowControl/>
                    <w:snapToGrid w:val="0"/>
                    <w:jc w:val="center"/>
                    <w:rPr>
                      <w:rFonts w:ascii="宋体" w:hAnsi="宋体" w:cs="宋体"/>
                      <w:kern w:val="0"/>
                      <w:szCs w:val="21"/>
                    </w:rPr>
                  </w:pPr>
                  <w:r>
                    <w:rPr>
                      <w:rFonts w:hint="eastAsia" w:ascii="宋体" w:hAnsi="宋体" w:cs="宋体"/>
                      <w:kern w:val="0"/>
                      <w:szCs w:val="21"/>
                    </w:rPr>
                    <w:t>≤60</w:t>
                  </w:r>
                </w:p>
              </w:tc>
              <w:tc>
                <w:tcPr>
                  <w:tcW w:w="1235" w:type="dxa"/>
                  <w:vAlign w:val="center"/>
                </w:tcPr>
                <w:p>
                  <w:pPr>
                    <w:widowControl/>
                    <w:snapToGrid w:val="0"/>
                    <w:jc w:val="center"/>
                    <w:rPr>
                      <w:rFonts w:ascii="宋体" w:hAnsi="宋体" w:cs="宋体"/>
                      <w:kern w:val="0"/>
                      <w:szCs w:val="21"/>
                    </w:rPr>
                  </w:pPr>
                  <w:r>
                    <w:rPr>
                      <w:rFonts w:hint="eastAsia" w:ascii="宋体" w:hAnsi="宋体" w:cs="宋体"/>
                      <w:kern w:val="0"/>
                      <w:szCs w:val="21"/>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7" w:hRule="atLeast"/>
                <w:jc w:val="center"/>
              </w:trPr>
              <w:tc>
                <w:tcPr>
                  <w:tcW w:w="735" w:type="dxa"/>
                  <w:vAlign w:val="center"/>
                </w:tcPr>
                <w:p>
                  <w:pPr>
                    <w:widowControl/>
                    <w:snapToGrid w:val="0"/>
                    <w:jc w:val="center"/>
                    <w:rPr>
                      <w:rFonts w:ascii="宋体" w:hAnsi="宋体" w:cs="宋体"/>
                      <w:kern w:val="0"/>
                      <w:szCs w:val="21"/>
                    </w:rPr>
                  </w:pPr>
                  <w:r>
                    <w:rPr>
                      <w:rFonts w:hint="eastAsia" w:ascii="宋体" w:hAnsi="宋体" w:cs="宋体"/>
                      <w:kern w:val="0"/>
                      <w:szCs w:val="21"/>
                    </w:rPr>
                    <w:t>2</w:t>
                  </w:r>
                </w:p>
              </w:tc>
              <w:tc>
                <w:tcPr>
                  <w:tcW w:w="1449" w:type="dxa"/>
                  <w:vAlign w:val="center"/>
                </w:tcPr>
                <w:p>
                  <w:pPr>
                    <w:widowControl/>
                    <w:snapToGrid w:val="0"/>
                    <w:jc w:val="center"/>
                    <w:rPr>
                      <w:rFonts w:ascii="宋体" w:hAnsi="宋体" w:cs="宋体"/>
                      <w:kern w:val="0"/>
                      <w:szCs w:val="21"/>
                    </w:rPr>
                  </w:pPr>
                  <w:r>
                    <w:rPr>
                      <w:rFonts w:hint="eastAsia" w:ascii="宋体" w:hAnsi="宋体" w:cs="宋体"/>
                      <w:kern w:val="0"/>
                      <w:szCs w:val="21"/>
                    </w:rPr>
                    <w:t>二氧化氮年均浓度</w:t>
                  </w:r>
                </w:p>
              </w:tc>
              <w:tc>
                <w:tcPr>
                  <w:tcW w:w="1512" w:type="dxa"/>
                  <w:vAlign w:val="center"/>
                </w:tcPr>
                <w:p>
                  <w:pPr>
                    <w:widowControl/>
                    <w:snapToGrid w:val="0"/>
                    <w:jc w:val="center"/>
                    <w:rPr>
                      <w:rFonts w:ascii="宋体" w:hAnsi="宋体" w:cs="宋体"/>
                      <w:kern w:val="0"/>
                      <w:szCs w:val="21"/>
                    </w:rPr>
                  </w:pPr>
                  <w:r>
                    <w:rPr>
                      <w:rFonts w:hint="eastAsia" w:ascii="宋体" w:hAnsi="宋体" w:cs="宋体"/>
                      <w:kern w:val="0"/>
                      <w:szCs w:val="21"/>
                    </w:rPr>
                    <w:t>34</w:t>
                  </w:r>
                </w:p>
              </w:tc>
              <w:tc>
                <w:tcPr>
                  <w:tcW w:w="2985" w:type="dxa"/>
                  <w:gridSpan w:val="2"/>
                  <w:vAlign w:val="center"/>
                </w:tcPr>
                <w:p>
                  <w:pPr>
                    <w:widowControl/>
                    <w:snapToGrid w:val="0"/>
                    <w:jc w:val="center"/>
                    <w:rPr>
                      <w:rFonts w:ascii="宋体" w:hAnsi="宋体" w:cs="宋体"/>
                      <w:kern w:val="0"/>
                      <w:szCs w:val="21"/>
                    </w:rPr>
                  </w:pPr>
                  <w:r>
                    <w:rPr>
                      <w:rFonts w:hint="eastAsia" w:ascii="宋体" w:hAnsi="宋体" w:cs="宋体"/>
                      <w:kern w:val="0"/>
                      <w:szCs w:val="21"/>
                    </w:rPr>
                    <w:t>≤40</w:t>
                  </w:r>
                </w:p>
              </w:tc>
              <w:tc>
                <w:tcPr>
                  <w:tcW w:w="784" w:type="dxa"/>
                  <w:vAlign w:val="center"/>
                </w:tcPr>
                <w:p>
                  <w:pPr>
                    <w:widowControl/>
                    <w:snapToGrid w:val="0"/>
                    <w:jc w:val="center"/>
                    <w:rPr>
                      <w:rFonts w:ascii="宋体" w:hAnsi="宋体" w:cs="宋体"/>
                      <w:kern w:val="0"/>
                      <w:szCs w:val="21"/>
                    </w:rPr>
                  </w:pPr>
                  <w:r>
                    <w:rPr>
                      <w:rFonts w:hint="eastAsia" w:ascii="宋体" w:hAnsi="宋体" w:cs="宋体"/>
                      <w:kern w:val="0"/>
                      <w:szCs w:val="21"/>
                    </w:rPr>
                    <w:t>≤40</w:t>
                  </w:r>
                </w:p>
              </w:tc>
              <w:tc>
                <w:tcPr>
                  <w:tcW w:w="1235" w:type="dxa"/>
                  <w:vAlign w:val="center"/>
                </w:tcPr>
                <w:p>
                  <w:pPr>
                    <w:widowControl/>
                    <w:snapToGrid w:val="0"/>
                    <w:jc w:val="center"/>
                    <w:rPr>
                      <w:rFonts w:ascii="宋体" w:hAnsi="宋体" w:cs="宋体"/>
                      <w:kern w:val="0"/>
                      <w:szCs w:val="21"/>
                    </w:rPr>
                  </w:pPr>
                  <w:r>
                    <w:rPr>
                      <w:rFonts w:hint="eastAsia" w:ascii="宋体" w:hAnsi="宋体" w:cs="宋体"/>
                      <w:kern w:val="0"/>
                      <w:szCs w:val="21"/>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7" w:hRule="atLeast"/>
                <w:jc w:val="center"/>
              </w:trPr>
              <w:tc>
                <w:tcPr>
                  <w:tcW w:w="735" w:type="dxa"/>
                  <w:vAlign w:val="center"/>
                </w:tcPr>
                <w:p>
                  <w:pPr>
                    <w:widowControl/>
                    <w:snapToGrid w:val="0"/>
                    <w:jc w:val="center"/>
                    <w:rPr>
                      <w:rFonts w:ascii="宋体" w:hAnsi="宋体" w:cs="宋体"/>
                      <w:kern w:val="0"/>
                      <w:szCs w:val="21"/>
                    </w:rPr>
                  </w:pPr>
                  <w:r>
                    <w:rPr>
                      <w:rFonts w:hint="eastAsia" w:ascii="宋体" w:hAnsi="宋体" w:cs="宋体"/>
                      <w:kern w:val="0"/>
                      <w:szCs w:val="21"/>
                    </w:rPr>
                    <w:t>3</w:t>
                  </w:r>
                </w:p>
              </w:tc>
              <w:tc>
                <w:tcPr>
                  <w:tcW w:w="1449" w:type="dxa"/>
                  <w:vAlign w:val="center"/>
                </w:tcPr>
                <w:p>
                  <w:pPr>
                    <w:widowControl/>
                    <w:snapToGrid w:val="0"/>
                    <w:jc w:val="center"/>
                    <w:rPr>
                      <w:rFonts w:ascii="宋体" w:hAnsi="宋体" w:cs="宋体"/>
                      <w:kern w:val="0"/>
                      <w:szCs w:val="21"/>
                    </w:rPr>
                  </w:pPr>
                  <w:r>
                    <w:rPr>
                      <w:rFonts w:hint="eastAsia" w:ascii="宋体" w:hAnsi="宋体" w:cs="宋体"/>
                      <w:kern w:val="0"/>
                      <w:szCs w:val="21"/>
                    </w:rPr>
                    <w:t>可吸入颗粒物年均浓度</w:t>
                  </w:r>
                </w:p>
              </w:tc>
              <w:tc>
                <w:tcPr>
                  <w:tcW w:w="1512" w:type="dxa"/>
                  <w:vAlign w:val="center"/>
                </w:tcPr>
                <w:p>
                  <w:pPr>
                    <w:widowControl/>
                    <w:snapToGrid w:val="0"/>
                    <w:jc w:val="center"/>
                    <w:rPr>
                      <w:rFonts w:ascii="宋体" w:hAnsi="宋体" w:cs="宋体"/>
                      <w:kern w:val="0"/>
                      <w:szCs w:val="21"/>
                    </w:rPr>
                  </w:pPr>
                  <w:r>
                    <w:rPr>
                      <w:rFonts w:hint="eastAsia" w:ascii="宋体" w:hAnsi="宋体" w:cs="宋体"/>
                      <w:kern w:val="0"/>
                      <w:szCs w:val="21"/>
                    </w:rPr>
                    <w:t>80</w:t>
                  </w:r>
                </w:p>
              </w:tc>
              <w:tc>
                <w:tcPr>
                  <w:tcW w:w="1318" w:type="dxa"/>
                  <w:vAlign w:val="center"/>
                </w:tcPr>
                <w:p>
                  <w:pPr>
                    <w:widowControl/>
                    <w:snapToGrid w:val="0"/>
                    <w:jc w:val="center"/>
                    <w:rPr>
                      <w:rFonts w:ascii="宋体" w:hAnsi="宋体" w:cs="宋体"/>
                      <w:kern w:val="0"/>
                      <w:szCs w:val="21"/>
                    </w:rPr>
                  </w:pPr>
                  <w:r>
                    <w:rPr>
                      <w:rFonts w:hint="eastAsia" w:ascii="宋体" w:hAnsi="宋体" w:cs="宋体"/>
                      <w:kern w:val="0"/>
                      <w:szCs w:val="21"/>
                    </w:rPr>
                    <w:t>—</w:t>
                  </w:r>
                </w:p>
              </w:tc>
              <w:tc>
                <w:tcPr>
                  <w:tcW w:w="1667" w:type="dxa"/>
                  <w:vAlign w:val="center"/>
                </w:tcPr>
                <w:p>
                  <w:pPr>
                    <w:widowControl/>
                    <w:snapToGrid w:val="0"/>
                    <w:jc w:val="center"/>
                    <w:rPr>
                      <w:rFonts w:ascii="宋体" w:hAnsi="宋体" w:cs="宋体"/>
                      <w:kern w:val="0"/>
                      <w:szCs w:val="21"/>
                    </w:rPr>
                  </w:pPr>
                  <w:r>
                    <w:rPr>
                      <w:rFonts w:hint="eastAsia" w:ascii="宋体" w:hAnsi="宋体" w:cs="宋体"/>
                      <w:kern w:val="0"/>
                      <w:szCs w:val="21"/>
                    </w:rPr>
                    <w:t>力争70</w:t>
                  </w:r>
                </w:p>
              </w:tc>
              <w:tc>
                <w:tcPr>
                  <w:tcW w:w="784" w:type="dxa"/>
                  <w:vAlign w:val="center"/>
                </w:tcPr>
                <w:p>
                  <w:pPr>
                    <w:widowControl/>
                    <w:snapToGrid w:val="0"/>
                    <w:jc w:val="center"/>
                    <w:rPr>
                      <w:rFonts w:ascii="宋体" w:hAnsi="宋体" w:cs="宋体"/>
                      <w:kern w:val="0"/>
                      <w:szCs w:val="21"/>
                    </w:rPr>
                  </w:pPr>
                  <w:r>
                    <w:rPr>
                      <w:rFonts w:hint="eastAsia" w:ascii="宋体" w:hAnsi="宋体" w:cs="宋体"/>
                      <w:kern w:val="0"/>
                      <w:szCs w:val="21"/>
                    </w:rPr>
                    <w:t>≤70</w:t>
                  </w:r>
                </w:p>
              </w:tc>
              <w:tc>
                <w:tcPr>
                  <w:tcW w:w="1235" w:type="dxa"/>
                  <w:vAlign w:val="center"/>
                </w:tcPr>
                <w:p>
                  <w:pPr>
                    <w:widowControl/>
                    <w:snapToGrid w:val="0"/>
                    <w:jc w:val="center"/>
                    <w:rPr>
                      <w:rFonts w:ascii="宋体" w:hAnsi="宋体" w:cs="宋体"/>
                      <w:kern w:val="0"/>
                      <w:szCs w:val="21"/>
                    </w:rPr>
                  </w:pPr>
                  <w:r>
                    <w:rPr>
                      <w:rFonts w:hint="eastAsia" w:ascii="宋体" w:hAnsi="宋体" w:cs="宋体"/>
                      <w:kern w:val="0"/>
                      <w:szCs w:val="21"/>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7" w:hRule="atLeast"/>
                <w:jc w:val="center"/>
              </w:trPr>
              <w:tc>
                <w:tcPr>
                  <w:tcW w:w="735" w:type="dxa"/>
                  <w:vAlign w:val="center"/>
                </w:tcPr>
                <w:p>
                  <w:pPr>
                    <w:widowControl/>
                    <w:snapToGrid w:val="0"/>
                    <w:jc w:val="center"/>
                    <w:rPr>
                      <w:rFonts w:ascii="宋体" w:hAnsi="宋体" w:cs="宋体"/>
                      <w:kern w:val="0"/>
                      <w:szCs w:val="21"/>
                    </w:rPr>
                  </w:pPr>
                  <w:r>
                    <w:rPr>
                      <w:rFonts w:hint="eastAsia" w:ascii="宋体" w:hAnsi="宋体" w:cs="宋体"/>
                      <w:kern w:val="0"/>
                      <w:szCs w:val="21"/>
                    </w:rPr>
                    <w:t>4</w:t>
                  </w:r>
                </w:p>
              </w:tc>
              <w:tc>
                <w:tcPr>
                  <w:tcW w:w="1449" w:type="dxa"/>
                  <w:vAlign w:val="center"/>
                </w:tcPr>
                <w:p>
                  <w:pPr>
                    <w:widowControl/>
                    <w:snapToGrid w:val="0"/>
                    <w:jc w:val="center"/>
                    <w:rPr>
                      <w:rFonts w:ascii="宋体" w:hAnsi="宋体" w:cs="宋体"/>
                      <w:kern w:val="0"/>
                      <w:szCs w:val="21"/>
                    </w:rPr>
                  </w:pPr>
                  <w:r>
                    <w:rPr>
                      <w:rFonts w:hint="eastAsia" w:ascii="宋体" w:hAnsi="宋体" w:cs="宋体"/>
                      <w:kern w:val="0"/>
                      <w:szCs w:val="21"/>
                    </w:rPr>
                    <w:t>细颗粒物年均浓度</w:t>
                  </w:r>
                </w:p>
              </w:tc>
              <w:tc>
                <w:tcPr>
                  <w:tcW w:w="1512" w:type="dxa"/>
                  <w:vAlign w:val="center"/>
                </w:tcPr>
                <w:p>
                  <w:pPr>
                    <w:widowControl/>
                    <w:snapToGrid w:val="0"/>
                    <w:jc w:val="center"/>
                    <w:rPr>
                      <w:rFonts w:ascii="宋体" w:hAnsi="宋体" w:cs="宋体"/>
                      <w:kern w:val="0"/>
                      <w:szCs w:val="21"/>
                    </w:rPr>
                  </w:pPr>
                  <w:r>
                    <w:rPr>
                      <w:rFonts w:hint="eastAsia" w:ascii="宋体" w:hAnsi="宋体" w:cs="宋体"/>
                      <w:kern w:val="0"/>
                      <w:szCs w:val="21"/>
                    </w:rPr>
                    <w:t>53.7</w:t>
                  </w:r>
                </w:p>
              </w:tc>
              <w:tc>
                <w:tcPr>
                  <w:tcW w:w="1318" w:type="dxa"/>
                  <w:vAlign w:val="center"/>
                </w:tcPr>
                <w:p>
                  <w:pPr>
                    <w:widowControl/>
                    <w:snapToGrid w:val="0"/>
                    <w:jc w:val="center"/>
                    <w:rPr>
                      <w:rFonts w:ascii="宋体" w:hAnsi="宋体" w:cs="宋体"/>
                      <w:kern w:val="0"/>
                      <w:szCs w:val="21"/>
                    </w:rPr>
                  </w:pPr>
                  <w:r>
                    <w:rPr>
                      <w:rFonts w:hint="eastAsia" w:ascii="宋体" w:hAnsi="宋体" w:cs="宋体"/>
                      <w:kern w:val="0"/>
                      <w:szCs w:val="21"/>
                    </w:rPr>
                    <w:t>≤45.5</w:t>
                  </w:r>
                </w:p>
              </w:tc>
              <w:tc>
                <w:tcPr>
                  <w:tcW w:w="1667" w:type="dxa"/>
                  <w:vAlign w:val="center"/>
                </w:tcPr>
                <w:p>
                  <w:pPr>
                    <w:widowControl/>
                    <w:snapToGrid w:val="0"/>
                    <w:jc w:val="center"/>
                    <w:rPr>
                      <w:rFonts w:ascii="宋体" w:hAnsi="宋体" w:cs="宋体"/>
                      <w:kern w:val="0"/>
                      <w:szCs w:val="21"/>
                    </w:rPr>
                  </w:pPr>
                  <w:r>
                    <w:rPr>
                      <w:rFonts w:hint="eastAsia" w:ascii="宋体" w:hAnsi="宋体" w:cs="宋体"/>
                      <w:kern w:val="0"/>
                      <w:szCs w:val="21"/>
                    </w:rPr>
                    <w:t>力争35</w:t>
                  </w:r>
                </w:p>
              </w:tc>
              <w:tc>
                <w:tcPr>
                  <w:tcW w:w="784" w:type="dxa"/>
                  <w:vAlign w:val="center"/>
                </w:tcPr>
                <w:p>
                  <w:pPr>
                    <w:widowControl/>
                    <w:snapToGrid w:val="0"/>
                    <w:jc w:val="center"/>
                    <w:rPr>
                      <w:rFonts w:ascii="宋体" w:hAnsi="宋体" w:cs="宋体"/>
                      <w:kern w:val="0"/>
                      <w:szCs w:val="21"/>
                    </w:rPr>
                  </w:pPr>
                  <w:r>
                    <w:rPr>
                      <w:rFonts w:hint="eastAsia" w:ascii="宋体" w:hAnsi="宋体" w:cs="宋体"/>
                      <w:kern w:val="0"/>
                      <w:szCs w:val="21"/>
                    </w:rPr>
                    <w:t>≤35</w:t>
                  </w:r>
                </w:p>
              </w:tc>
              <w:tc>
                <w:tcPr>
                  <w:tcW w:w="1235" w:type="dxa"/>
                  <w:vAlign w:val="center"/>
                </w:tcPr>
                <w:p>
                  <w:pPr>
                    <w:widowControl/>
                    <w:snapToGrid w:val="0"/>
                    <w:jc w:val="center"/>
                    <w:rPr>
                      <w:rFonts w:ascii="宋体" w:hAnsi="宋体" w:cs="宋体"/>
                      <w:kern w:val="0"/>
                      <w:szCs w:val="21"/>
                    </w:rPr>
                  </w:pPr>
                  <w:r>
                    <w:rPr>
                      <w:rFonts w:hint="eastAsia" w:ascii="宋体" w:hAnsi="宋体" w:cs="宋体"/>
                      <w:kern w:val="0"/>
                      <w:szCs w:val="21"/>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66" w:hRule="atLeast"/>
                <w:jc w:val="center"/>
              </w:trPr>
              <w:tc>
                <w:tcPr>
                  <w:tcW w:w="735" w:type="dxa"/>
                  <w:vAlign w:val="center"/>
                </w:tcPr>
                <w:p>
                  <w:pPr>
                    <w:widowControl/>
                    <w:snapToGrid w:val="0"/>
                    <w:jc w:val="center"/>
                    <w:rPr>
                      <w:rFonts w:ascii="宋体" w:hAnsi="宋体" w:cs="宋体"/>
                      <w:kern w:val="0"/>
                      <w:szCs w:val="21"/>
                    </w:rPr>
                  </w:pPr>
                  <w:r>
                    <w:rPr>
                      <w:rFonts w:hint="eastAsia" w:ascii="宋体" w:hAnsi="宋体" w:cs="宋体"/>
                      <w:kern w:val="0"/>
                      <w:szCs w:val="21"/>
                    </w:rPr>
                    <w:t>5</w:t>
                  </w:r>
                </w:p>
              </w:tc>
              <w:tc>
                <w:tcPr>
                  <w:tcW w:w="1449" w:type="dxa"/>
                  <w:vAlign w:val="center"/>
                </w:tcPr>
                <w:p>
                  <w:pPr>
                    <w:widowControl/>
                    <w:snapToGrid w:val="0"/>
                    <w:jc w:val="center"/>
                    <w:rPr>
                      <w:rFonts w:ascii="宋体" w:hAnsi="宋体" w:cs="宋体"/>
                      <w:kern w:val="0"/>
                      <w:szCs w:val="21"/>
                    </w:rPr>
                  </w:pPr>
                  <w:r>
                    <w:rPr>
                      <w:rFonts w:hint="eastAsia" w:ascii="宋体" w:hAnsi="宋体" w:cs="宋体"/>
                      <w:kern w:val="0"/>
                      <w:szCs w:val="21"/>
                    </w:rPr>
                    <w:t>CO日平均值的第95百分位数（mg/m</w:t>
                  </w:r>
                  <w:r>
                    <w:rPr>
                      <w:rFonts w:hint="eastAsia" w:ascii="宋体" w:hAnsi="宋体" w:cs="宋体"/>
                      <w:kern w:val="0"/>
                      <w:szCs w:val="21"/>
                      <w:vertAlign w:val="superscript"/>
                    </w:rPr>
                    <w:t>3</w:t>
                  </w:r>
                  <w:r>
                    <w:rPr>
                      <w:rFonts w:hint="eastAsia" w:ascii="宋体" w:hAnsi="宋体" w:cs="宋体"/>
                      <w:kern w:val="0"/>
                      <w:szCs w:val="21"/>
                    </w:rPr>
                    <w:t>）</w:t>
                  </w:r>
                </w:p>
              </w:tc>
              <w:tc>
                <w:tcPr>
                  <w:tcW w:w="1512" w:type="dxa"/>
                  <w:vAlign w:val="center"/>
                </w:tcPr>
                <w:p>
                  <w:pPr>
                    <w:widowControl/>
                    <w:snapToGrid w:val="0"/>
                    <w:jc w:val="center"/>
                    <w:rPr>
                      <w:rFonts w:ascii="宋体" w:hAnsi="宋体" w:cs="宋体"/>
                      <w:kern w:val="0"/>
                      <w:szCs w:val="21"/>
                    </w:rPr>
                  </w:pPr>
                  <w:r>
                    <w:rPr>
                      <w:rFonts w:hint="eastAsia" w:ascii="宋体" w:hAnsi="宋体" w:cs="宋体"/>
                      <w:kern w:val="0"/>
                      <w:szCs w:val="21"/>
                    </w:rPr>
                    <w:t>1.7</w:t>
                  </w:r>
                </w:p>
              </w:tc>
              <w:tc>
                <w:tcPr>
                  <w:tcW w:w="2985" w:type="dxa"/>
                  <w:gridSpan w:val="2"/>
                  <w:vAlign w:val="center"/>
                </w:tcPr>
                <w:p>
                  <w:pPr>
                    <w:widowControl/>
                    <w:snapToGrid w:val="0"/>
                    <w:jc w:val="center"/>
                    <w:rPr>
                      <w:rFonts w:ascii="宋体" w:hAnsi="宋体" w:cs="宋体"/>
                      <w:kern w:val="0"/>
                      <w:szCs w:val="21"/>
                    </w:rPr>
                  </w:pPr>
                  <w:r>
                    <w:rPr>
                      <w:rFonts w:hint="eastAsia" w:ascii="宋体" w:hAnsi="宋体" w:cs="宋体"/>
                      <w:kern w:val="0"/>
                      <w:szCs w:val="21"/>
                    </w:rPr>
                    <w:t>≤2</w:t>
                  </w:r>
                </w:p>
              </w:tc>
              <w:tc>
                <w:tcPr>
                  <w:tcW w:w="784" w:type="dxa"/>
                  <w:vAlign w:val="center"/>
                </w:tcPr>
                <w:p>
                  <w:pPr>
                    <w:widowControl/>
                    <w:snapToGrid w:val="0"/>
                    <w:jc w:val="center"/>
                    <w:rPr>
                      <w:rFonts w:ascii="宋体" w:hAnsi="宋体" w:cs="宋体"/>
                      <w:kern w:val="0"/>
                      <w:szCs w:val="21"/>
                    </w:rPr>
                  </w:pPr>
                  <w:r>
                    <w:rPr>
                      <w:rFonts w:hint="eastAsia" w:ascii="宋体" w:hAnsi="宋体" w:cs="宋体"/>
                      <w:kern w:val="0"/>
                      <w:szCs w:val="21"/>
                    </w:rPr>
                    <w:t>≤4</w:t>
                  </w:r>
                </w:p>
              </w:tc>
              <w:tc>
                <w:tcPr>
                  <w:tcW w:w="1235" w:type="dxa"/>
                  <w:vAlign w:val="center"/>
                </w:tcPr>
                <w:p>
                  <w:pPr>
                    <w:widowControl/>
                    <w:snapToGrid w:val="0"/>
                    <w:jc w:val="center"/>
                    <w:rPr>
                      <w:rFonts w:ascii="宋体" w:hAnsi="宋体" w:cs="宋体"/>
                      <w:kern w:val="0"/>
                      <w:szCs w:val="21"/>
                    </w:rPr>
                  </w:pPr>
                  <w:r>
                    <w:rPr>
                      <w:rFonts w:hint="eastAsia" w:ascii="宋体" w:hAnsi="宋体" w:cs="宋体"/>
                      <w:kern w:val="0"/>
                      <w:szCs w:val="21"/>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66" w:hRule="atLeast"/>
                <w:jc w:val="center"/>
              </w:trPr>
              <w:tc>
                <w:tcPr>
                  <w:tcW w:w="735" w:type="dxa"/>
                  <w:vAlign w:val="center"/>
                </w:tcPr>
                <w:p>
                  <w:pPr>
                    <w:widowControl/>
                    <w:snapToGrid w:val="0"/>
                    <w:jc w:val="center"/>
                    <w:rPr>
                      <w:rFonts w:ascii="宋体" w:hAnsi="宋体" w:cs="宋体"/>
                      <w:kern w:val="0"/>
                      <w:szCs w:val="21"/>
                    </w:rPr>
                  </w:pPr>
                  <w:r>
                    <w:rPr>
                      <w:rFonts w:hint="eastAsia" w:ascii="宋体" w:hAnsi="宋体" w:cs="宋体"/>
                      <w:kern w:val="0"/>
                      <w:szCs w:val="21"/>
                    </w:rPr>
                    <w:t>6</w:t>
                  </w:r>
                </w:p>
              </w:tc>
              <w:tc>
                <w:tcPr>
                  <w:tcW w:w="1449" w:type="dxa"/>
                  <w:vAlign w:val="center"/>
                </w:tcPr>
                <w:p>
                  <w:pPr>
                    <w:widowControl/>
                    <w:snapToGrid w:val="0"/>
                    <w:jc w:val="center"/>
                    <w:rPr>
                      <w:rFonts w:ascii="宋体" w:hAnsi="宋体" w:cs="宋体"/>
                      <w:kern w:val="0"/>
                      <w:szCs w:val="21"/>
                    </w:rPr>
                  </w:pPr>
                  <w:r>
                    <w:rPr>
                      <w:rFonts w:hint="eastAsia" w:ascii="宋体" w:hAnsi="宋体" w:cs="宋体"/>
                      <w:kern w:val="0"/>
                      <w:szCs w:val="21"/>
                    </w:rPr>
                    <w:t>臭氧日最大8小时平均值的第90百分位数</w:t>
                  </w:r>
                </w:p>
              </w:tc>
              <w:tc>
                <w:tcPr>
                  <w:tcW w:w="1512" w:type="dxa"/>
                  <w:vAlign w:val="center"/>
                </w:tcPr>
                <w:p>
                  <w:pPr>
                    <w:widowControl/>
                    <w:snapToGrid w:val="0"/>
                    <w:jc w:val="center"/>
                    <w:rPr>
                      <w:rFonts w:ascii="宋体" w:hAnsi="宋体" w:cs="宋体"/>
                      <w:kern w:val="0"/>
                      <w:szCs w:val="21"/>
                    </w:rPr>
                  </w:pPr>
                  <w:r>
                    <w:rPr>
                      <w:rFonts w:hint="eastAsia" w:ascii="宋体" w:hAnsi="宋体" w:cs="宋体"/>
                      <w:kern w:val="0"/>
                      <w:szCs w:val="21"/>
                    </w:rPr>
                    <w:t>143</w:t>
                  </w:r>
                </w:p>
              </w:tc>
              <w:tc>
                <w:tcPr>
                  <w:tcW w:w="2985" w:type="dxa"/>
                  <w:gridSpan w:val="2"/>
                  <w:vAlign w:val="center"/>
                </w:tcPr>
                <w:p>
                  <w:pPr>
                    <w:widowControl/>
                    <w:snapToGrid w:val="0"/>
                    <w:jc w:val="center"/>
                    <w:rPr>
                      <w:rFonts w:ascii="宋体" w:hAnsi="宋体" w:cs="宋体"/>
                      <w:kern w:val="0"/>
                      <w:szCs w:val="21"/>
                    </w:rPr>
                  </w:pPr>
                  <w:r>
                    <w:rPr>
                      <w:rFonts w:hint="eastAsia" w:ascii="宋体" w:hAnsi="宋体" w:cs="宋体"/>
                      <w:kern w:val="0"/>
                      <w:szCs w:val="21"/>
                    </w:rPr>
                    <w:t>≤160</w:t>
                  </w:r>
                </w:p>
              </w:tc>
              <w:tc>
                <w:tcPr>
                  <w:tcW w:w="784" w:type="dxa"/>
                  <w:vAlign w:val="center"/>
                </w:tcPr>
                <w:p>
                  <w:pPr>
                    <w:widowControl/>
                    <w:snapToGrid w:val="0"/>
                    <w:jc w:val="center"/>
                    <w:rPr>
                      <w:rFonts w:ascii="宋体" w:hAnsi="宋体" w:cs="宋体"/>
                      <w:kern w:val="0"/>
                      <w:szCs w:val="21"/>
                    </w:rPr>
                  </w:pPr>
                  <w:r>
                    <w:rPr>
                      <w:rFonts w:hint="eastAsia" w:ascii="宋体" w:hAnsi="宋体" w:cs="宋体"/>
                      <w:kern w:val="0"/>
                      <w:szCs w:val="21"/>
                    </w:rPr>
                    <w:t>≤160</w:t>
                  </w:r>
                </w:p>
              </w:tc>
              <w:tc>
                <w:tcPr>
                  <w:tcW w:w="1235" w:type="dxa"/>
                  <w:vAlign w:val="center"/>
                </w:tcPr>
                <w:p>
                  <w:pPr>
                    <w:widowControl/>
                    <w:snapToGrid w:val="0"/>
                    <w:jc w:val="center"/>
                    <w:rPr>
                      <w:rFonts w:ascii="宋体" w:hAnsi="宋体" w:cs="宋体"/>
                      <w:kern w:val="0"/>
                      <w:szCs w:val="21"/>
                    </w:rPr>
                  </w:pPr>
                  <w:r>
                    <w:rPr>
                      <w:rFonts w:hint="eastAsia" w:ascii="宋体" w:hAnsi="宋体" w:cs="宋体"/>
                      <w:kern w:val="0"/>
                      <w:szCs w:val="21"/>
                    </w:rPr>
                    <w:t>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8" w:hRule="atLeast"/>
                <w:jc w:val="center"/>
              </w:trPr>
              <w:tc>
                <w:tcPr>
                  <w:tcW w:w="735" w:type="dxa"/>
                  <w:vAlign w:val="center"/>
                </w:tcPr>
                <w:p>
                  <w:pPr>
                    <w:widowControl/>
                    <w:snapToGrid w:val="0"/>
                    <w:jc w:val="center"/>
                    <w:rPr>
                      <w:rFonts w:ascii="宋体" w:hAnsi="宋体" w:cs="宋体"/>
                      <w:kern w:val="0"/>
                      <w:szCs w:val="21"/>
                    </w:rPr>
                  </w:pPr>
                  <w:r>
                    <w:rPr>
                      <w:rFonts w:hint="eastAsia" w:ascii="宋体" w:hAnsi="宋体" w:cs="宋体"/>
                      <w:kern w:val="0"/>
                      <w:szCs w:val="21"/>
                    </w:rPr>
                    <w:t>7</w:t>
                  </w:r>
                </w:p>
              </w:tc>
              <w:tc>
                <w:tcPr>
                  <w:tcW w:w="1449" w:type="dxa"/>
                  <w:vAlign w:val="center"/>
                </w:tcPr>
                <w:p>
                  <w:pPr>
                    <w:widowControl/>
                    <w:snapToGrid w:val="0"/>
                    <w:jc w:val="center"/>
                    <w:rPr>
                      <w:rFonts w:ascii="宋体" w:hAnsi="宋体" w:cs="宋体"/>
                      <w:kern w:val="0"/>
                      <w:szCs w:val="21"/>
                    </w:rPr>
                  </w:pPr>
                  <w:r>
                    <w:rPr>
                      <w:rFonts w:hint="eastAsia" w:ascii="宋体" w:hAnsi="宋体" w:cs="宋体"/>
                      <w:kern w:val="0"/>
                      <w:szCs w:val="21"/>
                    </w:rPr>
                    <w:t>空气质量优良天数比例(%)</w:t>
                  </w:r>
                </w:p>
              </w:tc>
              <w:tc>
                <w:tcPr>
                  <w:tcW w:w="1512" w:type="dxa"/>
                  <w:vAlign w:val="center"/>
                </w:tcPr>
                <w:p>
                  <w:pPr>
                    <w:widowControl/>
                    <w:snapToGrid w:val="0"/>
                    <w:jc w:val="center"/>
                    <w:rPr>
                      <w:rFonts w:ascii="宋体" w:hAnsi="宋体" w:cs="宋体"/>
                      <w:kern w:val="0"/>
                      <w:szCs w:val="21"/>
                    </w:rPr>
                  </w:pPr>
                  <w:r>
                    <w:rPr>
                      <w:rFonts w:hint="eastAsia" w:ascii="宋体" w:hAnsi="宋体" w:cs="宋体"/>
                      <w:kern w:val="0"/>
                      <w:szCs w:val="21"/>
                    </w:rPr>
                    <w:t>72.4</w:t>
                  </w:r>
                </w:p>
              </w:tc>
              <w:tc>
                <w:tcPr>
                  <w:tcW w:w="1318" w:type="dxa"/>
                  <w:vAlign w:val="center"/>
                </w:tcPr>
                <w:p>
                  <w:pPr>
                    <w:widowControl/>
                    <w:snapToGrid w:val="0"/>
                    <w:jc w:val="center"/>
                    <w:rPr>
                      <w:rFonts w:ascii="宋体" w:hAnsi="宋体" w:cs="宋体"/>
                      <w:kern w:val="0"/>
                      <w:szCs w:val="21"/>
                    </w:rPr>
                  </w:pPr>
                  <w:r>
                    <w:rPr>
                      <w:rFonts w:hint="eastAsia" w:ascii="宋体" w:hAnsi="宋体" w:cs="宋体"/>
                      <w:bCs/>
                      <w:kern w:val="0"/>
                      <w:szCs w:val="21"/>
                    </w:rPr>
                    <w:t>≥79.1</w:t>
                  </w:r>
                </w:p>
              </w:tc>
              <w:tc>
                <w:tcPr>
                  <w:tcW w:w="1667" w:type="dxa"/>
                  <w:vAlign w:val="center"/>
                </w:tcPr>
                <w:p>
                  <w:pPr>
                    <w:widowControl/>
                    <w:snapToGrid w:val="0"/>
                    <w:jc w:val="center"/>
                    <w:rPr>
                      <w:rFonts w:ascii="宋体" w:hAnsi="宋体" w:cs="宋体"/>
                      <w:kern w:val="0"/>
                      <w:szCs w:val="21"/>
                    </w:rPr>
                  </w:pPr>
                  <w:r>
                    <w:rPr>
                      <w:rFonts w:hint="eastAsia" w:ascii="宋体" w:hAnsi="宋体" w:cs="宋体"/>
                      <w:bCs/>
                      <w:kern w:val="0"/>
                      <w:szCs w:val="21"/>
                    </w:rPr>
                    <w:t>—</w:t>
                  </w:r>
                </w:p>
              </w:tc>
              <w:tc>
                <w:tcPr>
                  <w:tcW w:w="784" w:type="dxa"/>
                  <w:vAlign w:val="center"/>
                </w:tcPr>
                <w:p>
                  <w:pPr>
                    <w:widowControl/>
                    <w:snapToGrid w:val="0"/>
                    <w:jc w:val="center"/>
                    <w:rPr>
                      <w:rFonts w:ascii="宋体" w:hAnsi="宋体" w:cs="宋体"/>
                      <w:kern w:val="0"/>
                      <w:szCs w:val="21"/>
                    </w:rPr>
                  </w:pPr>
                  <w:r>
                    <w:rPr>
                      <w:rFonts w:hint="eastAsia" w:ascii="宋体" w:hAnsi="宋体" w:cs="宋体"/>
                      <w:kern w:val="0"/>
                      <w:szCs w:val="21"/>
                    </w:rPr>
                    <w:t>—</w:t>
                  </w:r>
                </w:p>
              </w:tc>
              <w:tc>
                <w:tcPr>
                  <w:tcW w:w="1235" w:type="dxa"/>
                  <w:vAlign w:val="center"/>
                </w:tcPr>
                <w:p>
                  <w:pPr>
                    <w:widowControl/>
                    <w:snapToGrid w:val="0"/>
                    <w:jc w:val="center"/>
                    <w:rPr>
                      <w:rFonts w:ascii="宋体" w:hAnsi="宋体" w:cs="宋体"/>
                      <w:kern w:val="0"/>
                      <w:szCs w:val="21"/>
                    </w:rPr>
                  </w:pPr>
                  <w:r>
                    <w:rPr>
                      <w:rFonts w:hint="eastAsia" w:ascii="宋体" w:hAnsi="宋体" w:cs="宋体"/>
                      <w:kern w:val="0"/>
                      <w:szCs w:val="21"/>
                    </w:rPr>
                    <w:t>预期</w:t>
                  </w:r>
                </w:p>
              </w:tc>
            </w:tr>
          </w:tbl>
          <w:p>
            <w:pPr>
              <w:adjustRightInd w:val="0"/>
              <w:snapToGrid w:val="0"/>
              <w:spacing w:line="360" w:lineRule="auto"/>
              <w:ind w:firstLine="480" w:firstLineChars="200"/>
              <w:rPr>
                <w:sz w:val="24"/>
              </w:rPr>
            </w:pPr>
            <w:r>
              <w:rPr>
                <w:rFonts w:hint="eastAsia"/>
                <w:sz w:val="24"/>
              </w:rPr>
              <w:t>2）大气环境现状监测</w:t>
            </w:r>
          </w:p>
          <w:p>
            <w:pPr>
              <w:adjustRightInd w:val="0"/>
              <w:snapToGrid w:val="0"/>
              <w:spacing w:line="360" w:lineRule="auto"/>
              <w:ind w:firstLine="480" w:firstLineChars="200"/>
              <w:rPr>
                <w:sz w:val="24"/>
              </w:rPr>
            </w:pPr>
            <w:r>
              <w:rPr>
                <w:rFonts w:hint="eastAsia"/>
                <w:sz w:val="24"/>
              </w:rPr>
              <w:t>（1）基本污染物环境质量现状</w:t>
            </w:r>
          </w:p>
          <w:p>
            <w:pPr>
              <w:adjustRightInd w:val="0"/>
              <w:snapToGrid w:val="0"/>
              <w:spacing w:line="360" w:lineRule="auto"/>
              <w:ind w:firstLine="480" w:firstLineChars="200"/>
              <w:rPr>
                <w:sz w:val="24"/>
              </w:rPr>
            </w:pPr>
            <w:r>
              <w:rPr>
                <w:rFonts w:hint="eastAsia"/>
                <w:sz w:val="24"/>
              </w:rPr>
              <w:t>根据表3</w:t>
            </w:r>
            <w:r>
              <w:rPr>
                <w:sz w:val="24"/>
              </w:rPr>
              <w:t>-1可知</w:t>
            </w:r>
            <w:r>
              <w:rPr>
                <w:rFonts w:hint="eastAsia"/>
                <w:sz w:val="24"/>
              </w:rPr>
              <w:t>，</w:t>
            </w:r>
            <w:r>
              <w:rPr>
                <w:sz w:val="24"/>
              </w:rPr>
              <w:t>乐山市市中区PM</w:t>
            </w:r>
            <w:r>
              <w:rPr>
                <w:sz w:val="24"/>
                <w:vertAlign w:val="subscript"/>
              </w:rPr>
              <w:t>10</w:t>
            </w:r>
            <w:r>
              <w:rPr>
                <w:sz w:val="24"/>
              </w:rPr>
              <w:t>、PM</w:t>
            </w:r>
            <w:r>
              <w:rPr>
                <w:sz w:val="24"/>
                <w:vertAlign w:val="subscript"/>
              </w:rPr>
              <w:t>2.5</w:t>
            </w:r>
            <w:r>
              <w:rPr>
                <w:sz w:val="24"/>
              </w:rPr>
              <w:t>均出现超标，项目所在区域为环境空气质量不达标区，超标倍数分别为1.11、1.58。</w:t>
            </w:r>
          </w:p>
          <w:p>
            <w:pPr>
              <w:adjustRightInd w:val="0"/>
              <w:snapToGrid w:val="0"/>
              <w:spacing w:line="360" w:lineRule="auto"/>
              <w:ind w:firstLine="480" w:firstLineChars="200"/>
              <w:rPr>
                <w:sz w:val="24"/>
              </w:rPr>
            </w:pPr>
            <w:r>
              <w:rPr>
                <w:rFonts w:hint="eastAsia"/>
                <w:sz w:val="24"/>
              </w:rPr>
              <w:t>（2）其他污染物环境质量现状</w:t>
            </w:r>
          </w:p>
          <w:p>
            <w:pPr>
              <w:adjustRightInd w:val="0"/>
              <w:snapToGrid w:val="0"/>
              <w:spacing w:line="360" w:lineRule="auto"/>
              <w:ind w:firstLine="480"/>
              <w:rPr>
                <w:sz w:val="24"/>
              </w:rPr>
            </w:pPr>
            <w:r>
              <w:rPr>
                <w:sz w:val="24"/>
              </w:rPr>
              <w:t>本项目位于乐山市中区</w:t>
            </w:r>
            <w:r>
              <w:rPr>
                <w:rFonts w:hint="eastAsia"/>
                <w:sz w:val="24"/>
              </w:rPr>
              <w:t>工业集中区水口-罗汉工业区内，四川众望安全环保技术咨询有限公司于2</w:t>
            </w:r>
            <w:r>
              <w:rPr>
                <w:sz w:val="24"/>
              </w:rPr>
              <w:t>017年</w:t>
            </w:r>
            <w:r>
              <w:rPr>
                <w:rFonts w:hint="eastAsia"/>
                <w:sz w:val="24"/>
              </w:rPr>
              <w:t>1</w:t>
            </w:r>
            <w:r>
              <w:rPr>
                <w:sz w:val="24"/>
              </w:rPr>
              <w:t>2月</w:t>
            </w:r>
            <w:r>
              <w:rPr>
                <w:rFonts w:hint="eastAsia"/>
                <w:sz w:val="24"/>
              </w:rPr>
              <w:t>7日至1</w:t>
            </w:r>
            <w:r>
              <w:rPr>
                <w:sz w:val="24"/>
              </w:rPr>
              <w:t>3日委托四川省工业环境监测研究院对</w:t>
            </w:r>
            <w:r>
              <w:rPr>
                <w:rFonts w:hint="eastAsia"/>
                <w:sz w:val="24"/>
              </w:rPr>
              <w:t>“乐山市工业集中区水口-罗汉工业园区扩区规划环境影响跟踪评价”的环境空气质量进行了现状监测，由于本项目距离水口镇1</w:t>
            </w:r>
            <w:r>
              <w:rPr>
                <w:sz w:val="24"/>
              </w:rPr>
              <w:t>.7km</w:t>
            </w:r>
            <w:r>
              <w:rPr>
                <w:rFonts w:hint="eastAsia"/>
                <w:sz w:val="24"/>
              </w:rPr>
              <w:t>，</w:t>
            </w:r>
            <w:r>
              <w:rPr>
                <w:sz w:val="24"/>
              </w:rPr>
              <w:t>且监测时间未超过三年</w:t>
            </w:r>
            <w:r>
              <w:rPr>
                <w:rFonts w:hint="eastAsia"/>
                <w:sz w:val="24"/>
              </w:rPr>
              <w:t>，</w:t>
            </w:r>
            <w:r>
              <w:rPr>
                <w:sz w:val="24"/>
              </w:rPr>
              <w:t>故本次评价引用该监测报告中水口镇的</w:t>
            </w:r>
            <w:r>
              <w:rPr>
                <w:rFonts w:hint="eastAsia"/>
                <w:sz w:val="24"/>
              </w:rPr>
              <w:t>N</w:t>
            </w:r>
            <w:r>
              <w:rPr>
                <w:sz w:val="24"/>
              </w:rPr>
              <w:t>H</w:t>
            </w:r>
            <w:r>
              <w:rPr>
                <w:sz w:val="24"/>
                <w:vertAlign w:val="subscript"/>
              </w:rPr>
              <w:t>3</w:t>
            </w:r>
            <w:r>
              <w:rPr>
                <w:sz w:val="24"/>
              </w:rPr>
              <w:t>监测数据作为</w:t>
            </w:r>
            <w:r>
              <w:rPr>
                <w:rFonts w:hint="eastAsia"/>
                <w:sz w:val="24"/>
              </w:rPr>
              <w:t>N</w:t>
            </w:r>
            <w:r>
              <w:rPr>
                <w:sz w:val="24"/>
              </w:rPr>
              <w:t>H</w:t>
            </w:r>
            <w:r>
              <w:rPr>
                <w:sz w:val="24"/>
                <w:vertAlign w:val="subscript"/>
              </w:rPr>
              <w:t>3</w:t>
            </w:r>
            <w:r>
              <w:rPr>
                <w:sz w:val="24"/>
              </w:rPr>
              <w:t>的评价依据</w:t>
            </w:r>
            <w:r>
              <w:rPr>
                <w:rFonts w:hint="eastAsia"/>
                <w:sz w:val="24"/>
              </w:rPr>
              <w:t>。</w:t>
            </w:r>
          </w:p>
          <w:p>
            <w:pPr>
              <w:spacing w:line="360" w:lineRule="auto"/>
              <w:ind w:firstLine="480" w:firstLineChars="200"/>
              <w:rPr>
                <w:sz w:val="24"/>
              </w:rPr>
            </w:pPr>
            <w:r>
              <w:rPr>
                <w:rFonts w:hint="eastAsia"/>
                <w:sz w:val="24"/>
              </w:rPr>
              <w:t>（1）监测项目</w:t>
            </w:r>
          </w:p>
          <w:p>
            <w:pPr>
              <w:spacing w:line="360" w:lineRule="auto"/>
              <w:ind w:firstLine="480" w:firstLineChars="200"/>
              <w:rPr>
                <w:sz w:val="24"/>
              </w:rPr>
            </w:pPr>
            <w:r>
              <w:rPr>
                <w:rFonts w:hint="eastAsia"/>
                <w:sz w:val="24"/>
              </w:rPr>
              <w:t>根据引用监测报告及本项目特点，确定本项目特征因子为N</w:t>
            </w:r>
            <w:r>
              <w:rPr>
                <w:sz w:val="24"/>
              </w:rPr>
              <w:t>H</w:t>
            </w:r>
            <w:r>
              <w:rPr>
                <w:sz w:val="24"/>
                <w:vertAlign w:val="subscript"/>
              </w:rPr>
              <w:t>3</w:t>
            </w:r>
            <w:r>
              <w:rPr>
                <w:rFonts w:hint="eastAsia"/>
                <w:sz w:val="24"/>
              </w:rPr>
              <w:t xml:space="preserve">。 </w:t>
            </w:r>
          </w:p>
          <w:p>
            <w:pPr>
              <w:spacing w:line="360" w:lineRule="auto"/>
              <w:ind w:firstLine="480" w:firstLineChars="200"/>
              <w:rPr>
                <w:sz w:val="24"/>
              </w:rPr>
            </w:pPr>
            <w:r>
              <w:rPr>
                <w:rFonts w:hint="eastAsia"/>
                <w:sz w:val="24"/>
              </w:rPr>
              <w:t>（2）监测布点</w:t>
            </w:r>
          </w:p>
          <w:p>
            <w:pPr>
              <w:spacing w:line="360" w:lineRule="auto"/>
              <w:ind w:firstLine="480" w:firstLineChars="200"/>
              <w:rPr>
                <w:sz w:val="24"/>
              </w:rPr>
            </w:pPr>
            <w:r>
              <w:rPr>
                <w:rFonts w:hint="eastAsia"/>
                <w:sz w:val="24"/>
              </w:rPr>
              <w:t>根据监测报告及本项目特点，本项目选用的大气监测布点有1个：1#水口镇场镇（距离本项目</w:t>
            </w:r>
            <w:r>
              <w:rPr>
                <w:sz w:val="24"/>
              </w:rPr>
              <w:t>1.6km</w:t>
            </w:r>
            <w:r>
              <w:rPr>
                <w:rFonts w:hint="eastAsia"/>
                <w:sz w:val="24"/>
              </w:rPr>
              <w:t>）。</w:t>
            </w:r>
          </w:p>
          <w:p>
            <w:pPr>
              <w:spacing w:line="360" w:lineRule="auto"/>
              <w:ind w:firstLine="2846" w:firstLineChars="1350"/>
              <w:rPr>
                <w:rFonts w:ascii="宋体" w:hAnsi="宋体"/>
                <w:b/>
                <w:szCs w:val="21"/>
              </w:rPr>
            </w:pPr>
            <w:r>
              <w:rPr>
                <w:rFonts w:hint="eastAsia" w:ascii="宋体" w:hAnsi="宋体"/>
                <w:b/>
                <w:szCs w:val="21"/>
              </w:rPr>
              <w:t>表4.2-</w:t>
            </w:r>
            <w:r>
              <w:rPr>
                <w:rFonts w:ascii="宋体" w:hAnsi="宋体"/>
                <w:b/>
                <w:szCs w:val="21"/>
              </w:rPr>
              <w:t>5</w:t>
            </w:r>
            <w:r>
              <w:rPr>
                <w:rFonts w:hint="eastAsia" w:ascii="宋体" w:hAnsi="宋体"/>
                <w:b/>
                <w:szCs w:val="21"/>
              </w:rPr>
              <w:t xml:space="preserve">  大气环境质量监测点位基本信息</w:t>
            </w:r>
          </w:p>
          <w:tbl>
            <w:tblPr>
              <w:tblStyle w:val="53"/>
              <w:tblW w:w="8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851"/>
              <w:gridCol w:w="923"/>
              <w:gridCol w:w="1168"/>
              <w:gridCol w:w="1482"/>
              <w:gridCol w:w="128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813" w:type="dxa"/>
                  <w:vMerge w:val="restart"/>
                  <w:vAlign w:val="center"/>
                </w:tcPr>
                <w:p>
                  <w:pPr>
                    <w:jc w:val="center"/>
                    <w:rPr>
                      <w:rFonts w:ascii="宋体" w:hAnsi="宋体"/>
                      <w:szCs w:val="21"/>
                    </w:rPr>
                  </w:pPr>
                  <w:r>
                    <w:rPr>
                      <w:rFonts w:ascii="宋体" w:hAnsi="宋体"/>
                      <w:szCs w:val="21"/>
                    </w:rPr>
                    <w:t>监测</w:t>
                  </w:r>
                  <w:r>
                    <w:rPr>
                      <w:rFonts w:hint="eastAsia" w:ascii="宋体" w:hAnsi="宋体"/>
                      <w:szCs w:val="21"/>
                    </w:rPr>
                    <w:t>点名称</w:t>
                  </w:r>
                </w:p>
              </w:tc>
              <w:tc>
                <w:tcPr>
                  <w:tcW w:w="1774" w:type="dxa"/>
                  <w:gridSpan w:val="2"/>
                  <w:vAlign w:val="center"/>
                </w:tcPr>
                <w:p>
                  <w:pPr>
                    <w:jc w:val="center"/>
                    <w:rPr>
                      <w:rFonts w:ascii="宋体" w:hAnsi="宋体"/>
                      <w:szCs w:val="21"/>
                    </w:rPr>
                  </w:pPr>
                  <w:r>
                    <w:rPr>
                      <w:rFonts w:hint="eastAsia" w:ascii="宋体" w:hAnsi="宋体"/>
                      <w:szCs w:val="21"/>
                    </w:rPr>
                    <w:t>坐标/m</w:t>
                  </w:r>
                </w:p>
              </w:tc>
              <w:tc>
                <w:tcPr>
                  <w:tcW w:w="1168" w:type="dxa"/>
                  <w:vMerge w:val="restart"/>
                  <w:vAlign w:val="center"/>
                </w:tcPr>
                <w:p>
                  <w:pPr>
                    <w:jc w:val="center"/>
                    <w:rPr>
                      <w:rFonts w:ascii="宋体" w:hAnsi="宋体"/>
                      <w:szCs w:val="21"/>
                    </w:rPr>
                  </w:pPr>
                  <w:r>
                    <w:rPr>
                      <w:rFonts w:ascii="宋体" w:hAnsi="宋体"/>
                      <w:szCs w:val="21"/>
                    </w:rPr>
                    <w:t>监测因子</w:t>
                  </w:r>
                </w:p>
              </w:tc>
              <w:tc>
                <w:tcPr>
                  <w:tcW w:w="1482" w:type="dxa"/>
                  <w:vMerge w:val="restart"/>
                  <w:vAlign w:val="center"/>
                </w:tcPr>
                <w:p>
                  <w:pPr>
                    <w:jc w:val="center"/>
                    <w:rPr>
                      <w:rFonts w:ascii="宋体" w:hAnsi="宋体"/>
                      <w:szCs w:val="21"/>
                    </w:rPr>
                  </w:pPr>
                  <w:r>
                    <w:rPr>
                      <w:rFonts w:hint="eastAsia" w:ascii="宋体" w:hAnsi="宋体"/>
                      <w:szCs w:val="21"/>
                    </w:rPr>
                    <w:t>监测时段</w:t>
                  </w:r>
                </w:p>
              </w:tc>
              <w:tc>
                <w:tcPr>
                  <w:tcW w:w="1280" w:type="dxa"/>
                  <w:vMerge w:val="restart"/>
                  <w:vAlign w:val="center"/>
                </w:tcPr>
                <w:p>
                  <w:pPr>
                    <w:jc w:val="left"/>
                    <w:rPr>
                      <w:rFonts w:ascii="宋体" w:hAnsi="宋体"/>
                      <w:szCs w:val="21"/>
                    </w:rPr>
                  </w:pPr>
                  <w:r>
                    <w:rPr>
                      <w:rFonts w:hint="eastAsia" w:ascii="宋体" w:hAnsi="宋体"/>
                      <w:szCs w:val="21"/>
                    </w:rPr>
                    <w:t>相对厂址方位</w:t>
                  </w:r>
                </w:p>
              </w:tc>
              <w:tc>
                <w:tcPr>
                  <w:tcW w:w="1065" w:type="dxa"/>
                  <w:vMerge w:val="restart"/>
                  <w:vAlign w:val="center"/>
                </w:tcPr>
                <w:p>
                  <w:pPr>
                    <w:jc w:val="left"/>
                    <w:rPr>
                      <w:rFonts w:ascii="宋体" w:hAnsi="宋体"/>
                      <w:szCs w:val="21"/>
                    </w:rPr>
                  </w:pPr>
                  <w:r>
                    <w:rPr>
                      <w:rFonts w:hint="eastAsia" w:ascii="宋体" w:hAnsi="宋体"/>
                      <w:szCs w:val="21"/>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813" w:type="dxa"/>
                  <w:vMerge w:val="continue"/>
                  <w:vAlign w:val="center"/>
                </w:tcPr>
                <w:p>
                  <w:pPr>
                    <w:jc w:val="center"/>
                    <w:rPr>
                      <w:rFonts w:ascii="宋体" w:hAnsi="宋体"/>
                      <w:szCs w:val="21"/>
                    </w:rPr>
                  </w:pPr>
                </w:p>
              </w:tc>
              <w:tc>
                <w:tcPr>
                  <w:tcW w:w="851" w:type="dxa"/>
                  <w:vAlign w:val="center"/>
                </w:tcPr>
                <w:p>
                  <w:pPr>
                    <w:jc w:val="center"/>
                    <w:rPr>
                      <w:rFonts w:ascii="宋体" w:hAnsi="宋体"/>
                      <w:szCs w:val="21"/>
                    </w:rPr>
                  </w:pPr>
                  <w:r>
                    <w:rPr>
                      <w:rFonts w:hint="eastAsia" w:ascii="宋体" w:hAnsi="宋体"/>
                      <w:szCs w:val="21"/>
                    </w:rPr>
                    <w:t>X</w:t>
                  </w:r>
                </w:p>
              </w:tc>
              <w:tc>
                <w:tcPr>
                  <w:tcW w:w="923" w:type="dxa"/>
                  <w:vAlign w:val="center"/>
                </w:tcPr>
                <w:p>
                  <w:pPr>
                    <w:jc w:val="center"/>
                    <w:rPr>
                      <w:rFonts w:ascii="宋体" w:hAnsi="宋体"/>
                      <w:szCs w:val="21"/>
                    </w:rPr>
                  </w:pPr>
                  <w:r>
                    <w:rPr>
                      <w:rFonts w:hint="eastAsia" w:ascii="宋体" w:hAnsi="宋体"/>
                      <w:szCs w:val="21"/>
                    </w:rPr>
                    <w:t>Y</w:t>
                  </w:r>
                </w:p>
              </w:tc>
              <w:tc>
                <w:tcPr>
                  <w:tcW w:w="1168" w:type="dxa"/>
                  <w:vMerge w:val="continue"/>
                  <w:vAlign w:val="center"/>
                </w:tcPr>
                <w:p>
                  <w:pPr>
                    <w:jc w:val="center"/>
                    <w:rPr>
                      <w:rFonts w:ascii="宋体" w:hAnsi="宋体"/>
                      <w:szCs w:val="21"/>
                    </w:rPr>
                  </w:pPr>
                </w:p>
              </w:tc>
              <w:tc>
                <w:tcPr>
                  <w:tcW w:w="1482" w:type="dxa"/>
                  <w:vMerge w:val="continue"/>
                  <w:vAlign w:val="center"/>
                </w:tcPr>
                <w:p>
                  <w:pPr>
                    <w:jc w:val="center"/>
                    <w:rPr>
                      <w:rFonts w:ascii="宋体" w:hAnsi="宋体"/>
                      <w:szCs w:val="21"/>
                    </w:rPr>
                  </w:pPr>
                </w:p>
              </w:tc>
              <w:tc>
                <w:tcPr>
                  <w:tcW w:w="1280" w:type="dxa"/>
                  <w:vMerge w:val="continue"/>
                  <w:vAlign w:val="center"/>
                </w:tcPr>
                <w:p>
                  <w:pPr>
                    <w:jc w:val="left"/>
                    <w:rPr>
                      <w:rFonts w:ascii="宋体" w:hAnsi="宋体"/>
                      <w:szCs w:val="21"/>
                    </w:rPr>
                  </w:pPr>
                </w:p>
              </w:tc>
              <w:tc>
                <w:tcPr>
                  <w:tcW w:w="1065" w:type="dxa"/>
                  <w:vMerge w:val="continue"/>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813" w:type="dxa"/>
                  <w:vAlign w:val="center"/>
                </w:tcPr>
                <w:p>
                  <w:pPr>
                    <w:jc w:val="center"/>
                    <w:rPr>
                      <w:rFonts w:ascii="宋体" w:hAnsi="宋体"/>
                      <w:szCs w:val="21"/>
                    </w:rPr>
                  </w:pPr>
                  <w:r>
                    <w:rPr>
                      <w:rFonts w:hint="eastAsia" w:ascii="宋体" w:hAnsi="宋体"/>
                      <w:szCs w:val="21"/>
                    </w:rPr>
                    <w:t>1#</w:t>
                  </w:r>
                  <w:r>
                    <w:rPr>
                      <w:rFonts w:hint="eastAsia"/>
                      <w:szCs w:val="21"/>
                    </w:rPr>
                    <w:t>水口镇场镇</w:t>
                  </w:r>
                </w:p>
              </w:tc>
              <w:tc>
                <w:tcPr>
                  <w:tcW w:w="851" w:type="dxa"/>
                  <w:vAlign w:val="center"/>
                </w:tcPr>
                <w:p>
                  <w:pPr>
                    <w:jc w:val="center"/>
                    <w:rPr>
                      <w:rFonts w:ascii="宋体" w:hAnsi="宋体"/>
                      <w:szCs w:val="21"/>
                    </w:rPr>
                  </w:pPr>
                  <w:r>
                    <w:rPr>
                      <w:rFonts w:hint="eastAsia" w:ascii="宋体" w:hAnsi="宋体"/>
                      <w:szCs w:val="21"/>
                    </w:rPr>
                    <w:t>1</w:t>
                  </w:r>
                  <w:r>
                    <w:rPr>
                      <w:rFonts w:ascii="宋体" w:hAnsi="宋体"/>
                      <w:szCs w:val="21"/>
                    </w:rPr>
                    <w:t>600</w:t>
                  </w:r>
                </w:p>
              </w:tc>
              <w:tc>
                <w:tcPr>
                  <w:tcW w:w="923" w:type="dxa"/>
                  <w:vAlign w:val="center"/>
                </w:tcPr>
                <w:p>
                  <w:pPr>
                    <w:jc w:val="center"/>
                    <w:rPr>
                      <w:rFonts w:ascii="宋体" w:hAnsi="宋体"/>
                      <w:szCs w:val="21"/>
                    </w:rPr>
                  </w:pPr>
                  <w:r>
                    <w:rPr>
                      <w:rFonts w:hint="eastAsia" w:ascii="宋体" w:hAnsi="宋体"/>
                      <w:szCs w:val="21"/>
                    </w:rPr>
                    <w:t>2</w:t>
                  </w:r>
                  <w:r>
                    <w:rPr>
                      <w:rFonts w:ascii="宋体" w:hAnsi="宋体"/>
                      <w:szCs w:val="21"/>
                    </w:rPr>
                    <w:t>80</w:t>
                  </w:r>
                </w:p>
              </w:tc>
              <w:tc>
                <w:tcPr>
                  <w:tcW w:w="1168" w:type="dxa"/>
                  <w:vAlign w:val="center"/>
                </w:tcPr>
                <w:p>
                  <w:pPr>
                    <w:jc w:val="center"/>
                    <w:rPr>
                      <w:rFonts w:ascii="宋体" w:hAnsi="宋体"/>
                      <w:szCs w:val="21"/>
                    </w:rPr>
                  </w:pPr>
                  <w:r>
                    <w:rPr>
                      <w:rFonts w:ascii="宋体" w:hAnsi="宋体"/>
                      <w:szCs w:val="21"/>
                    </w:rPr>
                    <w:t>NH</w:t>
                  </w:r>
                  <w:r>
                    <w:rPr>
                      <w:rFonts w:ascii="宋体" w:hAnsi="宋体"/>
                      <w:szCs w:val="21"/>
                      <w:vertAlign w:val="subscript"/>
                    </w:rPr>
                    <w:t>3</w:t>
                  </w:r>
                </w:p>
              </w:tc>
              <w:tc>
                <w:tcPr>
                  <w:tcW w:w="1482" w:type="dxa"/>
                  <w:vAlign w:val="center"/>
                </w:tcPr>
                <w:p>
                  <w:pPr>
                    <w:jc w:val="center"/>
                    <w:rPr>
                      <w:rFonts w:ascii="宋体" w:hAnsi="宋体"/>
                      <w:szCs w:val="21"/>
                    </w:rPr>
                  </w:pPr>
                  <w:r>
                    <w:rPr>
                      <w:rFonts w:ascii="宋体" w:hAnsi="宋体"/>
                      <w:szCs w:val="21"/>
                    </w:rPr>
                    <w:t>02</w:t>
                  </w:r>
                  <w:r>
                    <w:rPr>
                      <w:rFonts w:hint="eastAsia" w:ascii="宋体" w:hAnsi="宋体"/>
                      <w:szCs w:val="21"/>
                    </w:rPr>
                    <w:t>:00~</w:t>
                  </w:r>
                  <w:r>
                    <w:rPr>
                      <w:rFonts w:ascii="宋体" w:hAnsi="宋体"/>
                      <w:szCs w:val="21"/>
                    </w:rPr>
                    <w:t>03</w:t>
                  </w:r>
                  <w:r>
                    <w:rPr>
                      <w:rFonts w:hint="eastAsia" w:ascii="宋体" w:hAnsi="宋体"/>
                      <w:szCs w:val="21"/>
                    </w:rPr>
                    <w:t>:00、</w:t>
                  </w:r>
                  <w:r>
                    <w:rPr>
                      <w:rFonts w:ascii="宋体" w:hAnsi="宋体"/>
                      <w:szCs w:val="21"/>
                    </w:rPr>
                    <w:t>08</w:t>
                  </w:r>
                  <w:r>
                    <w:rPr>
                      <w:rFonts w:hint="eastAsia" w:ascii="宋体" w:hAnsi="宋体"/>
                      <w:szCs w:val="21"/>
                    </w:rPr>
                    <w:t>:00~</w:t>
                  </w:r>
                  <w:r>
                    <w:rPr>
                      <w:rFonts w:ascii="宋体" w:hAnsi="宋体"/>
                      <w:szCs w:val="21"/>
                    </w:rPr>
                    <w:t>09</w:t>
                  </w:r>
                  <w:r>
                    <w:rPr>
                      <w:rFonts w:hint="eastAsia" w:ascii="宋体" w:hAnsi="宋体"/>
                      <w:szCs w:val="21"/>
                    </w:rPr>
                    <w:t>:00、14:00~15:00、</w:t>
                  </w:r>
                  <w:r>
                    <w:rPr>
                      <w:rFonts w:ascii="宋体" w:hAnsi="宋体"/>
                      <w:szCs w:val="21"/>
                    </w:rPr>
                    <w:t>20</w:t>
                  </w:r>
                  <w:r>
                    <w:rPr>
                      <w:rFonts w:hint="eastAsia" w:ascii="宋体" w:hAnsi="宋体"/>
                      <w:szCs w:val="21"/>
                    </w:rPr>
                    <w:t>:00~</w:t>
                  </w:r>
                  <w:r>
                    <w:rPr>
                      <w:rFonts w:ascii="宋体" w:hAnsi="宋体"/>
                      <w:szCs w:val="21"/>
                    </w:rPr>
                    <w:t>21</w:t>
                  </w:r>
                  <w:r>
                    <w:rPr>
                      <w:rFonts w:hint="eastAsia" w:ascii="宋体" w:hAnsi="宋体"/>
                      <w:szCs w:val="21"/>
                    </w:rPr>
                    <w:t>:00</w:t>
                  </w:r>
                </w:p>
              </w:tc>
              <w:tc>
                <w:tcPr>
                  <w:tcW w:w="1280" w:type="dxa"/>
                  <w:vAlign w:val="center"/>
                </w:tcPr>
                <w:p>
                  <w:pPr>
                    <w:jc w:val="center"/>
                    <w:rPr>
                      <w:rFonts w:ascii="宋体" w:hAnsi="宋体"/>
                      <w:szCs w:val="21"/>
                    </w:rPr>
                  </w:pPr>
                  <w:r>
                    <w:rPr>
                      <w:rFonts w:hint="eastAsia" w:ascii="宋体" w:hAnsi="宋体"/>
                      <w:szCs w:val="21"/>
                    </w:rPr>
                    <w:t>N</w:t>
                  </w:r>
                  <w:r>
                    <w:rPr>
                      <w:rFonts w:ascii="宋体" w:hAnsi="宋体"/>
                      <w:szCs w:val="21"/>
                    </w:rPr>
                    <w:t>E</w:t>
                  </w:r>
                </w:p>
              </w:tc>
              <w:tc>
                <w:tcPr>
                  <w:tcW w:w="1065" w:type="dxa"/>
                  <w:vAlign w:val="center"/>
                </w:tcPr>
                <w:p>
                  <w:pPr>
                    <w:jc w:val="center"/>
                    <w:rPr>
                      <w:rFonts w:ascii="宋体" w:hAnsi="宋体"/>
                      <w:szCs w:val="21"/>
                    </w:rPr>
                  </w:pPr>
                  <w:r>
                    <w:rPr>
                      <w:rFonts w:ascii="宋体" w:hAnsi="宋体"/>
                      <w:szCs w:val="21"/>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8582" w:type="dxa"/>
                  <w:gridSpan w:val="7"/>
                  <w:vAlign w:val="center"/>
                </w:tcPr>
                <w:p>
                  <w:pPr>
                    <w:jc w:val="left"/>
                    <w:rPr>
                      <w:rFonts w:ascii="宋体" w:hAnsi="宋体"/>
                      <w:szCs w:val="21"/>
                    </w:rPr>
                  </w:pPr>
                  <w:r>
                    <w:rPr>
                      <w:rFonts w:hint="eastAsia" w:ascii="宋体" w:hAnsi="宋体"/>
                      <w:szCs w:val="21"/>
                    </w:rPr>
                    <w:t>备注：坐标为监测点位到本项目中心的距离。</w:t>
                  </w:r>
                </w:p>
              </w:tc>
            </w:tr>
          </w:tbl>
          <w:p>
            <w:pPr>
              <w:spacing w:line="360" w:lineRule="auto"/>
              <w:ind w:firstLine="480" w:firstLineChars="200"/>
              <w:rPr>
                <w:sz w:val="24"/>
              </w:rPr>
            </w:pPr>
            <w:r>
              <w:rPr>
                <w:rFonts w:hint="eastAsia"/>
                <w:sz w:val="24"/>
              </w:rPr>
              <w:t>（3）监测采样周期、时段和频次</w:t>
            </w:r>
          </w:p>
          <w:p>
            <w:pPr>
              <w:spacing w:line="360" w:lineRule="auto"/>
              <w:ind w:firstLine="480" w:firstLineChars="200"/>
              <w:rPr>
                <w:rFonts w:ascii="宋体" w:hAnsi="宋体"/>
                <w:sz w:val="24"/>
              </w:rPr>
            </w:pPr>
            <w:r>
              <w:rPr>
                <w:rFonts w:hint="eastAsia" w:ascii="宋体" w:hAnsi="宋体"/>
                <w:sz w:val="24"/>
              </w:rPr>
              <w:t>监测时间及频率：</w:t>
            </w:r>
            <w:r>
              <w:rPr>
                <w:rFonts w:hint="eastAsia"/>
                <w:sz w:val="24"/>
              </w:rPr>
              <w:t>201</w:t>
            </w:r>
            <w:r>
              <w:rPr>
                <w:sz w:val="24"/>
              </w:rPr>
              <w:t>7</w:t>
            </w:r>
            <w:r>
              <w:rPr>
                <w:rFonts w:hint="eastAsia"/>
                <w:sz w:val="24"/>
              </w:rPr>
              <w:t>年12月</w:t>
            </w:r>
            <w:r>
              <w:rPr>
                <w:sz w:val="24"/>
              </w:rPr>
              <w:t>7</w:t>
            </w:r>
            <w:r>
              <w:rPr>
                <w:rFonts w:hint="eastAsia"/>
                <w:sz w:val="24"/>
              </w:rPr>
              <w:t>~</w:t>
            </w:r>
            <w:r>
              <w:rPr>
                <w:sz w:val="24"/>
              </w:rPr>
              <w:t>13</w:t>
            </w:r>
            <w:r>
              <w:rPr>
                <w:rFonts w:hint="eastAsia"/>
                <w:sz w:val="24"/>
              </w:rPr>
              <w:t>日</w:t>
            </w:r>
            <w:r>
              <w:rPr>
                <w:sz w:val="24"/>
              </w:rPr>
              <w:t>，连续7天</w:t>
            </w:r>
            <w:r>
              <w:rPr>
                <w:rFonts w:hint="eastAsia"/>
                <w:sz w:val="24"/>
              </w:rPr>
              <w:t>，每天每个点位</w:t>
            </w:r>
            <w:r>
              <w:rPr>
                <w:sz w:val="24"/>
              </w:rPr>
              <w:t>02</w:t>
            </w:r>
            <w:r>
              <w:rPr>
                <w:rFonts w:hint="eastAsia"/>
                <w:sz w:val="24"/>
              </w:rPr>
              <w:t>:00~</w:t>
            </w:r>
            <w:r>
              <w:rPr>
                <w:sz w:val="24"/>
              </w:rPr>
              <w:t>03</w:t>
            </w:r>
            <w:r>
              <w:rPr>
                <w:rFonts w:hint="eastAsia"/>
                <w:sz w:val="24"/>
              </w:rPr>
              <w:t>:00、</w:t>
            </w:r>
            <w:r>
              <w:rPr>
                <w:sz w:val="24"/>
              </w:rPr>
              <w:t>08</w:t>
            </w:r>
            <w:r>
              <w:rPr>
                <w:rFonts w:hint="eastAsia"/>
                <w:sz w:val="24"/>
              </w:rPr>
              <w:t>:00~</w:t>
            </w:r>
            <w:r>
              <w:rPr>
                <w:sz w:val="24"/>
              </w:rPr>
              <w:t>09</w:t>
            </w:r>
            <w:r>
              <w:rPr>
                <w:rFonts w:hint="eastAsia"/>
                <w:sz w:val="24"/>
              </w:rPr>
              <w:t>:00、14:00~15:00、</w:t>
            </w:r>
            <w:r>
              <w:rPr>
                <w:sz w:val="24"/>
              </w:rPr>
              <w:t>20</w:t>
            </w:r>
            <w:r>
              <w:rPr>
                <w:rFonts w:hint="eastAsia"/>
                <w:sz w:val="24"/>
              </w:rPr>
              <w:t>:00~</w:t>
            </w:r>
            <w:r>
              <w:rPr>
                <w:sz w:val="24"/>
              </w:rPr>
              <w:t>21</w:t>
            </w:r>
            <w:r>
              <w:rPr>
                <w:rFonts w:hint="eastAsia"/>
                <w:sz w:val="24"/>
              </w:rPr>
              <w:t>:00监测4个时段浓度</w:t>
            </w:r>
            <w:r>
              <w:rPr>
                <w:rFonts w:hint="eastAsia" w:ascii="宋体" w:hAnsi="宋体"/>
                <w:sz w:val="24"/>
              </w:rPr>
              <w:t>。</w:t>
            </w:r>
          </w:p>
          <w:p>
            <w:pPr>
              <w:spacing w:line="360" w:lineRule="auto"/>
              <w:rPr>
                <w:rFonts w:ascii="宋体" w:hAnsi="宋体"/>
                <w:szCs w:val="21"/>
              </w:rPr>
            </w:pPr>
            <w:r>
              <w:rPr>
                <w:rFonts w:hint="eastAsia"/>
                <w:sz w:val="24"/>
              </w:rPr>
              <w:t xml:space="preserve">     （4）评价标准</w:t>
            </w:r>
          </w:p>
          <w:p>
            <w:pPr>
              <w:spacing w:line="360" w:lineRule="auto"/>
              <w:ind w:firstLine="600" w:firstLineChars="250"/>
              <w:jc w:val="left"/>
              <w:rPr>
                <w:sz w:val="24"/>
              </w:rPr>
            </w:pPr>
            <w:r>
              <w:rPr>
                <w:rFonts w:hint="eastAsia"/>
                <w:sz w:val="24"/>
              </w:rPr>
              <w:t>执行《环境空气质量标准》（GB3095-2012）中二级标准及《大气污染物综合排放标准详解》标准要求。</w:t>
            </w:r>
          </w:p>
          <w:p>
            <w:pPr>
              <w:spacing w:line="360" w:lineRule="auto"/>
              <w:ind w:firstLine="480" w:firstLineChars="200"/>
              <w:rPr>
                <w:sz w:val="24"/>
              </w:rPr>
            </w:pPr>
            <w:r>
              <w:rPr>
                <w:rFonts w:hint="eastAsia"/>
                <w:sz w:val="24"/>
              </w:rPr>
              <w:t>（5）评价方法</w:t>
            </w:r>
          </w:p>
          <w:p>
            <w:pPr>
              <w:spacing w:line="360" w:lineRule="auto"/>
              <w:ind w:firstLine="480" w:firstLineChars="200"/>
              <w:rPr>
                <w:sz w:val="24"/>
              </w:rPr>
            </w:pPr>
            <w:r>
              <w:rPr>
                <w:rFonts w:ascii="宋体" w:hAnsi="宋体"/>
                <w:kern w:val="0"/>
                <w:sz w:val="24"/>
              </w:rPr>
              <w:t>根据《环境影响评价技术导则—大气环境》</w:t>
            </w:r>
            <w:r>
              <w:rPr>
                <w:rFonts w:hint="eastAsia" w:ascii="宋体" w:hAnsi="宋体"/>
                <w:kern w:val="0"/>
                <w:sz w:val="24"/>
              </w:rPr>
              <w:t>（</w:t>
            </w:r>
            <w:r>
              <w:rPr>
                <w:rFonts w:ascii="宋体" w:hAnsi="宋体"/>
                <w:kern w:val="0"/>
                <w:sz w:val="24"/>
              </w:rPr>
              <w:t>HJ2.2</w:t>
            </w:r>
            <w:r>
              <w:rPr>
                <w:rFonts w:hint="eastAsia" w:ascii="宋体" w:hAnsi="宋体"/>
                <w:kern w:val="0"/>
                <w:sz w:val="24"/>
              </w:rPr>
              <w:t>-</w:t>
            </w:r>
            <w:r>
              <w:rPr>
                <w:rFonts w:ascii="宋体" w:hAnsi="宋体"/>
                <w:kern w:val="0"/>
                <w:sz w:val="24"/>
              </w:rPr>
              <w:t>2008</w:t>
            </w:r>
            <w:r>
              <w:rPr>
                <w:rFonts w:hint="eastAsia" w:ascii="宋体" w:hAnsi="宋体"/>
                <w:kern w:val="0"/>
                <w:sz w:val="24"/>
              </w:rPr>
              <w:t>）</w:t>
            </w:r>
            <w:r>
              <w:rPr>
                <w:rFonts w:ascii="宋体" w:hAnsi="宋体"/>
                <w:kern w:val="0"/>
                <w:sz w:val="24"/>
              </w:rPr>
              <w:t>，环境空气质量现状评价通过计算取值时间最大浓度值占相应标准浓度限值的百分比和超标率，来分析其达标情况，当取值时间最大浓度值占相应标准浓度限值的百分比大于或等于100</w:t>
            </w:r>
            <w:r>
              <w:rPr>
                <w:rFonts w:hint="eastAsia" w:ascii="宋体" w:hAnsi="宋体"/>
                <w:kern w:val="0"/>
                <w:sz w:val="24"/>
              </w:rPr>
              <w:t>%</w:t>
            </w:r>
            <w:r>
              <w:rPr>
                <w:rFonts w:ascii="宋体" w:hAnsi="宋体"/>
                <w:kern w:val="0"/>
                <w:sz w:val="24"/>
              </w:rPr>
              <w:t>时，表明环境空气质量超标。计算公式如下：</w:t>
            </w:r>
          </w:p>
          <w:p>
            <w:pPr>
              <w:spacing w:line="360" w:lineRule="auto"/>
              <w:jc w:val="center"/>
              <w:rPr>
                <w:rFonts w:ascii="宋体" w:hAnsi="宋体"/>
                <w:kern w:val="0"/>
                <w:sz w:val="24"/>
              </w:rPr>
            </w:pPr>
            <w:r>
              <w:rPr>
                <w:rFonts w:ascii="宋体" w:hAnsi="宋体"/>
                <w:kern w:val="0"/>
                <w:sz w:val="24"/>
              </w:rPr>
              <w:pict>
                <v:shape id="_x0000_i1025" o:spt="75" type="#_x0000_t75" style="height:35.3pt;width:80.85pt;" filled="f" o:preferrelative="t" stroked="f" coordsize="21600,21600">
                  <v:path/>
                  <v:fill on="f" focussize="0,0"/>
                  <v:stroke on="f" joinstyle="miter"/>
                  <v:imagedata r:id="rId17" o:title=""/>
                  <o:lock v:ext="edit" aspectratio="t"/>
                  <w10:wrap type="none"/>
                  <w10:anchorlock/>
                </v:shape>
              </w:pict>
            </w:r>
          </w:p>
          <w:p>
            <w:pPr>
              <w:spacing w:line="360" w:lineRule="auto"/>
              <w:ind w:firstLine="480" w:firstLineChars="200"/>
              <w:jc w:val="left"/>
              <w:rPr>
                <w:rFonts w:ascii="宋体" w:hAnsi="宋体"/>
                <w:kern w:val="0"/>
                <w:sz w:val="24"/>
              </w:rPr>
            </w:pPr>
            <w:r>
              <w:rPr>
                <w:rFonts w:ascii="宋体" w:hAnsi="宋体"/>
                <w:kern w:val="0"/>
                <w:sz w:val="24"/>
              </w:rPr>
              <w:t>式中：P</w:t>
            </w:r>
            <w:r>
              <w:rPr>
                <w:rFonts w:ascii="宋体" w:hAnsi="宋体"/>
                <w:kern w:val="0"/>
                <w:sz w:val="24"/>
                <w:vertAlign w:val="subscript"/>
              </w:rPr>
              <w:t>i</w:t>
            </w:r>
            <w:r>
              <w:rPr>
                <w:rFonts w:ascii="宋体" w:hAnsi="宋体"/>
                <w:kern w:val="0"/>
                <w:sz w:val="24"/>
              </w:rPr>
              <w:t>——第i个污染物的监测最大浓度占相应标准浓度限值的百分比，%；</w:t>
            </w:r>
          </w:p>
          <w:p>
            <w:pPr>
              <w:spacing w:line="360" w:lineRule="auto"/>
              <w:jc w:val="left"/>
              <w:rPr>
                <w:rFonts w:ascii="宋体" w:hAnsi="宋体"/>
                <w:kern w:val="0"/>
                <w:sz w:val="24"/>
              </w:rPr>
            </w:pP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 xml:space="preserve"> C</w:t>
            </w:r>
            <w:r>
              <w:rPr>
                <w:rFonts w:ascii="宋体" w:hAnsi="宋体"/>
                <w:kern w:val="0"/>
                <w:sz w:val="24"/>
                <w:vertAlign w:val="subscript"/>
              </w:rPr>
              <w:t>i</w:t>
            </w:r>
            <w:r>
              <w:rPr>
                <w:rFonts w:ascii="宋体" w:hAnsi="宋体"/>
                <w:kern w:val="0"/>
                <w:sz w:val="24"/>
              </w:rPr>
              <w:t>——第i个污染物的监测浓度值，mg/m</w:t>
            </w:r>
            <w:r>
              <w:rPr>
                <w:rFonts w:ascii="宋体" w:hAnsi="宋体"/>
                <w:kern w:val="0"/>
                <w:sz w:val="24"/>
                <w:vertAlign w:val="superscript"/>
              </w:rPr>
              <w:t>3</w:t>
            </w:r>
            <w:r>
              <w:rPr>
                <w:rFonts w:ascii="宋体" w:hAnsi="宋体"/>
                <w:kern w:val="0"/>
                <w:sz w:val="24"/>
              </w:rPr>
              <w:t>；</w:t>
            </w:r>
          </w:p>
          <w:p>
            <w:pPr>
              <w:spacing w:after="120" w:line="360" w:lineRule="auto"/>
              <w:ind w:firstLine="1200" w:firstLineChars="500"/>
              <w:jc w:val="left"/>
              <w:rPr>
                <w:rFonts w:ascii="宋体" w:hAnsi="宋体"/>
                <w:sz w:val="24"/>
              </w:rPr>
            </w:pPr>
            <w:r>
              <w:rPr>
                <w:rFonts w:ascii="宋体" w:hAnsi="宋体"/>
                <w:sz w:val="24"/>
              </w:rPr>
              <w:t>C</w:t>
            </w:r>
            <w:r>
              <w:rPr>
                <w:rFonts w:ascii="宋体" w:hAnsi="宋体"/>
                <w:sz w:val="24"/>
                <w:vertAlign w:val="subscript"/>
              </w:rPr>
              <w:t>0i</w:t>
            </w:r>
            <w:r>
              <w:rPr>
                <w:rFonts w:ascii="宋体" w:hAnsi="宋体"/>
                <w:sz w:val="24"/>
              </w:rPr>
              <w:t>——第i个污染物的环境空气质量标准，mg/m</w:t>
            </w:r>
            <w:r>
              <w:rPr>
                <w:rFonts w:ascii="宋体" w:hAnsi="宋体"/>
                <w:sz w:val="24"/>
                <w:vertAlign w:val="superscript"/>
              </w:rPr>
              <w:t>3</w:t>
            </w:r>
            <w:r>
              <w:rPr>
                <w:rFonts w:ascii="宋体" w:hAnsi="宋体"/>
                <w:sz w:val="24"/>
              </w:rPr>
              <w:t>。</w:t>
            </w:r>
          </w:p>
          <w:p>
            <w:pPr>
              <w:spacing w:line="360" w:lineRule="auto"/>
              <w:ind w:firstLine="480" w:firstLineChars="200"/>
              <w:rPr>
                <w:sz w:val="24"/>
              </w:rPr>
            </w:pPr>
            <w:r>
              <w:rPr>
                <w:rFonts w:hint="eastAsia"/>
                <w:sz w:val="24"/>
              </w:rPr>
              <w:t>（6）环境空气质量评价</w:t>
            </w:r>
          </w:p>
          <w:p>
            <w:pPr>
              <w:spacing w:line="360" w:lineRule="auto"/>
              <w:ind w:firstLine="480" w:firstLineChars="200"/>
              <w:rPr>
                <w:rFonts w:ascii="宋体" w:hAnsi="宋体"/>
                <w:sz w:val="24"/>
              </w:rPr>
            </w:pPr>
            <w:r>
              <w:rPr>
                <w:rFonts w:hint="eastAsia" w:ascii="宋体" w:hAnsi="宋体"/>
                <w:sz w:val="24"/>
              </w:rPr>
              <w:t>本项目所在区域其他污染物环境质量现状评价成果见下表。</w:t>
            </w:r>
          </w:p>
          <w:p>
            <w:pPr>
              <w:spacing w:line="360" w:lineRule="auto"/>
              <w:jc w:val="center"/>
              <w:rPr>
                <w:rFonts w:ascii="宋体" w:hAnsi="宋体"/>
                <w:b/>
                <w:sz w:val="24"/>
              </w:rPr>
            </w:pPr>
            <w:r>
              <w:rPr>
                <w:rFonts w:ascii="宋体" w:hAnsi="宋体"/>
                <w:b/>
                <w:sz w:val="24"/>
              </w:rPr>
              <w:t>表</w:t>
            </w:r>
            <w:r>
              <w:rPr>
                <w:rFonts w:hint="eastAsia" w:ascii="宋体" w:hAnsi="宋体"/>
                <w:b/>
                <w:sz w:val="24"/>
              </w:rPr>
              <w:t>4</w:t>
            </w:r>
            <w:r>
              <w:rPr>
                <w:rFonts w:ascii="宋体" w:hAnsi="宋体"/>
                <w:b/>
                <w:sz w:val="24"/>
              </w:rPr>
              <w:t>.2-6 其他污染物环境质量现状监测结果表</w:t>
            </w:r>
          </w:p>
          <w:tbl>
            <w:tblPr>
              <w:tblStyle w:val="53"/>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829"/>
              <w:gridCol w:w="719"/>
              <w:gridCol w:w="709"/>
              <w:gridCol w:w="709"/>
              <w:gridCol w:w="1134"/>
              <w:gridCol w:w="1415"/>
              <w:gridCol w:w="1136"/>
              <w:gridCol w:w="85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4" w:type="dxa"/>
                  <w:vMerge w:val="restart"/>
                  <w:vAlign w:val="center"/>
                </w:tcPr>
                <w:p>
                  <w:pPr>
                    <w:adjustRightInd w:val="0"/>
                    <w:snapToGrid w:val="0"/>
                    <w:jc w:val="center"/>
                    <w:rPr>
                      <w:rFonts w:ascii="宋体" w:hAnsi="宋体"/>
                      <w:szCs w:val="21"/>
                    </w:rPr>
                  </w:pPr>
                  <w:r>
                    <w:rPr>
                      <w:rFonts w:ascii="宋体" w:hAnsi="宋体"/>
                      <w:szCs w:val="21"/>
                    </w:rPr>
                    <w:t>监测点位</w:t>
                  </w:r>
                </w:p>
              </w:tc>
              <w:tc>
                <w:tcPr>
                  <w:tcW w:w="1548" w:type="dxa"/>
                  <w:gridSpan w:val="2"/>
                  <w:vAlign w:val="center"/>
                </w:tcPr>
                <w:p>
                  <w:pPr>
                    <w:adjustRightInd w:val="0"/>
                    <w:snapToGrid w:val="0"/>
                    <w:jc w:val="center"/>
                    <w:rPr>
                      <w:rFonts w:ascii="宋体" w:hAnsi="宋体"/>
                      <w:szCs w:val="21"/>
                    </w:rPr>
                  </w:pPr>
                  <w:r>
                    <w:rPr>
                      <w:rFonts w:ascii="宋体" w:hAnsi="宋体"/>
                      <w:szCs w:val="21"/>
                    </w:rPr>
                    <w:t>监测点坐标</w:t>
                  </w:r>
                  <w:r>
                    <w:rPr>
                      <w:rFonts w:hint="eastAsia" w:ascii="宋体" w:hAnsi="宋体"/>
                      <w:szCs w:val="21"/>
                    </w:rPr>
                    <w:t>/m</w:t>
                  </w:r>
                </w:p>
              </w:tc>
              <w:tc>
                <w:tcPr>
                  <w:tcW w:w="709" w:type="dxa"/>
                  <w:vMerge w:val="restart"/>
                  <w:vAlign w:val="center"/>
                </w:tcPr>
                <w:p>
                  <w:pPr>
                    <w:adjustRightInd w:val="0"/>
                    <w:snapToGrid w:val="0"/>
                    <w:jc w:val="center"/>
                    <w:rPr>
                      <w:rFonts w:ascii="宋体" w:hAnsi="宋体"/>
                      <w:szCs w:val="21"/>
                    </w:rPr>
                  </w:pPr>
                  <w:r>
                    <w:rPr>
                      <w:rFonts w:hint="eastAsia" w:ascii="宋体" w:hAnsi="宋体"/>
                      <w:szCs w:val="21"/>
                    </w:rPr>
                    <w:t>污染物</w:t>
                  </w:r>
                </w:p>
              </w:tc>
              <w:tc>
                <w:tcPr>
                  <w:tcW w:w="709" w:type="dxa"/>
                  <w:vMerge w:val="restart"/>
                  <w:vAlign w:val="center"/>
                </w:tcPr>
                <w:p>
                  <w:pPr>
                    <w:adjustRightInd w:val="0"/>
                    <w:snapToGrid w:val="0"/>
                    <w:jc w:val="center"/>
                    <w:rPr>
                      <w:rFonts w:ascii="宋体" w:hAnsi="宋体"/>
                      <w:szCs w:val="21"/>
                    </w:rPr>
                  </w:pPr>
                  <w:r>
                    <w:rPr>
                      <w:rFonts w:ascii="宋体" w:hAnsi="宋体"/>
                      <w:szCs w:val="21"/>
                    </w:rPr>
                    <w:t>平均时间</w:t>
                  </w:r>
                </w:p>
              </w:tc>
              <w:tc>
                <w:tcPr>
                  <w:tcW w:w="1134" w:type="dxa"/>
                  <w:vMerge w:val="restart"/>
                  <w:vAlign w:val="center"/>
                </w:tcPr>
                <w:p>
                  <w:pPr>
                    <w:adjustRightInd w:val="0"/>
                    <w:snapToGrid w:val="0"/>
                    <w:jc w:val="center"/>
                    <w:rPr>
                      <w:rFonts w:ascii="宋体" w:hAnsi="宋体"/>
                      <w:szCs w:val="21"/>
                    </w:rPr>
                  </w:pPr>
                  <w:r>
                    <w:rPr>
                      <w:rFonts w:ascii="宋体" w:hAnsi="宋体"/>
                      <w:szCs w:val="21"/>
                    </w:rPr>
                    <w:t>评价标准</w:t>
                  </w:r>
                  <w:r>
                    <w:rPr>
                      <w:rFonts w:hint="eastAsia" w:ascii="宋体" w:hAnsi="宋体"/>
                      <w:szCs w:val="21"/>
                    </w:rPr>
                    <w:t>（µg</w:t>
                  </w:r>
                  <w:r>
                    <w:rPr>
                      <w:rFonts w:ascii="宋体" w:hAnsi="宋体"/>
                      <w:szCs w:val="21"/>
                    </w:rPr>
                    <w:t>/m</w:t>
                  </w:r>
                  <w:r>
                    <w:rPr>
                      <w:rFonts w:ascii="宋体" w:hAnsi="宋体"/>
                      <w:szCs w:val="21"/>
                      <w:vertAlign w:val="superscript"/>
                    </w:rPr>
                    <w:t>3</w:t>
                  </w:r>
                  <w:r>
                    <w:rPr>
                      <w:rFonts w:hint="eastAsia" w:ascii="宋体" w:hAnsi="宋体"/>
                      <w:szCs w:val="21"/>
                    </w:rPr>
                    <w:t>）</w:t>
                  </w:r>
                </w:p>
              </w:tc>
              <w:tc>
                <w:tcPr>
                  <w:tcW w:w="1415" w:type="dxa"/>
                  <w:vMerge w:val="restart"/>
                  <w:vAlign w:val="center"/>
                </w:tcPr>
                <w:p>
                  <w:pPr>
                    <w:adjustRightInd w:val="0"/>
                    <w:snapToGrid w:val="0"/>
                    <w:jc w:val="center"/>
                    <w:rPr>
                      <w:rFonts w:ascii="宋体" w:hAnsi="宋体"/>
                      <w:szCs w:val="21"/>
                    </w:rPr>
                  </w:pPr>
                  <w:r>
                    <w:rPr>
                      <w:rFonts w:ascii="宋体" w:hAnsi="宋体"/>
                      <w:szCs w:val="21"/>
                    </w:rPr>
                    <w:t>监测浓度范围</w:t>
                  </w:r>
                  <w:r>
                    <w:rPr>
                      <w:rFonts w:hint="eastAsia" w:ascii="宋体" w:hAnsi="宋体"/>
                      <w:szCs w:val="21"/>
                    </w:rPr>
                    <w:t>（µg</w:t>
                  </w:r>
                  <w:r>
                    <w:rPr>
                      <w:rFonts w:ascii="宋体" w:hAnsi="宋体"/>
                      <w:szCs w:val="21"/>
                    </w:rPr>
                    <w:t>/m</w:t>
                  </w:r>
                  <w:r>
                    <w:rPr>
                      <w:rFonts w:ascii="宋体" w:hAnsi="宋体"/>
                      <w:szCs w:val="21"/>
                      <w:vertAlign w:val="superscript"/>
                    </w:rPr>
                    <w:t>3</w:t>
                  </w:r>
                  <w:r>
                    <w:rPr>
                      <w:rFonts w:hint="eastAsia" w:ascii="宋体" w:hAnsi="宋体"/>
                      <w:szCs w:val="21"/>
                    </w:rPr>
                    <w:t>）</w:t>
                  </w:r>
                </w:p>
              </w:tc>
              <w:tc>
                <w:tcPr>
                  <w:tcW w:w="1136" w:type="dxa"/>
                  <w:vMerge w:val="restart"/>
                  <w:vAlign w:val="center"/>
                </w:tcPr>
                <w:p>
                  <w:pPr>
                    <w:adjustRightInd w:val="0"/>
                    <w:snapToGrid w:val="0"/>
                    <w:jc w:val="center"/>
                    <w:rPr>
                      <w:rFonts w:ascii="宋体" w:hAnsi="宋体"/>
                      <w:szCs w:val="21"/>
                    </w:rPr>
                  </w:pPr>
                  <w:r>
                    <w:rPr>
                      <w:rFonts w:ascii="宋体" w:hAnsi="宋体"/>
                      <w:szCs w:val="21"/>
                    </w:rPr>
                    <w:t>最大浓度占标率</w:t>
                  </w:r>
                  <w:r>
                    <w:rPr>
                      <w:rFonts w:hint="eastAsia" w:ascii="宋体" w:hAnsi="宋体"/>
                      <w:szCs w:val="21"/>
                    </w:rPr>
                    <w:t>%</w:t>
                  </w:r>
                </w:p>
              </w:tc>
              <w:tc>
                <w:tcPr>
                  <w:tcW w:w="851" w:type="dxa"/>
                  <w:vMerge w:val="restart"/>
                  <w:vAlign w:val="center"/>
                </w:tcPr>
                <w:p>
                  <w:pPr>
                    <w:adjustRightInd w:val="0"/>
                    <w:snapToGrid w:val="0"/>
                    <w:jc w:val="center"/>
                    <w:rPr>
                      <w:rFonts w:ascii="宋体" w:hAnsi="宋体"/>
                      <w:szCs w:val="21"/>
                    </w:rPr>
                  </w:pPr>
                  <w:r>
                    <w:rPr>
                      <w:rFonts w:ascii="宋体" w:hAnsi="宋体"/>
                      <w:szCs w:val="21"/>
                    </w:rPr>
                    <w:t>超标率</w:t>
                  </w:r>
                  <w:r>
                    <w:rPr>
                      <w:rFonts w:hint="eastAsia" w:ascii="宋体" w:hAnsi="宋体"/>
                      <w:szCs w:val="21"/>
                    </w:rPr>
                    <w:t>%</w:t>
                  </w:r>
                </w:p>
              </w:tc>
              <w:tc>
                <w:tcPr>
                  <w:tcW w:w="709" w:type="dxa"/>
                  <w:vMerge w:val="restart"/>
                  <w:vAlign w:val="center"/>
                </w:tcPr>
                <w:p>
                  <w:pPr>
                    <w:adjustRightInd w:val="0"/>
                    <w:snapToGrid w:val="0"/>
                    <w:jc w:val="center"/>
                    <w:rPr>
                      <w:rFonts w:ascii="宋体" w:hAnsi="宋体"/>
                      <w:szCs w:val="21"/>
                    </w:rPr>
                  </w:pPr>
                  <w:r>
                    <w:rPr>
                      <w:rFonts w:ascii="宋体" w:hAnsi="宋体"/>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4" w:type="dxa"/>
                  <w:vMerge w:val="continue"/>
                  <w:vAlign w:val="center"/>
                </w:tcPr>
                <w:p>
                  <w:pPr>
                    <w:adjustRightInd w:val="0"/>
                    <w:snapToGrid w:val="0"/>
                    <w:jc w:val="center"/>
                    <w:rPr>
                      <w:rFonts w:ascii="宋体" w:hAnsi="宋体"/>
                      <w:szCs w:val="21"/>
                    </w:rPr>
                  </w:pPr>
                </w:p>
              </w:tc>
              <w:tc>
                <w:tcPr>
                  <w:tcW w:w="829" w:type="dxa"/>
                  <w:vAlign w:val="center"/>
                </w:tcPr>
                <w:p>
                  <w:pPr>
                    <w:adjustRightInd w:val="0"/>
                    <w:snapToGrid w:val="0"/>
                    <w:jc w:val="center"/>
                    <w:rPr>
                      <w:rFonts w:ascii="宋体" w:hAnsi="宋体"/>
                      <w:szCs w:val="21"/>
                    </w:rPr>
                  </w:pPr>
                  <w:r>
                    <w:rPr>
                      <w:rFonts w:hint="eastAsia" w:ascii="宋体" w:hAnsi="宋体"/>
                      <w:szCs w:val="21"/>
                    </w:rPr>
                    <w:t>X</w:t>
                  </w:r>
                </w:p>
              </w:tc>
              <w:tc>
                <w:tcPr>
                  <w:tcW w:w="719" w:type="dxa"/>
                  <w:vAlign w:val="center"/>
                </w:tcPr>
                <w:p>
                  <w:pPr>
                    <w:adjustRightInd w:val="0"/>
                    <w:snapToGrid w:val="0"/>
                    <w:jc w:val="center"/>
                    <w:rPr>
                      <w:rFonts w:ascii="宋体" w:hAnsi="宋体"/>
                      <w:szCs w:val="21"/>
                    </w:rPr>
                  </w:pPr>
                  <w:r>
                    <w:rPr>
                      <w:rFonts w:hint="eastAsia" w:ascii="宋体" w:hAnsi="宋体"/>
                      <w:szCs w:val="21"/>
                    </w:rPr>
                    <w:t>Y</w:t>
                  </w:r>
                </w:p>
              </w:tc>
              <w:tc>
                <w:tcPr>
                  <w:tcW w:w="709" w:type="dxa"/>
                  <w:vMerge w:val="continue"/>
                  <w:vAlign w:val="center"/>
                </w:tcPr>
                <w:p>
                  <w:pPr>
                    <w:adjustRightInd w:val="0"/>
                    <w:snapToGrid w:val="0"/>
                    <w:jc w:val="center"/>
                    <w:rPr>
                      <w:rFonts w:ascii="宋体" w:hAnsi="宋体"/>
                      <w:szCs w:val="21"/>
                    </w:rPr>
                  </w:pPr>
                </w:p>
              </w:tc>
              <w:tc>
                <w:tcPr>
                  <w:tcW w:w="709" w:type="dxa"/>
                  <w:vMerge w:val="continue"/>
                  <w:vAlign w:val="center"/>
                </w:tcPr>
                <w:p>
                  <w:pPr>
                    <w:adjustRightInd w:val="0"/>
                    <w:snapToGrid w:val="0"/>
                    <w:jc w:val="center"/>
                    <w:rPr>
                      <w:rFonts w:ascii="宋体" w:hAnsi="宋体"/>
                      <w:szCs w:val="21"/>
                    </w:rPr>
                  </w:pPr>
                </w:p>
              </w:tc>
              <w:tc>
                <w:tcPr>
                  <w:tcW w:w="1134" w:type="dxa"/>
                  <w:vMerge w:val="continue"/>
                  <w:vAlign w:val="center"/>
                </w:tcPr>
                <w:p>
                  <w:pPr>
                    <w:adjustRightInd w:val="0"/>
                    <w:snapToGrid w:val="0"/>
                    <w:jc w:val="center"/>
                    <w:rPr>
                      <w:rFonts w:ascii="宋体" w:hAnsi="宋体"/>
                      <w:szCs w:val="21"/>
                    </w:rPr>
                  </w:pPr>
                </w:p>
              </w:tc>
              <w:tc>
                <w:tcPr>
                  <w:tcW w:w="1415" w:type="dxa"/>
                  <w:vMerge w:val="continue"/>
                  <w:vAlign w:val="center"/>
                </w:tcPr>
                <w:p>
                  <w:pPr>
                    <w:adjustRightInd w:val="0"/>
                    <w:snapToGrid w:val="0"/>
                    <w:jc w:val="center"/>
                    <w:rPr>
                      <w:rFonts w:ascii="宋体" w:hAnsi="宋体"/>
                      <w:szCs w:val="21"/>
                    </w:rPr>
                  </w:pPr>
                </w:p>
              </w:tc>
              <w:tc>
                <w:tcPr>
                  <w:tcW w:w="1136" w:type="dxa"/>
                  <w:vMerge w:val="continue"/>
                  <w:vAlign w:val="center"/>
                </w:tcPr>
                <w:p>
                  <w:pPr>
                    <w:adjustRightInd w:val="0"/>
                    <w:snapToGrid w:val="0"/>
                    <w:jc w:val="center"/>
                    <w:rPr>
                      <w:rFonts w:ascii="宋体" w:hAnsi="宋体"/>
                      <w:szCs w:val="21"/>
                    </w:rPr>
                  </w:pPr>
                </w:p>
              </w:tc>
              <w:tc>
                <w:tcPr>
                  <w:tcW w:w="851" w:type="dxa"/>
                  <w:vMerge w:val="continue"/>
                  <w:vAlign w:val="center"/>
                </w:tcPr>
                <w:p>
                  <w:pPr>
                    <w:adjustRightInd w:val="0"/>
                    <w:snapToGrid w:val="0"/>
                    <w:jc w:val="center"/>
                    <w:rPr>
                      <w:rFonts w:ascii="宋体" w:hAnsi="宋体"/>
                      <w:szCs w:val="21"/>
                    </w:rPr>
                  </w:pPr>
                </w:p>
              </w:tc>
              <w:tc>
                <w:tcPr>
                  <w:tcW w:w="709"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004" w:type="dxa"/>
                  <w:vAlign w:val="center"/>
                </w:tcPr>
                <w:p>
                  <w:pPr>
                    <w:adjustRightInd w:val="0"/>
                    <w:snapToGrid w:val="0"/>
                    <w:jc w:val="center"/>
                    <w:rPr>
                      <w:rFonts w:ascii="宋体" w:hAnsi="宋体"/>
                      <w:szCs w:val="21"/>
                    </w:rPr>
                  </w:pPr>
                  <w:r>
                    <w:rPr>
                      <w:rFonts w:ascii="宋体" w:hAnsi="宋体"/>
                      <w:szCs w:val="21"/>
                    </w:rPr>
                    <w:t>1</w:t>
                  </w:r>
                  <w:r>
                    <w:rPr>
                      <w:rFonts w:hint="eastAsia" w:ascii="宋体" w:hAnsi="宋体"/>
                      <w:szCs w:val="21"/>
                    </w:rPr>
                    <w:t>#</w:t>
                  </w:r>
                  <w:r>
                    <w:rPr>
                      <w:rFonts w:ascii="宋体" w:hAnsi="宋体"/>
                      <w:szCs w:val="21"/>
                    </w:rPr>
                    <w:t>水口镇场镇</w:t>
                  </w:r>
                </w:p>
              </w:tc>
              <w:tc>
                <w:tcPr>
                  <w:tcW w:w="829" w:type="dxa"/>
                  <w:vAlign w:val="center"/>
                </w:tcPr>
                <w:p>
                  <w:pPr>
                    <w:jc w:val="center"/>
                    <w:rPr>
                      <w:rFonts w:ascii="宋体" w:hAnsi="宋体"/>
                      <w:szCs w:val="21"/>
                    </w:rPr>
                  </w:pPr>
                  <w:r>
                    <w:rPr>
                      <w:rFonts w:ascii="宋体" w:hAnsi="宋体"/>
                      <w:szCs w:val="21"/>
                    </w:rPr>
                    <w:t>1600</w:t>
                  </w:r>
                </w:p>
              </w:tc>
              <w:tc>
                <w:tcPr>
                  <w:tcW w:w="719" w:type="dxa"/>
                  <w:vAlign w:val="center"/>
                </w:tcPr>
                <w:p>
                  <w:pPr>
                    <w:jc w:val="center"/>
                    <w:rPr>
                      <w:rFonts w:ascii="宋体" w:hAnsi="宋体"/>
                      <w:szCs w:val="21"/>
                    </w:rPr>
                  </w:pPr>
                  <w:r>
                    <w:rPr>
                      <w:rFonts w:ascii="宋体" w:hAnsi="宋体"/>
                      <w:szCs w:val="21"/>
                    </w:rPr>
                    <w:t>280</w:t>
                  </w:r>
                </w:p>
              </w:tc>
              <w:tc>
                <w:tcPr>
                  <w:tcW w:w="709" w:type="dxa"/>
                  <w:vAlign w:val="center"/>
                </w:tcPr>
                <w:p>
                  <w:pPr>
                    <w:adjustRightInd w:val="0"/>
                    <w:snapToGrid w:val="0"/>
                    <w:jc w:val="center"/>
                    <w:rPr>
                      <w:rFonts w:ascii="宋体" w:hAnsi="宋体"/>
                      <w:szCs w:val="21"/>
                    </w:rPr>
                  </w:pPr>
                  <w:r>
                    <w:rPr>
                      <w:rFonts w:hint="eastAsia" w:ascii="宋体" w:hAnsi="宋体"/>
                      <w:szCs w:val="21"/>
                    </w:rPr>
                    <w:t>N</w:t>
                  </w:r>
                  <w:r>
                    <w:rPr>
                      <w:rFonts w:ascii="宋体" w:hAnsi="宋体"/>
                      <w:szCs w:val="21"/>
                    </w:rPr>
                    <w:t>H</w:t>
                  </w:r>
                  <w:r>
                    <w:rPr>
                      <w:rFonts w:ascii="宋体" w:hAnsi="宋体"/>
                      <w:szCs w:val="21"/>
                      <w:vertAlign w:val="subscript"/>
                    </w:rPr>
                    <w:t>3</w:t>
                  </w:r>
                </w:p>
              </w:tc>
              <w:tc>
                <w:tcPr>
                  <w:tcW w:w="709" w:type="dxa"/>
                  <w:vAlign w:val="center"/>
                </w:tcPr>
                <w:p>
                  <w:pPr>
                    <w:spacing w:line="360" w:lineRule="auto"/>
                    <w:jc w:val="center"/>
                    <w:rPr>
                      <w:sz w:val="24"/>
                    </w:rPr>
                  </w:pPr>
                  <w:r>
                    <w:rPr>
                      <w:rFonts w:hint="eastAsia" w:ascii="宋体" w:hAnsi="宋体"/>
                      <w:szCs w:val="21"/>
                    </w:rPr>
                    <w:t>1</w:t>
                  </w:r>
                  <w:r>
                    <w:rPr>
                      <w:rFonts w:ascii="宋体" w:hAnsi="宋体"/>
                      <w:szCs w:val="21"/>
                    </w:rPr>
                    <w:t>h</w:t>
                  </w:r>
                </w:p>
              </w:tc>
              <w:tc>
                <w:tcPr>
                  <w:tcW w:w="1134" w:type="dxa"/>
                  <w:vAlign w:val="center"/>
                </w:tcPr>
                <w:p>
                  <w:pPr>
                    <w:adjustRightInd w:val="0"/>
                    <w:snapToGrid w:val="0"/>
                    <w:jc w:val="center"/>
                    <w:rPr>
                      <w:rFonts w:ascii="宋体" w:hAnsi="宋体"/>
                      <w:szCs w:val="21"/>
                    </w:rPr>
                  </w:pPr>
                  <w:r>
                    <w:rPr>
                      <w:rFonts w:hint="eastAsia" w:ascii="宋体" w:hAnsi="宋体"/>
                      <w:szCs w:val="21"/>
                    </w:rPr>
                    <w:t>2</w:t>
                  </w:r>
                  <w:r>
                    <w:rPr>
                      <w:rFonts w:ascii="宋体" w:hAnsi="宋体"/>
                      <w:szCs w:val="21"/>
                    </w:rPr>
                    <w:t>00</w:t>
                  </w:r>
                </w:p>
              </w:tc>
              <w:tc>
                <w:tcPr>
                  <w:tcW w:w="1415" w:type="dxa"/>
                  <w:vAlign w:val="center"/>
                </w:tcPr>
                <w:p>
                  <w:pPr>
                    <w:adjustRightInd w:val="0"/>
                    <w:snapToGrid w:val="0"/>
                    <w:jc w:val="center"/>
                    <w:rPr>
                      <w:rFonts w:ascii="宋体" w:hAnsi="宋体"/>
                      <w:szCs w:val="21"/>
                    </w:rPr>
                  </w:pPr>
                  <w:r>
                    <w:rPr>
                      <w:rFonts w:hint="eastAsia" w:ascii="宋体" w:hAnsi="宋体"/>
                      <w:szCs w:val="21"/>
                    </w:rPr>
                    <w:t>1</w:t>
                  </w:r>
                  <w:r>
                    <w:rPr>
                      <w:rFonts w:ascii="宋体" w:hAnsi="宋体"/>
                      <w:szCs w:val="21"/>
                    </w:rPr>
                    <w:t>4</w:t>
                  </w:r>
                  <w:r>
                    <w:rPr>
                      <w:rFonts w:hint="eastAsia" w:ascii="Yu Gothic Medium" w:hAnsi="Yu Gothic Medium" w:eastAsia="Yu Gothic Medium"/>
                      <w:szCs w:val="21"/>
                    </w:rPr>
                    <w:t>~</w:t>
                  </w:r>
                  <w:r>
                    <w:rPr>
                      <w:rFonts w:ascii="宋体" w:hAnsi="宋体"/>
                      <w:szCs w:val="21"/>
                    </w:rPr>
                    <w:t>23</w:t>
                  </w:r>
                </w:p>
              </w:tc>
              <w:tc>
                <w:tcPr>
                  <w:tcW w:w="1136" w:type="dxa"/>
                  <w:vAlign w:val="center"/>
                </w:tcPr>
                <w:p>
                  <w:pPr>
                    <w:adjustRightInd w:val="0"/>
                    <w:snapToGrid w:val="0"/>
                    <w:jc w:val="center"/>
                    <w:rPr>
                      <w:rFonts w:ascii="宋体" w:hAnsi="宋体"/>
                      <w:szCs w:val="21"/>
                    </w:rPr>
                  </w:pPr>
                  <w:r>
                    <w:rPr>
                      <w:rFonts w:hint="eastAsia" w:ascii="宋体" w:hAnsi="宋体"/>
                      <w:szCs w:val="21"/>
                    </w:rPr>
                    <w:t>0</w:t>
                  </w:r>
                </w:p>
              </w:tc>
              <w:tc>
                <w:tcPr>
                  <w:tcW w:w="851" w:type="dxa"/>
                  <w:vAlign w:val="center"/>
                </w:tcPr>
                <w:p>
                  <w:pPr>
                    <w:adjustRightInd w:val="0"/>
                    <w:snapToGrid w:val="0"/>
                    <w:jc w:val="center"/>
                    <w:rPr>
                      <w:rFonts w:ascii="宋体" w:hAnsi="宋体"/>
                      <w:szCs w:val="21"/>
                    </w:rPr>
                  </w:pPr>
                  <w:r>
                    <w:rPr>
                      <w:rFonts w:hint="eastAsia" w:ascii="宋体" w:hAnsi="宋体"/>
                      <w:szCs w:val="21"/>
                    </w:rPr>
                    <w:t>0</w:t>
                  </w:r>
                </w:p>
              </w:tc>
              <w:tc>
                <w:tcPr>
                  <w:tcW w:w="709" w:type="dxa"/>
                  <w:vAlign w:val="center"/>
                </w:tcPr>
                <w:p>
                  <w:pPr>
                    <w:adjustRightInd w:val="0"/>
                    <w:snapToGrid w:val="0"/>
                    <w:jc w:val="center"/>
                    <w:rPr>
                      <w:rFonts w:ascii="宋体" w:hAnsi="宋体"/>
                      <w:szCs w:val="21"/>
                    </w:rPr>
                  </w:pPr>
                  <w:r>
                    <w:rPr>
                      <w:rFonts w:ascii="宋体" w:hAnsi="宋体"/>
                      <w:szCs w:val="21"/>
                    </w:rPr>
                    <w:t>达标</w:t>
                  </w:r>
                </w:p>
              </w:tc>
            </w:tr>
          </w:tbl>
          <w:p>
            <w:pPr>
              <w:spacing w:line="360" w:lineRule="auto"/>
              <w:ind w:firstLine="480" w:firstLineChars="200"/>
              <w:rPr>
                <w:rFonts w:ascii="宋体" w:hAnsi="宋体"/>
                <w:sz w:val="24"/>
              </w:rPr>
            </w:pPr>
            <w:r>
              <w:rPr>
                <w:rFonts w:ascii="宋体" w:hAnsi="宋体"/>
                <w:sz w:val="24"/>
              </w:rPr>
              <w:t>由上表可知</w:t>
            </w:r>
            <w:r>
              <w:rPr>
                <w:rFonts w:hint="eastAsia" w:ascii="宋体" w:hAnsi="宋体"/>
                <w:sz w:val="24"/>
              </w:rPr>
              <w:t>，</w:t>
            </w:r>
            <w:r>
              <w:rPr>
                <w:rFonts w:ascii="宋体" w:hAnsi="宋体"/>
                <w:sz w:val="24"/>
              </w:rPr>
              <w:t>本项目所在区域</w:t>
            </w:r>
            <w:r>
              <w:rPr>
                <w:rFonts w:hint="eastAsia" w:ascii="宋体" w:hAnsi="宋体"/>
                <w:sz w:val="24"/>
              </w:rPr>
              <w:t>N</w:t>
            </w:r>
            <w:r>
              <w:rPr>
                <w:rFonts w:ascii="宋体" w:hAnsi="宋体"/>
                <w:sz w:val="24"/>
              </w:rPr>
              <w:t>H</w:t>
            </w:r>
            <w:r>
              <w:rPr>
                <w:rFonts w:ascii="宋体" w:hAnsi="宋体"/>
                <w:sz w:val="24"/>
                <w:vertAlign w:val="subscript"/>
              </w:rPr>
              <w:t>3</w:t>
            </w:r>
            <w:r>
              <w:rPr>
                <w:rFonts w:ascii="宋体" w:hAnsi="宋体"/>
                <w:sz w:val="24"/>
              </w:rPr>
              <w:t>质量现状满足</w:t>
            </w:r>
            <w:r>
              <w:rPr>
                <w:rFonts w:hint="eastAsia" w:ascii="宋体" w:hAnsi="宋体"/>
                <w:sz w:val="24"/>
              </w:rPr>
              <w:t>《环境影响评价技术导则 大气环境》（H</w:t>
            </w:r>
            <w:r>
              <w:rPr>
                <w:rFonts w:ascii="宋体" w:hAnsi="宋体"/>
                <w:sz w:val="24"/>
              </w:rPr>
              <w:t>J2.2-2018</w:t>
            </w:r>
            <w:r>
              <w:rPr>
                <w:rFonts w:hint="eastAsia" w:ascii="宋体" w:hAnsi="宋体"/>
                <w:sz w:val="24"/>
              </w:rPr>
              <w:t>）中其他污染物控制质量浓度参考限值要求。</w:t>
            </w:r>
          </w:p>
          <w:p>
            <w:pPr>
              <w:adjustRightInd w:val="0"/>
              <w:snapToGrid w:val="0"/>
              <w:spacing w:line="360" w:lineRule="auto"/>
              <w:ind w:firstLine="480" w:firstLineChars="200"/>
              <w:rPr>
                <w:sz w:val="24"/>
              </w:rPr>
            </w:pPr>
            <w:r>
              <w:rPr>
                <w:sz w:val="24"/>
              </w:rPr>
              <w:t>2、地面水环境质量</w:t>
            </w:r>
          </w:p>
          <w:p>
            <w:pPr>
              <w:adjustRightInd w:val="0"/>
              <w:snapToGrid w:val="0"/>
              <w:spacing w:line="360" w:lineRule="auto"/>
              <w:ind w:firstLine="480" w:firstLineChars="200"/>
              <w:rPr>
                <w:sz w:val="24"/>
              </w:rPr>
            </w:pPr>
            <w:r>
              <w:rPr>
                <w:rFonts w:hint="eastAsia"/>
                <w:sz w:val="24"/>
              </w:rPr>
              <w:t>本项目位于乐山市市中区集中工业区水口-罗汉园区内，项目所在区域属于地表水</w:t>
            </w:r>
            <w:r>
              <w:rPr>
                <w:rFonts w:hint="eastAsia" w:ascii="宋体" w:hAnsi="宋体"/>
                <w:sz w:val="24"/>
              </w:rPr>
              <w:t>Ⅲ</w:t>
            </w:r>
            <w:r>
              <w:rPr>
                <w:rFonts w:hint="eastAsia"/>
                <w:sz w:val="24"/>
              </w:rPr>
              <w:t>类水域区域，根据《乐山市2</w:t>
            </w:r>
            <w:r>
              <w:rPr>
                <w:sz w:val="24"/>
              </w:rPr>
              <w:t>018年</w:t>
            </w:r>
            <w:r>
              <w:rPr>
                <w:rFonts w:hint="eastAsia"/>
                <w:sz w:val="24"/>
              </w:rPr>
              <w:t>1</w:t>
            </w:r>
            <w:r>
              <w:rPr>
                <w:sz w:val="24"/>
              </w:rPr>
              <w:t>1月地表水水质</w:t>
            </w:r>
            <w:r>
              <w:rPr>
                <w:rFonts w:hint="eastAsia"/>
                <w:sz w:val="24"/>
              </w:rPr>
              <w:t>质量</w:t>
            </w:r>
            <w:r>
              <w:rPr>
                <w:sz w:val="24"/>
              </w:rPr>
              <w:t>月报</w:t>
            </w:r>
            <w:r>
              <w:rPr>
                <w:rFonts w:hint="eastAsia"/>
                <w:sz w:val="24"/>
              </w:rPr>
              <w:t>》，大渡河李码头监测断面2</w:t>
            </w:r>
            <w:r>
              <w:rPr>
                <w:sz w:val="24"/>
              </w:rPr>
              <w:t>018年</w:t>
            </w:r>
            <w:r>
              <w:rPr>
                <w:rFonts w:hint="eastAsia"/>
                <w:sz w:val="24"/>
              </w:rPr>
              <w:t>1</w:t>
            </w:r>
            <w:r>
              <w:rPr>
                <w:sz w:val="24"/>
              </w:rPr>
              <w:t>1月的水质达到国家规定的</w:t>
            </w:r>
            <w:r>
              <w:rPr>
                <w:rFonts w:hint="eastAsia"/>
                <w:sz w:val="24"/>
              </w:rPr>
              <w:t>《地表水环境质量标准》</w:t>
            </w:r>
            <w:r>
              <w:rPr>
                <w:rFonts w:hint="eastAsia" w:ascii="宋体" w:hAnsi="宋体"/>
                <w:sz w:val="24"/>
              </w:rPr>
              <w:t>Ⅲ</w:t>
            </w:r>
            <w:r>
              <w:rPr>
                <w:rFonts w:hint="eastAsia"/>
                <w:sz w:val="24"/>
              </w:rPr>
              <w:t>类水域标准，水质状况优良。</w:t>
            </w:r>
          </w:p>
          <w:p>
            <w:pPr>
              <w:pStyle w:val="124"/>
              <w:snapToGrid w:val="0"/>
              <w:spacing w:line="360" w:lineRule="auto"/>
              <w:ind w:left="0" w:right="0" w:firstLine="480" w:firstLineChars="200"/>
              <w:jc w:val="both"/>
            </w:pPr>
            <w:r>
              <w:t>因此本项目所在区域地表水环境良好</w:t>
            </w:r>
            <w:r>
              <w:rPr>
                <w:rFonts w:hint="eastAsia"/>
              </w:rPr>
              <w:t>。</w:t>
            </w:r>
          </w:p>
          <w:p>
            <w:pPr>
              <w:pStyle w:val="124"/>
              <w:snapToGrid w:val="0"/>
              <w:spacing w:line="360" w:lineRule="auto"/>
              <w:ind w:left="0" w:right="0" w:firstLine="480" w:firstLineChars="200"/>
              <w:jc w:val="both"/>
              <w:rPr>
                <w:rFonts w:ascii="宋体" w:hAnsi="宋体"/>
                <w:szCs w:val="24"/>
              </w:rPr>
            </w:pPr>
            <w:r>
              <w:drawing>
                <wp:inline distT="0" distB="0" distL="0" distR="0">
                  <wp:extent cx="5762625" cy="3381375"/>
                  <wp:effectExtent l="19050" t="0" r="9525" b="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noChangeArrowheads="1"/>
                          </pic:cNvPicPr>
                        </pic:nvPicPr>
                        <pic:blipFill>
                          <a:blip r:embed="rId18"/>
                          <a:srcRect/>
                          <a:stretch>
                            <a:fillRect/>
                          </a:stretch>
                        </pic:blipFill>
                        <pic:spPr>
                          <a:xfrm>
                            <a:off x="0" y="0"/>
                            <a:ext cx="5762625" cy="3381375"/>
                          </a:xfrm>
                          <a:prstGeom prst="rect">
                            <a:avLst/>
                          </a:prstGeom>
                          <a:noFill/>
                          <a:ln w="9525">
                            <a:noFill/>
                            <a:miter lim="800000"/>
                            <a:headEnd/>
                            <a:tailEnd/>
                          </a:ln>
                        </pic:spPr>
                      </pic:pic>
                    </a:graphicData>
                  </a:graphic>
                </wp:inline>
              </w:drawing>
            </w:r>
          </w:p>
          <w:p>
            <w:pPr>
              <w:adjustRightInd w:val="0"/>
              <w:snapToGrid w:val="0"/>
              <w:spacing w:line="360" w:lineRule="auto"/>
              <w:ind w:firstLine="480" w:firstLineChars="200"/>
              <w:rPr>
                <w:bCs/>
                <w:sz w:val="24"/>
              </w:rPr>
            </w:pPr>
            <w:r>
              <w:rPr>
                <w:rFonts w:hint="eastAsia"/>
                <w:bCs/>
                <w:sz w:val="24"/>
              </w:rPr>
              <w:t>3</w:t>
            </w:r>
            <w:r>
              <w:rPr>
                <w:bCs/>
                <w:sz w:val="24"/>
              </w:rPr>
              <w:t>、声环境质量</w:t>
            </w:r>
          </w:p>
          <w:p>
            <w:pPr>
              <w:adjustRightInd w:val="0"/>
              <w:snapToGrid w:val="0"/>
              <w:spacing w:line="360" w:lineRule="auto"/>
              <w:ind w:firstLine="436" w:firstLineChars="182"/>
              <w:rPr>
                <w:rFonts w:ascii="宋体" w:hAnsi="宋体"/>
                <w:sz w:val="24"/>
              </w:rPr>
            </w:pPr>
            <w:r>
              <w:rPr>
                <w:rFonts w:hint="eastAsia" w:ascii="宋体" w:hAnsi="宋体"/>
                <w:sz w:val="24"/>
              </w:rPr>
              <w:t>（1）监测点位：见表3-7</w:t>
            </w:r>
          </w:p>
          <w:p>
            <w:pPr>
              <w:pStyle w:val="464"/>
              <w:ind w:firstLine="2523" w:firstLineChars="1047"/>
              <w:jc w:val="both"/>
              <w:rPr>
                <w:rFonts w:ascii="Times New Roman" w:hAnsi="Times New Roman" w:eastAsia="宋体" w:cs="Times New Roman"/>
                <w:b/>
                <w:szCs w:val="24"/>
              </w:rPr>
            </w:pPr>
            <w:r>
              <w:rPr>
                <w:rFonts w:hint="eastAsia" w:ascii="Times New Roman" w:hAnsi="Times New Roman" w:eastAsia="宋体" w:cs="Times New Roman"/>
                <w:b/>
                <w:szCs w:val="24"/>
              </w:rPr>
              <w:t>表3-6 噪声监测布点一览表</w:t>
            </w:r>
          </w:p>
          <w:tbl>
            <w:tblPr>
              <w:tblStyle w:val="53"/>
              <w:tblW w:w="71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60"/>
              <w:gridCol w:w="1299"/>
              <w:gridCol w:w="39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1" w:hRule="atLeast"/>
                <w:jc w:val="center"/>
              </w:trPr>
              <w:tc>
                <w:tcPr>
                  <w:tcW w:w="1860" w:type="dxa"/>
                  <w:vAlign w:val="center"/>
                </w:tcPr>
                <w:p>
                  <w:pPr>
                    <w:snapToGrid w:val="0"/>
                    <w:spacing w:line="300" w:lineRule="exact"/>
                    <w:jc w:val="center"/>
                    <w:rPr>
                      <w:rFonts w:ascii="宋体" w:hAnsi="宋体"/>
                      <w:bCs/>
                      <w:szCs w:val="21"/>
                    </w:rPr>
                  </w:pPr>
                  <w:r>
                    <w:rPr>
                      <w:rFonts w:ascii="宋体" w:hAnsi="宋体"/>
                      <w:bCs/>
                      <w:szCs w:val="21"/>
                    </w:rPr>
                    <w:t>类别</w:t>
                  </w:r>
                </w:p>
              </w:tc>
              <w:tc>
                <w:tcPr>
                  <w:tcW w:w="1299" w:type="dxa"/>
                  <w:vAlign w:val="center"/>
                </w:tcPr>
                <w:p>
                  <w:pPr>
                    <w:snapToGrid w:val="0"/>
                    <w:spacing w:line="300" w:lineRule="exact"/>
                    <w:jc w:val="center"/>
                    <w:rPr>
                      <w:rFonts w:ascii="宋体" w:hAnsi="宋体"/>
                      <w:bCs/>
                      <w:szCs w:val="21"/>
                    </w:rPr>
                  </w:pPr>
                  <w:r>
                    <w:rPr>
                      <w:rFonts w:ascii="宋体" w:hAnsi="宋体"/>
                      <w:bCs/>
                      <w:szCs w:val="21"/>
                    </w:rPr>
                    <w:t>监测点位</w:t>
                  </w:r>
                </w:p>
              </w:tc>
              <w:tc>
                <w:tcPr>
                  <w:tcW w:w="3969" w:type="dxa"/>
                  <w:vAlign w:val="center"/>
                </w:tcPr>
                <w:p>
                  <w:pPr>
                    <w:snapToGrid w:val="0"/>
                    <w:spacing w:line="300" w:lineRule="exact"/>
                    <w:jc w:val="center"/>
                    <w:rPr>
                      <w:rFonts w:ascii="宋体" w:hAnsi="宋体"/>
                      <w:bCs/>
                      <w:szCs w:val="21"/>
                    </w:rPr>
                  </w:pPr>
                  <w:r>
                    <w:rPr>
                      <w:rFonts w:ascii="宋体" w:hAnsi="宋体"/>
                      <w:bCs/>
                      <w:szCs w:val="21"/>
                    </w:rPr>
                    <w:t>监测点情况描述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5" w:hRule="atLeast"/>
                <w:jc w:val="center"/>
              </w:trPr>
              <w:tc>
                <w:tcPr>
                  <w:tcW w:w="1860" w:type="dxa"/>
                  <w:vMerge w:val="restart"/>
                  <w:vAlign w:val="center"/>
                </w:tcPr>
                <w:p>
                  <w:pPr>
                    <w:snapToGrid w:val="0"/>
                    <w:spacing w:line="300" w:lineRule="exact"/>
                    <w:jc w:val="center"/>
                    <w:rPr>
                      <w:rFonts w:ascii="宋体" w:hAnsi="宋体"/>
                      <w:bCs/>
                      <w:szCs w:val="21"/>
                    </w:rPr>
                  </w:pPr>
                  <w:r>
                    <w:rPr>
                      <w:rFonts w:ascii="宋体" w:hAnsi="宋体"/>
                      <w:bCs/>
                      <w:szCs w:val="21"/>
                    </w:rPr>
                    <w:t>场界噪声</w:t>
                  </w:r>
                </w:p>
              </w:tc>
              <w:tc>
                <w:tcPr>
                  <w:tcW w:w="1299" w:type="dxa"/>
                  <w:vAlign w:val="center"/>
                </w:tcPr>
                <w:p>
                  <w:pPr>
                    <w:spacing w:line="300" w:lineRule="exact"/>
                    <w:jc w:val="center"/>
                    <w:rPr>
                      <w:rFonts w:ascii="宋体" w:hAnsi="宋体"/>
                      <w:szCs w:val="21"/>
                    </w:rPr>
                  </w:pPr>
                  <w:r>
                    <w:rPr>
                      <w:rFonts w:ascii="宋体" w:hAnsi="宋体"/>
                      <w:szCs w:val="21"/>
                    </w:rPr>
                    <w:t>1#</w:t>
                  </w:r>
                </w:p>
              </w:tc>
              <w:tc>
                <w:tcPr>
                  <w:tcW w:w="3969" w:type="dxa"/>
                  <w:vAlign w:val="center"/>
                </w:tcPr>
                <w:p>
                  <w:pPr>
                    <w:snapToGrid w:val="0"/>
                    <w:spacing w:line="300" w:lineRule="exact"/>
                    <w:jc w:val="center"/>
                    <w:rPr>
                      <w:rFonts w:ascii="宋体" w:hAnsi="宋体"/>
                      <w:bCs/>
                      <w:szCs w:val="21"/>
                    </w:rPr>
                  </w:pPr>
                  <w:r>
                    <w:rPr>
                      <w:rFonts w:ascii="宋体" w:hAnsi="宋体"/>
                      <w:bCs/>
                      <w:szCs w:val="21"/>
                    </w:rPr>
                    <w:t>场界</w:t>
                  </w:r>
                  <w:r>
                    <w:rPr>
                      <w:rFonts w:hint="eastAsia" w:ascii="宋体" w:hAnsi="宋体"/>
                      <w:bCs/>
                      <w:szCs w:val="21"/>
                    </w:rPr>
                    <w:t>东北</w:t>
                  </w:r>
                  <w:r>
                    <w:rPr>
                      <w:rFonts w:ascii="宋体" w:hAnsi="宋体"/>
                      <w:bCs/>
                      <w:szCs w:val="21"/>
                    </w:rPr>
                    <w:t>侧，</w:t>
                  </w:r>
                  <w:r>
                    <w:rPr>
                      <w:rFonts w:hint="eastAsia" w:ascii="宋体" w:hAnsi="宋体"/>
                      <w:bCs/>
                      <w:szCs w:val="21"/>
                    </w:rPr>
                    <w:t>场界</w:t>
                  </w:r>
                  <w:r>
                    <w:rPr>
                      <w:rFonts w:ascii="宋体" w:hAnsi="宋体"/>
                      <w:bCs/>
                      <w:szCs w:val="21"/>
                    </w:rPr>
                    <w:t>外1m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5" w:hRule="atLeast"/>
                <w:jc w:val="center"/>
              </w:trPr>
              <w:tc>
                <w:tcPr>
                  <w:tcW w:w="1860" w:type="dxa"/>
                  <w:vMerge w:val="continue"/>
                  <w:vAlign w:val="center"/>
                </w:tcPr>
                <w:p>
                  <w:pPr>
                    <w:snapToGrid w:val="0"/>
                    <w:spacing w:line="300" w:lineRule="exact"/>
                    <w:jc w:val="center"/>
                    <w:rPr>
                      <w:rFonts w:ascii="宋体" w:hAnsi="宋体"/>
                      <w:bCs/>
                      <w:szCs w:val="21"/>
                    </w:rPr>
                  </w:pPr>
                </w:p>
              </w:tc>
              <w:tc>
                <w:tcPr>
                  <w:tcW w:w="1299" w:type="dxa"/>
                  <w:vAlign w:val="center"/>
                </w:tcPr>
                <w:p>
                  <w:pPr>
                    <w:spacing w:line="300" w:lineRule="exact"/>
                    <w:jc w:val="center"/>
                    <w:rPr>
                      <w:rFonts w:ascii="宋体" w:hAnsi="宋体"/>
                      <w:szCs w:val="21"/>
                    </w:rPr>
                  </w:pPr>
                  <w:r>
                    <w:rPr>
                      <w:rFonts w:ascii="宋体" w:hAnsi="宋体"/>
                      <w:szCs w:val="21"/>
                    </w:rPr>
                    <w:t>2#</w:t>
                  </w:r>
                </w:p>
              </w:tc>
              <w:tc>
                <w:tcPr>
                  <w:tcW w:w="3969" w:type="dxa"/>
                  <w:vAlign w:val="center"/>
                </w:tcPr>
                <w:p>
                  <w:pPr>
                    <w:snapToGrid w:val="0"/>
                    <w:spacing w:line="300" w:lineRule="exact"/>
                    <w:jc w:val="center"/>
                    <w:rPr>
                      <w:rFonts w:ascii="宋体" w:hAnsi="宋体"/>
                      <w:bCs/>
                      <w:szCs w:val="21"/>
                    </w:rPr>
                  </w:pPr>
                  <w:r>
                    <w:rPr>
                      <w:rFonts w:ascii="宋体" w:hAnsi="宋体"/>
                      <w:bCs/>
                      <w:szCs w:val="21"/>
                    </w:rPr>
                    <w:t>场界</w:t>
                  </w:r>
                  <w:r>
                    <w:rPr>
                      <w:rFonts w:hint="eastAsia" w:ascii="宋体" w:hAnsi="宋体"/>
                      <w:bCs/>
                      <w:szCs w:val="21"/>
                    </w:rPr>
                    <w:t>东南</w:t>
                  </w:r>
                  <w:r>
                    <w:rPr>
                      <w:rFonts w:ascii="宋体" w:hAnsi="宋体"/>
                      <w:bCs/>
                      <w:szCs w:val="21"/>
                    </w:rPr>
                    <w:t>侧，</w:t>
                  </w:r>
                  <w:r>
                    <w:rPr>
                      <w:rFonts w:hint="eastAsia" w:ascii="宋体" w:hAnsi="宋体"/>
                      <w:bCs/>
                      <w:szCs w:val="21"/>
                    </w:rPr>
                    <w:t>场界</w:t>
                  </w:r>
                  <w:r>
                    <w:rPr>
                      <w:rFonts w:ascii="宋体" w:hAnsi="宋体"/>
                      <w:bCs/>
                      <w:szCs w:val="21"/>
                    </w:rPr>
                    <w:t>外1m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1860" w:type="dxa"/>
                  <w:vMerge w:val="continue"/>
                  <w:vAlign w:val="center"/>
                </w:tcPr>
                <w:p>
                  <w:pPr>
                    <w:snapToGrid w:val="0"/>
                    <w:spacing w:line="300" w:lineRule="exact"/>
                    <w:jc w:val="center"/>
                    <w:rPr>
                      <w:rFonts w:ascii="宋体" w:hAnsi="宋体"/>
                      <w:bCs/>
                      <w:szCs w:val="21"/>
                    </w:rPr>
                  </w:pPr>
                </w:p>
              </w:tc>
              <w:tc>
                <w:tcPr>
                  <w:tcW w:w="1299" w:type="dxa"/>
                  <w:vAlign w:val="center"/>
                </w:tcPr>
                <w:p>
                  <w:pPr>
                    <w:spacing w:line="300" w:lineRule="exact"/>
                    <w:jc w:val="center"/>
                    <w:rPr>
                      <w:rFonts w:ascii="宋体" w:hAnsi="宋体"/>
                      <w:szCs w:val="21"/>
                    </w:rPr>
                  </w:pPr>
                  <w:r>
                    <w:rPr>
                      <w:rFonts w:ascii="宋体" w:hAnsi="宋体"/>
                      <w:szCs w:val="21"/>
                    </w:rPr>
                    <w:t>3#</w:t>
                  </w:r>
                </w:p>
              </w:tc>
              <w:tc>
                <w:tcPr>
                  <w:tcW w:w="3969" w:type="dxa"/>
                  <w:vAlign w:val="center"/>
                </w:tcPr>
                <w:p>
                  <w:pPr>
                    <w:snapToGrid w:val="0"/>
                    <w:spacing w:line="300" w:lineRule="exact"/>
                    <w:jc w:val="center"/>
                    <w:rPr>
                      <w:rFonts w:ascii="宋体" w:hAnsi="宋体"/>
                      <w:bCs/>
                      <w:szCs w:val="21"/>
                    </w:rPr>
                  </w:pPr>
                  <w:r>
                    <w:rPr>
                      <w:rFonts w:ascii="宋体" w:hAnsi="宋体"/>
                      <w:bCs/>
                      <w:szCs w:val="21"/>
                    </w:rPr>
                    <w:t>场界</w:t>
                  </w:r>
                  <w:r>
                    <w:rPr>
                      <w:rFonts w:hint="eastAsia" w:ascii="宋体" w:hAnsi="宋体"/>
                      <w:bCs/>
                      <w:szCs w:val="21"/>
                    </w:rPr>
                    <w:t>西南</w:t>
                  </w:r>
                  <w:r>
                    <w:rPr>
                      <w:rFonts w:ascii="宋体" w:hAnsi="宋体"/>
                      <w:bCs/>
                      <w:szCs w:val="21"/>
                    </w:rPr>
                    <w:t>侧，</w:t>
                  </w:r>
                  <w:r>
                    <w:rPr>
                      <w:rFonts w:hint="eastAsia" w:ascii="宋体" w:hAnsi="宋体"/>
                      <w:bCs/>
                      <w:szCs w:val="21"/>
                    </w:rPr>
                    <w:t>场界</w:t>
                  </w:r>
                  <w:r>
                    <w:rPr>
                      <w:rFonts w:ascii="宋体" w:hAnsi="宋体"/>
                      <w:bCs/>
                      <w:szCs w:val="21"/>
                    </w:rPr>
                    <w:t>外1m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1860" w:type="dxa"/>
                  <w:vMerge w:val="continue"/>
                  <w:vAlign w:val="center"/>
                </w:tcPr>
                <w:p>
                  <w:pPr>
                    <w:snapToGrid w:val="0"/>
                    <w:spacing w:line="300" w:lineRule="exact"/>
                    <w:jc w:val="center"/>
                    <w:rPr>
                      <w:rFonts w:ascii="宋体" w:hAnsi="宋体"/>
                      <w:bCs/>
                      <w:szCs w:val="21"/>
                    </w:rPr>
                  </w:pPr>
                </w:p>
              </w:tc>
              <w:tc>
                <w:tcPr>
                  <w:tcW w:w="1299" w:type="dxa"/>
                  <w:vAlign w:val="center"/>
                </w:tcPr>
                <w:p>
                  <w:pPr>
                    <w:spacing w:line="300" w:lineRule="exact"/>
                    <w:jc w:val="center"/>
                    <w:rPr>
                      <w:rFonts w:ascii="宋体" w:hAnsi="宋体"/>
                      <w:szCs w:val="21"/>
                    </w:rPr>
                  </w:pPr>
                  <w:r>
                    <w:rPr>
                      <w:rFonts w:ascii="宋体" w:hAnsi="宋体"/>
                      <w:szCs w:val="21"/>
                    </w:rPr>
                    <w:t>4#</w:t>
                  </w:r>
                </w:p>
              </w:tc>
              <w:tc>
                <w:tcPr>
                  <w:tcW w:w="3969" w:type="dxa"/>
                  <w:vAlign w:val="center"/>
                </w:tcPr>
                <w:p>
                  <w:pPr>
                    <w:snapToGrid w:val="0"/>
                    <w:spacing w:line="300" w:lineRule="exact"/>
                    <w:jc w:val="center"/>
                    <w:rPr>
                      <w:rFonts w:ascii="宋体" w:hAnsi="宋体"/>
                      <w:bCs/>
                      <w:szCs w:val="21"/>
                    </w:rPr>
                  </w:pPr>
                  <w:r>
                    <w:rPr>
                      <w:rFonts w:ascii="宋体" w:hAnsi="宋体"/>
                      <w:bCs/>
                      <w:szCs w:val="21"/>
                    </w:rPr>
                    <w:t>场界</w:t>
                  </w:r>
                  <w:r>
                    <w:rPr>
                      <w:rFonts w:hint="eastAsia" w:ascii="宋体" w:hAnsi="宋体"/>
                      <w:bCs/>
                      <w:szCs w:val="21"/>
                    </w:rPr>
                    <w:t>西北</w:t>
                  </w:r>
                  <w:r>
                    <w:rPr>
                      <w:rFonts w:ascii="宋体" w:hAnsi="宋体"/>
                      <w:bCs/>
                      <w:szCs w:val="21"/>
                    </w:rPr>
                    <w:t>侧，</w:t>
                  </w:r>
                  <w:r>
                    <w:rPr>
                      <w:rFonts w:hint="eastAsia" w:ascii="宋体" w:hAnsi="宋体"/>
                      <w:bCs/>
                      <w:szCs w:val="21"/>
                    </w:rPr>
                    <w:t>场界</w:t>
                  </w:r>
                  <w:r>
                    <w:rPr>
                      <w:rFonts w:ascii="宋体" w:hAnsi="宋体"/>
                      <w:bCs/>
                      <w:szCs w:val="21"/>
                    </w:rPr>
                    <w:t>外1m</w:t>
                  </w:r>
                </w:p>
              </w:tc>
            </w:tr>
          </w:tbl>
          <w:p>
            <w:pPr>
              <w:spacing w:line="360" w:lineRule="auto"/>
              <w:ind w:firstLine="480" w:firstLineChars="200"/>
              <w:rPr>
                <w:rFonts w:ascii="宋体" w:hAnsi="宋体"/>
                <w:sz w:val="24"/>
              </w:rPr>
            </w:pPr>
            <w:r>
              <w:rPr>
                <w:rFonts w:hint="eastAsia" w:ascii="宋体" w:hAnsi="宋体"/>
                <w:sz w:val="24"/>
              </w:rPr>
              <w:t xml:space="preserve">（2）监测项目及监测方法 </w:t>
            </w:r>
          </w:p>
          <w:p>
            <w:pPr>
              <w:spacing w:line="360" w:lineRule="auto"/>
              <w:ind w:firstLine="480" w:firstLineChars="200"/>
              <w:rPr>
                <w:rFonts w:ascii="宋体" w:hAnsi="宋体"/>
                <w:sz w:val="24"/>
              </w:rPr>
            </w:pPr>
            <w:r>
              <w:rPr>
                <w:rFonts w:ascii="宋体" w:hAnsi="宋体"/>
                <w:sz w:val="24"/>
              </w:rPr>
              <w:t>各监测点位昼间及夜间的等效连续</w:t>
            </w:r>
            <w:r>
              <w:rPr>
                <w:sz w:val="24"/>
              </w:rPr>
              <w:t>A</w:t>
            </w:r>
            <w:r>
              <w:rPr>
                <w:rFonts w:ascii="宋体" w:hAnsi="宋体"/>
                <w:sz w:val="24"/>
              </w:rPr>
              <w:t>声级。</w:t>
            </w:r>
          </w:p>
          <w:p>
            <w:pPr>
              <w:spacing w:line="360" w:lineRule="auto"/>
              <w:ind w:firstLine="480" w:firstLineChars="200"/>
              <w:rPr>
                <w:sz w:val="24"/>
              </w:rPr>
            </w:pPr>
            <w:r>
              <w:rPr>
                <w:rFonts w:ascii="宋体" w:hAnsi="宋体"/>
                <w:sz w:val="24"/>
              </w:rPr>
              <w:t>根</w:t>
            </w:r>
            <w:r>
              <w:rPr>
                <w:rFonts w:hAnsi="宋体"/>
                <w:sz w:val="24"/>
              </w:rPr>
              <w:t>据《声环境质量标准》（</w:t>
            </w:r>
            <w:r>
              <w:rPr>
                <w:sz w:val="24"/>
              </w:rPr>
              <w:t>GB3096-2008</w:t>
            </w:r>
            <w:r>
              <w:rPr>
                <w:rFonts w:hAnsi="宋体"/>
                <w:sz w:val="24"/>
              </w:rPr>
              <w:t>）及《环境影响评价技术导则</w:t>
            </w:r>
            <w:r>
              <w:rPr>
                <w:sz w:val="24"/>
              </w:rPr>
              <w:t>—</w:t>
            </w:r>
            <w:r>
              <w:rPr>
                <w:rFonts w:hAnsi="宋体"/>
                <w:sz w:val="24"/>
              </w:rPr>
              <w:t>声环境》（</w:t>
            </w:r>
            <w:r>
              <w:rPr>
                <w:sz w:val="24"/>
              </w:rPr>
              <w:t>HJ 2.4-2009</w:t>
            </w:r>
            <w:r>
              <w:rPr>
                <w:rFonts w:hAnsi="宋体"/>
                <w:sz w:val="24"/>
              </w:rPr>
              <w:t>）的规定进行测试。</w:t>
            </w:r>
          </w:p>
          <w:p>
            <w:pPr>
              <w:spacing w:line="360" w:lineRule="auto"/>
              <w:ind w:firstLine="360" w:firstLineChars="150"/>
              <w:rPr>
                <w:rFonts w:ascii="宋体" w:hAnsi="宋体"/>
                <w:sz w:val="24"/>
              </w:rPr>
            </w:pPr>
            <w:r>
              <w:rPr>
                <w:rFonts w:hint="eastAsia" w:ascii="宋体" w:hAnsi="宋体"/>
                <w:sz w:val="24"/>
              </w:rPr>
              <w:t>（3）监测时间及监测频次</w:t>
            </w:r>
          </w:p>
          <w:p>
            <w:pPr>
              <w:spacing w:line="360" w:lineRule="auto"/>
              <w:ind w:firstLine="480" w:firstLineChars="200"/>
              <w:rPr>
                <w:rFonts w:ascii="宋体" w:hAnsi="宋体"/>
                <w:sz w:val="24"/>
              </w:rPr>
            </w:pPr>
            <w:r>
              <w:rPr>
                <w:rFonts w:hint="eastAsia" w:ascii="宋体" w:hAnsi="宋体"/>
                <w:sz w:val="24"/>
              </w:rPr>
              <w:t xml:space="preserve"> 连续监测2天，每天采样1次。</w:t>
            </w:r>
          </w:p>
          <w:p>
            <w:pPr>
              <w:rPr>
                <w:sz w:val="24"/>
              </w:rPr>
            </w:pPr>
            <w:r>
              <w:rPr>
                <w:rFonts w:hint="eastAsia"/>
                <w:sz w:val="24"/>
              </w:rPr>
              <w:t xml:space="preserve">   （4）监测结果及评价见下表：</w:t>
            </w:r>
          </w:p>
          <w:p>
            <w:pPr>
              <w:ind w:firstLine="480"/>
              <w:jc w:val="center"/>
              <w:rPr>
                <w:b/>
                <w:szCs w:val="21"/>
              </w:rPr>
            </w:pPr>
            <w:r>
              <w:rPr>
                <w:b/>
                <w:sz w:val="24"/>
              </w:rPr>
              <w:t>表3-</w:t>
            </w:r>
            <w:r>
              <w:rPr>
                <w:rFonts w:hint="eastAsia"/>
                <w:b/>
                <w:sz w:val="24"/>
              </w:rPr>
              <w:t>7</w:t>
            </w:r>
            <w:r>
              <w:rPr>
                <w:b/>
                <w:sz w:val="24"/>
              </w:rPr>
              <w:t xml:space="preserve"> 区域声环境质量现状评价结果   </w:t>
            </w:r>
            <w:r>
              <w:rPr>
                <w:sz w:val="28"/>
              </w:rPr>
              <w:t xml:space="preserve">   </w:t>
            </w:r>
            <w:r>
              <w:rPr>
                <w:b/>
                <w:szCs w:val="21"/>
              </w:rPr>
              <w:t>单位</w:t>
            </w:r>
            <w:r>
              <w:rPr>
                <w:rFonts w:hint="eastAsia"/>
                <w:b/>
                <w:szCs w:val="21"/>
              </w:rPr>
              <w:t>：</w:t>
            </w:r>
            <w:r>
              <w:rPr>
                <w:b/>
                <w:szCs w:val="21"/>
              </w:rPr>
              <w:t>dB(A)</w:t>
            </w:r>
          </w:p>
          <w:tbl>
            <w:tblPr>
              <w:tblStyle w:val="53"/>
              <w:tblW w:w="863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835"/>
              <w:gridCol w:w="1320"/>
              <w:gridCol w:w="1350"/>
              <w:gridCol w:w="1305"/>
              <w:gridCol w:w="13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1442" w:type="dxa"/>
                  <w:vMerge w:val="restart"/>
                  <w:vAlign w:val="center"/>
                </w:tcPr>
                <w:p>
                  <w:pPr>
                    <w:jc w:val="center"/>
                    <w:rPr>
                      <w:rFonts w:ascii="宋体" w:hAnsi="宋体" w:cs="宋体"/>
                      <w:szCs w:val="21"/>
                    </w:rPr>
                  </w:pPr>
                  <w:r>
                    <w:rPr>
                      <w:rFonts w:hint="eastAsia" w:ascii="宋体" w:hAnsi="宋体" w:cs="宋体"/>
                      <w:szCs w:val="21"/>
                    </w:rPr>
                    <w:t>类别</w:t>
                  </w:r>
                </w:p>
              </w:tc>
              <w:tc>
                <w:tcPr>
                  <w:tcW w:w="1835" w:type="dxa"/>
                  <w:vMerge w:val="restart"/>
                  <w:vAlign w:val="center"/>
                </w:tcPr>
                <w:p>
                  <w:pPr>
                    <w:ind w:right="15" w:rightChars="7"/>
                    <w:jc w:val="center"/>
                    <w:rPr>
                      <w:rFonts w:ascii="宋体" w:hAnsi="宋体" w:cs="宋体"/>
                      <w:szCs w:val="21"/>
                    </w:rPr>
                  </w:pPr>
                  <w:r>
                    <w:rPr>
                      <w:rFonts w:hint="eastAsia" w:ascii="宋体" w:hAnsi="宋体" w:cs="宋体"/>
                      <w:szCs w:val="21"/>
                    </w:rPr>
                    <w:t>监测点位</w:t>
                  </w:r>
                </w:p>
              </w:tc>
              <w:tc>
                <w:tcPr>
                  <w:tcW w:w="5355" w:type="dxa"/>
                  <w:gridSpan w:val="4"/>
                  <w:vAlign w:val="center"/>
                </w:tcPr>
                <w:p>
                  <w:pPr>
                    <w:ind w:right="15" w:rightChars="7"/>
                    <w:jc w:val="center"/>
                    <w:rPr>
                      <w:rFonts w:ascii="宋体" w:hAnsi="宋体" w:cs="宋体"/>
                      <w:szCs w:val="21"/>
                    </w:rPr>
                  </w:pPr>
                  <w:r>
                    <w:rPr>
                      <w:rFonts w:hint="eastAsia" w:ascii="宋体" w:hAnsi="宋体" w:cs="宋体"/>
                      <w:szCs w:val="21"/>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1442" w:type="dxa"/>
                  <w:vMerge w:val="continue"/>
                  <w:vAlign w:val="center"/>
                </w:tcPr>
                <w:p>
                  <w:pPr>
                    <w:ind w:right="15" w:rightChars="7"/>
                    <w:jc w:val="center"/>
                  </w:pPr>
                </w:p>
              </w:tc>
              <w:tc>
                <w:tcPr>
                  <w:tcW w:w="1835" w:type="dxa"/>
                  <w:vMerge w:val="continue"/>
                  <w:vAlign w:val="center"/>
                </w:tcPr>
                <w:p>
                  <w:pPr>
                    <w:ind w:right="15" w:rightChars="7"/>
                    <w:jc w:val="center"/>
                  </w:pPr>
                </w:p>
              </w:tc>
              <w:tc>
                <w:tcPr>
                  <w:tcW w:w="2670" w:type="dxa"/>
                  <w:gridSpan w:val="2"/>
                  <w:vAlign w:val="center"/>
                </w:tcPr>
                <w:p>
                  <w:pPr>
                    <w:tabs>
                      <w:tab w:val="left" w:pos="3109"/>
                      <w:tab w:val="center" w:pos="7028"/>
                    </w:tabs>
                    <w:ind w:right="15" w:rightChars="7"/>
                    <w:jc w:val="center"/>
                    <w:rPr>
                      <w:rFonts w:ascii="宋体" w:hAnsi="宋体" w:cs="宋体"/>
                      <w:szCs w:val="21"/>
                    </w:rPr>
                  </w:pPr>
                  <w:r>
                    <w:rPr>
                      <w:rFonts w:ascii="宋体" w:hAnsi="宋体" w:cs="宋体"/>
                      <w:szCs w:val="21"/>
                    </w:rPr>
                    <w:t>3</w:t>
                  </w:r>
                  <w:r>
                    <w:rPr>
                      <w:rFonts w:hint="eastAsia" w:ascii="宋体" w:hAnsi="宋体" w:cs="宋体"/>
                      <w:szCs w:val="21"/>
                    </w:rPr>
                    <w:t>月1日</w:t>
                  </w:r>
                </w:p>
              </w:tc>
              <w:tc>
                <w:tcPr>
                  <w:tcW w:w="2685" w:type="dxa"/>
                  <w:gridSpan w:val="2"/>
                  <w:vAlign w:val="center"/>
                </w:tcPr>
                <w:p>
                  <w:pPr>
                    <w:tabs>
                      <w:tab w:val="left" w:pos="3109"/>
                      <w:tab w:val="center" w:pos="7028"/>
                    </w:tabs>
                    <w:ind w:right="15" w:rightChars="7"/>
                    <w:jc w:val="center"/>
                    <w:rPr>
                      <w:rFonts w:ascii="宋体" w:hAnsi="宋体" w:cs="宋体"/>
                      <w:szCs w:val="21"/>
                    </w:rPr>
                  </w:pPr>
                  <w:r>
                    <w:rPr>
                      <w:rFonts w:ascii="宋体" w:hAnsi="宋体" w:cs="宋体"/>
                      <w:szCs w:val="21"/>
                    </w:rPr>
                    <w:t>3</w:t>
                  </w:r>
                  <w:r>
                    <w:rPr>
                      <w:rFonts w:hint="eastAsia" w:ascii="宋体" w:hAnsi="宋体" w:cs="宋体"/>
                      <w:szCs w:val="21"/>
                    </w:rPr>
                    <w:t>月2日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442" w:type="dxa"/>
                  <w:vMerge w:val="continue"/>
                  <w:vAlign w:val="center"/>
                </w:tcPr>
                <w:p>
                  <w:pPr>
                    <w:ind w:right="15" w:rightChars="7"/>
                    <w:jc w:val="center"/>
                  </w:pPr>
                </w:p>
              </w:tc>
              <w:tc>
                <w:tcPr>
                  <w:tcW w:w="1835" w:type="dxa"/>
                  <w:vMerge w:val="continue"/>
                  <w:vAlign w:val="center"/>
                </w:tcPr>
                <w:p>
                  <w:pPr>
                    <w:ind w:right="15" w:rightChars="7"/>
                    <w:jc w:val="center"/>
                  </w:pPr>
                </w:p>
              </w:tc>
              <w:tc>
                <w:tcPr>
                  <w:tcW w:w="1320" w:type="dxa"/>
                  <w:vAlign w:val="center"/>
                </w:tcPr>
                <w:p>
                  <w:pPr>
                    <w:ind w:right="15" w:rightChars="7"/>
                    <w:jc w:val="center"/>
                    <w:rPr>
                      <w:rFonts w:ascii="宋体" w:hAnsi="宋体" w:cs="宋体"/>
                      <w:szCs w:val="21"/>
                    </w:rPr>
                  </w:pPr>
                  <w:r>
                    <w:rPr>
                      <w:rFonts w:hint="eastAsia" w:ascii="宋体" w:hAnsi="宋体" w:cs="宋体"/>
                      <w:szCs w:val="21"/>
                    </w:rPr>
                    <w:t>昼间</w:t>
                  </w:r>
                </w:p>
              </w:tc>
              <w:tc>
                <w:tcPr>
                  <w:tcW w:w="1350" w:type="dxa"/>
                  <w:vAlign w:val="center"/>
                </w:tcPr>
                <w:p>
                  <w:pPr>
                    <w:ind w:right="15" w:rightChars="7"/>
                    <w:jc w:val="center"/>
                    <w:rPr>
                      <w:rFonts w:ascii="宋体" w:hAnsi="宋体" w:cs="宋体"/>
                      <w:szCs w:val="21"/>
                    </w:rPr>
                  </w:pPr>
                  <w:r>
                    <w:rPr>
                      <w:rFonts w:hint="eastAsia" w:ascii="宋体" w:hAnsi="宋体" w:cs="宋体"/>
                      <w:szCs w:val="21"/>
                    </w:rPr>
                    <w:t>夜间</w:t>
                  </w:r>
                </w:p>
              </w:tc>
              <w:tc>
                <w:tcPr>
                  <w:tcW w:w="1305" w:type="dxa"/>
                  <w:vAlign w:val="center"/>
                </w:tcPr>
                <w:p>
                  <w:pPr>
                    <w:ind w:right="15" w:rightChars="7"/>
                    <w:jc w:val="center"/>
                    <w:rPr>
                      <w:rFonts w:ascii="宋体" w:hAnsi="宋体" w:cs="宋体"/>
                      <w:szCs w:val="21"/>
                    </w:rPr>
                  </w:pPr>
                  <w:r>
                    <w:rPr>
                      <w:rFonts w:hint="eastAsia" w:ascii="宋体" w:hAnsi="宋体" w:cs="宋体"/>
                      <w:szCs w:val="21"/>
                    </w:rPr>
                    <w:t>昼间</w:t>
                  </w:r>
                </w:p>
              </w:tc>
              <w:tc>
                <w:tcPr>
                  <w:tcW w:w="1380" w:type="dxa"/>
                  <w:vAlign w:val="center"/>
                </w:tcPr>
                <w:p>
                  <w:pPr>
                    <w:ind w:right="15" w:rightChars="7"/>
                    <w:jc w:val="center"/>
                    <w:rPr>
                      <w:rFonts w:ascii="宋体" w:hAnsi="宋体" w:cs="宋体"/>
                      <w:szCs w:val="21"/>
                    </w:rPr>
                  </w:pPr>
                  <w:r>
                    <w:rPr>
                      <w:rFonts w:hint="eastAsia" w:ascii="宋体" w:hAnsi="宋体" w:cs="宋体"/>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2" w:type="dxa"/>
                  <w:vMerge w:val="restart"/>
                  <w:vAlign w:val="center"/>
                </w:tcPr>
                <w:p>
                  <w:pPr>
                    <w:ind w:right="15" w:rightChars="7"/>
                    <w:jc w:val="center"/>
                    <w:rPr>
                      <w:rFonts w:ascii="宋体" w:hAnsi="宋体" w:cs="宋体"/>
                      <w:szCs w:val="21"/>
                    </w:rPr>
                  </w:pPr>
                  <w:r>
                    <w:rPr>
                      <w:rFonts w:hint="eastAsia" w:ascii="宋体" w:hAnsi="宋体" w:cs="宋体"/>
                      <w:szCs w:val="21"/>
                    </w:rPr>
                    <w:t>场界</w:t>
                  </w:r>
                </w:p>
              </w:tc>
              <w:tc>
                <w:tcPr>
                  <w:tcW w:w="1835" w:type="dxa"/>
                  <w:vAlign w:val="center"/>
                </w:tcPr>
                <w:p>
                  <w:pPr>
                    <w:ind w:right="15" w:rightChars="7"/>
                    <w:jc w:val="center"/>
                    <w:rPr>
                      <w:rFonts w:ascii="宋体" w:hAnsi="宋体" w:cs="宋体"/>
                      <w:szCs w:val="21"/>
                    </w:rPr>
                  </w:pPr>
                  <w:r>
                    <w:rPr>
                      <w:rFonts w:hint="eastAsia" w:ascii="宋体" w:hAnsi="宋体" w:cs="宋体"/>
                      <w:szCs w:val="21"/>
                    </w:rPr>
                    <w:t>1#场界东北面</w:t>
                  </w:r>
                </w:p>
              </w:tc>
              <w:tc>
                <w:tcPr>
                  <w:tcW w:w="1320" w:type="dxa"/>
                  <w:vAlign w:val="center"/>
                </w:tcPr>
                <w:p>
                  <w:pPr>
                    <w:ind w:right="15" w:rightChars="7"/>
                    <w:jc w:val="center"/>
                    <w:rPr>
                      <w:rFonts w:ascii="宋体" w:hAnsi="宋体" w:cs="宋体"/>
                      <w:szCs w:val="21"/>
                    </w:rPr>
                  </w:pPr>
                  <w:r>
                    <w:rPr>
                      <w:rFonts w:ascii="宋体" w:hAnsi="宋体" w:cs="宋体"/>
                      <w:szCs w:val="21"/>
                    </w:rPr>
                    <w:t>54</w:t>
                  </w:r>
                </w:p>
              </w:tc>
              <w:tc>
                <w:tcPr>
                  <w:tcW w:w="1350" w:type="dxa"/>
                  <w:vAlign w:val="center"/>
                </w:tcPr>
                <w:p>
                  <w:pPr>
                    <w:ind w:right="15" w:rightChars="7"/>
                    <w:jc w:val="center"/>
                    <w:rPr>
                      <w:rFonts w:ascii="宋体" w:hAnsi="宋体" w:cs="宋体"/>
                      <w:szCs w:val="21"/>
                    </w:rPr>
                  </w:pPr>
                  <w:r>
                    <w:rPr>
                      <w:rFonts w:ascii="宋体" w:hAnsi="宋体" w:cs="宋体"/>
                      <w:szCs w:val="21"/>
                    </w:rPr>
                    <w:t>43</w:t>
                  </w:r>
                </w:p>
              </w:tc>
              <w:tc>
                <w:tcPr>
                  <w:tcW w:w="1305" w:type="dxa"/>
                  <w:vAlign w:val="center"/>
                </w:tcPr>
                <w:p>
                  <w:pPr>
                    <w:ind w:right="15" w:rightChars="7"/>
                    <w:jc w:val="center"/>
                    <w:rPr>
                      <w:rFonts w:ascii="宋体" w:hAnsi="宋体" w:cs="宋体"/>
                      <w:szCs w:val="21"/>
                    </w:rPr>
                  </w:pPr>
                  <w:r>
                    <w:rPr>
                      <w:rFonts w:ascii="宋体" w:hAnsi="宋体" w:cs="宋体"/>
                      <w:szCs w:val="21"/>
                    </w:rPr>
                    <w:t>55</w:t>
                  </w:r>
                </w:p>
              </w:tc>
              <w:tc>
                <w:tcPr>
                  <w:tcW w:w="1380" w:type="dxa"/>
                  <w:vAlign w:val="center"/>
                </w:tcPr>
                <w:p>
                  <w:pPr>
                    <w:ind w:right="15" w:rightChars="7"/>
                    <w:jc w:val="center"/>
                    <w:rPr>
                      <w:rFonts w:ascii="宋体" w:hAnsi="宋体" w:cs="宋体"/>
                      <w:szCs w:val="21"/>
                    </w:rPr>
                  </w:pPr>
                  <w:r>
                    <w:rPr>
                      <w:rFonts w:ascii="宋体" w:hAnsi="宋体" w:cs="宋体"/>
                      <w:szCs w:val="21"/>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2" w:type="dxa"/>
                  <w:vMerge w:val="continue"/>
                  <w:vAlign w:val="center"/>
                </w:tcPr>
                <w:p>
                  <w:pPr>
                    <w:ind w:right="15" w:rightChars="7"/>
                    <w:jc w:val="center"/>
                    <w:rPr>
                      <w:rFonts w:ascii="宋体" w:hAnsi="宋体" w:cs="宋体"/>
                      <w:szCs w:val="21"/>
                    </w:rPr>
                  </w:pPr>
                </w:p>
              </w:tc>
              <w:tc>
                <w:tcPr>
                  <w:tcW w:w="1835" w:type="dxa"/>
                  <w:vAlign w:val="center"/>
                </w:tcPr>
                <w:p>
                  <w:pPr>
                    <w:ind w:right="15" w:rightChars="7"/>
                    <w:jc w:val="center"/>
                    <w:rPr>
                      <w:rFonts w:ascii="宋体" w:hAnsi="宋体" w:cs="宋体"/>
                      <w:szCs w:val="21"/>
                    </w:rPr>
                  </w:pPr>
                  <w:r>
                    <w:rPr>
                      <w:rFonts w:hint="eastAsia" w:ascii="宋体" w:hAnsi="宋体" w:cs="宋体"/>
                      <w:szCs w:val="21"/>
                    </w:rPr>
                    <w:t>2#场界东南面</w:t>
                  </w:r>
                </w:p>
              </w:tc>
              <w:tc>
                <w:tcPr>
                  <w:tcW w:w="1320" w:type="dxa"/>
                  <w:vAlign w:val="center"/>
                </w:tcPr>
                <w:p>
                  <w:pPr>
                    <w:ind w:right="15" w:rightChars="7"/>
                    <w:jc w:val="center"/>
                    <w:rPr>
                      <w:rFonts w:ascii="宋体" w:hAnsi="宋体" w:cs="宋体"/>
                      <w:szCs w:val="21"/>
                    </w:rPr>
                  </w:pPr>
                  <w:r>
                    <w:rPr>
                      <w:rFonts w:ascii="宋体" w:hAnsi="宋体" w:cs="宋体"/>
                      <w:szCs w:val="21"/>
                    </w:rPr>
                    <w:t>52</w:t>
                  </w:r>
                </w:p>
              </w:tc>
              <w:tc>
                <w:tcPr>
                  <w:tcW w:w="1350" w:type="dxa"/>
                  <w:vAlign w:val="center"/>
                </w:tcPr>
                <w:p>
                  <w:pPr>
                    <w:ind w:right="15" w:rightChars="7"/>
                    <w:jc w:val="center"/>
                    <w:rPr>
                      <w:rFonts w:ascii="宋体" w:hAnsi="宋体" w:cs="宋体"/>
                      <w:szCs w:val="21"/>
                    </w:rPr>
                  </w:pPr>
                  <w:r>
                    <w:rPr>
                      <w:rFonts w:ascii="宋体" w:hAnsi="宋体" w:cs="宋体"/>
                      <w:szCs w:val="21"/>
                    </w:rPr>
                    <w:t>41</w:t>
                  </w:r>
                </w:p>
              </w:tc>
              <w:tc>
                <w:tcPr>
                  <w:tcW w:w="1305" w:type="dxa"/>
                  <w:vAlign w:val="center"/>
                </w:tcPr>
                <w:p>
                  <w:pPr>
                    <w:ind w:right="15" w:rightChars="7"/>
                    <w:jc w:val="center"/>
                    <w:rPr>
                      <w:rFonts w:ascii="宋体" w:hAnsi="宋体" w:cs="宋体"/>
                      <w:szCs w:val="21"/>
                    </w:rPr>
                  </w:pPr>
                  <w:r>
                    <w:rPr>
                      <w:rFonts w:ascii="宋体" w:hAnsi="宋体" w:cs="宋体"/>
                      <w:szCs w:val="21"/>
                    </w:rPr>
                    <w:t>53</w:t>
                  </w:r>
                </w:p>
              </w:tc>
              <w:tc>
                <w:tcPr>
                  <w:tcW w:w="1380" w:type="dxa"/>
                  <w:vAlign w:val="center"/>
                </w:tcPr>
                <w:p>
                  <w:pPr>
                    <w:ind w:right="15" w:rightChars="7"/>
                    <w:jc w:val="center"/>
                    <w:rPr>
                      <w:rFonts w:ascii="宋体" w:hAnsi="宋体" w:cs="宋体"/>
                      <w:szCs w:val="21"/>
                    </w:rPr>
                  </w:pPr>
                  <w:r>
                    <w:rPr>
                      <w:rFonts w:ascii="宋体" w:hAnsi="宋体" w:cs="宋体"/>
                      <w:szCs w:val="21"/>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2" w:type="dxa"/>
                  <w:vMerge w:val="continue"/>
                  <w:vAlign w:val="center"/>
                </w:tcPr>
                <w:p>
                  <w:pPr>
                    <w:ind w:right="15" w:rightChars="7"/>
                    <w:jc w:val="center"/>
                    <w:rPr>
                      <w:rFonts w:ascii="宋体" w:hAnsi="宋体" w:cs="宋体"/>
                      <w:szCs w:val="21"/>
                    </w:rPr>
                  </w:pPr>
                </w:p>
              </w:tc>
              <w:tc>
                <w:tcPr>
                  <w:tcW w:w="1835" w:type="dxa"/>
                  <w:vAlign w:val="center"/>
                </w:tcPr>
                <w:p>
                  <w:pPr>
                    <w:ind w:right="15" w:rightChars="7"/>
                    <w:jc w:val="center"/>
                    <w:rPr>
                      <w:rFonts w:ascii="宋体" w:hAnsi="宋体" w:cs="宋体"/>
                      <w:szCs w:val="21"/>
                    </w:rPr>
                  </w:pPr>
                  <w:r>
                    <w:rPr>
                      <w:rFonts w:hint="eastAsia" w:ascii="宋体" w:hAnsi="宋体" w:cs="宋体"/>
                      <w:szCs w:val="21"/>
                    </w:rPr>
                    <w:t>3#场界西南面</w:t>
                  </w:r>
                </w:p>
              </w:tc>
              <w:tc>
                <w:tcPr>
                  <w:tcW w:w="1320" w:type="dxa"/>
                  <w:vAlign w:val="center"/>
                </w:tcPr>
                <w:p>
                  <w:pPr>
                    <w:ind w:right="15" w:rightChars="7"/>
                    <w:jc w:val="center"/>
                    <w:rPr>
                      <w:rFonts w:ascii="宋体" w:hAnsi="宋体" w:cs="宋体"/>
                      <w:szCs w:val="21"/>
                    </w:rPr>
                  </w:pPr>
                  <w:r>
                    <w:rPr>
                      <w:rFonts w:ascii="宋体" w:hAnsi="宋体" w:cs="宋体"/>
                      <w:szCs w:val="21"/>
                    </w:rPr>
                    <w:t>51</w:t>
                  </w:r>
                </w:p>
              </w:tc>
              <w:tc>
                <w:tcPr>
                  <w:tcW w:w="1350" w:type="dxa"/>
                  <w:vAlign w:val="center"/>
                </w:tcPr>
                <w:p>
                  <w:pPr>
                    <w:ind w:right="15" w:rightChars="7"/>
                    <w:jc w:val="center"/>
                    <w:rPr>
                      <w:rFonts w:ascii="宋体" w:hAnsi="宋体" w:cs="宋体"/>
                      <w:szCs w:val="21"/>
                    </w:rPr>
                  </w:pPr>
                  <w:r>
                    <w:rPr>
                      <w:rFonts w:ascii="宋体" w:hAnsi="宋体" w:cs="宋体"/>
                      <w:szCs w:val="21"/>
                    </w:rPr>
                    <w:t>40</w:t>
                  </w:r>
                </w:p>
              </w:tc>
              <w:tc>
                <w:tcPr>
                  <w:tcW w:w="1305" w:type="dxa"/>
                  <w:vAlign w:val="center"/>
                </w:tcPr>
                <w:p>
                  <w:pPr>
                    <w:ind w:right="15" w:rightChars="7"/>
                    <w:jc w:val="center"/>
                    <w:rPr>
                      <w:rFonts w:ascii="宋体" w:hAnsi="宋体" w:cs="宋体"/>
                      <w:szCs w:val="21"/>
                    </w:rPr>
                  </w:pPr>
                  <w:r>
                    <w:rPr>
                      <w:rFonts w:ascii="宋体" w:hAnsi="宋体" w:cs="宋体"/>
                      <w:szCs w:val="21"/>
                    </w:rPr>
                    <w:t>50</w:t>
                  </w:r>
                </w:p>
              </w:tc>
              <w:tc>
                <w:tcPr>
                  <w:tcW w:w="1380" w:type="dxa"/>
                  <w:vAlign w:val="center"/>
                </w:tcPr>
                <w:p>
                  <w:pPr>
                    <w:ind w:right="15" w:rightChars="7"/>
                    <w:jc w:val="center"/>
                    <w:rPr>
                      <w:rFonts w:ascii="宋体" w:hAnsi="宋体" w:cs="宋体"/>
                      <w:szCs w:val="21"/>
                    </w:rPr>
                  </w:pPr>
                  <w:r>
                    <w:rPr>
                      <w:rFonts w:ascii="宋体" w:hAnsi="宋体" w:cs="宋体"/>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2" w:type="dxa"/>
                  <w:vMerge w:val="continue"/>
                  <w:vAlign w:val="center"/>
                </w:tcPr>
                <w:p>
                  <w:pPr>
                    <w:ind w:right="15" w:rightChars="7"/>
                    <w:jc w:val="center"/>
                    <w:rPr>
                      <w:rFonts w:ascii="宋体" w:hAnsi="宋体" w:cs="宋体"/>
                      <w:szCs w:val="21"/>
                    </w:rPr>
                  </w:pPr>
                </w:p>
              </w:tc>
              <w:tc>
                <w:tcPr>
                  <w:tcW w:w="1835" w:type="dxa"/>
                  <w:vAlign w:val="center"/>
                </w:tcPr>
                <w:p>
                  <w:pPr>
                    <w:ind w:right="15" w:rightChars="7"/>
                    <w:jc w:val="center"/>
                    <w:rPr>
                      <w:rFonts w:ascii="宋体" w:hAnsi="宋体" w:cs="宋体"/>
                      <w:szCs w:val="21"/>
                    </w:rPr>
                  </w:pPr>
                  <w:r>
                    <w:rPr>
                      <w:rFonts w:hint="eastAsia" w:ascii="宋体" w:hAnsi="宋体" w:cs="宋体"/>
                      <w:szCs w:val="21"/>
                    </w:rPr>
                    <w:t>4#场界西北面</w:t>
                  </w:r>
                </w:p>
              </w:tc>
              <w:tc>
                <w:tcPr>
                  <w:tcW w:w="1320" w:type="dxa"/>
                  <w:vAlign w:val="center"/>
                </w:tcPr>
                <w:p>
                  <w:pPr>
                    <w:ind w:right="15" w:rightChars="7"/>
                    <w:jc w:val="center"/>
                    <w:rPr>
                      <w:rFonts w:ascii="宋体" w:hAnsi="宋体" w:cs="宋体"/>
                      <w:szCs w:val="21"/>
                    </w:rPr>
                  </w:pPr>
                  <w:r>
                    <w:rPr>
                      <w:rFonts w:ascii="宋体" w:hAnsi="宋体" w:cs="宋体"/>
                      <w:szCs w:val="21"/>
                    </w:rPr>
                    <w:t>48</w:t>
                  </w:r>
                </w:p>
              </w:tc>
              <w:tc>
                <w:tcPr>
                  <w:tcW w:w="1350" w:type="dxa"/>
                  <w:vAlign w:val="center"/>
                </w:tcPr>
                <w:p>
                  <w:pPr>
                    <w:ind w:right="15" w:rightChars="7"/>
                    <w:jc w:val="center"/>
                    <w:rPr>
                      <w:rFonts w:ascii="宋体" w:hAnsi="宋体" w:cs="宋体"/>
                      <w:szCs w:val="21"/>
                    </w:rPr>
                  </w:pPr>
                  <w:r>
                    <w:rPr>
                      <w:rFonts w:ascii="宋体" w:hAnsi="宋体" w:cs="宋体"/>
                      <w:szCs w:val="21"/>
                    </w:rPr>
                    <w:t>38</w:t>
                  </w:r>
                </w:p>
              </w:tc>
              <w:tc>
                <w:tcPr>
                  <w:tcW w:w="1305" w:type="dxa"/>
                  <w:vAlign w:val="center"/>
                </w:tcPr>
                <w:p>
                  <w:pPr>
                    <w:ind w:right="15" w:rightChars="7"/>
                    <w:jc w:val="center"/>
                    <w:rPr>
                      <w:rFonts w:ascii="宋体" w:hAnsi="宋体" w:cs="宋体"/>
                      <w:szCs w:val="21"/>
                    </w:rPr>
                  </w:pPr>
                  <w:r>
                    <w:rPr>
                      <w:rFonts w:ascii="宋体" w:hAnsi="宋体" w:cs="宋体"/>
                      <w:szCs w:val="21"/>
                    </w:rPr>
                    <w:t>49</w:t>
                  </w:r>
                </w:p>
              </w:tc>
              <w:tc>
                <w:tcPr>
                  <w:tcW w:w="1380" w:type="dxa"/>
                  <w:vAlign w:val="center"/>
                </w:tcPr>
                <w:p>
                  <w:pPr>
                    <w:ind w:right="15" w:rightChars="7"/>
                    <w:jc w:val="center"/>
                    <w:rPr>
                      <w:rFonts w:ascii="宋体" w:hAnsi="宋体" w:cs="宋体"/>
                      <w:szCs w:val="21"/>
                    </w:rPr>
                  </w:pPr>
                  <w:r>
                    <w:rPr>
                      <w:rFonts w:ascii="宋体" w:hAnsi="宋体" w:cs="宋体"/>
                      <w:szCs w:val="21"/>
                    </w:rPr>
                    <w:t>39</w:t>
                  </w:r>
                </w:p>
              </w:tc>
            </w:tr>
          </w:tbl>
          <w:p>
            <w:pPr>
              <w:spacing w:line="360" w:lineRule="auto"/>
              <w:ind w:firstLine="472" w:firstLineChars="197"/>
              <w:rPr>
                <w:rFonts w:hAnsi="宋体"/>
                <w:sz w:val="24"/>
              </w:rPr>
            </w:pPr>
            <w:r>
              <w:rPr>
                <w:rFonts w:hint="eastAsia" w:hAnsi="宋体"/>
                <w:sz w:val="24"/>
              </w:rPr>
              <w:t>由上表可看出，项目所在区域噪声达到《声环境质量标准》（GB3096－2008）3类标准要求，区域声</w:t>
            </w:r>
            <w:r>
              <w:rPr>
                <w:rFonts w:hAnsi="宋体"/>
                <w:sz w:val="24"/>
              </w:rPr>
              <w:t>学环境质量</w:t>
            </w:r>
            <w:r>
              <w:rPr>
                <w:rFonts w:hint="eastAsia" w:hAnsi="宋体"/>
                <w:sz w:val="24"/>
              </w:rPr>
              <w:t>现状较好</w:t>
            </w:r>
            <w:r>
              <w:rPr>
                <w:rFonts w:hAnsi="宋体"/>
                <w:sz w:val="24"/>
              </w:rPr>
              <w:t>。</w:t>
            </w:r>
          </w:p>
          <w:p>
            <w:pPr>
              <w:spacing w:line="360" w:lineRule="auto"/>
              <w:rPr>
                <w:sz w:val="24"/>
              </w:rPr>
            </w:pPr>
            <w:r>
              <w:rPr>
                <w:rFonts w:eastAsia="黑体"/>
                <w:sz w:val="28"/>
              </w:rPr>
              <w:pict>
                <v:line id="直线 2045" o:spid="_x0000_s16165" o:spt="20" style="position:absolute;left:0pt;margin-left:0pt;margin-top:0.3pt;height:0pt;width:486pt;z-index:251660288;mso-width-relative:page;mso-height-relative:page;" coordsize="21600,21600">
                  <v:path arrowok="t"/>
                  <v:fill focussize="0,0"/>
                  <v:stroke/>
                  <v:imagedata o:title=""/>
                  <o:lock v:ext="edit"/>
                </v:line>
              </w:pict>
            </w:r>
            <w:r>
              <w:rPr>
                <w:b/>
                <w:sz w:val="28"/>
              </w:rPr>
              <w:t>主要环境保护目标(列出名单及保护级别)：</w:t>
            </w:r>
          </w:p>
          <w:p>
            <w:pPr>
              <w:spacing w:line="360" w:lineRule="auto"/>
              <w:ind w:firstLine="570"/>
              <w:rPr>
                <w:sz w:val="24"/>
              </w:rPr>
            </w:pPr>
            <w:r>
              <w:rPr>
                <w:rFonts w:hint="eastAsia"/>
                <w:sz w:val="24"/>
              </w:rPr>
              <w:t>本项目位于乐山市市中区集中工业园区水口-罗汉工业区内，周边主要为园区入驻企业，其外环境关系如下：北面为乐山瑞澜科技园，西面为恒丰华邦生物科技公司及铭平方塑料制品科技公司，东南面为川天然气输配设备公司。</w:t>
            </w:r>
            <w:r>
              <w:rPr>
                <w:rFonts w:hint="eastAsia" w:hAnsi="宋体"/>
                <w:sz w:val="24"/>
              </w:rPr>
              <w:t>项目建设区域周围200m范围内无居民分布，最近住户位于本项目白马庙住户，距离本项目厂界4</w:t>
            </w:r>
            <w:r>
              <w:rPr>
                <w:rFonts w:hAnsi="宋体"/>
                <w:sz w:val="24"/>
              </w:rPr>
              <w:t>20m</w:t>
            </w:r>
            <w:r>
              <w:rPr>
                <w:rFonts w:hint="eastAsia" w:hAnsi="宋体"/>
                <w:sz w:val="24"/>
              </w:rPr>
              <w:t>；项目西南面黎明村居民聚居地距离本项目厂界</w:t>
            </w:r>
            <w:r>
              <w:rPr>
                <w:rFonts w:hAnsi="宋体"/>
                <w:sz w:val="24"/>
              </w:rPr>
              <w:t>510</w:t>
            </w:r>
            <w:r>
              <w:rPr>
                <w:rFonts w:hint="eastAsia" w:hAnsi="宋体"/>
                <w:sz w:val="24"/>
              </w:rPr>
              <w:t>m；项目东面</w:t>
            </w:r>
            <w:r>
              <w:rPr>
                <w:rFonts w:hAnsi="宋体"/>
                <w:sz w:val="24"/>
              </w:rPr>
              <w:t>47</w:t>
            </w:r>
            <w:r>
              <w:rPr>
                <w:rFonts w:hint="eastAsia" w:hAnsi="宋体"/>
                <w:sz w:val="24"/>
              </w:rPr>
              <w:t>0m处为瓦厂坝居民聚居地；项目东南面</w:t>
            </w:r>
            <w:r>
              <w:rPr>
                <w:rFonts w:hAnsi="宋体"/>
                <w:sz w:val="24"/>
              </w:rPr>
              <w:t>810m</w:t>
            </w:r>
            <w:r>
              <w:rPr>
                <w:rFonts w:hint="eastAsia" w:hAnsi="宋体"/>
                <w:sz w:val="24"/>
              </w:rPr>
              <w:t>处为水口镇周桥村居民聚居地；项目东面7</w:t>
            </w:r>
            <w:r>
              <w:rPr>
                <w:rFonts w:hAnsi="宋体"/>
                <w:sz w:val="24"/>
              </w:rPr>
              <w:t>3</w:t>
            </w:r>
            <w:r>
              <w:rPr>
                <w:rFonts w:hint="eastAsia" w:hAnsi="宋体"/>
                <w:sz w:val="24"/>
              </w:rPr>
              <w:t>1m处为生态河，本项目距离大渡河主河道最近距离为1</w:t>
            </w:r>
            <w:r>
              <w:rPr>
                <w:rFonts w:hAnsi="宋体"/>
                <w:sz w:val="24"/>
              </w:rPr>
              <w:t>100m</w:t>
            </w:r>
            <w:r>
              <w:rPr>
                <w:rFonts w:hint="eastAsia"/>
                <w:sz w:val="24"/>
              </w:rPr>
              <w:t>。</w:t>
            </w:r>
            <w:r>
              <w:rPr>
                <w:sz w:val="24"/>
              </w:rPr>
              <w:t>按照环境要素确定主要保护目标见</w:t>
            </w:r>
            <w:r>
              <w:rPr>
                <w:rFonts w:hint="eastAsia"/>
                <w:sz w:val="24"/>
              </w:rPr>
              <w:t>下表</w:t>
            </w:r>
            <w:r>
              <w:rPr>
                <w:sz w:val="24"/>
              </w:rPr>
              <w:t>。</w:t>
            </w:r>
          </w:p>
          <w:p>
            <w:pPr>
              <w:spacing w:line="360" w:lineRule="auto"/>
              <w:ind w:firstLine="570"/>
              <w:rPr>
                <w:sz w:val="24"/>
              </w:rPr>
            </w:pPr>
          </w:p>
          <w:p>
            <w:pPr>
              <w:spacing w:line="360" w:lineRule="auto"/>
              <w:ind w:firstLine="570"/>
              <w:rPr>
                <w:sz w:val="24"/>
              </w:rPr>
            </w:pPr>
          </w:p>
          <w:p>
            <w:pPr>
              <w:spacing w:line="360" w:lineRule="auto"/>
              <w:ind w:firstLine="570"/>
              <w:rPr>
                <w:sz w:val="24"/>
              </w:rPr>
            </w:pPr>
          </w:p>
          <w:p>
            <w:pPr>
              <w:spacing w:line="360" w:lineRule="auto"/>
              <w:ind w:firstLine="570"/>
              <w:rPr>
                <w:sz w:val="24"/>
              </w:rPr>
            </w:pPr>
          </w:p>
          <w:p>
            <w:pPr>
              <w:spacing w:line="360" w:lineRule="auto"/>
              <w:ind w:firstLine="570"/>
              <w:rPr>
                <w:sz w:val="24"/>
              </w:rPr>
            </w:pPr>
          </w:p>
          <w:p>
            <w:pPr>
              <w:spacing w:line="360" w:lineRule="auto"/>
              <w:ind w:firstLine="570"/>
              <w:rPr>
                <w:sz w:val="24"/>
              </w:rPr>
            </w:pPr>
          </w:p>
          <w:p>
            <w:pPr>
              <w:spacing w:line="360" w:lineRule="auto"/>
              <w:ind w:firstLine="570"/>
              <w:rPr>
                <w:sz w:val="24"/>
              </w:rPr>
            </w:pPr>
          </w:p>
          <w:p>
            <w:pPr>
              <w:spacing w:line="360" w:lineRule="auto"/>
              <w:ind w:firstLine="570"/>
              <w:rPr>
                <w:sz w:val="24"/>
              </w:rPr>
            </w:pPr>
          </w:p>
          <w:p>
            <w:pPr>
              <w:spacing w:line="360" w:lineRule="auto"/>
              <w:ind w:firstLine="570"/>
              <w:rPr>
                <w:sz w:val="24"/>
              </w:rPr>
            </w:pPr>
          </w:p>
          <w:p>
            <w:pPr>
              <w:spacing w:line="360" w:lineRule="auto"/>
              <w:ind w:firstLine="570"/>
              <w:rPr>
                <w:sz w:val="24"/>
              </w:rPr>
            </w:pPr>
          </w:p>
          <w:p>
            <w:pPr>
              <w:jc w:val="center"/>
              <w:rPr>
                <w:b/>
                <w:sz w:val="24"/>
              </w:rPr>
            </w:pPr>
            <w:r>
              <w:rPr>
                <w:rFonts w:hint="eastAsia"/>
                <w:b/>
                <w:sz w:val="24"/>
              </w:rPr>
              <w:t>表3-7    环境敏感点及相应保护级别</w:t>
            </w:r>
          </w:p>
          <w:tbl>
            <w:tblPr>
              <w:tblStyle w:val="53"/>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992"/>
              <w:gridCol w:w="851"/>
              <w:gridCol w:w="709"/>
              <w:gridCol w:w="850"/>
              <w:gridCol w:w="1418"/>
              <w:gridCol w:w="1417"/>
              <w:gridCol w:w="1134"/>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718" w:type="dxa"/>
                  <w:vMerge w:val="restart"/>
                  <w:vAlign w:val="center"/>
                </w:tcPr>
                <w:p>
                  <w:pPr>
                    <w:jc w:val="center"/>
                    <w:rPr>
                      <w:szCs w:val="21"/>
                    </w:rPr>
                  </w:pPr>
                  <w:r>
                    <w:rPr>
                      <w:rFonts w:hint="eastAsia"/>
                      <w:szCs w:val="21"/>
                    </w:rPr>
                    <w:t>环境要求</w:t>
                  </w:r>
                </w:p>
              </w:tc>
              <w:tc>
                <w:tcPr>
                  <w:tcW w:w="992" w:type="dxa"/>
                  <w:vMerge w:val="restart"/>
                  <w:vAlign w:val="center"/>
                </w:tcPr>
                <w:p>
                  <w:pPr>
                    <w:jc w:val="center"/>
                    <w:rPr>
                      <w:szCs w:val="21"/>
                    </w:rPr>
                  </w:pPr>
                  <w:r>
                    <w:rPr>
                      <w:rFonts w:hint="eastAsia"/>
                      <w:szCs w:val="21"/>
                    </w:rPr>
                    <w:t>保护目标</w:t>
                  </w:r>
                </w:p>
              </w:tc>
              <w:tc>
                <w:tcPr>
                  <w:tcW w:w="1560" w:type="dxa"/>
                  <w:gridSpan w:val="2"/>
                </w:tcPr>
                <w:p>
                  <w:pPr>
                    <w:jc w:val="center"/>
                    <w:rPr>
                      <w:szCs w:val="21"/>
                    </w:rPr>
                  </w:pPr>
                  <w:r>
                    <w:rPr>
                      <w:rFonts w:hint="eastAsia"/>
                      <w:szCs w:val="21"/>
                    </w:rPr>
                    <w:t>坐标</w:t>
                  </w:r>
                </w:p>
              </w:tc>
              <w:tc>
                <w:tcPr>
                  <w:tcW w:w="850" w:type="dxa"/>
                  <w:vMerge w:val="restart"/>
                  <w:vAlign w:val="center"/>
                </w:tcPr>
                <w:p>
                  <w:pPr>
                    <w:jc w:val="center"/>
                    <w:rPr>
                      <w:szCs w:val="21"/>
                    </w:rPr>
                  </w:pPr>
                  <w:r>
                    <w:rPr>
                      <w:rFonts w:hint="eastAsia"/>
                      <w:szCs w:val="21"/>
                    </w:rPr>
                    <w:t>性质</w:t>
                  </w:r>
                </w:p>
              </w:tc>
              <w:tc>
                <w:tcPr>
                  <w:tcW w:w="1418" w:type="dxa"/>
                  <w:vMerge w:val="restart"/>
                  <w:vAlign w:val="center"/>
                </w:tcPr>
                <w:p>
                  <w:pPr>
                    <w:jc w:val="center"/>
                    <w:rPr>
                      <w:szCs w:val="21"/>
                    </w:rPr>
                  </w:pPr>
                  <w:r>
                    <w:rPr>
                      <w:rFonts w:hint="eastAsia"/>
                      <w:szCs w:val="21"/>
                    </w:rPr>
                    <w:t>规模</w:t>
                  </w:r>
                </w:p>
              </w:tc>
              <w:tc>
                <w:tcPr>
                  <w:tcW w:w="1417" w:type="dxa"/>
                  <w:vMerge w:val="restart"/>
                  <w:vAlign w:val="center"/>
                </w:tcPr>
                <w:p>
                  <w:pPr>
                    <w:jc w:val="center"/>
                    <w:rPr>
                      <w:szCs w:val="21"/>
                    </w:rPr>
                  </w:pPr>
                  <w:r>
                    <w:rPr>
                      <w:rFonts w:hint="eastAsia"/>
                      <w:szCs w:val="21"/>
                    </w:rPr>
                    <w:t>位置、高差、阻隔</w:t>
                  </w:r>
                </w:p>
              </w:tc>
              <w:tc>
                <w:tcPr>
                  <w:tcW w:w="1134" w:type="dxa"/>
                  <w:vMerge w:val="restart"/>
                  <w:vAlign w:val="center"/>
                </w:tcPr>
                <w:p>
                  <w:pPr>
                    <w:jc w:val="center"/>
                    <w:rPr>
                      <w:szCs w:val="21"/>
                    </w:rPr>
                  </w:pPr>
                  <w:r>
                    <w:rPr>
                      <w:rFonts w:hint="eastAsia"/>
                      <w:szCs w:val="21"/>
                    </w:rPr>
                    <w:t>与厂界最近距离</w:t>
                  </w:r>
                </w:p>
              </w:tc>
              <w:tc>
                <w:tcPr>
                  <w:tcW w:w="1541" w:type="dxa"/>
                  <w:vMerge w:val="restart"/>
                  <w:vAlign w:val="center"/>
                </w:tcPr>
                <w:p>
                  <w:pPr>
                    <w:jc w:val="center"/>
                    <w:rPr>
                      <w:szCs w:val="21"/>
                    </w:rPr>
                  </w:pPr>
                  <w:r>
                    <w:rPr>
                      <w:rFonts w:hint="eastAsia"/>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18" w:type="dxa"/>
                  <w:vMerge w:val="continue"/>
                  <w:vAlign w:val="center"/>
                </w:tcPr>
                <w:p>
                  <w:pPr>
                    <w:jc w:val="center"/>
                    <w:rPr>
                      <w:szCs w:val="21"/>
                    </w:rPr>
                  </w:pPr>
                </w:p>
              </w:tc>
              <w:tc>
                <w:tcPr>
                  <w:tcW w:w="992" w:type="dxa"/>
                  <w:vMerge w:val="continue"/>
                  <w:vAlign w:val="center"/>
                </w:tcPr>
                <w:p>
                  <w:pPr>
                    <w:jc w:val="center"/>
                    <w:rPr>
                      <w:szCs w:val="21"/>
                    </w:rPr>
                  </w:pPr>
                </w:p>
              </w:tc>
              <w:tc>
                <w:tcPr>
                  <w:tcW w:w="851" w:type="dxa"/>
                </w:tcPr>
                <w:p>
                  <w:pPr>
                    <w:jc w:val="center"/>
                    <w:rPr>
                      <w:szCs w:val="21"/>
                    </w:rPr>
                  </w:pPr>
                  <w:r>
                    <w:rPr>
                      <w:rFonts w:hint="eastAsia"/>
                      <w:szCs w:val="21"/>
                    </w:rPr>
                    <w:t>X</w:t>
                  </w:r>
                </w:p>
              </w:tc>
              <w:tc>
                <w:tcPr>
                  <w:tcW w:w="709" w:type="dxa"/>
                </w:tcPr>
                <w:p>
                  <w:pPr>
                    <w:jc w:val="center"/>
                    <w:rPr>
                      <w:szCs w:val="21"/>
                    </w:rPr>
                  </w:pPr>
                  <w:r>
                    <w:rPr>
                      <w:rFonts w:hint="eastAsia"/>
                      <w:szCs w:val="21"/>
                    </w:rPr>
                    <w:t>Y</w:t>
                  </w:r>
                </w:p>
              </w:tc>
              <w:tc>
                <w:tcPr>
                  <w:tcW w:w="850" w:type="dxa"/>
                  <w:vMerge w:val="continue"/>
                  <w:vAlign w:val="center"/>
                </w:tcPr>
                <w:p>
                  <w:pPr>
                    <w:jc w:val="center"/>
                    <w:rPr>
                      <w:szCs w:val="21"/>
                    </w:rPr>
                  </w:pPr>
                </w:p>
              </w:tc>
              <w:tc>
                <w:tcPr>
                  <w:tcW w:w="1418" w:type="dxa"/>
                  <w:vMerge w:val="continue"/>
                  <w:vAlign w:val="center"/>
                </w:tcPr>
                <w:p>
                  <w:pPr>
                    <w:jc w:val="center"/>
                    <w:rPr>
                      <w:szCs w:val="21"/>
                    </w:rPr>
                  </w:pPr>
                </w:p>
              </w:tc>
              <w:tc>
                <w:tcPr>
                  <w:tcW w:w="1417" w:type="dxa"/>
                  <w:vMerge w:val="continue"/>
                  <w:vAlign w:val="center"/>
                </w:tcPr>
                <w:p>
                  <w:pPr>
                    <w:jc w:val="center"/>
                    <w:rPr>
                      <w:szCs w:val="21"/>
                    </w:rPr>
                  </w:pPr>
                </w:p>
              </w:tc>
              <w:tc>
                <w:tcPr>
                  <w:tcW w:w="1134" w:type="dxa"/>
                  <w:vMerge w:val="continue"/>
                  <w:vAlign w:val="center"/>
                </w:tcPr>
                <w:p>
                  <w:pPr>
                    <w:jc w:val="center"/>
                    <w:rPr>
                      <w:szCs w:val="21"/>
                    </w:rPr>
                  </w:pPr>
                </w:p>
              </w:tc>
              <w:tc>
                <w:tcPr>
                  <w:tcW w:w="15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18" w:type="dxa"/>
                  <w:vMerge w:val="restart"/>
                  <w:vAlign w:val="center"/>
                </w:tcPr>
                <w:p>
                  <w:pPr>
                    <w:jc w:val="center"/>
                    <w:rPr>
                      <w:szCs w:val="21"/>
                    </w:rPr>
                  </w:pPr>
                  <w:r>
                    <w:rPr>
                      <w:rFonts w:hint="eastAsia"/>
                      <w:szCs w:val="21"/>
                    </w:rPr>
                    <w:t>大气环境</w:t>
                  </w:r>
                </w:p>
              </w:tc>
              <w:tc>
                <w:tcPr>
                  <w:tcW w:w="992" w:type="dxa"/>
                  <w:vAlign w:val="center"/>
                </w:tcPr>
                <w:p>
                  <w:pPr>
                    <w:jc w:val="center"/>
                    <w:rPr>
                      <w:szCs w:val="21"/>
                    </w:rPr>
                  </w:pPr>
                  <w:r>
                    <w:rPr>
                      <w:szCs w:val="21"/>
                    </w:rPr>
                    <w:t>瓦厂坝</w:t>
                  </w:r>
                </w:p>
              </w:tc>
              <w:tc>
                <w:tcPr>
                  <w:tcW w:w="851" w:type="dxa"/>
                  <w:vAlign w:val="center"/>
                </w:tcPr>
                <w:p>
                  <w:pPr>
                    <w:jc w:val="center"/>
                    <w:rPr>
                      <w:szCs w:val="21"/>
                    </w:rPr>
                  </w:pPr>
                  <w:r>
                    <w:rPr>
                      <w:rFonts w:hint="eastAsia"/>
                      <w:szCs w:val="21"/>
                    </w:rPr>
                    <w:t>+</w:t>
                  </w:r>
                  <w:r>
                    <w:rPr>
                      <w:szCs w:val="21"/>
                    </w:rPr>
                    <w:t>450</w:t>
                  </w:r>
                </w:p>
              </w:tc>
              <w:tc>
                <w:tcPr>
                  <w:tcW w:w="709" w:type="dxa"/>
                  <w:vAlign w:val="center"/>
                </w:tcPr>
                <w:p>
                  <w:pPr>
                    <w:jc w:val="center"/>
                    <w:rPr>
                      <w:szCs w:val="21"/>
                    </w:rPr>
                  </w:pPr>
                  <w:r>
                    <w:rPr>
                      <w:rFonts w:hint="eastAsia"/>
                      <w:szCs w:val="21"/>
                    </w:rPr>
                    <w:t>+</w:t>
                  </w:r>
                  <w:r>
                    <w:rPr>
                      <w:szCs w:val="21"/>
                    </w:rPr>
                    <w:t>110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rFonts w:hint="eastAsia" w:ascii="宋体" w:hAnsi="宋体"/>
                      <w:iCs/>
                      <w:szCs w:val="21"/>
                    </w:rPr>
                    <w:t>6~8户，约18~24人</w:t>
                  </w:r>
                </w:p>
              </w:tc>
              <w:tc>
                <w:tcPr>
                  <w:tcW w:w="1417" w:type="dxa"/>
                  <w:vAlign w:val="center"/>
                </w:tcPr>
                <w:p>
                  <w:pPr>
                    <w:jc w:val="center"/>
                    <w:rPr>
                      <w:szCs w:val="21"/>
                    </w:rPr>
                  </w:pPr>
                  <w:r>
                    <w:rPr>
                      <w:rFonts w:hint="eastAsia"/>
                      <w:szCs w:val="21"/>
                    </w:rPr>
                    <w:t>东，高差</w:t>
                  </w:r>
                  <w:r>
                    <w:rPr>
                      <w:rFonts w:hint="eastAsia" w:ascii="宋体" w:hAnsi="宋体"/>
                      <w:szCs w:val="21"/>
                    </w:rPr>
                    <w:t>±</w:t>
                  </w:r>
                  <w:r>
                    <w:rPr>
                      <w:rFonts w:hint="eastAsia"/>
                      <w:szCs w:val="21"/>
                    </w:rPr>
                    <w:t>3</w:t>
                  </w:r>
                  <w:r>
                    <w:rPr>
                      <w:szCs w:val="21"/>
                    </w:rPr>
                    <w:t>m</w:t>
                  </w:r>
                  <w:r>
                    <w:rPr>
                      <w:rFonts w:hint="eastAsia"/>
                      <w:szCs w:val="21"/>
                    </w:rPr>
                    <w:t>，</w:t>
                  </w:r>
                  <w:r>
                    <w:rPr>
                      <w:szCs w:val="21"/>
                    </w:rPr>
                    <w:t>有建筑物阻隔</w:t>
                  </w:r>
                </w:p>
              </w:tc>
              <w:tc>
                <w:tcPr>
                  <w:tcW w:w="1134" w:type="dxa"/>
                  <w:vAlign w:val="center"/>
                </w:tcPr>
                <w:p>
                  <w:pPr>
                    <w:jc w:val="center"/>
                    <w:rPr>
                      <w:szCs w:val="21"/>
                    </w:rPr>
                  </w:pPr>
                  <w:r>
                    <w:rPr>
                      <w:szCs w:val="21"/>
                    </w:rPr>
                    <w:t>470</w:t>
                  </w:r>
                  <w:r>
                    <w:rPr>
                      <w:rFonts w:hint="eastAsia"/>
                      <w:szCs w:val="21"/>
                    </w:rPr>
                    <w:t>m</w:t>
                  </w:r>
                </w:p>
              </w:tc>
              <w:tc>
                <w:tcPr>
                  <w:tcW w:w="1541" w:type="dxa"/>
                  <w:vMerge w:val="restart"/>
                  <w:vAlign w:val="center"/>
                </w:tcPr>
                <w:p>
                  <w:pPr>
                    <w:jc w:val="center"/>
                    <w:rPr>
                      <w:szCs w:val="21"/>
                    </w:rPr>
                  </w:pPr>
                  <w:r>
                    <w:rPr>
                      <w:rFonts w:hint="eastAsia"/>
                      <w:szCs w:val="21"/>
                    </w:rPr>
                    <w:t>《环境空气质量标准》（GB3095-2012）二级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18" w:type="dxa"/>
                  <w:vMerge w:val="continue"/>
                  <w:vAlign w:val="center"/>
                </w:tcPr>
                <w:p>
                  <w:pPr>
                    <w:jc w:val="center"/>
                    <w:rPr>
                      <w:szCs w:val="21"/>
                    </w:rPr>
                  </w:pPr>
                </w:p>
              </w:tc>
              <w:tc>
                <w:tcPr>
                  <w:tcW w:w="992" w:type="dxa"/>
                  <w:vAlign w:val="center"/>
                </w:tcPr>
                <w:p>
                  <w:pPr>
                    <w:jc w:val="center"/>
                    <w:rPr>
                      <w:szCs w:val="21"/>
                    </w:rPr>
                  </w:pPr>
                  <w:r>
                    <w:rPr>
                      <w:rFonts w:hint="eastAsia"/>
                      <w:szCs w:val="21"/>
                    </w:rPr>
                    <w:t>周桥村</w:t>
                  </w:r>
                </w:p>
              </w:tc>
              <w:tc>
                <w:tcPr>
                  <w:tcW w:w="851" w:type="dxa"/>
                  <w:vAlign w:val="center"/>
                </w:tcPr>
                <w:p>
                  <w:pPr>
                    <w:jc w:val="center"/>
                    <w:rPr>
                      <w:szCs w:val="21"/>
                    </w:rPr>
                  </w:pPr>
                  <w:r>
                    <w:rPr>
                      <w:rFonts w:hint="eastAsia"/>
                      <w:szCs w:val="21"/>
                    </w:rPr>
                    <w:t>+</w:t>
                  </w:r>
                  <w:r>
                    <w:rPr>
                      <w:szCs w:val="21"/>
                    </w:rPr>
                    <w:t>810</w:t>
                  </w:r>
                </w:p>
              </w:tc>
              <w:tc>
                <w:tcPr>
                  <w:tcW w:w="709" w:type="dxa"/>
                  <w:vAlign w:val="center"/>
                </w:tcPr>
                <w:p>
                  <w:pPr>
                    <w:jc w:val="center"/>
                    <w:rPr>
                      <w:szCs w:val="21"/>
                    </w:rPr>
                  </w:pPr>
                  <w:r>
                    <w:rPr>
                      <w:rFonts w:hint="eastAsia"/>
                      <w:szCs w:val="21"/>
                    </w:rPr>
                    <w:t>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rFonts w:hint="eastAsia" w:ascii="宋体" w:hAnsi="宋体"/>
                      <w:iCs/>
                      <w:szCs w:val="21"/>
                    </w:rPr>
                    <w:t>30~40户，约90~120人</w:t>
                  </w:r>
                </w:p>
              </w:tc>
              <w:tc>
                <w:tcPr>
                  <w:tcW w:w="1417" w:type="dxa"/>
                  <w:vAlign w:val="center"/>
                </w:tcPr>
                <w:p>
                  <w:pPr>
                    <w:jc w:val="center"/>
                    <w:rPr>
                      <w:szCs w:val="21"/>
                    </w:rPr>
                  </w:pPr>
                  <w:r>
                    <w:rPr>
                      <w:rFonts w:hint="eastAsia"/>
                      <w:szCs w:val="21"/>
                    </w:rPr>
                    <w:t>东南，高差-1</w:t>
                  </w:r>
                  <w:r>
                    <w:rPr>
                      <w:szCs w:val="21"/>
                    </w:rPr>
                    <w:t>3m</w:t>
                  </w:r>
                  <w:r>
                    <w:rPr>
                      <w:rFonts w:hint="eastAsia"/>
                      <w:szCs w:val="21"/>
                    </w:rPr>
                    <w:t>，</w:t>
                  </w:r>
                  <w:r>
                    <w:rPr>
                      <w:szCs w:val="21"/>
                    </w:rPr>
                    <w:t>墙体阻隔</w:t>
                  </w:r>
                </w:p>
              </w:tc>
              <w:tc>
                <w:tcPr>
                  <w:tcW w:w="1134" w:type="dxa"/>
                  <w:vAlign w:val="center"/>
                </w:tcPr>
                <w:p>
                  <w:pPr>
                    <w:jc w:val="center"/>
                    <w:rPr>
                      <w:szCs w:val="21"/>
                    </w:rPr>
                  </w:pPr>
                  <w:r>
                    <w:rPr>
                      <w:szCs w:val="21"/>
                    </w:rPr>
                    <w:t>810</w:t>
                  </w:r>
                  <w:r>
                    <w:rPr>
                      <w:rFonts w:hint="eastAsia"/>
                      <w:szCs w:val="21"/>
                    </w:rPr>
                    <w:t>m</w:t>
                  </w:r>
                </w:p>
              </w:tc>
              <w:tc>
                <w:tcPr>
                  <w:tcW w:w="15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18" w:type="dxa"/>
                  <w:vMerge w:val="continue"/>
                  <w:vAlign w:val="center"/>
                </w:tcPr>
                <w:p>
                  <w:pPr>
                    <w:jc w:val="center"/>
                    <w:rPr>
                      <w:szCs w:val="21"/>
                    </w:rPr>
                  </w:pPr>
                </w:p>
              </w:tc>
              <w:tc>
                <w:tcPr>
                  <w:tcW w:w="992" w:type="dxa"/>
                  <w:vAlign w:val="center"/>
                </w:tcPr>
                <w:p>
                  <w:pPr>
                    <w:jc w:val="center"/>
                    <w:rPr>
                      <w:szCs w:val="21"/>
                    </w:rPr>
                  </w:pPr>
                  <w:r>
                    <w:rPr>
                      <w:rFonts w:hint="eastAsia"/>
                      <w:szCs w:val="21"/>
                    </w:rPr>
                    <w:t>黎明村</w:t>
                  </w:r>
                </w:p>
              </w:tc>
              <w:tc>
                <w:tcPr>
                  <w:tcW w:w="851" w:type="dxa"/>
                  <w:vAlign w:val="center"/>
                </w:tcPr>
                <w:p>
                  <w:pPr>
                    <w:jc w:val="center"/>
                    <w:rPr>
                      <w:szCs w:val="21"/>
                    </w:rPr>
                  </w:pPr>
                  <w:r>
                    <w:rPr>
                      <w:rFonts w:hint="eastAsia"/>
                      <w:szCs w:val="21"/>
                    </w:rPr>
                    <w:t>0</w:t>
                  </w:r>
                </w:p>
              </w:tc>
              <w:tc>
                <w:tcPr>
                  <w:tcW w:w="709" w:type="dxa"/>
                  <w:vAlign w:val="center"/>
                </w:tcPr>
                <w:p>
                  <w:pPr>
                    <w:jc w:val="center"/>
                    <w:rPr>
                      <w:szCs w:val="21"/>
                    </w:rPr>
                  </w:pPr>
                  <w:r>
                    <w:rPr>
                      <w:rFonts w:hint="eastAsia"/>
                      <w:szCs w:val="21"/>
                    </w:rPr>
                    <w:t>-</w:t>
                  </w:r>
                  <w:r>
                    <w:rPr>
                      <w:szCs w:val="21"/>
                    </w:rPr>
                    <w:t>390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rFonts w:hint="eastAsia" w:ascii="宋体" w:hAnsi="宋体"/>
                      <w:iCs/>
                      <w:szCs w:val="21"/>
                    </w:rPr>
                    <w:t>80~100户，240~300人</w:t>
                  </w:r>
                </w:p>
              </w:tc>
              <w:tc>
                <w:tcPr>
                  <w:tcW w:w="1417" w:type="dxa"/>
                  <w:vAlign w:val="center"/>
                </w:tcPr>
                <w:p>
                  <w:pPr>
                    <w:jc w:val="center"/>
                    <w:rPr>
                      <w:szCs w:val="21"/>
                    </w:rPr>
                  </w:pPr>
                  <w:r>
                    <w:rPr>
                      <w:rFonts w:hint="eastAsia"/>
                      <w:szCs w:val="21"/>
                    </w:rPr>
                    <w:t>南，高差-</w:t>
                  </w:r>
                  <w:r>
                    <w:rPr>
                      <w:szCs w:val="21"/>
                    </w:rPr>
                    <w:t>8m</w:t>
                  </w:r>
                  <w:r>
                    <w:rPr>
                      <w:rFonts w:hint="eastAsia"/>
                      <w:szCs w:val="21"/>
                    </w:rPr>
                    <w:t>，建筑物阻隔</w:t>
                  </w:r>
                </w:p>
              </w:tc>
              <w:tc>
                <w:tcPr>
                  <w:tcW w:w="1134" w:type="dxa"/>
                  <w:vAlign w:val="center"/>
                </w:tcPr>
                <w:p>
                  <w:pPr>
                    <w:jc w:val="center"/>
                    <w:rPr>
                      <w:szCs w:val="21"/>
                    </w:rPr>
                  </w:pPr>
                  <w:r>
                    <w:rPr>
                      <w:szCs w:val="21"/>
                    </w:rPr>
                    <w:t>510</w:t>
                  </w:r>
                  <w:r>
                    <w:rPr>
                      <w:rFonts w:hint="eastAsia"/>
                      <w:szCs w:val="21"/>
                    </w:rPr>
                    <w:t>m</w:t>
                  </w:r>
                </w:p>
              </w:tc>
              <w:tc>
                <w:tcPr>
                  <w:tcW w:w="15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18" w:type="dxa"/>
                  <w:vMerge w:val="continue"/>
                  <w:vAlign w:val="center"/>
                </w:tcPr>
                <w:p>
                  <w:pPr>
                    <w:jc w:val="center"/>
                    <w:rPr>
                      <w:szCs w:val="21"/>
                    </w:rPr>
                  </w:pPr>
                </w:p>
              </w:tc>
              <w:tc>
                <w:tcPr>
                  <w:tcW w:w="992" w:type="dxa"/>
                  <w:vAlign w:val="center"/>
                </w:tcPr>
                <w:p>
                  <w:pPr>
                    <w:jc w:val="center"/>
                    <w:rPr>
                      <w:szCs w:val="21"/>
                    </w:rPr>
                  </w:pPr>
                  <w:r>
                    <w:rPr>
                      <w:rFonts w:hint="eastAsia"/>
                      <w:szCs w:val="21"/>
                    </w:rPr>
                    <w:t>白马庙</w:t>
                  </w:r>
                </w:p>
              </w:tc>
              <w:tc>
                <w:tcPr>
                  <w:tcW w:w="851" w:type="dxa"/>
                  <w:vAlign w:val="center"/>
                </w:tcPr>
                <w:p>
                  <w:pPr>
                    <w:jc w:val="center"/>
                    <w:rPr>
                      <w:szCs w:val="21"/>
                    </w:rPr>
                  </w:pPr>
                  <w:r>
                    <w:rPr>
                      <w:rFonts w:hint="eastAsia"/>
                      <w:szCs w:val="21"/>
                    </w:rPr>
                    <w:t>-</w:t>
                  </w:r>
                  <w:r>
                    <w:rPr>
                      <w:szCs w:val="21"/>
                    </w:rPr>
                    <w:t>160</w:t>
                  </w:r>
                </w:p>
              </w:tc>
              <w:tc>
                <w:tcPr>
                  <w:tcW w:w="709" w:type="dxa"/>
                  <w:vAlign w:val="center"/>
                </w:tcPr>
                <w:p>
                  <w:pPr>
                    <w:jc w:val="center"/>
                    <w:rPr>
                      <w:szCs w:val="21"/>
                    </w:rPr>
                  </w:pPr>
                  <w:r>
                    <w:rPr>
                      <w:rFonts w:hint="eastAsia"/>
                      <w:szCs w:val="21"/>
                    </w:rPr>
                    <w:t>-</w:t>
                  </w:r>
                  <w:r>
                    <w:rPr>
                      <w:szCs w:val="21"/>
                    </w:rPr>
                    <w:t>380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szCs w:val="21"/>
                    </w:rPr>
                    <w:t>30</w:t>
                  </w:r>
                  <w:r>
                    <w:rPr>
                      <w:rFonts w:hint="eastAsia"/>
                      <w:szCs w:val="21"/>
                    </w:rPr>
                    <w:t>~</w:t>
                  </w:r>
                  <w:r>
                    <w:rPr>
                      <w:szCs w:val="21"/>
                    </w:rPr>
                    <w:t>40户</w:t>
                  </w:r>
                  <w:r>
                    <w:rPr>
                      <w:rFonts w:hint="eastAsia"/>
                      <w:szCs w:val="21"/>
                    </w:rPr>
                    <w:t>，约9</w:t>
                  </w:r>
                  <w:r>
                    <w:rPr>
                      <w:szCs w:val="21"/>
                    </w:rPr>
                    <w:t>0</w:t>
                  </w:r>
                  <w:r>
                    <w:rPr>
                      <w:rFonts w:hint="eastAsia"/>
                      <w:szCs w:val="21"/>
                    </w:rPr>
                    <w:t>~</w:t>
                  </w:r>
                  <w:r>
                    <w:rPr>
                      <w:szCs w:val="21"/>
                    </w:rPr>
                    <w:t>120人</w:t>
                  </w:r>
                </w:p>
              </w:tc>
              <w:tc>
                <w:tcPr>
                  <w:tcW w:w="1417" w:type="dxa"/>
                  <w:vAlign w:val="center"/>
                </w:tcPr>
                <w:p>
                  <w:pPr>
                    <w:jc w:val="center"/>
                    <w:rPr>
                      <w:szCs w:val="21"/>
                    </w:rPr>
                  </w:pPr>
                  <w:r>
                    <w:rPr>
                      <w:rFonts w:hint="eastAsia"/>
                      <w:szCs w:val="21"/>
                    </w:rPr>
                    <w:t>西南，高差-</w:t>
                  </w:r>
                  <w:r>
                    <w:rPr>
                      <w:szCs w:val="21"/>
                    </w:rPr>
                    <w:t>6m</w:t>
                  </w:r>
                  <w:r>
                    <w:rPr>
                      <w:rFonts w:hint="eastAsia"/>
                      <w:szCs w:val="21"/>
                    </w:rPr>
                    <w:t>，</w:t>
                  </w:r>
                  <w:r>
                    <w:rPr>
                      <w:szCs w:val="21"/>
                    </w:rPr>
                    <w:t>建筑物阻隔</w:t>
                  </w:r>
                </w:p>
              </w:tc>
              <w:tc>
                <w:tcPr>
                  <w:tcW w:w="1134" w:type="dxa"/>
                  <w:vAlign w:val="center"/>
                </w:tcPr>
                <w:p>
                  <w:pPr>
                    <w:jc w:val="center"/>
                    <w:rPr>
                      <w:szCs w:val="21"/>
                    </w:rPr>
                  </w:pPr>
                  <w:r>
                    <w:rPr>
                      <w:szCs w:val="21"/>
                    </w:rPr>
                    <w:t>42</w:t>
                  </w:r>
                  <w:r>
                    <w:rPr>
                      <w:rFonts w:hint="eastAsia"/>
                      <w:szCs w:val="21"/>
                    </w:rPr>
                    <w:t>0m</w:t>
                  </w:r>
                </w:p>
              </w:tc>
              <w:tc>
                <w:tcPr>
                  <w:tcW w:w="15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18" w:type="dxa"/>
                  <w:vMerge w:val="continue"/>
                  <w:vAlign w:val="center"/>
                </w:tcPr>
                <w:p>
                  <w:pPr>
                    <w:jc w:val="center"/>
                    <w:rPr>
                      <w:szCs w:val="21"/>
                    </w:rPr>
                  </w:pPr>
                </w:p>
              </w:tc>
              <w:tc>
                <w:tcPr>
                  <w:tcW w:w="992" w:type="dxa"/>
                  <w:vAlign w:val="center"/>
                </w:tcPr>
                <w:p>
                  <w:pPr>
                    <w:jc w:val="center"/>
                    <w:rPr>
                      <w:szCs w:val="21"/>
                    </w:rPr>
                  </w:pPr>
                  <w:r>
                    <w:rPr>
                      <w:rFonts w:hint="eastAsia"/>
                      <w:szCs w:val="21"/>
                    </w:rPr>
                    <w:t>周陆坝村</w:t>
                  </w:r>
                </w:p>
              </w:tc>
              <w:tc>
                <w:tcPr>
                  <w:tcW w:w="851" w:type="dxa"/>
                  <w:vAlign w:val="center"/>
                </w:tcPr>
                <w:p>
                  <w:pPr>
                    <w:jc w:val="center"/>
                    <w:rPr>
                      <w:szCs w:val="21"/>
                    </w:rPr>
                  </w:pPr>
                  <w:r>
                    <w:rPr>
                      <w:szCs w:val="21"/>
                    </w:rPr>
                    <w:t>+</w:t>
                  </w:r>
                  <w:r>
                    <w:rPr>
                      <w:rFonts w:hint="eastAsia"/>
                      <w:szCs w:val="21"/>
                    </w:rPr>
                    <w:t>2</w:t>
                  </w:r>
                  <w:r>
                    <w:rPr>
                      <w:szCs w:val="21"/>
                    </w:rPr>
                    <w:t>70</w:t>
                  </w:r>
                </w:p>
              </w:tc>
              <w:tc>
                <w:tcPr>
                  <w:tcW w:w="709" w:type="dxa"/>
                  <w:vAlign w:val="center"/>
                </w:tcPr>
                <w:p>
                  <w:pPr>
                    <w:jc w:val="center"/>
                    <w:rPr>
                      <w:szCs w:val="21"/>
                    </w:rPr>
                  </w:pPr>
                  <w:r>
                    <w:rPr>
                      <w:rFonts w:hint="eastAsia"/>
                      <w:szCs w:val="21"/>
                    </w:rPr>
                    <w:t>-</w:t>
                  </w:r>
                  <w:r>
                    <w:rPr>
                      <w:szCs w:val="21"/>
                    </w:rPr>
                    <w:t>1270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rFonts w:hint="eastAsia"/>
                      <w:szCs w:val="21"/>
                    </w:rPr>
                    <w:t>5</w:t>
                  </w:r>
                  <w:r>
                    <w:rPr>
                      <w:szCs w:val="21"/>
                    </w:rPr>
                    <w:t>0</w:t>
                  </w:r>
                  <w:r>
                    <w:rPr>
                      <w:rFonts w:hint="eastAsia"/>
                      <w:szCs w:val="21"/>
                    </w:rPr>
                    <w:t>~</w:t>
                  </w:r>
                  <w:r>
                    <w:rPr>
                      <w:szCs w:val="21"/>
                    </w:rPr>
                    <w:t>60户</w:t>
                  </w:r>
                  <w:r>
                    <w:rPr>
                      <w:rFonts w:hint="eastAsia"/>
                      <w:szCs w:val="21"/>
                    </w:rPr>
                    <w:t>，约1</w:t>
                  </w:r>
                  <w:r>
                    <w:rPr>
                      <w:szCs w:val="21"/>
                    </w:rPr>
                    <w:t>50</w:t>
                  </w:r>
                  <w:r>
                    <w:rPr>
                      <w:rFonts w:hint="eastAsia"/>
                      <w:szCs w:val="21"/>
                    </w:rPr>
                    <w:t>~</w:t>
                  </w:r>
                  <w:r>
                    <w:rPr>
                      <w:szCs w:val="21"/>
                    </w:rPr>
                    <w:t>180人</w:t>
                  </w:r>
                </w:p>
              </w:tc>
              <w:tc>
                <w:tcPr>
                  <w:tcW w:w="1417" w:type="dxa"/>
                  <w:vAlign w:val="center"/>
                </w:tcPr>
                <w:p>
                  <w:pPr>
                    <w:jc w:val="center"/>
                    <w:rPr>
                      <w:szCs w:val="21"/>
                    </w:rPr>
                  </w:pPr>
                  <w:r>
                    <w:rPr>
                      <w:rFonts w:hint="eastAsia"/>
                      <w:szCs w:val="21"/>
                    </w:rPr>
                    <w:t>东南，高差-</w:t>
                  </w:r>
                  <w:r>
                    <w:rPr>
                      <w:szCs w:val="21"/>
                    </w:rPr>
                    <w:t>11m</w:t>
                  </w:r>
                  <w:r>
                    <w:rPr>
                      <w:rFonts w:hint="eastAsia"/>
                      <w:szCs w:val="21"/>
                    </w:rPr>
                    <w:t>，</w:t>
                  </w:r>
                  <w:r>
                    <w:rPr>
                      <w:szCs w:val="21"/>
                    </w:rPr>
                    <w:t>建筑物阻隔</w:t>
                  </w:r>
                </w:p>
              </w:tc>
              <w:tc>
                <w:tcPr>
                  <w:tcW w:w="1134" w:type="dxa"/>
                  <w:vAlign w:val="center"/>
                </w:tcPr>
                <w:p>
                  <w:pPr>
                    <w:jc w:val="center"/>
                    <w:rPr>
                      <w:szCs w:val="21"/>
                    </w:rPr>
                  </w:pPr>
                  <w:r>
                    <w:rPr>
                      <w:szCs w:val="21"/>
                    </w:rPr>
                    <w:t>1350</w:t>
                  </w:r>
                  <w:r>
                    <w:rPr>
                      <w:rFonts w:hint="eastAsia"/>
                      <w:szCs w:val="21"/>
                    </w:rPr>
                    <w:t>m</w:t>
                  </w:r>
                </w:p>
              </w:tc>
              <w:tc>
                <w:tcPr>
                  <w:tcW w:w="15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18" w:type="dxa"/>
                  <w:vMerge w:val="continue"/>
                  <w:vAlign w:val="center"/>
                </w:tcPr>
                <w:p>
                  <w:pPr>
                    <w:jc w:val="center"/>
                    <w:rPr>
                      <w:szCs w:val="21"/>
                    </w:rPr>
                  </w:pPr>
                </w:p>
              </w:tc>
              <w:tc>
                <w:tcPr>
                  <w:tcW w:w="992" w:type="dxa"/>
                  <w:vAlign w:val="center"/>
                </w:tcPr>
                <w:p>
                  <w:pPr>
                    <w:rPr>
                      <w:szCs w:val="21"/>
                    </w:rPr>
                  </w:pPr>
                  <w:r>
                    <w:rPr>
                      <w:rFonts w:hint="eastAsia"/>
                      <w:szCs w:val="21"/>
                    </w:rPr>
                    <w:t>白玉村</w:t>
                  </w:r>
                </w:p>
              </w:tc>
              <w:tc>
                <w:tcPr>
                  <w:tcW w:w="851" w:type="dxa"/>
                  <w:vAlign w:val="center"/>
                </w:tcPr>
                <w:p>
                  <w:pPr>
                    <w:jc w:val="center"/>
                    <w:rPr>
                      <w:szCs w:val="21"/>
                    </w:rPr>
                  </w:pPr>
                  <w:r>
                    <w:rPr>
                      <w:rFonts w:hint="eastAsia"/>
                      <w:szCs w:val="21"/>
                    </w:rPr>
                    <w:t>-</w:t>
                  </w:r>
                  <w:r>
                    <w:rPr>
                      <w:szCs w:val="21"/>
                    </w:rPr>
                    <w:t>700</w:t>
                  </w:r>
                </w:p>
              </w:tc>
              <w:tc>
                <w:tcPr>
                  <w:tcW w:w="709" w:type="dxa"/>
                  <w:vAlign w:val="center"/>
                </w:tcPr>
                <w:p>
                  <w:pPr>
                    <w:jc w:val="center"/>
                    <w:rPr>
                      <w:szCs w:val="21"/>
                    </w:rPr>
                  </w:pPr>
                  <w:r>
                    <w:rPr>
                      <w:rFonts w:hint="eastAsia"/>
                      <w:szCs w:val="21"/>
                    </w:rPr>
                    <w:t>-</w:t>
                  </w:r>
                  <w:r>
                    <w:rPr>
                      <w:szCs w:val="21"/>
                    </w:rPr>
                    <w:t>860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rFonts w:hint="eastAsia" w:ascii="宋体" w:hAnsi="宋体"/>
                      <w:iCs/>
                      <w:szCs w:val="21"/>
                    </w:rPr>
                    <w:t>30~40户，约90~120人</w:t>
                  </w:r>
                </w:p>
              </w:tc>
              <w:tc>
                <w:tcPr>
                  <w:tcW w:w="1417" w:type="dxa"/>
                  <w:vAlign w:val="center"/>
                </w:tcPr>
                <w:p>
                  <w:pPr>
                    <w:jc w:val="center"/>
                    <w:rPr>
                      <w:szCs w:val="21"/>
                    </w:rPr>
                  </w:pPr>
                  <w:r>
                    <w:rPr>
                      <w:rFonts w:hint="eastAsia"/>
                      <w:szCs w:val="21"/>
                    </w:rPr>
                    <w:t>西南，高差-</w:t>
                  </w:r>
                  <w:r>
                    <w:rPr>
                      <w:szCs w:val="21"/>
                    </w:rPr>
                    <w:t>10m</w:t>
                  </w:r>
                  <w:r>
                    <w:rPr>
                      <w:rFonts w:hint="eastAsia"/>
                      <w:szCs w:val="21"/>
                    </w:rPr>
                    <w:t>，</w:t>
                  </w:r>
                  <w:r>
                    <w:rPr>
                      <w:szCs w:val="21"/>
                    </w:rPr>
                    <w:t>有建筑物阻隔</w:t>
                  </w:r>
                </w:p>
              </w:tc>
              <w:tc>
                <w:tcPr>
                  <w:tcW w:w="1134" w:type="dxa"/>
                  <w:vAlign w:val="center"/>
                </w:tcPr>
                <w:p>
                  <w:pPr>
                    <w:jc w:val="center"/>
                    <w:rPr>
                      <w:szCs w:val="21"/>
                    </w:rPr>
                  </w:pPr>
                  <w:r>
                    <w:rPr>
                      <w:szCs w:val="21"/>
                    </w:rPr>
                    <w:t>1150m</w:t>
                  </w:r>
                </w:p>
              </w:tc>
              <w:tc>
                <w:tcPr>
                  <w:tcW w:w="15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18" w:type="dxa"/>
                  <w:vMerge w:val="continue"/>
                  <w:vAlign w:val="center"/>
                </w:tcPr>
                <w:p>
                  <w:pPr>
                    <w:jc w:val="center"/>
                    <w:rPr>
                      <w:szCs w:val="21"/>
                    </w:rPr>
                  </w:pPr>
                </w:p>
              </w:tc>
              <w:tc>
                <w:tcPr>
                  <w:tcW w:w="992" w:type="dxa"/>
                  <w:vAlign w:val="center"/>
                </w:tcPr>
                <w:p>
                  <w:pPr>
                    <w:rPr>
                      <w:szCs w:val="21"/>
                    </w:rPr>
                  </w:pPr>
                  <w:r>
                    <w:rPr>
                      <w:rFonts w:hint="eastAsia"/>
                      <w:szCs w:val="21"/>
                    </w:rPr>
                    <w:t>华光村</w:t>
                  </w:r>
                </w:p>
              </w:tc>
              <w:tc>
                <w:tcPr>
                  <w:tcW w:w="851" w:type="dxa"/>
                  <w:vAlign w:val="center"/>
                </w:tcPr>
                <w:p>
                  <w:pPr>
                    <w:jc w:val="center"/>
                    <w:rPr>
                      <w:szCs w:val="21"/>
                    </w:rPr>
                  </w:pPr>
                  <w:r>
                    <w:rPr>
                      <w:szCs w:val="21"/>
                    </w:rPr>
                    <w:t>-</w:t>
                  </w:r>
                  <w:r>
                    <w:rPr>
                      <w:rFonts w:hint="eastAsia"/>
                      <w:szCs w:val="21"/>
                    </w:rPr>
                    <w:t>1</w:t>
                  </w:r>
                  <w:r>
                    <w:rPr>
                      <w:szCs w:val="21"/>
                    </w:rPr>
                    <w:t>080</w:t>
                  </w:r>
                </w:p>
              </w:tc>
              <w:tc>
                <w:tcPr>
                  <w:tcW w:w="709" w:type="dxa"/>
                  <w:vAlign w:val="center"/>
                </w:tcPr>
                <w:p>
                  <w:pPr>
                    <w:jc w:val="center"/>
                    <w:rPr>
                      <w:szCs w:val="21"/>
                    </w:rPr>
                  </w:pPr>
                  <w:r>
                    <w:rPr>
                      <w:rFonts w:hint="eastAsia"/>
                      <w:szCs w:val="21"/>
                    </w:rPr>
                    <w:t>-</w:t>
                  </w:r>
                  <w:r>
                    <w:rPr>
                      <w:szCs w:val="21"/>
                    </w:rPr>
                    <w:t>1200</w:t>
                  </w:r>
                </w:p>
              </w:tc>
              <w:tc>
                <w:tcPr>
                  <w:tcW w:w="850" w:type="dxa"/>
                  <w:vAlign w:val="center"/>
                </w:tcPr>
                <w:p>
                  <w:pPr>
                    <w:rPr>
                      <w:szCs w:val="21"/>
                    </w:rPr>
                  </w:pPr>
                  <w:r>
                    <w:rPr>
                      <w:szCs w:val="21"/>
                    </w:rPr>
                    <w:t>居民区</w:t>
                  </w:r>
                </w:p>
              </w:tc>
              <w:tc>
                <w:tcPr>
                  <w:tcW w:w="1418" w:type="dxa"/>
                  <w:vAlign w:val="center"/>
                </w:tcPr>
                <w:p>
                  <w:pPr>
                    <w:jc w:val="center"/>
                    <w:rPr>
                      <w:szCs w:val="21"/>
                    </w:rPr>
                  </w:pPr>
                  <w:r>
                    <w:rPr>
                      <w:rFonts w:hint="eastAsia"/>
                      <w:szCs w:val="21"/>
                    </w:rPr>
                    <w:t>4</w:t>
                  </w:r>
                  <w:r>
                    <w:rPr>
                      <w:szCs w:val="21"/>
                    </w:rPr>
                    <w:t>0</w:t>
                  </w:r>
                  <w:r>
                    <w:rPr>
                      <w:rFonts w:hint="eastAsia"/>
                      <w:szCs w:val="21"/>
                    </w:rPr>
                    <w:t>~</w:t>
                  </w:r>
                  <w:r>
                    <w:rPr>
                      <w:szCs w:val="21"/>
                    </w:rPr>
                    <w:t>50户</w:t>
                  </w:r>
                  <w:r>
                    <w:rPr>
                      <w:rFonts w:hint="eastAsia"/>
                      <w:szCs w:val="21"/>
                    </w:rPr>
                    <w:t>，约1</w:t>
                  </w:r>
                  <w:r>
                    <w:rPr>
                      <w:szCs w:val="21"/>
                    </w:rPr>
                    <w:t>20</w:t>
                  </w:r>
                  <w:r>
                    <w:rPr>
                      <w:rFonts w:hint="eastAsia"/>
                      <w:szCs w:val="21"/>
                    </w:rPr>
                    <w:t>~</w:t>
                  </w:r>
                  <w:r>
                    <w:rPr>
                      <w:szCs w:val="21"/>
                    </w:rPr>
                    <w:t>150人</w:t>
                  </w:r>
                </w:p>
              </w:tc>
              <w:tc>
                <w:tcPr>
                  <w:tcW w:w="1417" w:type="dxa"/>
                  <w:vAlign w:val="center"/>
                </w:tcPr>
                <w:p>
                  <w:pPr>
                    <w:jc w:val="center"/>
                    <w:rPr>
                      <w:szCs w:val="21"/>
                    </w:rPr>
                  </w:pPr>
                  <w:r>
                    <w:rPr>
                      <w:rFonts w:hint="eastAsia"/>
                      <w:szCs w:val="21"/>
                    </w:rPr>
                    <w:t>西南，高差-</w:t>
                  </w:r>
                  <w:r>
                    <w:rPr>
                      <w:szCs w:val="21"/>
                    </w:rPr>
                    <w:t>6m</w:t>
                  </w:r>
                  <w:r>
                    <w:rPr>
                      <w:rFonts w:hint="eastAsia"/>
                      <w:szCs w:val="21"/>
                    </w:rPr>
                    <w:t>，</w:t>
                  </w:r>
                  <w:r>
                    <w:rPr>
                      <w:szCs w:val="21"/>
                    </w:rPr>
                    <w:t>有建筑物阻隔</w:t>
                  </w:r>
                </w:p>
              </w:tc>
              <w:tc>
                <w:tcPr>
                  <w:tcW w:w="1134" w:type="dxa"/>
                  <w:vAlign w:val="center"/>
                </w:tcPr>
                <w:p>
                  <w:pPr>
                    <w:jc w:val="center"/>
                    <w:rPr>
                      <w:szCs w:val="21"/>
                    </w:rPr>
                  </w:pPr>
                  <w:r>
                    <w:rPr>
                      <w:rFonts w:hint="eastAsia"/>
                      <w:szCs w:val="21"/>
                    </w:rPr>
                    <w:t>1</w:t>
                  </w:r>
                  <w:r>
                    <w:rPr>
                      <w:szCs w:val="21"/>
                    </w:rPr>
                    <w:t>750m</w:t>
                  </w:r>
                </w:p>
              </w:tc>
              <w:tc>
                <w:tcPr>
                  <w:tcW w:w="15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18" w:type="dxa"/>
                  <w:vMerge w:val="continue"/>
                  <w:vAlign w:val="center"/>
                </w:tcPr>
                <w:p>
                  <w:pPr>
                    <w:jc w:val="center"/>
                    <w:rPr>
                      <w:szCs w:val="21"/>
                    </w:rPr>
                  </w:pPr>
                </w:p>
              </w:tc>
              <w:tc>
                <w:tcPr>
                  <w:tcW w:w="992" w:type="dxa"/>
                  <w:vAlign w:val="center"/>
                </w:tcPr>
                <w:p>
                  <w:pPr>
                    <w:rPr>
                      <w:szCs w:val="21"/>
                    </w:rPr>
                  </w:pPr>
                  <w:r>
                    <w:rPr>
                      <w:rFonts w:hint="eastAsia"/>
                      <w:szCs w:val="21"/>
                    </w:rPr>
                    <w:t>龙窝村</w:t>
                  </w:r>
                </w:p>
              </w:tc>
              <w:tc>
                <w:tcPr>
                  <w:tcW w:w="851" w:type="dxa"/>
                  <w:vAlign w:val="center"/>
                </w:tcPr>
                <w:p>
                  <w:pPr>
                    <w:jc w:val="center"/>
                    <w:rPr>
                      <w:szCs w:val="21"/>
                    </w:rPr>
                  </w:pPr>
                  <w:r>
                    <w:rPr>
                      <w:szCs w:val="21"/>
                    </w:rPr>
                    <w:t>-</w:t>
                  </w:r>
                  <w:r>
                    <w:rPr>
                      <w:rFonts w:hint="eastAsia"/>
                      <w:szCs w:val="21"/>
                    </w:rPr>
                    <w:t>6</w:t>
                  </w:r>
                  <w:r>
                    <w:rPr>
                      <w:szCs w:val="21"/>
                    </w:rPr>
                    <w:t>00</w:t>
                  </w:r>
                </w:p>
              </w:tc>
              <w:tc>
                <w:tcPr>
                  <w:tcW w:w="709" w:type="dxa"/>
                  <w:vAlign w:val="center"/>
                </w:tcPr>
                <w:p>
                  <w:pPr>
                    <w:jc w:val="center"/>
                    <w:rPr>
                      <w:szCs w:val="21"/>
                    </w:rPr>
                  </w:pPr>
                  <w:r>
                    <w:rPr>
                      <w:rFonts w:hint="eastAsia"/>
                      <w:szCs w:val="21"/>
                    </w:rPr>
                    <w:t>-</w:t>
                  </w:r>
                  <w:r>
                    <w:rPr>
                      <w:szCs w:val="21"/>
                    </w:rPr>
                    <w:t>1380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rFonts w:hint="eastAsia"/>
                      <w:szCs w:val="21"/>
                    </w:rPr>
                    <w:t>6</w:t>
                  </w:r>
                  <w:r>
                    <w:rPr>
                      <w:szCs w:val="21"/>
                    </w:rPr>
                    <w:t>0</w:t>
                  </w:r>
                  <w:r>
                    <w:rPr>
                      <w:rFonts w:hint="eastAsia"/>
                      <w:szCs w:val="21"/>
                    </w:rPr>
                    <w:t>~</w:t>
                  </w:r>
                  <w:r>
                    <w:rPr>
                      <w:szCs w:val="21"/>
                    </w:rPr>
                    <w:t>70户</w:t>
                  </w:r>
                  <w:r>
                    <w:rPr>
                      <w:rFonts w:hint="eastAsia"/>
                      <w:szCs w:val="21"/>
                    </w:rPr>
                    <w:t>，约1</w:t>
                  </w:r>
                  <w:r>
                    <w:rPr>
                      <w:szCs w:val="21"/>
                    </w:rPr>
                    <w:t>80</w:t>
                  </w:r>
                  <w:r>
                    <w:rPr>
                      <w:rFonts w:hint="eastAsia"/>
                      <w:szCs w:val="21"/>
                    </w:rPr>
                    <w:t>~</w:t>
                  </w:r>
                  <w:r>
                    <w:rPr>
                      <w:szCs w:val="21"/>
                    </w:rPr>
                    <w:t>210人</w:t>
                  </w:r>
                </w:p>
              </w:tc>
              <w:tc>
                <w:tcPr>
                  <w:tcW w:w="1417" w:type="dxa"/>
                  <w:vAlign w:val="center"/>
                </w:tcPr>
                <w:p>
                  <w:pPr>
                    <w:jc w:val="center"/>
                    <w:rPr>
                      <w:szCs w:val="21"/>
                    </w:rPr>
                  </w:pPr>
                  <w:r>
                    <w:rPr>
                      <w:rFonts w:hint="eastAsia"/>
                      <w:szCs w:val="21"/>
                    </w:rPr>
                    <w:t>西南，高差-</w:t>
                  </w:r>
                  <w:r>
                    <w:rPr>
                      <w:szCs w:val="21"/>
                    </w:rPr>
                    <w:t>8m</w:t>
                  </w:r>
                  <w:r>
                    <w:rPr>
                      <w:rFonts w:hint="eastAsia"/>
                      <w:szCs w:val="21"/>
                    </w:rPr>
                    <w:t>，</w:t>
                  </w:r>
                  <w:r>
                    <w:rPr>
                      <w:szCs w:val="21"/>
                    </w:rPr>
                    <w:t>有建筑物阻隔</w:t>
                  </w:r>
                </w:p>
              </w:tc>
              <w:tc>
                <w:tcPr>
                  <w:tcW w:w="1134" w:type="dxa"/>
                  <w:vAlign w:val="center"/>
                </w:tcPr>
                <w:p>
                  <w:pPr>
                    <w:jc w:val="center"/>
                    <w:rPr>
                      <w:szCs w:val="21"/>
                    </w:rPr>
                  </w:pPr>
                  <w:r>
                    <w:rPr>
                      <w:rFonts w:hint="eastAsia"/>
                      <w:szCs w:val="21"/>
                    </w:rPr>
                    <w:t>1</w:t>
                  </w:r>
                  <w:r>
                    <w:rPr>
                      <w:szCs w:val="21"/>
                    </w:rPr>
                    <w:t>650</w:t>
                  </w:r>
                </w:p>
              </w:tc>
              <w:tc>
                <w:tcPr>
                  <w:tcW w:w="15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18" w:type="dxa"/>
                  <w:vMerge w:val="continue"/>
                  <w:vAlign w:val="center"/>
                </w:tcPr>
                <w:p>
                  <w:pPr>
                    <w:jc w:val="center"/>
                    <w:rPr>
                      <w:szCs w:val="21"/>
                    </w:rPr>
                  </w:pPr>
                </w:p>
              </w:tc>
              <w:tc>
                <w:tcPr>
                  <w:tcW w:w="992" w:type="dxa"/>
                  <w:vAlign w:val="center"/>
                </w:tcPr>
                <w:p>
                  <w:pPr>
                    <w:ind w:firstLine="105" w:firstLineChars="50"/>
                    <w:jc w:val="center"/>
                    <w:rPr>
                      <w:szCs w:val="21"/>
                    </w:rPr>
                  </w:pPr>
                  <w:r>
                    <w:rPr>
                      <w:rFonts w:hint="eastAsia"/>
                      <w:szCs w:val="21"/>
                    </w:rPr>
                    <w:t>水口镇场镇</w:t>
                  </w:r>
                </w:p>
              </w:tc>
              <w:tc>
                <w:tcPr>
                  <w:tcW w:w="851" w:type="dxa"/>
                  <w:vAlign w:val="center"/>
                </w:tcPr>
                <w:p>
                  <w:pPr>
                    <w:rPr>
                      <w:szCs w:val="21"/>
                    </w:rPr>
                  </w:pPr>
                  <w:r>
                    <w:rPr>
                      <w:szCs w:val="21"/>
                    </w:rPr>
                    <w:t>+1590</w:t>
                  </w:r>
                </w:p>
              </w:tc>
              <w:tc>
                <w:tcPr>
                  <w:tcW w:w="709" w:type="dxa"/>
                  <w:vAlign w:val="center"/>
                </w:tcPr>
                <w:p>
                  <w:pPr>
                    <w:jc w:val="center"/>
                    <w:rPr>
                      <w:szCs w:val="21"/>
                    </w:rPr>
                  </w:pPr>
                  <w:r>
                    <w:rPr>
                      <w:szCs w:val="21"/>
                    </w:rPr>
                    <w:t>+145</w:t>
                  </w:r>
                </w:p>
              </w:tc>
              <w:tc>
                <w:tcPr>
                  <w:tcW w:w="850" w:type="dxa"/>
                  <w:vAlign w:val="center"/>
                </w:tcPr>
                <w:p>
                  <w:pPr>
                    <w:jc w:val="center"/>
                    <w:rPr>
                      <w:szCs w:val="21"/>
                    </w:rPr>
                  </w:pPr>
                  <w:r>
                    <w:rPr>
                      <w:rFonts w:hint="eastAsia"/>
                      <w:szCs w:val="21"/>
                    </w:rPr>
                    <w:t>场镇</w:t>
                  </w:r>
                </w:p>
              </w:tc>
              <w:tc>
                <w:tcPr>
                  <w:tcW w:w="1418" w:type="dxa"/>
                  <w:vAlign w:val="center"/>
                </w:tcPr>
                <w:p>
                  <w:pPr>
                    <w:jc w:val="center"/>
                    <w:rPr>
                      <w:szCs w:val="21"/>
                    </w:rPr>
                  </w:pPr>
                  <w:r>
                    <w:rPr>
                      <w:rFonts w:hint="eastAsia" w:ascii="宋体" w:hAnsi="宋体"/>
                      <w:iCs/>
                      <w:szCs w:val="21"/>
                    </w:rPr>
                    <w:t>300~400户，900~1200人</w:t>
                  </w:r>
                </w:p>
              </w:tc>
              <w:tc>
                <w:tcPr>
                  <w:tcW w:w="1417" w:type="dxa"/>
                  <w:vAlign w:val="center"/>
                </w:tcPr>
                <w:p>
                  <w:pPr>
                    <w:jc w:val="center"/>
                    <w:rPr>
                      <w:szCs w:val="21"/>
                    </w:rPr>
                  </w:pPr>
                  <w:r>
                    <w:rPr>
                      <w:rFonts w:hint="eastAsia"/>
                      <w:szCs w:val="21"/>
                    </w:rPr>
                    <w:t>东北，高差-</w:t>
                  </w:r>
                  <w:r>
                    <w:rPr>
                      <w:szCs w:val="21"/>
                    </w:rPr>
                    <w:t>14m</w:t>
                  </w:r>
                  <w:r>
                    <w:rPr>
                      <w:rFonts w:hint="eastAsia"/>
                      <w:szCs w:val="21"/>
                    </w:rPr>
                    <w:t>，</w:t>
                  </w:r>
                  <w:r>
                    <w:rPr>
                      <w:szCs w:val="21"/>
                    </w:rPr>
                    <w:t>有建筑物阻隔</w:t>
                  </w:r>
                </w:p>
              </w:tc>
              <w:tc>
                <w:tcPr>
                  <w:tcW w:w="1134" w:type="dxa"/>
                  <w:vAlign w:val="center"/>
                </w:tcPr>
                <w:p>
                  <w:pPr>
                    <w:jc w:val="center"/>
                    <w:rPr>
                      <w:szCs w:val="21"/>
                    </w:rPr>
                  </w:pPr>
                  <w:r>
                    <w:rPr>
                      <w:rFonts w:hint="eastAsia"/>
                      <w:szCs w:val="21"/>
                    </w:rPr>
                    <w:t>1</w:t>
                  </w:r>
                  <w:r>
                    <w:rPr>
                      <w:szCs w:val="21"/>
                    </w:rPr>
                    <w:t>640</w:t>
                  </w:r>
                </w:p>
              </w:tc>
              <w:tc>
                <w:tcPr>
                  <w:tcW w:w="15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18" w:type="dxa"/>
                  <w:vAlign w:val="center"/>
                </w:tcPr>
                <w:p>
                  <w:pPr>
                    <w:jc w:val="center"/>
                    <w:rPr>
                      <w:szCs w:val="21"/>
                    </w:rPr>
                  </w:pPr>
                  <w:r>
                    <w:rPr>
                      <w:rFonts w:hint="eastAsia"/>
                      <w:szCs w:val="21"/>
                    </w:rPr>
                    <w:t>声环境</w:t>
                  </w:r>
                </w:p>
              </w:tc>
              <w:tc>
                <w:tcPr>
                  <w:tcW w:w="992" w:type="dxa"/>
                  <w:vAlign w:val="center"/>
                </w:tcPr>
                <w:p>
                  <w:pPr>
                    <w:jc w:val="center"/>
                    <w:rPr>
                      <w:szCs w:val="21"/>
                    </w:rPr>
                  </w:pPr>
                  <w:r>
                    <w:rPr>
                      <w:rFonts w:hint="eastAsia"/>
                      <w:szCs w:val="21"/>
                    </w:rPr>
                    <w:t>/</w:t>
                  </w:r>
                </w:p>
              </w:tc>
              <w:tc>
                <w:tcPr>
                  <w:tcW w:w="851" w:type="dxa"/>
                  <w:vAlign w:val="center"/>
                </w:tcPr>
                <w:p>
                  <w:pPr>
                    <w:jc w:val="center"/>
                    <w:rPr>
                      <w:szCs w:val="21"/>
                    </w:rPr>
                  </w:pPr>
                  <w:r>
                    <w:rPr>
                      <w:rFonts w:hint="eastAsia"/>
                      <w:szCs w:val="21"/>
                    </w:rPr>
                    <w:t>/</w:t>
                  </w:r>
                </w:p>
              </w:tc>
              <w:tc>
                <w:tcPr>
                  <w:tcW w:w="709" w:type="dxa"/>
                  <w:vAlign w:val="center"/>
                </w:tcPr>
                <w:p>
                  <w:pPr>
                    <w:jc w:val="center"/>
                    <w:rPr>
                      <w:szCs w:val="21"/>
                    </w:rPr>
                  </w:pPr>
                  <w:r>
                    <w:rPr>
                      <w:rFonts w:hint="eastAsia"/>
                      <w:szCs w:val="21"/>
                    </w:rPr>
                    <w:t>/</w:t>
                  </w:r>
                </w:p>
              </w:tc>
              <w:tc>
                <w:tcPr>
                  <w:tcW w:w="850" w:type="dxa"/>
                  <w:vAlign w:val="center"/>
                </w:tcPr>
                <w:p>
                  <w:pPr>
                    <w:jc w:val="center"/>
                    <w:rPr>
                      <w:szCs w:val="21"/>
                    </w:rPr>
                  </w:pPr>
                  <w:r>
                    <w:rPr>
                      <w:rFonts w:hint="eastAsia"/>
                      <w:szCs w:val="21"/>
                    </w:rPr>
                    <w:t>/</w:t>
                  </w:r>
                </w:p>
              </w:tc>
              <w:tc>
                <w:tcPr>
                  <w:tcW w:w="1418" w:type="dxa"/>
                  <w:vAlign w:val="center"/>
                </w:tcPr>
                <w:p>
                  <w:pPr>
                    <w:jc w:val="center"/>
                    <w:rPr>
                      <w:szCs w:val="21"/>
                    </w:rPr>
                  </w:pPr>
                  <w:r>
                    <w:rPr>
                      <w:rFonts w:hint="eastAsia"/>
                      <w:szCs w:val="21"/>
                    </w:rPr>
                    <w:t>/</w:t>
                  </w:r>
                </w:p>
              </w:tc>
              <w:tc>
                <w:tcPr>
                  <w:tcW w:w="1417" w:type="dxa"/>
                  <w:vAlign w:val="center"/>
                </w:tcPr>
                <w:p>
                  <w:pPr>
                    <w:jc w:val="center"/>
                    <w:rPr>
                      <w:szCs w:val="21"/>
                    </w:rPr>
                  </w:pPr>
                  <w:r>
                    <w:rPr>
                      <w:rFonts w:hint="eastAsia"/>
                      <w:szCs w:val="21"/>
                    </w:rPr>
                    <w:t>/</w:t>
                  </w:r>
                </w:p>
              </w:tc>
              <w:tc>
                <w:tcPr>
                  <w:tcW w:w="1134" w:type="dxa"/>
                  <w:vAlign w:val="center"/>
                </w:tcPr>
                <w:p>
                  <w:pPr>
                    <w:jc w:val="center"/>
                    <w:rPr>
                      <w:szCs w:val="21"/>
                    </w:rPr>
                  </w:pPr>
                  <w:r>
                    <w:rPr>
                      <w:rFonts w:hint="eastAsia"/>
                      <w:szCs w:val="21"/>
                    </w:rPr>
                    <w:t>/</w:t>
                  </w:r>
                </w:p>
              </w:tc>
              <w:tc>
                <w:tcPr>
                  <w:tcW w:w="1541" w:type="dxa"/>
                  <w:vAlign w:val="center"/>
                </w:tcPr>
                <w:p>
                  <w:pPr>
                    <w:jc w:val="center"/>
                    <w:rPr>
                      <w:szCs w:val="21"/>
                    </w:rPr>
                  </w:pPr>
                  <w:r>
                    <w:rPr>
                      <w:rFonts w:hint="eastAsia"/>
                      <w:szCs w:val="21"/>
                    </w:rPr>
                    <w:t>《声环境质量标准》（GB3096-2008）2类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718" w:type="dxa"/>
                  <w:vMerge w:val="restart"/>
                  <w:vAlign w:val="center"/>
                </w:tcPr>
                <w:p>
                  <w:pPr>
                    <w:jc w:val="center"/>
                    <w:rPr>
                      <w:szCs w:val="21"/>
                    </w:rPr>
                  </w:pPr>
                  <w:r>
                    <w:rPr>
                      <w:rFonts w:hint="eastAsia"/>
                      <w:szCs w:val="21"/>
                    </w:rPr>
                    <w:t>地表水</w:t>
                  </w:r>
                </w:p>
              </w:tc>
              <w:tc>
                <w:tcPr>
                  <w:tcW w:w="992" w:type="dxa"/>
                  <w:vAlign w:val="center"/>
                </w:tcPr>
                <w:p>
                  <w:pPr>
                    <w:jc w:val="center"/>
                    <w:rPr>
                      <w:szCs w:val="21"/>
                    </w:rPr>
                  </w:pPr>
                  <w:r>
                    <w:rPr>
                      <w:rFonts w:hint="eastAsia"/>
                      <w:szCs w:val="21"/>
                    </w:rPr>
                    <w:t>大渡河（主河道）</w:t>
                  </w:r>
                </w:p>
              </w:tc>
              <w:tc>
                <w:tcPr>
                  <w:tcW w:w="851" w:type="dxa"/>
                  <w:vAlign w:val="center"/>
                </w:tcPr>
                <w:p>
                  <w:pPr>
                    <w:jc w:val="center"/>
                    <w:rPr>
                      <w:szCs w:val="21"/>
                    </w:rPr>
                  </w:pPr>
                  <w:r>
                    <w:rPr>
                      <w:rFonts w:hint="eastAsia"/>
                      <w:szCs w:val="21"/>
                    </w:rPr>
                    <w:t>/</w:t>
                  </w:r>
                </w:p>
              </w:tc>
              <w:tc>
                <w:tcPr>
                  <w:tcW w:w="709" w:type="dxa"/>
                  <w:vAlign w:val="center"/>
                </w:tcPr>
                <w:p>
                  <w:pPr>
                    <w:jc w:val="center"/>
                    <w:rPr>
                      <w:szCs w:val="21"/>
                    </w:rPr>
                  </w:pPr>
                  <w:r>
                    <w:rPr>
                      <w:rFonts w:hint="eastAsia"/>
                      <w:szCs w:val="21"/>
                    </w:rPr>
                    <w:t>/</w:t>
                  </w:r>
                </w:p>
              </w:tc>
              <w:tc>
                <w:tcPr>
                  <w:tcW w:w="850" w:type="dxa"/>
                  <w:vAlign w:val="center"/>
                </w:tcPr>
                <w:p>
                  <w:pPr>
                    <w:jc w:val="center"/>
                    <w:rPr>
                      <w:szCs w:val="21"/>
                    </w:rPr>
                  </w:pPr>
                  <w:r>
                    <w:rPr>
                      <w:rFonts w:hint="eastAsia"/>
                      <w:szCs w:val="21"/>
                    </w:rPr>
                    <w:t>河流</w:t>
                  </w:r>
                </w:p>
              </w:tc>
              <w:tc>
                <w:tcPr>
                  <w:tcW w:w="1418" w:type="dxa"/>
                  <w:vAlign w:val="center"/>
                </w:tcPr>
                <w:p>
                  <w:pPr>
                    <w:jc w:val="center"/>
                    <w:rPr>
                      <w:szCs w:val="21"/>
                    </w:rPr>
                  </w:pPr>
                  <w:r>
                    <w:rPr>
                      <w:rFonts w:hint="eastAsia"/>
                      <w:szCs w:val="21"/>
                    </w:rPr>
                    <w:t>大河</w:t>
                  </w:r>
                </w:p>
              </w:tc>
              <w:tc>
                <w:tcPr>
                  <w:tcW w:w="1417" w:type="dxa"/>
                  <w:vAlign w:val="center"/>
                </w:tcPr>
                <w:p>
                  <w:pPr>
                    <w:jc w:val="center"/>
                    <w:rPr>
                      <w:szCs w:val="21"/>
                    </w:rPr>
                  </w:pPr>
                  <w:r>
                    <w:rPr>
                      <w:rFonts w:hint="eastAsia"/>
                      <w:szCs w:val="21"/>
                    </w:rPr>
                    <w:t>东南，高差-</w:t>
                  </w:r>
                  <w:r>
                    <w:rPr>
                      <w:szCs w:val="21"/>
                    </w:rPr>
                    <w:t>18m</w:t>
                  </w:r>
                </w:p>
              </w:tc>
              <w:tc>
                <w:tcPr>
                  <w:tcW w:w="1134" w:type="dxa"/>
                  <w:vAlign w:val="center"/>
                </w:tcPr>
                <w:p>
                  <w:pPr>
                    <w:jc w:val="center"/>
                    <w:rPr>
                      <w:szCs w:val="21"/>
                    </w:rPr>
                  </w:pPr>
                  <w:r>
                    <w:rPr>
                      <w:szCs w:val="21"/>
                    </w:rPr>
                    <w:t>1100</w:t>
                  </w:r>
                  <w:r>
                    <w:rPr>
                      <w:rFonts w:hint="eastAsia"/>
                      <w:szCs w:val="21"/>
                    </w:rPr>
                    <w:t>m</w:t>
                  </w:r>
                </w:p>
              </w:tc>
              <w:tc>
                <w:tcPr>
                  <w:tcW w:w="1541" w:type="dxa"/>
                  <w:vMerge w:val="restart"/>
                  <w:vAlign w:val="center"/>
                </w:tcPr>
                <w:p>
                  <w:pPr>
                    <w:jc w:val="center"/>
                    <w:rPr>
                      <w:szCs w:val="21"/>
                    </w:rPr>
                  </w:pPr>
                  <w:r>
                    <w:rPr>
                      <w:rFonts w:hint="eastAsia"/>
                      <w:szCs w:val="21"/>
                    </w:rPr>
                    <w:t>《地表水环境质量标准》（GB3838-02）Ⅲ类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18" w:type="dxa"/>
                  <w:vMerge w:val="continue"/>
                  <w:vAlign w:val="center"/>
                </w:tcPr>
                <w:p>
                  <w:pPr>
                    <w:jc w:val="center"/>
                    <w:rPr>
                      <w:szCs w:val="21"/>
                    </w:rPr>
                  </w:pPr>
                </w:p>
              </w:tc>
              <w:tc>
                <w:tcPr>
                  <w:tcW w:w="992" w:type="dxa"/>
                  <w:vAlign w:val="center"/>
                </w:tcPr>
                <w:p>
                  <w:pPr>
                    <w:jc w:val="center"/>
                    <w:rPr>
                      <w:szCs w:val="21"/>
                    </w:rPr>
                  </w:pPr>
                  <w:r>
                    <w:rPr>
                      <w:rFonts w:hint="eastAsia"/>
                      <w:szCs w:val="21"/>
                    </w:rPr>
                    <w:t>生态河</w:t>
                  </w:r>
                </w:p>
              </w:tc>
              <w:tc>
                <w:tcPr>
                  <w:tcW w:w="851" w:type="dxa"/>
                  <w:vAlign w:val="center"/>
                </w:tcPr>
                <w:p>
                  <w:pPr>
                    <w:jc w:val="center"/>
                    <w:rPr>
                      <w:szCs w:val="21"/>
                    </w:rPr>
                  </w:pPr>
                  <w:r>
                    <w:rPr>
                      <w:rFonts w:hint="eastAsia"/>
                      <w:szCs w:val="21"/>
                    </w:rPr>
                    <w:t>/</w:t>
                  </w:r>
                </w:p>
              </w:tc>
              <w:tc>
                <w:tcPr>
                  <w:tcW w:w="709" w:type="dxa"/>
                  <w:vAlign w:val="center"/>
                </w:tcPr>
                <w:p>
                  <w:pPr>
                    <w:jc w:val="center"/>
                    <w:rPr>
                      <w:szCs w:val="21"/>
                    </w:rPr>
                  </w:pPr>
                  <w:r>
                    <w:rPr>
                      <w:rFonts w:hint="eastAsia"/>
                      <w:szCs w:val="21"/>
                    </w:rPr>
                    <w:t>/</w:t>
                  </w:r>
                </w:p>
              </w:tc>
              <w:tc>
                <w:tcPr>
                  <w:tcW w:w="850" w:type="dxa"/>
                  <w:vAlign w:val="center"/>
                </w:tcPr>
                <w:p>
                  <w:pPr>
                    <w:jc w:val="center"/>
                    <w:rPr>
                      <w:szCs w:val="21"/>
                    </w:rPr>
                  </w:pPr>
                  <w:r>
                    <w:rPr>
                      <w:rFonts w:hint="eastAsia"/>
                      <w:szCs w:val="21"/>
                    </w:rPr>
                    <w:t>河流</w:t>
                  </w:r>
                </w:p>
              </w:tc>
              <w:tc>
                <w:tcPr>
                  <w:tcW w:w="1418" w:type="dxa"/>
                  <w:vAlign w:val="center"/>
                </w:tcPr>
                <w:p>
                  <w:pPr>
                    <w:jc w:val="center"/>
                    <w:rPr>
                      <w:szCs w:val="21"/>
                    </w:rPr>
                  </w:pPr>
                  <w:r>
                    <w:rPr>
                      <w:rFonts w:hint="eastAsia"/>
                      <w:szCs w:val="21"/>
                    </w:rPr>
                    <w:t>大河</w:t>
                  </w:r>
                </w:p>
              </w:tc>
              <w:tc>
                <w:tcPr>
                  <w:tcW w:w="1417" w:type="dxa"/>
                  <w:vAlign w:val="center"/>
                </w:tcPr>
                <w:p>
                  <w:pPr>
                    <w:jc w:val="center"/>
                    <w:rPr>
                      <w:szCs w:val="21"/>
                    </w:rPr>
                  </w:pPr>
                  <w:r>
                    <w:rPr>
                      <w:rFonts w:hint="eastAsia"/>
                      <w:szCs w:val="21"/>
                    </w:rPr>
                    <w:t>东南，高差-</w:t>
                  </w:r>
                  <w:r>
                    <w:rPr>
                      <w:szCs w:val="21"/>
                    </w:rPr>
                    <w:t>14m</w:t>
                  </w:r>
                </w:p>
              </w:tc>
              <w:tc>
                <w:tcPr>
                  <w:tcW w:w="1134" w:type="dxa"/>
                  <w:vAlign w:val="center"/>
                </w:tcPr>
                <w:p>
                  <w:pPr>
                    <w:jc w:val="center"/>
                    <w:rPr>
                      <w:szCs w:val="21"/>
                    </w:rPr>
                  </w:pPr>
                  <w:r>
                    <w:rPr>
                      <w:szCs w:val="21"/>
                    </w:rPr>
                    <w:t>731</w:t>
                  </w:r>
                  <w:r>
                    <w:rPr>
                      <w:rFonts w:hint="eastAsia"/>
                      <w:szCs w:val="21"/>
                    </w:rPr>
                    <w:t>m</w:t>
                  </w:r>
                </w:p>
              </w:tc>
              <w:tc>
                <w:tcPr>
                  <w:tcW w:w="15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718" w:type="dxa"/>
                  <w:vAlign w:val="center"/>
                </w:tcPr>
                <w:p>
                  <w:pPr>
                    <w:jc w:val="center"/>
                    <w:rPr>
                      <w:szCs w:val="21"/>
                    </w:rPr>
                  </w:pPr>
                  <w:r>
                    <w:rPr>
                      <w:rFonts w:hint="eastAsia"/>
                      <w:szCs w:val="21"/>
                    </w:rPr>
                    <w:t>地下水</w:t>
                  </w:r>
                </w:p>
              </w:tc>
              <w:tc>
                <w:tcPr>
                  <w:tcW w:w="992" w:type="dxa"/>
                </w:tcPr>
                <w:p>
                  <w:pPr>
                    <w:jc w:val="center"/>
                    <w:rPr>
                      <w:szCs w:val="21"/>
                    </w:rPr>
                  </w:pPr>
                </w:p>
              </w:tc>
              <w:tc>
                <w:tcPr>
                  <w:tcW w:w="6379" w:type="dxa"/>
                  <w:gridSpan w:val="6"/>
                  <w:vAlign w:val="center"/>
                </w:tcPr>
                <w:p>
                  <w:pPr>
                    <w:jc w:val="center"/>
                    <w:rPr>
                      <w:szCs w:val="21"/>
                    </w:rPr>
                  </w:pPr>
                  <w:r>
                    <w:rPr>
                      <w:rFonts w:hint="eastAsia"/>
                      <w:szCs w:val="21"/>
                    </w:rPr>
                    <w:t>项目建设区域</w:t>
                  </w:r>
                </w:p>
              </w:tc>
              <w:tc>
                <w:tcPr>
                  <w:tcW w:w="1541" w:type="dxa"/>
                  <w:vAlign w:val="center"/>
                </w:tcPr>
                <w:p>
                  <w:pPr>
                    <w:jc w:val="center"/>
                    <w:rPr>
                      <w:szCs w:val="21"/>
                    </w:rPr>
                  </w:pPr>
                  <w:r>
                    <w:rPr>
                      <w:rFonts w:hint="eastAsia"/>
                      <w:szCs w:val="21"/>
                    </w:rPr>
                    <w:t>《地下水质量标准》（GB14848-93）Ⅲ类</w:t>
                  </w:r>
                </w:p>
              </w:tc>
            </w:tr>
          </w:tbl>
          <w:p>
            <w:pPr>
              <w:spacing w:line="360" w:lineRule="auto"/>
              <w:rPr>
                <w:sz w:val="24"/>
              </w:rPr>
            </w:pPr>
          </w:p>
        </w:tc>
      </w:tr>
    </w:tbl>
    <w:p>
      <w:pPr>
        <w:pStyle w:val="3"/>
        <w:jc w:val="both"/>
        <w:rPr>
          <w:rFonts w:ascii="宋体" w:hAnsi="宋体" w:cs="宋体"/>
          <w:b/>
          <w:bCs/>
          <w:sz w:val="30"/>
          <w:szCs w:val="30"/>
        </w:rPr>
      </w:pPr>
      <w:r>
        <w:rPr>
          <w:rFonts w:hint="eastAsia" w:ascii="宋体" w:hAnsi="宋体" w:cs="宋体"/>
          <w:b/>
          <w:bCs/>
          <w:sz w:val="30"/>
          <w:szCs w:val="30"/>
        </w:rPr>
        <w:t>表四、评价适用标准</w:t>
      </w:r>
    </w:p>
    <w:tbl>
      <w:tblPr>
        <w:tblStyle w:val="53"/>
        <w:tblW w:w="9540" w:type="dxa"/>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5"/>
        <w:gridCol w:w="86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90" w:hRule="atLeast"/>
        </w:trPr>
        <w:tc>
          <w:tcPr>
            <w:tcW w:w="915" w:type="dxa"/>
            <w:vAlign w:val="center"/>
          </w:tcPr>
          <w:p>
            <w:pPr>
              <w:spacing w:line="360" w:lineRule="auto"/>
              <w:ind w:firstLine="240" w:firstLineChars="100"/>
              <w:rPr>
                <w:sz w:val="24"/>
              </w:rPr>
            </w:pPr>
          </w:p>
          <w:p>
            <w:pPr>
              <w:spacing w:line="360" w:lineRule="auto"/>
              <w:ind w:firstLine="240" w:firstLineChars="100"/>
              <w:rPr>
                <w:sz w:val="24"/>
              </w:rPr>
            </w:pPr>
          </w:p>
          <w:p>
            <w:pPr>
              <w:spacing w:line="360" w:lineRule="auto"/>
              <w:ind w:firstLine="240" w:firstLineChars="100"/>
              <w:rPr>
                <w:sz w:val="24"/>
              </w:rPr>
            </w:pPr>
          </w:p>
          <w:p>
            <w:pPr>
              <w:spacing w:line="360" w:lineRule="auto"/>
              <w:ind w:firstLine="180" w:firstLineChars="75"/>
              <w:rPr>
                <w:sz w:val="24"/>
              </w:rPr>
            </w:pPr>
            <w:r>
              <w:rPr>
                <w:sz w:val="24"/>
              </w:rPr>
              <w:t>环</w:t>
            </w:r>
          </w:p>
          <w:p>
            <w:pPr>
              <w:spacing w:line="360" w:lineRule="auto"/>
              <w:jc w:val="center"/>
              <w:rPr>
                <w:sz w:val="24"/>
              </w:rPr>
            </w:pPr>
            <w:r>
              <w:rPr>
                <w:sz w:val="24"/>
              </w:rPr>
              <w:t>境</w:t>
            </w:r>
          </w:p>
          <w:p>
            <w:pPr>
              <w:spacing w:line="360" w:lineRule="auto"/>
              <w:jc w:val="center"/>
              <w:rPr>
                <w:sz w:val="24"/>
              </w:rPr>
            </w:pPr>
            <w:r>
              <w:rPr>
                <w:sz w:val="24"/>
              </w:rPr>
              <w:t>质</w:t>
            </w:r>
          </w:p>
          <w:p>
            <w:pPr>
              <w:spacing w:line="360" w:lineRule="auto"/>
              <w:jc w:val="center"/>
              <w:rPr>
                <w:sz w:val="24"/>
              </w:rPr>
            </w:pPr>
            <w:r>
              <w:rPr>
                <w:sz w:val="24"/>
              </w:rPr>
              <w:t>量</w:t>
            </w:r>
          </w:p>
          <w:p>
            <w:pPr>
              <w:spacing w:line="360" w:lineRule="auto"/>
              <w:jc w:val="center"/>
              <w:rPr>
                <w:sz w:val="24"/>
              </w:rPr>
            </w:pPr>
            <w:r>
              <w:rPr>
                <w:sz w:val="24"/>
              </w:rPr>
              <w:t>标</w:t>
            </w:r>
          </w:p>
          <w:p>
            <w:pPr>
              <w:spacing w:line="360" w:lineRule="auto"/>
              <w:jc w:val="center"/>
              <w:rPr>
                <w:sz w:val="24"/>
              </w:rPr>
            </w:pPr>
            <w:r>
              <w:rPr>
                <w:sz w:val="24"/>
              </w:rPr>
              <w:t>准</w:t>
            </w:r>
          </w:p>
          <w:p>
            <w:pPr>
              <w:spacing w:line="360" w:lineRule="auto"/>
              <w:jc w:val="center"/>
              <w:rPr>
                <w:sz w:val="24"/>
              </w:rPr>
            </w:pPr>
          </w:p>
          <w:p>
            <w:pPr>
              <w:spacing w:line="360" w:lineRule="auto"/>
              <w:jc w:val="center"/>
              <w:rPr>
                <w:sz w:val="24"/>
              </w:rPr>
            </w:pPr>
          </w:p>
          <w:p>
            <w:pPr>
              <w:spacing w:line="360" w:lineRule="auto"/>
              <w:jc w:val="center"/>
              <w:rPr>
                <w:sz w:val="24"/>
              </w:rPr>
            </w:pPr>
          </w:p>
        </w:tc>
        <w:tc>
          <w:tcPr>
            <w:tcW w:w="8625" w:type="dxa"/>
            <w:vAlign w:val="center"/>
          </w:tcPr>
          <w:p>
            <w:pPr>
              <w:adjustRightInd w:val="0"/>
              <w:snapToGrid w:val="0"/>
              <w:spacing w:line="360" w:lineRule="auto"/>
              <w:rPr>
                <w:bCs/>
                <w:sz w:val="24"/>
              </w:rPr>
            </w:pPr>
            <w:r>
              <w:rPr>
                <w:bCs/>
                <w:sz w:val="24"/>
              </w:rPr>
              <w:pict>
                <v:line id="直线 3" o:spid="_x0000_s16167" o:spt="20" style="position:absolute;left:0pt;margin-left:157.5pt;margin-top:70.2pt;height:0pt;width:0.05pt;z-index:251662336;mso-width-relative:page;mso-height-relative:page;" coordsize="21600,21600" o:allowincell="f">
                  <v:path arrowok="t"/>
                  <v:fill focussize="0,0"/>
                  <v:stroke/>
                  <v:imagedata o:title=""/>
                  <o:lock v:ext="edit"/>
                </v:line>
              </w:pict>
            </w:r>
            <w:r>
              <w:rPr>
                <w:bCs/>
                <w:sz w:val="24"/>
              </w:rPr>
              <w:pict>
                <v:line id="直线 2" o:spid="_x0000_s16166" o:spt="20" style="position:absolute;left:0pt;margin-left:136.5pt;margin-top:54.6pt;height:0pt;width:0.05pt;z-index:251661312;mso-width-relative:page;mso-height-relative:page;" coordsize="21600,21600" o:allowincell="f">
                  <v:path arrowok="t"/>
                  <v:fill focussize="0,0"/>
                  <v:stroke/>
                  <v:imagedata o:title=""/>
                  <o:lock v:ext="edit"/>
                </v:line>
              </w:pict>
            </w:r>
            <w:r>
              <w:rPr>
                <w:bCs/>
                <w:sz w:val="24"/>
              </w:rPr>
              <w:t>1、环境空气质量</w:t>
            </w:r>
          </w:p>
          <w:p>
            <w:pPr>
              <w:spacing w:line="360" w:lineRule="auto"/>
              <w:ind w:firstLine="480" w:firstLineChars="200"/>
              <w:rPr>
                <w:rFonts w:ascii="宋体" w:hAnsi="宋体"/>
                <w:sz w:val="24"/>
              </w:rPr>
            </w:pPr>
            <w:r>
              <w:rPr>
                <w:rFonts w:hint="eastAsia" w:ascii="宋体" w:hAnsi="宋体"/>
                <w:sz w:val="24"/>
              </w:rPr>
              <w:t>S</w:t>
            </w:r>
            <w:r>
              <w:rPr>
                <w:rFonts w:ascii="宋体" w:hAnsi="宋体"/>
                <w:sz w:val="24"/>
              </w:rPr>
              <w:t>O</w:t>
            </w:r>
            <w:r>
              <w:rPr>
                <w:rFonts w:ascii="宋体" w:hAnsi="宋体"/>
                <w:sz w:val="24"/>
                <w:vertAlign w:val="subscript"/>
              </w:rPr>
              <w:t>2</w:t>
            </w:r>
            <w:r>
              <w:rPr>
                <w:rFonts w:hint="eastAsia" w:ascii="宋体" w:hAnsi="宋体"/>
                <w:sz w:val="24"/>
              </w:rPr>
              <w:t>、N</w:t>
            </w:r>
            <w:r>
              <w:rPr>
                <w:rFonts w:ascii="宋体" w:hAnsi="宋体"/>
                <w:sz w:val="24"/>
              </w:rPr>
              <w:t>O</w:t>
            </w:r>
            <w:r>
              <w:rPr>
                <w:rFonts w:ascii="宋体" w:hAnsi="宋体"/>
                <w:sz w:val="24"/>
                <w:vertAlign w:val="subscript"/>
              </w:rPr>
              <w:t>2</w:t>
            </w:r>
            <w:r>
              <w:rPr>
                <w:rFonts w:hint="eastAsia" w:ascii="宋体" w:hAnsi="宋体"/>
                <w:sz w:val="24"/>
              </w:rPr>
              <w:t>、P</w:t>
            </w:r>
            <w:r>
              <w:rPr>
                <w:rFonts w:ascii="宋体" w:hAnsi="宋体"/>
                <w:sz w:val="24"/>
              </w:rPr>
              <w:t>M</w:t>
            </w:r>
            <w:r>
              <w:rPr>
                <w:rFonts w:ascii="宋体" w:hAnsi="宋体"/>
                <w:sz w:val="24"/>
                <w:vertAlign w:val="subscript"/>
              </w:rPr>
              <w:t>10</w:t>
            </w:r>
            <w:r>
              <w:rPr>
                <w:rFonts w:hint="eastAsia" w:ascii="宋体" w:hAnsi="宋体"/>
                <w:sz w:val="24"/>
              </w:rPr>
              <w:t>、P</w:t>
            </w:r>
            <w:r>
              <w:rPr>
                <w:rFonts w:ascii="宋体" w:hAnsi="宋体"/>
                <w:sz w:val="24"/>
              </w:rPr>
              <w:t>M</w:t>
            </w:r>
            <w:r>
              <w:rPr>
                <w:rFonts w:ascii="宋体" w:hAnsi="宋体"/>
                <w:sz w:val="24"/>
                <w:vertAlign w:val="subscript"/>
              </w:rPr>
              <w:t>2.5</w:t>
            </w:r>
            <w:r>
              <w:rPr>
                <w:rFonts w:hint="eastAsia" w:ascii="宋体" w:hAnsi="宋体"/>
                <w:sz w:val="24"/>
              </w:rPr>
              <w:t>、CO、O</w:t>
            </w:r>
            <w:r>
              <w:rPr>
                <w:rFonts w:ascii="宋体" w:hAnsi="宋体"/>
                <w:sz w:val="24"/>
                <w:vertAlign w:val="subscript"/>
              </w:rPr>
              <w:t>3</w:t>
            </w:r>
            <w:r>
              <w:rPr>
                <w:rFonts w:hint="eastAsia" w:ascii="宋体" w:hAnsi="宋体"/>
                <w:sz w:val="24"/>
              </w:rPr>
              <w:t>执行国家《环境空气质量标准》GB3095-2012中二级标准，N</w:t>
            </w:r>
            <w:r>
              <w:rPr>
                <w:rFonts w:ascii="宋体" w:hAnsi="宋体"/>
                <w:sz w:val="24"/>
              </w:rPr>
              <w:t>H</w:t>
            </w:r>
            <w:r>
              <w:rPr>
                <w:rFonts w:ascii="宋体" w:hAnsi="宋体"/>
                <w:sz w:val="24"/>
                <w:vertAlign w:val="subscript"/>
              </w:rPr>
              <w:t>3</w:t>
            </w:r>
            <w:r>
              <w:rPr>
                <w:rFonts w:hint="eastAsia" w:ascii="宋体" w:hAnsi="宋体"/>
                <w:sz w:val="24"/>
              </w:rPr>
              <w:t>执行《环境影响评价技术导则 大气环境》（</w:t>
            </w:r>
            <w:r>
              <w:rPr>
                <w:rFonts w:ascii="宋体" w:hAnsi="宋体"/>
                <w:sz w:val="24"/>
              </w:rPr>
              <w:t>HJ2.2-2018</w:t>
            </w:r>
            <w:r>
              <w:rPr>
                <w:rFonts w:hint="eastAsia" w:ascii="宋体" w:hAnsi="宋体"/>
                <w:sz w:val="24"/>
              </w:rPr>
              <w:t>）中附录D中标准。见下表：</w:t>
            </w:r>
          </w:p>
          <w:p>
            <w:pPr>
              <w:spacing w:line="360" w:lineRule="auto"/>
              <w:jc w:val="center"/>
              <w:rPr>
                <w:rFonts w:ascii="宋体" w:hAnsi="宋体"/>
                <w:b/>
                <w:sz w:val="24"/>
              </w:rPr>
            </w:pPr>
            <w:r>
              <w:rPr>
                <w:rFonts w:hint="eastAsia" w:ascii="宋体" w:hAnsi="宋体"/>
                <w:b/>
                <w:sz w:val="24"/>
              </w:rPr>
              <w:t xml:space="preserve">   表4-1 各项污染物的浓度限值</w:t>
            </w:r>
            <w:r>
              <w:rPr>
                <w:rFonts w:ascii="宋体" w:hAnsi="宋体"/>
                <w:b/>
                <w:sz w:val="24"/>
              </w:rPr>
              <w:t xml:space="preserve">    </w:t>
            </w:r>
            <w:r>
              <w:rPr>
                <w:rFonts w:hint="eastAsia" w:ascii="宋体" w:hAnsi="宋体"/>
                <w:b/>
                <w:sz w:val="24"/>
              </w:rPr>
              <w:t>单位：C</w:t>
            </w:r>
            <w:r>
              <w:rPr>
                <w:rFonts w:ascii="宋体" w:hAnsi="宋体"/>
                <w:b/>
                <w:sz w:val="24"/>
              </w:rPr>
              <w:t>O为mg</w:t>
            </w:r>
            <w:r>
              <w:rPr>
                <w:rFonts w:hint="eastAsia" w:ascii="宋体" w:hAnsi="宋体"/>
                <w:b/>
                <w:sz w:val="24"/>
              </w:rPr>
              <w:t>/</w:t>
            </w:r>
            <w:r>
              <w:rPr>
                <w:rFonts w:ascii="宋体" w:hAnsi="宋体"/>
                <w:b/>
                <w:sz w:val="24"/>
              </w:rPr>
              <w:t>m</w:t>
            </w:r>
            <w:r>
              <w:rPr>
                <w:rFonts w:ascii="宋体" w:hAnsi="宋体"/>
                <w:b/>
                <w:sz w:val="24"/>
                <w:vertAlign w:val="superscript"/>
              </w:rPr>
              <w:t>3</w:t>
            </w:r>
            <w:r>
              <w:rPr>
                <w:rFonts w:hint="eastAsia" w:ascii="宋体" w:hAnsi="宋体"/>
                <w:b/>
                <w:sz w:val="24"/>
              </w:rPr>
              <w:t>，其余为</w:t>
            </w:r>
            <w:r>
              <w:rPr>
                <w:b/>
                <w:sz w:val="24"/>
              </w:rPr>
              <w:t>μg/m</w:t>
            </w:r>
            <w:r>
              <w:rPr>
                <w:b/>
                <w:sz w:val="24"/>
                <w:vertAlign w:val="superscript"/>
              </w:rPr>
              <w:t>3</w:t>
            </w:r>
          </w:p>
          <w:tbl>
            <w:tblPr>
              <w:tblStyle w:val="53"/>
              <w:tblW w:w="842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5"/>
              <w:gridCol w:w="2268"/>
              <w:gridCol w:w="993"/>
              <w:gridCol w:w="26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9" w:hRule="atLeast"/>
                <w:tblHeader/>
              </w:trPr>
              <w:tc>
                <w:tcPr>
                  <w:tcW w:w="1276" w:type="dxa"/>
                  <w:vAlign w:val="center"/>
                </w:tcPr>
                <w:p>
                  <w:pPr>
                    <w:pStyle w:val="616"/>
                    <w:snapToGrid w:val="0"/>
                    <w:spacing w:line="240" w:lineRule="auto"/>
                    <w:rPr>
                      <w:rFonts w:cs="Times New Roman"/>
                    </w:rPr>
                  </w:pPr>
                  <w:r>
                    <w:rPr>
                      <w:rFonts w:hAnsi="宋体" w:cs="Times New Roman"/>
                    </w:rPr>
                    <w:t>污染物名称</w:t>
                  </w:r>
                </w:p>
              </w:tc>
              <w:tc>
                <w:tcPr>
                  <w:tcW w:w="1275" w:type="dxa"/>
                  <w:vAlign w:val="center"/>
                </w:tcPr>
                <w:p>
                  <w:pPr>
                    <w:pStyle w:val="616"/>
                    <w:snapToGrid w:val="0"/>
                    <w:spacing w:line="240" w:lineRule="auto"/>
                    <w:rPr>
                      <w:rFonts w:cs="Times New Roman"/>
                    </w:rPr>
                  </w:pPr>
                  <w:r>
                    <w:rPr>
                      <w:rFonts w:cs="Times New Roman"/>
                    </w:rPr>
                    <w:t>1</w:t>
                  </w:r>
                  <w:r>
                    <w:rPr>
                      <w:rFonts w:hAnsi="宋体" w:cs="Times New Roman"/>
                    </w:rPr>
                    <w:t>小时平均</w:t>
                  </w:r>
                </w:p>
              </w:tc>
              <w:tc>
                <w:tcPr>
                  <w:tcW w:w="2268" w:type="dxa"/>
                  <w:vAlign w:val="center"/>
                </w:tcPr>
                <w:p>
                  <w:pPr>
                    <w:pStyle w:val="616"/>
                    <w:snapToGrid w:val="0"/>
                    <w:spacing w:line="240" w:lineRule="auto"/>
                    <w:rPr>
                      <w:rFonts w:cs="Times New Roman"/>
                    </w:rPr>
                  </w:pPr>
                  <w:r>
                    <w:rPr>
                      <w:rFonts w:hAnsi="宋体" w:cs="Times New Roman"/>
                    </w:rPr>
                    <w:t>日均值</w:t>
                  </w:r>
                </w:p>
              </w:tc>
              <w:tc>
                <w:tcPr>
                  <w:tcW w:w="993" w:type="dxa"/>
                  <w:vAlign w:val="center"/>
                </w:tcPr>
                <w:p>
                  <w:pPr>
                    <w:pStyle w:val="616"/>
                    <w:snapToGrid w:val="0"/>
                    <w:spacing w:line="240" w:lineRule="auto"/>
                    <w:rPr>
                      <w:rFonts w:cs="Times New Roman"/>
                    </w:rPr>
                  </w:pPr>
                  <w:r>
                    <w:rPr>
                      <w:rFonts w:hAnsi="宋体" w:cs="Times New Roman"/>
                    </w:rPr>
                    <w:t>年均值</w:t>
                  </w:r>
                </w:p>
              </w:tc>
              <w:tc>
                <w:tcPr>
                  <w:tcW w:w="2616" w:type="dxa"/>
                  <w:vAlign w:val="center"/>
                </w:tcPr>
                <w:p>
                  <w:pPr>
                    <w:pStyle w:val="616"/>
                    <w:snapToGrid w:val="0"/>
                    <w:spacing w:line="240" w:lineRule="auto"/>
                    <w:rPr>
                      <w:rFonts w:cs="Times New Roman"/>
                    </w:rPr>
                  </w:pPr>
                  <w:r>
                    <w:rPr>
                      <w:rFonts w:hAnsi="宋体" w:cs="Times New Roman"/>
                    </w:rPr>
                    <w:t>选用标准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9" w:hRule="atLeast"/>
                <w:tblHeader/>
              </w:trPr>
              <w:tc>
                <w:tcPr>
                  <w:tcW w:w="1276" w:type="dxa"/>
                  <w:vAlign w:val="center"/>
                </w:tcPr>
                <w:p>
                  <w:pPr>
                    <w:pStyle w:val="616"/>
                    <w:snapToGrid w:val="0"/>
                    <w:spacing w:line="240" w:lineRule="auto"/>
                    <w:rPr>
                      <w:rFonts w:cs="Times New Roman"/>
                    </w:rPr>
                  </w:pPr>
                  <w:r>
                    <w:rPr>
                      <w:rFonts w:cs="Times New Roman"/>
                    </w:rPr>
                    <w:t>SO</w:t>
                  </w:r>
                  <w:r>
                    <w:rPr>
                      <w:rFonts w:cs="Times New Roman"/>
                      <w:vertAlign w:val="subscript"/>
                    </w:rPr>
                    <w:t>2</w:t>
                  </w:r>
                </w:p>
              </w:tc>
              <w:tc>
                <w:tcPr>
                  <w:tcW w:w="1275" w:type="dxa"/>
                  <w:vAlign w:val="center"/>
                </w:tcPr>
                <w:p>
                  <w:pPr>
                    <w:pStyle w:val="616"/>
                    <w:snapToGrid w:val="0"/>
                    <w:spacing w:line="240" w:lineRule="auto"/>
                    <w:rPr>
                      <w:rFonts w:cs="Times New Roman"/>
                    </w:rPr>
                  </w:pPr>
                  <w:r>
                    <w:rPr>
                      <w:rFonts w:cs="Times New Roman"/>
                    </w:rPr>
                    <w:t>500</w:t>
                  </w:r>
                </w:p>
              </w:tc>
              <w:tc>
                <w:tcPr>
                  <w:tcW w:w="2268" w:type="dxa"/>
                  <w:vAlign w:val="center"/>
                </w:tcPr>
                <w:p>
                  <w:pPr>
                    <w:pStyle w:val="616"/>
                    <w:snapToGrid w:val="0"/>
                    <w:spacing w:line="240" w:lineRule="auto"/>
                    <w:rPr>
                      <w:rFonts w:cs="Times New Roman"/>
                    </w:rPr>
                  </w:pPr>
                  <w:r>
                    <w:rPr>
                      <w:rFonts w:cs="Times New Roman"/>
                    </w:rPr>
                    <w:t>150</w:t>
                  </w:r>
                </w:p>
              </w:tc>
              <w:tc>
                <w:tcPr>
                  <w:tcW w:w="993" w:type="dxa"/>
                  <w:vAlign w:val="center"/>
                </w:tcPr>
                <w:p>
                  <w:pPr>
                    <w:pStyle w:val="616"/>
                    <w:snapToGrid w:val="0"/>
                    <w:spacing w:line="240" w:lineRule="auto"/>
                    <w:rPr>
                      <w:rFonts w:cs="Times New Roman"/>
                    </w:rPr>
                  </w:pPr>
                  <w:r>
                    <w:rPr>
                      <w:rFonts w:cs="Times New Roman"/>
                    </w:rPr>
                    <w:t>60</w:t>
                  </w:r>
                </w:p>
              </w:tc>
              <w:tc>
                <w:tcPr>
                  <w:tcW w:w="2616" w:type="dxa"/>
                  <w:vMerge w:val="restart"/>
                  <w:vAlign w:val="center"/>
                </w:tcPr>
                <w:p>
                  <w:pPr>
                    <w:adjustRightInd w:val="0"/>
                    <w:snapToGrid w:val="0"/>
                    <w:jc w:val="center"/>
                  </w:pPr>
                  <w:r>
                    <w:rPr>
                      <w:rFonts w:hAnsi="宋体"/>
                      <w:kern w:val="0"/>
                      <w:szCs w:val="21"/>
                    </w:rPr>
                    <w:t>《环境空气质量标准》</w:t>
                  </w:r>
                  <w:r>
                    <w:rPr>
                      <w:kern w:val="0"/>
                      <w:szCs w:val="21"/>
                    </w:rPr>
                    <w:t>(GB3095-2012)</w:t>
                  </w:r>
                  <w:r>
                    <w:rPr>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9" w:hRule="atLeast"/>
                <w:tblHeader/>
              </w:trPr>
              <w:tc>
                <w:tcPr>
                  <w:tcW w:w="1276" w:type="dxa"/>
                  <w:vAlign w:val="center"/>
                </w:tcPr>
                <w:p>
                  <w:pPr>
                    <w:pStyle w:val="616"/>
                    <w:snapToGrid w:val="0"/>
                    <w:spacing w:line="240" w:lineRule="auto"/>
                    <w:rPr>
                      <w:rFonts w:cs="Times New Roman"/>
                      <w:vertAlign w:val="subscript"/>
                    </w:rPr>
                  </w:pPr>
                  <w:r>
                    <w:rPr>
                      <w:rFonts w:cs="Times New Roman"/>
                    </w:rPr>
                    <w:t>NO</w:t>
                  </w:r>
                  <w:r>
                    <w:rPr>
                      <w:rFonts w:cs="Times New Roman"/>
                      <w:vertAlign w:val="subscript"/>
                    </w:rPr>
                    <w:t>2</w:t>
                  </w:r>
                </w:p>
              </w:tc>
              <w:tc>
                <w:tcPr>
                  <w:tcW w:w="1275" w:type="dxa"/>
                  <w:vAlign w:val="center"/>
                </w:tcPr>
                <w:p>
                  <w:pPr>
                    <w:adjustRightInd w:val="0"/>
                    <w:snapToGrid w:val="0"/>
                    <w:jc w:val="center"/>
                    <w:rPr>
                      <w:b/>
                      <w:bCs/>
                      <w:szCs w:val="21"/>
                    </w:rPr>
                  </w:pPr>
                  <w:r>
                    <w:rPr>
                      <w:szCs w:val="21"/>
                    </w:rPr>
                    <w:t>200</w:t>
                  </w:r>
                </w:p>
              </w:tc>
              <w:tc>
                <w:tcPr>
                  <w:tcW w:w="2268" w:type="dxa"/>
                  <w:vAlign w:val="center"/>
                </w:tcPr>
                <w:p>
                  <w:pPr>
                    <w:adjustRightInd w:val="0"/>
                    <w:snapToGrid w:val="0"/>
                    <w:jc w:val="center"/>
                    <w:rPr>
                      <w:b/>
                      <w:bCs/>
                      <w:szCs w:val="21"/>
                    </w:rPr>
                  </w:pPr>
                  <w:r>
                    <w:rPr>
                      <w:szCs w:val="21"/>
                    </w:rPr>
                    <w:t>80</w:t>
                  </w:r>
                </w:p>
              </w:tc>
              <w:tc>
                <w:tcPr>
                  <w:tcW w:w="993" w:type="dxa"/>
                  <w:vAlign w:val="center"/>
                </w:tcPr>
                <w:p>
                  <w:pPr>
                    <w:adjustRightInd w:val="0"/>
                    <w:snapToGrid w:val="0"/>
                    <w:jc w:val="center"/>
                    <w:rPr>
                      <w:b/>
                      <w:bCs/>
                      <w:szCs w:val="21"/>
                    </w:rPr>
                  </w:pPr>
                  <w:r>
                    <w:rPr>
                      <w:szCs w:val="21"/>
                    </w:rPr>
                    <w:t>40</w:t>
                  </w:r>
                </w:p>
              </w:tc>
              <w:tc>
                <w:tcPr>
                  <w:tcW w:w="2616" w:type="dxa"/>
                  <w:vMerge w:val="continue"/>
                  <w:vAlign w:val="center"/>
                </w:tcPr>
                <w:p>
                  <w:pPr>
                    <w:adjustRightInd w:val="0"/>
                    <w:snapToGrid w:val="0"/>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9" w:hRule="atLeast"/>
                <w:tblHeader/>
              </w:trPr>
              <w:tc>
                <w:tcPr>
                  <w:tcW w:w="1276" w:type="dxa"/>
                  <w:vAlign w:val="center"/>
                </w:tcPr>
                <w:p>
                  <w:pPr>
                    <w:pStyle w:val="616"/>
                    <w:snapToGrid w:val="0"/>
                    <w:spacing w:line="240" w:lineRule="auto"/>
                    <w:rPr>
                      <w:rFonts w:cs="Times New Roman"/>
                    </w:rPr>
                  </w:pPr>
                  <w:r>
                    <w:rPr>
                      <w:rFonts w:cs="Times New Roman"/>
                    </w:rPr>
                    <w:t>PM</w:t>
                  </w:r>
                  <w:r>
                    <w:rPr>
                      <w:rFonts w:cs="Times New Roman"/>
                      <w:vertAlign w:val="subscript"/>
                    </w:rPr>
                    <w:t>10</w:t>
                  </w:r>
                </w:p>
              </w:tc>
              <w:tc>
                <w:tcPr>
                  <w:tcW w:w="1275" w:type="dxa"/>
                  <w:vAlign w:val="center"/>
                </w:tcPr>
                <w:p>
                  <w:pPr>
                    <w:pStyle w:val="616"/>
                    <w:snapToGrid w:val="0"/>
                    <w:spacing w:line="240" w:lineRule="auto"/>
                    <w:rPr>
                      <w:rFonts w:cs="Times New Roman"/>
                    </w:rPr>
                  </w:pPr>
                  <w:r>
                    <w:rPr>
                      <w:rFonts w:cs="Times New Roman"/>
                      <w:lang w:val="en-GB" w:eastAsia="en-GB"/>
                    </w:rPr>
                    <w:t>--</w:t>
                  </w:r>
                </w:p>
              </w:tc>
              <w:tc>
                <w:tcPr>
                  <w:tcW w:w="2268" w:type="dxa"/>
                  <w:vAlign w:val="center"/>
                </w:tcPr>
                <w:p>
                  <w:pPr>
                    <w:adjustRightInd w:val="0"/>
                    <w:snapToGrid w:val="0"/>
                    <w:jc w:val="center"/>
                    <w:rPr>
                      <w:b/>
                      <w:bCs/>
                      <w:szCs w:val="21"/>
                    </w:rPr>
                  </w:pPr>
                  <w:r>
                    <w:rPr>
                      <w:szCs w:val="21"/>
                    </w:rPr>
                    <w:t>150</w:t>
                  </w:r>
                </w:p>
              </w:tc>
              <w:tc>
                <w:tcPr>
                  <w:tcW w:w="993" w:type="dxa"/>
                  <w:vAlign w:val="center"/>
                </w:tcPr>
                <w:p>
                  <w:pPr>
                    <w:adjustRightInd w:val="0"/>
                    <w:snapToGrid w:val="0"/>
                    <w:jc w:val="center"/>
                    <w:rPr>
                      <w:b/>
                      <w:bCs/>
                      <w:szCs w:val="21"/>
                    </w:rPr>
                  </w:pPr>
                  <w:r>
                    <w:rPr>
                      <w:szCs w:val="21"/>
                    </w:rPr>
                    <w:t>70</w:t>
                  </w:r>
                </w:p>
              </w:tc>
              <w:tc>
                <w:tcPr>
                  <w:tcW w:w="2616" w:type="dxa"/>
                  <w:vMerge w:val="continue"/>
                  <w:vAlign w:val="center"/>
                </w:tcPr>
                <w:p>
                  <w:pPr>
                    <w:adjustRightInd w:val="0"/>
                    <w:snapToGrid w:val="0"/>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9" w:hRule="atLeast"/>
                <w:tblHeader/>
              </w:trPr>
              <w:tc>
                <w:tcPr>
                  <w:tcW w:w="1276" w:type="dxa"/>
                  <w:vAlign w:val="center"/>
                </w:tcPr>
                <w:p>
                  <w:pPr>
                    <w:pStyle w:val="616"/>
                    <w:snapToGrid w:val="0"/>
                    <w:spacing w:line="240" w:lineRule="auto"/>
                    <w:rPr>
                      <w:rFonts w:cs="Times New Roman"/>
                    </w:rPr>
                  </w:pPr>
                  <w:r>
                    <w:rPr>
                      <w:rFonts w:hint="eastAsia" w:cs="Times New Roman"/>
                    </w:rPr>
                    <w:t>P</w:t>
                  </w:r>
                  <w:r>
                    <w:rPr>
                      <w:rFonts w:cs="Times New Roman"/>
                    </w:rPr>
                    <w:t>M</w:t>
                  </w:r>
                  <w:r>
                    <w:rPr>
                      <w:rFonts w:cs="Times New Roman"/>
                      <w:vertAlign w:val="subscript"/>
                    </w:rPr>
                    <w:t>2.5</w:t>
                  </w:r>
                </w:p>
              </w:tc>
              <w:tc>
                <w:tcPr>
                  <w:tcW w:w="1275" w:type="dxa"/>
                  <w:vAlign w:val="center"/>
                </w:tcPr>
                <w:p>
                  <w:pPr>
                    <w:pStyle w:val="616"/>
                    <w:snapToGrid w:val="0"/>
                    <w:spacing w:line="240" w:lineRule="auto"/>
                    <w:rPr>
                      <w:rFonts w:cs="Times New Roman"/>
                      <w:lang w:val="en-GB" w:eastAsia="en-GB"/>
                    </w:rPr>
                  </w:pPr>
                  <w:r>
                    <w:rPr>
                      <w:rFonts w:hint="eastAsia" w:cs="Times New Roman"/>
                      <w:lang w:val="en-GB"/>
                    </w:rPr>
                    <w:t>--</w:t>
                  </w:r>
                </w:p>
              </w:tc>
              <w:tc>
                <w:tcPr>
                  <w:tcW w:w="2268" w:type="dxa"/>
                  <w:vAlign w:val="center"/>
                </w:tcPr>
                <w:p>
                  <w:pPr>
                    <w:adjustRightInd w:val="0"/>
                    <w:snapToGrid w:val="0"/>
                    <w:jc w:val="center"/>
                    <w:rPr>
                      <w:szCs w:val="21"/>
                    </w:rPr>
                  </w:pPr>
                  <w:r>
                    <w:rPr>
                      <w:rFonts w:hint="eastAsia"/>
                      <w:szCs w:val="21"/>
                    </w:rPr>
                    <w:t>7</w:t>
                  </w:r>
                  <w:r>
                    <w:rPr>
                      <w:szCs w:val="21"/>
                    </w:rPr>
                    <w:t>5</w:t>
                  </w:r>
                </w:p>
              </w:tc>
              <w:tc>
                <w:tcPr>
                  <w:tcW w:w="993" w:type="dxa"/>
                  <w:vAlign w:val="center"/>
                </w:tcPr>
                <w:p>
                  <w:pPr>
                    <w:adjustRightInd w:val="0"/>
                    <w:snapToGrid w:val="0"/>
                    <w:jc w:val="center"/>
                    <w:rPr>
                      <w:szCs w:val="21"/>
                    </w:rPr>
                  </w:pPr>
                  <w:r>
                    <w:rPr>
                      <w:rFonts w:hint="eastAsia"/>
                      <w:szCs w:val="21"/>
                    </w:rPr>
                    <w:t>3</w:t>
                  </w:r>
                  <w:r>
                    <w:rPr>
                      <w:szCs w:val="21"/>
                    </w:rPr>
                    <w:t>5</w:t>
                  </w:r>
                </w:p>
              </w:tc>
              <w:tc>
                <w:tcPr>
                  <w:tcW w:w="2616" w:type="dxa"/>
                  <w:vMerge w:val="continue"/>
                  <w:vAlign w:val="center"/>
                </w:tcPr>
                <w:p>
                  <w:pPr>
                    <w:adjustRightInd w:val="0"/>
                    <w:snapToGrid w:val="0"/>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9" w:hRule="atLeast"/>
                <w:tblHeader/>
              </w:trPr>
              <w:tc>
                <w:tcPr>
                  <w:tcW w:w="1276" w:type="dxa"/>
                  <w:vAlign w:val="center"/>
                </w:tcPr>
                <w:p>
                  <w:pPr>
                    <w:pStyle w:val="616"/>
                    <w:snapToGrid w:val="0"/>
                    <w:spacing w:line="240" w:lineRule="auto"/>
                    <w:rPr>
                      <w:rFonts w:cs="Times New Roman"/>
                    </w:rPr>
                  </w:pPr>
                  <w:r>
                    <w:rPr>
                      <w:rFonts w:hint="eastAsia" w:cs="Times New Roman"/>
                    </w:rPr>
                    <w:t>C</w:t>
                  </w:r>
                  <w:r>
                    <w:rPr>
                      <w:rFonts w:cs="Times New Roman"/>
                    </w:rPr>
                    <w:t>O</w:t>
                  </w:r>
                </w:p>
              </w:tc>
              <w:tc>
                <w:tcPr>
                  <w:tcW w:w="1275" w:type="dxa"/>
                  <w:vAlign w:val="center"/>
                </w:tcPr>
                <w:p>
                  <w:pPr>
                    <w:pStyle w:val="616"/>
                    <w:snapToGrid w:val="0"/>
                    <w:spacing w:line="240" w:lineRule="auto"/>
                    <w:rPr>
                      <w:rFonts w:cs="Times New Roman"/>
                      <w:lang w:val="en-GB"/>
                    </w:rPr>
                  </w:pPr>
                  <w:r>
                    <w:rPr>
                      <w:rFonts w:hint="eastAsia" w:cs="Times New Roman"/>
                      <w:lang w:val="en-GB"/>
                    </w:rPr>
                    <w:t>1</w:t>
                  </w:r>
                  <w:r>
                    <w:rPr>
                      <w:rFonts w:cs="Times New Roman"/>
                      <w:lang w:val="en-GB"/>
                    </w:rPr>
                    <w:t>0</w:t>
                  </w:r>
                </w:p>
              </w:tc>
              <w:tc>
                <w:tcPr>
                  <w:tcW w:w="2268" w:type="dxa"/>
                  <w:vAlign w:val="center"/>
                </w:tcPr>
                <w:p>
                  <w:pPr>
                    <w:adjustRightInd w:val="0"/>
                    <w:snapToGrid w:val="0"/>
                    <w:jc w:val="center"/>
                    <w:rPr>
                      <w:szCs w:val="21"/>
                    </w:rPr>
                  </w:pPr>
                  <w:r>
                    <w:rPr>
                      <w:rFonts w:hint="eastAsia"/>
                      <w:szCs w:val="21"/>
                    </w:rPr>
                    <w:t>4</w:t>
                  </w:r>
                </w:p>
              </w:tc>
              <w:tc>
                <w:tcPr>
                  <w:tcW w:w="993" w:type="dxa"/>
                  <w:vAlign w:val="center"/>
                </w:tcPr>
                <w:p>
                  <w:pPr>
                    <w:adjustRightInd w:val="0"/>
                    <w:snapToGrid w:val="0"/>
                    <w:jc w:val="center"/>
                    <w:rPr>
                      <w:szCs w:val="21"/>
                    </w:rPr>
                  </w:pPr>
                  <w:r>
                    <w:rPr>
                      <w:rFonts w:hint="eastAsia"/>
                      <w:szCs w:val="21"/>
                    </w:rPr>
                    <w:t>--</w:t>
                  </w:r>
                </w:p>
              </w:tc>
              <w:tc>
                <w:tcPr>
                  <w:tcW w:w="2616" w:type="dxa"/>
                  <w:vMerge w:val="continue"/>
                  <w:vAlign w:val="center"/>
                </w:tcPr>
                <w:p>
                  <w:pPr>
                    <w:adjustRightInd w:val="0"/>
                    <w:snapToGrid w:val="0"/>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9" w:hRule="atLeast"/>
                <w:tblHeader/>
              </w:trPr>
              <w:tc>
                <w:tcPr>
                  <w:tcW w:w="1276" w:type="dxa"/>
                  <w:vAlign w:val="center"/>
                </w:tcPr>
                <w:p>
                  <w:pPr>
                    <w:pStyle w:val="616"/>
                    <w:snapToGrid w:val="0"/>
                    <w:spacing w:line="240" w:lineRule="auto"/>
                    <w:rPr>
                      <w:rFonts w:cs="Times New Roman"/>
                    </w:rPr>
                  </w:pPr>
                  <w:r>
                    <w:rPr>
                      <w:rFonts w:hint="eastAsia" w:cs="Times New Roman"/>
                    </w:rPr>
                    <w:t>O</w:t>
                  </w:r>
                  <w:r>
                    <w:rPr>
                      <w:rFonts w:cs="Times New Roman"/>
                      <w:vertAlign w:val="subscript"/>
                    </w:rPr>
                    <w:t>3</w:t>
                  </w:r>
                </w:p>
              </w:tc>
              <w:tc>
                <w:tcPr>
                  <w:tcW w:w="1275" w:type="dxa"/>
                  <w:vAlign w:val="center"/>
                </w:tcPr>
                <w:p>
                  <w:pPr>
                    <w:pStyle w:val="616"/>
                    <w:snapToGrid w:val="0"/>
                    <w:spacing w:line="240" w:lineRule="auto"/>
                    <w:rPr>
                      <w:rFonts w:cs="Times New Roman"/>
                      <w:lang w:val="en-GB"/>
                    </w:rPr>
                  </w:pPr>
                  <w:r>
                    <w:rPr>
                      <w:rFonts w:hint="eastAsia" w:cs="Times New Roman"/>
                      <w:lang w:val="en-GB"/>
                    </w:rPr>
                    <w:t>2</w:t>
                  </w:r>
                  <w:r>
                    <w:rPr>
                      <w:rFonts w:cs="Times New Roman"/>
                      <w:lang w:val="en-GB"/>
                    </w:rPr>
                    <w:t>00</w:t>
                  </w:r>
                </w:p>
              </w:tc>
              <w:tc>
                <w:tcPr>
                  <w:tcW w:w="2268" w:type="dxa"/>
                  <w:vAlign w:val="center"/>
                </w:tcPr>
                <w:p>
                  <w:pPr>
                    <w:adjustRightInd w:val="0"/>
                    <w:snapToGrid w:val="0"/>
                    <w:jc w:val="center"/>
                    <w:rPr>
                      <w:szCs w:val="21"/>
                    </w:rPr>
                  </w:pPr>
                  <w:r>
                    <w:rPr>
                      <w:rFonts w:hint="eastAsia"/>
                      <w:szCs w:val="21"/>
                    </w:rPr>
                    <w:t>1</w:t>
                  </w:r>
                  <w:r>
                    <w:rPr>
                      <w:szCs w:val="21"/>
                    </w:rPr>
                    <w:t>60</w:t>
                  </w:r>
                  <w:r>
                    <w:rPr>
                      <w:rFonts w:hint="eastAsia"/>
                      <w:szCs w:val="21"/>
                    </w:rPr>
                    <w:t>（日最大8</w:t>
                  </w:r>
                  <w:r>
                    <w:rPr>
                      <w:szCs w:val="21"/>
                    </w:rPr>
                    <w:t>h平均</w:t>
                  </w:r>
                  <w:r>
                    <w:rPr>
                      <w:rFonts w:hint="eastAsia"/>
                      <w:szCs w:val="21"/>
                    </w:rPr>
                    <w:t>）</w:t>
                  </w:r>
                </w:p>
              </w:tc>
              <w:tc>
                <w:tcPr>
                  <w:tcW w:w="993" w:type="dxa"/>
                  <w:vAlign w:val="center"/>
                </w:tcPr>
                <w:p>
                  <w:pPr>
                    <w:adjustRightInd w:val="0"/>
                    <w:snapToGrid w:val="0"/>
                    <w:jc w:val="center"/>
                    <w:rPr>
                      <w:szCs w:val="21"/>
                    </w:rPr>
                  </w:pPr>
                  <w:r>
                    <w:rPr>
                      <w:rFonts w:hint="eastAsia"/>
                      <w:szCs w:val="21"/>
                    </w:rPr>
                    <w:t>--</w:t>
                  </w:r>
                </w:p>
              </w:tc>
              <w:tc>
                <w:tcPr>
                  <w:tcW w:w="2616" w:type="dxa"/>
                  <w:vMerge w:val="continue"/>
                  <w:vAlign w:val="center"/>
                </w:tcPr>
                <w:p>
                  <w:pPr>
                    <w:adjustRightInd w:val="0"/>
                    <w:snapToGrid w:val="0"/>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9" w:hRule="atLeast"/>
                <w:tblHeader/>
              </w:trPr>
              <w:tc>
                <w:tcPr>
                  <w:tcW w:w="1276" w:type="dxa"/>
                  <w:vAlign w:val="center"/>
                </w:tcPr>
                <w:p>
                  <w:pPr>
                    <w:pStyle w:val="616"/>
                    <w:snapToGrid w:val="0"/>
                    <w:spacing w:line="240" w:lineRule="auto"/>
                    <w:rPr>
                      <w:rFonts w:cs="Times New Roman"/>
                    </w:rPr>
                  </w:pPr>
                  <w:r>
                    <w:rPr>
                      <w:rFonts w:cs="Times New Roman"/>
                    </w:rPr>
                    <w:t>NH</w:t>
                  </w:r>
                  <w:r>
                    <w:rPr>
                      <w:rFonts w:cs="Times New Roman"/>
                      <w:vertAlign w:val="subscript"/>
                    </w:rPr>
                    <w:t>3</w:t>
                  </w:r>
                </w:p>
              </w:tc>
              <w:tc>
                <w:tcPr>
                  <w:tcW w:w="1275" w:type="dxa"/>
                  <w:vAlign w:val="center"/>
                </w:tcPr>
                <w:p>
                  <w:pPr>
                    <w:pStyle w:val="616"/>
                    <w:snapToGrid w:val="0"/>
                    <w:spacing w:line="240" w:lineRule="auto"/>
                    <w:rPr>
                      <w:rFonts w:cs="Times New Roman"/>
                      <w:lang w:val="en-GB"/>
                    </w:rPr>
                  </w:pPr>
                  <w:r>
                    <w:rPr>
                      <w:rFonts w:cs="Times New Roman"/>
                      <w:lang w:val="en-GB"/>
                    </w:rPr>
                    <w:t>200</w:t>
                  </w:r>
                </w:p>
              </w:tc>
              <w:tc>
                <w:tcPr>
                  <w:tcW w:w="2268" w:type="dxa"/>
                  <w:vAlign w:val="center"/>
                </w:tcPr>
                <w:p>
                  <w:pPr>
                    <w:adjustRightInd w:val="0"/>
                    <w:snapToGrid w:val="0"/>
                    <w:jc w:val="center"/>
                    <w:rPr>
                      <w:szCs w:val="21"/>
                    </w:rPr>
                  </w:pPr>
                  <w:r>
                    <w:rPr>
                      <w:szCs w:val="21"/>
                    </w:rPr>
                    <w:t>--</w:t>
                  </w:r>
                </w:p>
              </w:tc>
              <w:tc>
                <w:tcPr>
                  <w:tcW w:w="993" w:type="dxa"/>
                  <w:vAlign w:val="center"/>
                </w:tcPr>
                <w:p>
                  <w:pPr>
                    <w:adjustRightInd w:val="0"/>
                    <w:snapToGrid w:val="0"/>
                    <w:jc w:val="center"/>
                    <w:rPr>
                      <w:szCs w:val="21"/>
                    </w:rPr>
                  </w:pPr>
                  <w:r>
                    <w:rPr>
                      <w:rFonts w:hint="eastAsia"/>
                      <w:szCs w:val="21"/>
                    </w:rPr>
                    <w:t>-</w:t>
                  </w:r>
                  <w:r>
                    <w:rPr>
                      <w:szCs w:val="21"/>
                    </w:rPr>
                    <w:t>-</w:t>
                  </w:r>
                </w:p>
              </w:tc>
              <w:tc>
                <w:tcPr>
                  <w:tcW w:w="2616" w:type="dxa"/>
                  <w:vAlign w:val="center"/>
                </w:tcPr>
                <w:p>
                  <w:pPr>
                    <w:adjustRightInd w:val="0"/>
                    <w:snapToGrid w:val="0"/>
                    <w:rPr>
                      <w:szCs w:val="21"/>
                    </w:rPr>
                  </w:pPr>
                  <w:r>
                    <w:rPr>
                      <w:rFonts w:hint="eastAsia"/>
                      <w:szCs w:val="21"/>
                    </w:rPr>
                    <w:t>《环境影响评价技术导则 大气环境》（</w:t>
                  </w:r>
                  <w:r>
                    <w:rPr>
                      <w:rFonts w:ascii="Arial" w:hAnsi="Arial" w:cs="Arial"/>
                      <w:color w:val="333333"/>
                      <w:sz w:val="19"/>
                      <w:szCs w:val="19"/>
                      <w:shd w:val="clear" w:color="auto" w:fill="FFFFFF"/>
                    </w:rPr>
                    <w:t>HJ2.2-</w:t>
                  </w:r>
                  <w:r>
                    <w:rPr>
                      <w:rStyle w:val="65"/>
                      <w:rFonts w:ascii="Arial" w:hAnsi="Arial" w:cs="Arial"/>
                      <w:i/>
                      <w:sz w:val="19"/>
                      <w:szCs w:val="19"/>
                      <w:shd w:val="clear" w:color="auto" w:fill="FFFFFF"/>
                    </w:rPr>
                    <w:t>2018</w:t>
                  </w:r>
                  <w:r>
                    <w:rPr>
                      <w:rStyle w:val="65"/>
                      <w:rFonts w:hint="eastAsia" w:ascii="Arial" w:hAnsi="Arial" w:cs="Arial"/>
                      <w:i/>
                      <w:sz w:val="19"/>
                      <w:szCs w:val="19"/>
                      <w:shd w:val="clear" w:color="auto" w:fill="FFFFFF"/>
                    </w:rPr>
                    <w:t>）</w:t>
                  </w:r>
                </w:p>
              </w:tc>
            </w:tr>
          </w:tbl>
          <w:p>
            <w:pPr>
              <w:spacing w:line="360" w:lineRule="auto"/>
              <w:rPr>
                <w:sz w:val="24"/>
              </w:rPr>
            </w:pPr>
            <w:r>
              <w:rPr>
                <w:sz w:val="24"/>
              </w:rPr>
              <w:t>2、</w:t>
            </w:r>
            <w:r>
              <w:rPr>
                <w:bCs/>
                <w:sz w:val="24"/>
              </w:rPr>
              <w:t>地表水环境质量</w:t>
            </w:r>
          </w:p>
          <w:p>
            <w:pPr>
              <w:spacing w:line="360" w:lineRule="auto"/>
              <w:ind w:firstLine="480" w:firstLineChars="200"/>
              <w:rPr>
                <w:sz w:val="24"/>
              </w:rPr>
            </w:pPr>
            <w:r>
              <w:rPr>
                <w:sz w:val="24"/>
              </w:rPr>
              <w:t>执行国家《地表水环境质量标准》GB3838-2002中</w:t>
            </w:r>
            <w:r>
              <w:rPr>
                <w:rFonts w:hAnsi="宋体"/>
                <w:sz w:val="24"/>
              </w:rPr>
              <w:t>Ⅲ</w:t>
            </w:r>
            <w:r>
              <w:rPr>
                <w:sz w:val="24"/>
              </w:rPr>
              <w:t>类水域标准。见下表：</w:t>
            </w:r>
          </w:p>
          <w:p>
            <w:pPr>
              <w:spacing w:line="276" w:lineRule="auto"/>
              <w:jc w:val="center"/>
              <w:rPr>
                <w:b/>
                <w:sz w:val="24"/>
              </w:rPr>
            </w:pPr>
            <w:r>
              <w:rPr>
                <w:rFonts w:hint="eastAsia"/>
                <w:b/>
                <w:sz w:val="24"/>
              </w:rPr>
              <w:t>表4-2 地表水环境质量标准值表     单位：mg/l</w:t>
            </w:r>
          </w:p>
          <w:tbl>
            <w:tblPr>
              <w:tblStyle w:val="53"/>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374"/>
              <w:gridCol w:w="779"/>
              <w:gridCol w:w="896"/>
              <w:gridCol w:w="896"/>
              <w:gridCol w:w="1000"/>
              <w:gridCol w:w="869"/>
              <w:gridCol w:w="869"/>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847" w:type="dxa"/>
                  <w:vAlign w:val="center"/>
                </w:tcPr>
                <w:p>
                  <w:pPr>
                    <w:adjustRightInd w:val="0"/>
                    <w:snapToGrid w:val="0"/>
                    <w:jc w:val="center"/>
                    <w:rPr>
                      <w:szCs w:val="21"/>
                    </w:rPr>
                  </w:pPr>
                  <w:r>
                    <w:rPr>
                      <w:rFonts w:hint="eastAsia"/>
                      <w:szCs w:val="21"/>
                    </w:rPr>
                    <w:t>项目</w:t>
                  </w:r>
                </w:p>
              </w:tc>
              <w:tc>
                <w:tcPr>
                  <w:tcW w:w="1374" w:type="dxa"/>
                  <w:vAlign w:val="center"/>
                </w:tcPr>
                <w:p>
                  <w:pPr>
                    <w:adjustRightInd w:val="0"/>
                    <w:snapToGrid w:val="0"/>
                    <w:jc w:val="center"/>
                    <w:rPr>
                      <w:szCs w:val="21"/>
                    </w:rPr>
                  </w:pPr>
                  <w:r>
                    <w:rPr>
                      <w:rFonts w:hint="eastAsia"/>
                      <w:szCs w:val="21"/>
                    </w:rPr>
                    <w:t>p</w:t>
                  </w:r>
                  <w:r>
                    <w:rPr>
                      <w:szCs w:val="21"/>
                    </w:rPr>
                    <w:t>H</w:t>
                  </w:r>
                  <w:r>
                    <w:rPr>
                      <w:rFonts w:hint="eastAsia"/>
                      <w:szCs w:val="21"/>
                    </w:rPr>
                    <w:t>(无量纲)</w:t>
                  </w:r>
                </w:p>
              </w:tc>
              <w:tc>
                <w:tcPr>
                  <w:tcW w:w="779" w:type="dxa"/>
                  <w:vAlign w:val="center"/>
                </w:tcPr>
                <w:p>
                  <w:pPr>
                    <w:adjustRightInd w:val="0"/>
                    <w:snapToGrid w:val="0"/>
                    <w:jc w:val="center"/>
                    <w:rPr>
                      <w:szCs w:val="21"/>
                    </w:rPr>
                  </w:pPr>
                  <w:r>
                    <w:rPr>
                      <w:szCs w:val="21"/>
                    </w:rPr>
                    <w:t>SS</w:t>
                  </w:r>
                </w:p>
              </w:tc>
              <w:tc>
                <w:tcPr>
                  <w:tcW w:w="896" w:type="dxa"/>
                  <w:vAlign w:val="center"/>
                </w:tcPr>
                <w:p>
                  <w:pPr>
                    <w:adjustRightInd w:val="0"/>
                    <w:snapToGrid w:val="0"/>
                    <w:jc w:val="center"/>
                    <w:rPr>
                      <w:szCs w:val="21"/>
                    </w:rPr>
                  </w:pPr>
                  <w:r>
                    <w:rPr>
                      <w:szCs w:val="21"/>
                    </w:rPr>
                    <w:t>COD</w:t>
                  </w:r>
                </w:p>
              </w:tc>
              <w:tc>
                <w:tcPr>
                  <w:tcW w:w="896" w:type="dxa"/>
                  <w:vAlign w:val="center"/>
                </w:tcPr>
                <w:p>
                  <w:pPr>
                    <w:adjustRightInd w:val="0"/>
                    <w:snapToGrid w:val="0"/>
                    <w:jc w:val="center"/>
                    <w:rPr>
                      <w:szCs w:val="21"/>
                    </w:rPr>
                  </w:pPr>
                  <w:r>
                    <w:rPr>
                      <w:szCs w:val="21"/>
                    </w:rPr>
                    <w:t>BOD</w:t>
                  </w:r>
                  <w:r>
                    <w:rPr>
                      <w:szCs w:val="21"/>
                      <w:vertAlign w:val="subscript"/>
                    </w:rPr>
                    <w:t>5</w:t>
                  </w:r>
                </w:p>
              </w:tc>
              <w:tc>
                <w:tcPr>
                  <w:tcW w:w="1000" w:type="dxa"/>
                  <w:vAlign w:val="center"/>
                </w:tcPr>
                <w:p>
                  <w:pPr>
                    <w:adjustRightInd w:val="0"/>
                    <w:snapToGrid w:val="0"/>
                    <w:jc w:val="center"/>
                    <w:rPr>
                      <w:szCs w:val="21"/>
                    </w:rPr>
                  </w:pPr>
                  <w:r>
                    <w:rPr>
                      <w:rFonts w:hint="eastAsia"/>
                      <w:szCs w:val="21"/>
                    </w:rPr>
                    <w:t>NH</w:t>
                  </w:r>
                  <w:r>
                    <w:rPr>
                      <w:rFonts w:hint="eastAsia"/>
                      <w:szCs w:val="21"/>
                      <w:vertAlign w:val="subscript"/>
                    </w:rPr>
                    <w:t>3</w:t>
                  </w:r>
                  <w:r>
                    <w:rPr>
                      <w:rFonts w:hint="eastAsia"/>
                      <w:szCs w:val="21"/>
                    </w:rPr>
                    <w:t>-N</w:t>
                  </w:r>
                </w:p>
              </w:tc>
              <w:tc>
                <w:tcPr>
                  <w:tcW w:w="869" w:type="dxa"/>
                  <w:vAlign w:val="center"/>
                </w:tcPr>
                <w:p>
                  <w:pPr>
                    <w:adjustRightInd w:val="0"/>
                    <w:snapToGrid w:val="0"/>
                    <w:jc w:val="center"/>
                    <w:rPr>
                      <w:szCs w:val="21"/>
                    </w:rPr>
                  </w:pPr>
                  <w:r>
                    <w:rPr>
                      <w:rFonts w:hint="eastAsia"/>
                      <w:szCs w:val="21"/>
                    </w:rPr>
                    <w:t>石油类</w:t>
                  </w:r>
                </w:p>
              </w:tc>
              <w:tc>
                <w:tcPr>
                  <w:tcW w:w="869" w:type="dxa"/>
                  <w:vAlign w:val="center"/>
                </w:tcPr>
                <w:p>
                  <w:pPr>
                    <w:adjustRightInd w:val="0"/>
                    <w:snapToGrid w:val="0"/>
                    <w:jc w:val="center"/>
                    <w:rPr>
                      <w:szCs w:val="21"/>
                    </w:rPr>
                  </w:pPr>
                  <w:r>
                    <w:rPr>
                      <w:rFonts w:hint="eastAsia"/>
                      <w:szCs w:val="21"/>
                    </w:rPr>
                    <w:t>总氮</w:t>
                  </w:r>
                </w:p>
              </w:tc>
              <w:tc>
                <w:tcPr>
                  <w:tcW w:w="869" w:type="dxa"/>
                  <w:vAlign w:val="center"/>
                </w:tcPr>
                <w:p>
                  <w:pPr>
                    <w:adjustRightInd w:val="0"/>
                    <w:snapToGrid w:val="0"/>
                    <w:jc w:val="center"/>
                    <w:rPr>
                      <w:szCs w:val="21"/>
                    </w:rPr>
                  </w:pPr>
                  <w:r>
                    <w:rPr>
                      <w:rFonts w:hint="eastAsia"/>
                      <w:szCs w:val="21"/>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47" w:type="dxa"/>
                  <w:vAlign w:val="center"/>
                </w:tcPr>
                <w:p>
                  <w:pPr>
                    <w:adjustRightInd w:val="0"/>
                    <w:snapToGrid w:val="0"/>
                    <w:jc w:val="center"/>
                    <w:rPr>
                      <w:szCs w:val="21"/>
                    </w:rPr>
                  </w:pPr>
                  <w:r>
                    <w:rPr>
                      <w:rFonts w:hint="eastAsia"/>
                      <w:szCs w:val="21"/>
                    </w:rPr>
                    <w:t>标准值</w:t>
                  </w:r>
                </w:p>
              </w:tc>
              <w:tc>
                <w:tcPr>
                  <w:tcW w:w="1374" w:type="dxa"/>
                  <w:vAlign w:val="center"/>
                </w:tcPr>
                <w:p>
                  <w:pPr>
                    <w:adjustRightInd w:val="0"/>
                    <w:snapToGrid w:val="0"/>
                    <w:jc w:val="center"/>
                    <w:rPr>
                      <w:szCs w:val="21"/>
                    </w:rPr>
                  </w:pPr>
                  <w:r>
                    <w:rPr>
                      <w:rFonts w:hint="eastAsia"/>
                      <w:szCs w:val="21"/>
                    </w:rPr>
                    <w:t>6～9</w:t>
                  </w:r>
                </w:p>
              </w:tc>
              <w:tc>
                <w:tcPr>
                  <w:tcW w:w="779" w:type="dxa"/>
                  <w:vAlign w:val="center"/>
                </w:tcPr>
                <w:p>
                  <w:pPr>
                    <w:adjustRightInd w:val="0"/>
                    <w:snapToGrid w:val="0"/>
                    <w:jc w:val="center"/>
                    <w:rPr>
                      <w:szCs w:val="21"/>
                    </w:rPr>
                  </w:pPr>
                  <w:r>
                    <w:rPr>
                      <w:rFonts w:hint="eastAsia"/>
                      <w:szCs w:val="21"/>
                    </w:rPr>
                    <w:t>/</w:t>
                  </w:r>
                </w:p>
              </w:tc>
              <w:tc>
                <w:tcPr>
                  <w:tcW w:w="896" w:type="dxa"/>
                  <w:vAlign w:val="center"/>
                </w:tcPr>
                <w:p>
                  <w:pPr>
                    <w:adjustRightInd w:val="0"/>
                    <w:snapToGrid w:val="0"/>
                    <w:jc w:val="center"/>
                    <w:rPr>
                      <w:szCs w:val="21"/>
                    </w:rPr>
                  </w:pPr>
                  <w:r>
                    <w:rPr>
                      <w:rFonts w:hint="eastAsia"/>
                      <w:szCs w:val="21"/>
                    </w:rPr>
                    <w:t>≤20</w:t>
                  </w:r>
                </w:p>
              </w:tc>
              <w:tc>
                <w:tcPr>
                  <w:tcW w:w="896" w:type="dxa"/>
                  <w:vAlign w:val="center"/>
                </w:tcPr>
                <w:p>
                  <w:pPr>
                    <w:adjustRightInd w:val="0"/>
                    <w:snapToGrid w:val="0"/>
                    <w:jc w:val="center"/>
                    <w:rPr>
                      <w:szCs w:val="21"/>
                    </w:rPr>
                  </w:pPr>
                  <w:r>
                    <w:rPr>
                      <w:rFonts w:hint="eastAsia"/>
                      <w:szCs w:val="21"/>
                    </w:rPr>
                    <w:t>≤4</w:t>
                  </w:r>
                </w:p>
              </w:tc>
              <w:tc>
                <w:tcPr>
                  <w:tcW w:w="1000" w:type="dxa"/>
                  <w:vAlign w:val="center"/>
                </w:tcPr>
                <w:p>
                  <w:pPr>
                    <w:adjustRightInd w:val="0"/>
                    <w:snapToGrid w:val="0"/>
                    <w:jc w:val="center"/>
                    <w:rPr>
                      <w:szCs w:val="21"/>
                    </w:rPr>
                  </w:pPr>
                  <w:r>
                    <w:rPr>
                      <w:rFonts w:hint="eastAsia"/>
                      <w:szCs w:val="21"/>
                    </w:rPr>
                    <w:t>≤1.0</w:t>
                  </w:r>
                </w:p>
              </w:tc>
              <w:tc>
                <w:tcPr>
                  <w:tcW w:w="869" w:type="dxa"/>
                  <w:vAlign w:val="center"/>
                </w:tcPr>
                <w:p>
                  <w:pPr>
                    <w:adjustRightInd w:val="0"/>
                    <w:snapToGrid w:val="0"/>
                    <w:jc w:val="center"/>
                    <w:rPr>
                      <w:szCs w:val="21"/>
                    </w:rPr>
                  </w:pPr>
                  <w:r>
                    <w:rPr>
                      <w:rFonts w:hint="eastAsia"/>
                      <w:szCs w:val="21"/>
                    </w:rPr>
                    <w:t>≤0.05</w:t>
                  </w:r>
                </w:p>
              </w:tc>
              <w:tc>
                <w:tcPr>
                  <w:tcW w:w="869" w:type="dxa"/>
                  <w:vAlign w:val="center"/>
                </w:tcPr>
                <w:p>
                  <w:pPr>
                    <w:adjustRightInd w:val="0"/>
                    <w:snapToGrid w:val="0"/>
                    <w:jc w:val="center"/>
                    <w:rPr>
                      <w:szCs w:val="21"/>
                    </w:rPr>
                  </w:pPr>
                  <w:r>
                    <w:rPr>
                      <w:rFonts w:hint="eastAsia"/>
                      <w:szCs w:val="21"/>
                    </w:rPr>
                    <w:t>≤1.0</w:t>
                  </w:r>
                </w:p>
              </w:tc>
              <w:tc>
                <w:tcPr>
                  <w:tcW w:w="869" w:type="dxa"/>
                  <w:vAlign w:val="center"/>
                </w:tcPr>
                <w:p>
                  <w:pPr>
                    <w:adjustRightInd w:val="0"/>
                    <w:snapToGrid w:val="0"/>
                    <w:jc w:val="center"/>
                    <w:rPr>
                      <w:szCs w:val="21"/>
                    </w:rPr>
                  </w:pPr>
                  <w:r>
                    <w:rPr>
                      <w:rFonts w:hint="eastAsia"/>
                      <w:szCs w:val="21"/>
                    </w:rPr>
                    <w:t>≤0.2</w:t>
                  </w:r>
                </w:p>
              </w:tc>
            </w:tr>
          </w:tbl>
          <w:p>
            <w:pPr>
              <w:adjustRightInd w:val="0"/>
              <w:snapToGrid w:val="0"/>
              <w:spacing w:line="440" w:lineRule="exact"/>
              <w:rPr>
                <w:bCs/>
                <w:sz w:val="24"/>
                <w:szCs w:val="20"/>
              </w:rPr>
            </w:pPr>
            <w:r>
              <w:rPr>
                <w:bCs/>
                <w:sz w:val="24"/>
              </w:rPr>
              <w:t>3、噪声环境质量</w:t>
            </w:r>
          </w:p>
          <w:p>
            <w:pPr>
              <w:adjustRightInd w:val="0"/>
              <w:snapToGrid w:val="0"/>
              <w:spacing w:line="440" w:lineRule="exact"/>
              <w:ind w:firstLine="480"/>
              <w:rPr>
                <w:sz w:val="24"/>
              </w:rPr>
            </w:pPr>
            <w:r>
              <w:rPr>
                <w:sz w:val="24"/>
              </w:rPr>
              <w:t>环境噪声：营运期</w:t>
            </w:r>
            <w:r>
              <w:rPr>
                <w:rFonts w:hint="eastAsia"/>
                <w:sz w:val="24"/>
              </w:rPr>
              <w:t>场界执行</w:t>
            </w:r>
            <w:r>
              <w:rPr>
                <w:sz w:val="24"/>
              </w:rPr>
              <w:t>《声环境质量标准》GB3096-2008中</w:t>
            </w:r>
            <w:r>
              <w:rPr>
                <w:rFonts w:hint="eastAsia"/>
                <w:sz w:val="24"/>
              </w:rPr>
              <w:t>3</w:t>
            </w:r>
            <w:r>
              <w:rPr>
                <w:sz w:val="24"/>
              </w:rPr>
              <w:t xml:space="preserve">类标准，标准限值见下表： </w:t>
            </w:r>
          </w:p>
          <w:p>
            <w:pPr>
              <w:spacing w:line="276" w:lineRule="auto"/>
              <w:jc w:val="center"/>
              <w:rPr>
                <w:b/>
                <w:sz w:val="24"/>
              </w:rPr>
            </w:pPr>
            <w:r>
              <w:rPr>
                <w:rFonts w:hint="eastAsia"/>
                <w:b/>
                <w:sz w:val="24"/>
              </w:rPr>
              <w:t>表4-3  环境噪声标准值表      等效声级LAeq: dB（A）</w:t>
            </w:r>
          </w:p>
          <w:tbl>
            <w:tblPr>
              <w:tblStyle w:val="53"/>
              <w:tblW w:w="819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73"/>
              <w:gridCol w:w="1629"/>
              <w:gridCol w:w="2795"/>
              <w:gridCol w:w="25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exact"/>
                <w:jc w:val="center"/>
              </w:trPr>
              <w:tc>
                <w:tcPr>
                  <w:tcW w:w="1173" w:type="dxa"/>
                  <w:vMerge w:val="restart"/>
                  <w:vAlign w:val="center"/>
                </w:tcPr>
                <w:p>
                  <w:pPr>
                    <w:pStyle w:val="38"/>
                    <w:spacing w:line="300" w:lineRule="exact"/>
                    <w:ind w:left="-2" w:firstLine="0" w:firstLineChars="0"/>
                    <w:jc w:val="center"/>
                    <w:rPr>
                      <w:bCs/>
                      <w:szCs w:val="21"/>
                    </w:rPr>
                  </w:pPr>
                  <w:r>
                    <w:rPr>
                      <w:bCs/>
                      <w:szCs w:val="21"/>
                    </w:rPr>
                    <w:t xml:space="preserve">环境 </w:t>
                  </w:r>
                </w:p>
                <w:p>
                  <w:pPr>
                    <w:pStyle w:val="38"/>
                    <w:spacing w:line="300" w:lineRule="exact"/>
                    <w:ind w:left="-2" w:firstLine="0" w:firstLineChars="0"/>
                    <w:jc w:val="center"/>
                    <w:rPr>
                      <w:bCs/>
                      <w:szCs w:val="21"/>
                    </w:rPr>
                  </w:pPr>
                  <w:r>
                    <w:rPr>
                      <w:bCs/>
                      <w:szCs w:val="21"/>
                    </w:rPr>
                    <w:t>噪声</w:t>
                  </w:r>
                </w:p>
              </w:tc>
              <w:tc>
                <w:tcPr>
                  <w:tcW w:w="1629" w:type="dxa"/>
                  <w:vMerge w:val="restart"/>
                  <w:vAlign w:val="center"/>
                </w:tcPr>
                <w:p>
                  <w:pPr>
                    <w:pStyle w:val="38"/>
                    <w:spacing w:line="300" w:lineRule="exact"/>
                    <w:ind w:left="-2" w:firstLine="0" w:firstLineChars="0"/>
                    <w:jc w:val="center"/>
                    <w:rPr>
                      <w:bCs/>
                      <w:szCs w:val="21"/>
                    </w:rPr>
                  </w:pPr>
                  <w:r>
                    <w:rPr>
                      <w:rFonts w:hint="eastAsia"/>
                      <w:bCs/>
                      <w:szCs w:val="21"/>
                    </w:rPr>
                    <w:t>3</w:t>
                  </w:r>
                  <w:r>
                    <w:rPr>
                      <w:bCs/>
                      <w:szCs w:val="21"/>
                    </w:rPr>
                    <w:t>类</w:t>
                  </w:r>
                </w:p>
              </w:tc>
              <w:tc>
                <w:tcPr>
                  <w:tcW w:w="2795" w:type="dxa"/>
                  <w:vAlign w:val="center"/>
                </w:tcPr>
                <w:p>
                  <w:pPr>
                    <w:pStyle w:val="38"/>
                    <w:spacing w:line="300" w:lineRule="exact"/>
                    <w:ind w:left="-2" w:firstLine="0" w:firstLineChars="0"/>
                    <w:jc w:val="center"/>
                    <w:rPr>
                      <w:szCs w:val="21"/>
                    </w:rPr>
                  </w:pPr>
                  <w:r>
                    <w:rPr>
                      <w:szCs w:val="21"/>
                    </w:rPr>
                    <w:t>昼  间</w:t>
                  </w:r>
                </w:p>
              </w:tc>
              <w:tc>
                <w:tcPr>
                  <w:tcW w:w="2598" w:type="dxa"/>
                  <w:vAlign w:val="center"/>
                </w:tcPr>
                <w:p>
                  <w:pPr>
                    <w:pStyle w:val="22"/>
                    <w:spacing w:line="300" w:lineRule="exact"/>
                    <w:ind w:firstLine="1050" w:firstLineChars="500"/>
                    <w:rPr>
                      <w:sz w:val="21"/>
                      <w:szCs w:val="21"/>
                    </w:rPr>
                  </w:pPr>
                  <w:r>
                    <w:rPr>
                      <w:sz w:val="21"/>
                      <w:szCs w:val="21"/>
                    </w:rPr>
                    <w:t>6</w:t>
                  </w:r>
                  <w:r>
                    <w:rPr>
                      <w:rFonts w:hint="eastAsia"/>
                      <w:sz w:val="21"/>
                      <w:szCs w:val="21"/>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56" w:hRule="exact"/>
                <w:jc w:val="center"/>
              </w:trPr>
              <w:tc>
                <w:tcPr>
                  <w:tcW w:w="1173" w:type="dxa"/>
                  <w:vMerge w:val="continue"/>
                  <w:vAlign w:val="center"/>
                </w:tcPr>
                <w:p>
                  <w:pPr>
                    <w:pStyle w:val="38"/>
                    <w:spacing w:line="300" w:lineRule="exact"/>
                    <w:ind w:left="-2" w:firstLine="0" w:firstLineChars="0"/>
                    <w:jc w:val="center"/>
                    <w:rPr>
                      <w:szCs w:val="21"/>
                    </w:rPr>
                  </w:pPr>
                </w:p>
              </w:tc>
              <w:tc>
                <w:tcPr>
                  <w:tcW w:w="1629" w:type="dxa"/>
                  <w:vMerge w:val="continue"/>
                  <w:vAlign w:val="center"/>
                </w:tcPr>
                <w:p>
                  <w:pPr>
                    <w:pStyle w:val="38"/>
                    <w:spacing w:line="300" w:lineRule="exact"/>
                    <w:ind w:left="-2" w:firstLine="0" w:firstLineChars="0"/>
                    <w:jc w:val="center"/>
                    <w:rPr>
                      <w:szCs w:val="21"/>
                    </w:rPr>
                  </w:pPr>
                </w:p>
              </w:tc>
              <w:tc>
                <w:tcPr>
                  <w:tcW w:w="2795" w:type="dxa"/>
                  <w:vAlign w:val="center"/>
                </w:tcPr>
                <w:p>
                  <w:pPr>
                    <w:pStyle w:val="38"/>
                    <w:spacing w:line="300" w:lineRule="exact"/>
                    <w:ind w:left="-2" w:firstLine="0" w:firstLineChars="0"/>
                    <w:jc w:val="center"/>
                    <w:rPr>
                      <w:szCs w:val="21"/>
                    </w:rPr>
                  </w:pPr>
                  <w:r>
                    <w:rPr>
                      <w:szCs w:val="21"/>
                    </w:rPr>
                    <w:t>夜  间</w:t>
                  </w:r>
                </w:p>
              </w:tc>
              <w:tc>
                <w:tcPr>
                  <w:tcW w:w="2598" w:type="dxa"/>
                  <w:vAlign w:val="center"/>
                </w:tcPr>
                <w:p>
                  <w:pPr>
                    <w:pStyle w:val="38"/>
                    <w:spacing w:line="300" w:lineRule="exact"/>
                    <w:ind w:left="199" w:leftChars="95" w:firstLine="840" w:firstLineChars="400"/>
                    <w:rPr>
                      <w:szCs w:val="21"/>
                    </w:rPr>
                  </w:pPr>
                  <w:r>
                    <w:rPr>
                      <w:szCs w:val="21"/>
                    </w:rPr>
                    <w:t>5</w:t>
                  </w:r>
                  <w:r>
                    <w:rPr>
                      <w:rFonts w:hint="eastAsia"/>
                      <w:szCs w:val="21"/>
                    </w:rPr>
                    <w:t>5</w:t>
                  </w:r>
                </w:p>
              </w:tc>
            </w:tr>
          </w:tbl>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06" w:hRule="atLeast"/>
        </w:trPr>
        <w:tc>
          <w:tcPr>
            <w:tcW w:w="915" w:type="dxa"/>
            <w:vAlign w:val="center"/>
          </w:tcPr>
          <w:p>
            <w:pPr>
              <w:spacing w:line="360" w:lineRule="auto"/>
              <w:ind w:firstLine="240" w:firstLineChars="100"/>
              <w:rPr>
                <w:sz w:val="24"/>
              </w:rPr>
            </w:pPr>
            <w:r>
              <w:rPr>
                <w:sz w:val="24"/>
              </w:rPr>
              <w:t>污</w:t>
            </w:r>
          </w:p>
          <w:p>
            <w:pPr>
              <w:spacing w:line="360" w:lineRule="auto"/>
              <w:jc w:val="center"/>
              <w:rPr>
                <w:sz w:val="24"/>
              </w:rPr>
            </w:pPr>
            <w:r>
              <w:rPr>
                <w:sz w:val="24"/>
              </w:rPr>
              <w:t>染</w:t>
            </w:r>
          </w:p>
          <w:p>
            <w:pPr>
              <w:spacing w:line="360" w:lineRule="auto"/>
              <w:jc w:val="center"/>
              <w:rPr>
                <w:sz w:val="24"/>
              </w:rPr>
            </w:pPr>
            <w:r>
              <w:rPr>
                <w:sz w:val="24"/>
              </w:rPr>
              <w:t>物</w:t>
            </w:r>
          </w:p>
          <w:p>
            <w:pPr>
              <w:spacing w:line="360" w:lineRule="auto"/>
              <w:jc w:val="center"/>
              <w:rPr>
                <w:sz w:val="24"/>
              </w:rPr>
            </w:pPr>
            <w:r>
              <w:rPr>
                <w:sz w:val="24"/>
              </w:rPr>
              <w:t>排</w:t>
            </w:r>
          </w:p>
          <w:p>
            <w:pPr>
              <w:spacing w:line="360" w:lineRule="auto"/>
              <w:jc w:val="center"/>
              <w:rPr>
                <w:sz w:val="24"/>
              </w:rPr>
            </w:pPr>
            <w:r>
              <w:rPr>
                <w:sz w:val="24"/>
              </w:rPr>
              <w:t>放</w:t>
            </w:r>
          </w:p>
          <w:p>
            <w:pPr>
              <w:spacing w:line="360" w:lineRule="auto"/>
              <w:jc w:val="center"/>
              <w:rPr>
                <w:sz w:val="24"/>
              </w:rPr>
            </w:pPr>
            <w:r>
              <w:rPr>
                <w:sz w:val="24"/>
              </w:rPr>
              <w:t>标</w:t>
            </w:r>
          </w:p>
          <w:p>
            <w:pPr>
              <w:spacing w:line="360" w:lineRule="auto"/>
              <w:jc w:val="center"/>
              <w:rPr>
                <w:sz w:val="24"/>
              </w:rPr>
            </w:pPr>
            <w:r>
              <w:rPr>
                <w:sz w:val="24"/>
              </w:rPr>
              <w:t>准</w:t>
            </w:r>
          </w:p>
          <w:p>
            <w:pPr>
              <w:rPr>
                <w:sz w:val="24"/>
              </w:rPr>
            </w:pPr>
          </w:p>
        </w:tc>
        <w:tc>
          <w:tcPr>
            <w:tcW w:w="8625" w:type="dxa"/>
          </w:tcPr>
          <w:p>
            <w:pPr>
              <w:pStyle w:val="47"/>
              <w:spacing w:before="0" w:beforeAutospacing="0" w:after="0" w:afterAutospacing="0" w:line="360" w:lineRule="auto"/>
              <w:rPr>
                <w:rFonts w:ascii="Times New Roman" w:hAnsi="Times New Roman"/>
                <w:szCs w:val="20"/>
              </w:rPr>
            </w:pPr>
            <w:r>
              <w:rPr>
                <w:rFonts w:ascii="Times New Roman" w:hAnsi="Times New Roman"/>
              </w:rPr>
              <w:t xml:space="preserve">1. </w:t>
            </w:r>
            <w:r>
              <w:rPr>
                <w:rFonts w:ascii="Times New Roman" w:hAnsi="Times New Roman"/>
                <w:szCs w:val="20"/>
              </w:rPr>
              <w:t>大气污染物</w:t>
            </w:r>
          </w:p>
          <w:p>
            <w:pPr>
              <w:adjustRightInd w:val="0"/>
              <w:snapToGrid w:val="0"/>
              <w:spacing w:line="360" w:lineRule="auto"/>
              <w:ind w:firstLine="480" w:firstLineChars="200"/>
              <w:rPr>
                <w:sz w:val="24"/>
              </w:rPr>
            </w:pPr>
            <w:r>
              <w:rPr>
                <w:rFonts w:hint="eastAsia"/>
                <w:sz w:val="24"/>
              </w:rPr>
              <w:t>本项目大气污染物执行《恶臭污染物排放标准》（</w:t>
            </w:r>
            <w:r>
              <w:rPr>
                <w:sz w:val="24"/>
              </w:rPr>
              <w:t>GB14554-93</w:t>
            </w:r>
            <w:r>
              <w:rPr>
                <w:rFonts w:hint="eastAsia"/>
                <w:sz w:val="24"/>
              </w:rPr>
              <w:t>）中的标准要求以及《大气污染物综合排放标准》（G</w:t>
            </w:r>
            <w:r>
              <w:rPr>
                <w:sz w:val="24"/>
              </w:rPr>
              <w:t>B16297-1996</w:t>
            </w:r>
            <w:r>
              <w:rPr>
                <w:rFonts w:hint="eastAsia"/>
                <w:sz w:val="24"/>
              </w:rPr>
              <w:t>）中无组织排放标准，具体指标见表4-</w:t>
            </w:r>
            <w:r>
              <w:rPr>
                <w:sz w:val="24"/>
              </w:rPr>
              <w:t>4</w:t>
            </w:r>
            <w:r>
              <w:rPr>
                <w:rFonts w:hint="eastAsia"/>
                <w:sz w:val="24"/>
              </w:rPr>
              <w:t>、</w:t>
            </w:r>
            <w:r>
              <w:rPr>
                <w:sz w:val="24"/>
              </w:rPr>
              <w:t>表</w:t>
            </w:r>
            <w:r>
              <w:rPr>
                <w:rFonts w:hint="eastAsia"/>
                <w:sz w:val="24"/>
              </w:rPr>
              <w:t>4</w:t>
            </w:r>
            <w:r>
              <w:rPr>
                <w:sz w:val="24"/>
              </w:rPr>
              <w:t>-5</w:t>
            </w:r>
            <w:r>
              <w:rPr>
                <w:rFonts w:hint="eastAsia"/>
                <w:sz w:val="24"/>
              </w:rPr>
              <w:t>。</w:t>
            </w: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spacing w:line="360" w:lineRule="auto"/>
              <w:jc w:val="center"/>
              <w:rPr>
                <w:rFonts w:ascii="宋体" w:hAnsi="宋体"/>
                <w:b/>
                <w:sz w:val="24"/>
                <w:vertAlign w:val="superscript"/>
              </w:rPr>
            </w:pPr>
            <w:r>
              <w:rPr>
                <w:rFonts w:ascii="宋体" w:hAnsi="宋体"/>
                <w:b/>
                <w:sz w:val="24"/>
              </w:rPr>
              <w:t>表4-4</w:t>
            </w:r>
            <w:r>
              <w:rPr>
                <w:rFonts w:hint="eastAsia" w:ascii="宋体" w:hAnsi="宋体"/>
                <w:b/>
                <w:sz w:val="24"/>
              </w:rPr>
              <w:t>《恶臭污染物排放标准》（G</w:t>
            </w:r>
            <w:r>
              <w:rPr>
                <w:rFonts w:ascii="宋体" w:hAnsi="宋体"/>
                <w:b/>
                <w:sz w:val="24"/>
              </w:rPr>
              <w:t>B14554-93</w:t>
            </w:r>
            <w:r>
              <w:rPr>
                <w:rFonts w:hint="eastAsia" w:ascii="宋体" w:hAnsi="宋体"/>
                <w:b/>
                <w:sz w:val="24"/>
              </w:rPr>
              <w:t xml:space="preserve">）中标准值 </w:t>
            </w:r>
            <w:r>
              <w:rPr>
                <w:rFonts w:ascii="宋体" w:hAnsi="宋体"/>
                <w:b/>
                <w:sz w:val="24"/>
              </w:rPr>
              <w:t xml:space="preserve"> 单位</w:t>
            </w:r>
            <w:r>
              <w:rPr>
                <w:rFonts w:hint="eastAsia" w:ascii="宋体" w:hAnsi="宋体"/>
                <w:b/>
                <w:sz w:val="24"/>
              </w:rPr>
              <w:t>：</w:t>
            </w:r>
            <w:r>
              <w:rPr>
                <w:rFonts w:ascii="宋体" w:hAnsi="宋体"/>
                <w:b/>
                <w:sz w:val="24"/>
              </w:rPr>
              <w:t>mg/m</w:t>
            </w:r>
            <w:r>
              <w:rPr>
                <w:rFonts w:ascii="宋体" w:hAnsi="宋体"/>
                <w:b/>
                <w:sz w:val="24"/>
                <w:vertAlign w:val="superscript"/>
              </w:rPr>
              <w:t>3</w:t>
            </w:r>
          </w:p>
          <w:tbl>
            <w:tblPr>
              <w:tblStyle w:val="53"/>
              <w:tblW w:w="8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09"/>
              <w:gridCol w:w="1701"/>
              <w:gridCol w:w="1603"/>
              <w:gridCol w:w="192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5" w:type="dxa"/>
                  <w:vMerge w:val="restart"/>
                  <w:vAlign w:val="center"/>
                </w:tcPr>
                <w:p>
                  <w:pPr>
                    <w:jc w:val="center"/>
                    <w:rPr>
                      <w:rFonts w:ascii="宋体" w:hAnsi="宋体"/>
                      <w:szCs w:val="21"/>
                    </w:rPr>
                  </w:pPr>
                  <w:r>
                    <w:rPr>
                      <w:rFonts w:hint="eastAsia" w:ascii="宋体" w:hAnsi="宋体"/>
                      <w:szCs w:val="21"/>
                    </w:rPr>
                    <w:t>序号</w:t>
                  </w:r>
                </w:p>
              </w:tc>
              <w:tc>
                <w:tcPr>
                  <w:tcW w:w="709" w:type="dxa"/>
                  <w:vMerge w:val="restart"/>
                  <w:vAlign w:val="center"/>
                </w:tcPr>
                <w:p>
                  <w:pPr>
                    <w:jc w:val="center"/>
                    <w:rPr>
                      <w:rFonts w:ascii="宋体" w:hAnsi="宋体"/>
                      <w:szCs w:val="21"/>
                    </w:rPr>
                  </w:pPr>
                  <w:r>
                    <w:rPr>
                      <w:rFonts w:hint="eastAsia" w:ascii="宋体" w:hAnsi="宋体"/>
                      <w:szCs w:val="21"/>
                    </w:rPr>
                    <w:t>评价因子</w:t>
                  </w:r>
                </w:p>
              </w:tc>
              <w:tc>
                <w:tcPr>
                  <w:tcW w:w="3304" w:type="dxa"/>
                  <w:gridSpan w:val="2"/>
                  <w:vAlign w:val="center"/>
                </w:tcPr>
                <w:p>
                  <w:pPr>
                    <w:jc w:val="center"/>
                    <w:rPr>
                      <w:rFonts w:ascii="宋体" w:hAnsi="宋体"/>
                      <w:szCs w:val="21"/>
                    </w:rPr>
                  </w:pPr>
                  <w:r>
                    <w:rPr>
                      <w:rFonts w:hint="eastAsia" w:ascii="宋体" w:hAnsi="宋体"/>
                      <w:szCs w:val="21"/>
                    </w:rPr>
                    <w:t>最高允许排放浓度</w:t>
                  </w:r>
                </w:p>
              </w:tc>
              <w:tc>
                <w:tcPr>
                  <w:tcW w:w="3365" w:type="dxa"/>
                  <w:gridSpan w:val="2"/>
                  <w:vAlign w:val="center"/>
                </w:tcPr>
                <w:p>
                  <w:pPr>
                    <w:jc w:val="center"/>
                    <w:rPr>
                      <w:rFonts w:ascii="宋体" w:hAnsi="宋体"/>
                      <w:szCs w:val="21"/>
                    </w:rPr>
                  </w:pPr>
                  <w:r>
                    <w:rPr>
                      <w:rFonts w:hint="eastAsia" w:ascii="宋体" w:hAnsi="宋体"/>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775"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排气筒高度/m</w:t>
                  </w:r>
                </w:p>
              </w:tc>
              <w:tc>
                <w:tcPr>
                  <w:tcW w:w="1603" w:type="dxa"/>
                  <w:vAlign w:val="center"/>
                </w:tcPr>
                <w:p>
                  <w:pPr>
                    <w:jc w:val="center"/>
                    <w:rPr>
                      <w:rFonts w:ascii="宋体" w:hAnsi="宋体"/>
                      <w:szCs w:val="21"/>
                    </w:rPr>
                  </w:pPr>
                  <w:r>
                    <w:rPr>
                      <w:rFonts w:hint="eastAsia" w:ascii="宋体" w:hAnsi="宋体"/>
                      <w:szCs w:val="21"/>
                    </w:rPr>
                    <w:t>排放量（kg/h）</w:t>
                  </w:r>
                </w:p>
              </w:tc>
              <w:tc>
                <w:tcPr>
                  <w:tcW w:w="1925" w:type="dxa"/>
                  <w:vAlign w:val="center"/>
                </w:tcPr>
                <w:p>
                  <w:pPr>
                    <w:jc w:val="center"/>
                    <w:rPr>
                      <w:rFonts w:ascii="宋体" w:hAnsi="宋体"/>
                      <w:szCs w:val="21"/>
                    </w:rPr>
                  </w:pPr>
                  <w:r>
                    <w:rPr>
                      <w:rFonts w:hint="eastAsia" w:ascii="宋体" w:hAnsi="宋体"/>
                      <w:szCs w:val="21"/>
                    </w:rPr>
                    <w:t>监控点</w:t>
                  </w:r>
                </w:p>
              </w:tc>
              <w:tc>
                <w:tcPr>
                  <w:tcW w:w="1440" w:type="dxa"/>
                  <w:vAlign w:val="center"/>
                </w:tcPr>
                <w:p>
                  <w:pPr>
                    <w:jc w:val="center"/>
                    <w:rPr>
                      <w:rFonts w:ascii="宋体" w:hAnsi="宋体"/>
                      <w:szCs w:val="21"/>
                    </w:rPr>
                  </w:pPr>
                  <w:r>
                    <w:rPr>
                      <w:rFonts w:hint="eastAsia" w:ascii="宋体" w:hAnsi="宋体"/>
                      <w:szCs w:val="21"/>
                    </w:rPr>
                    <w:t>浓度（mg/m</w:t>
                  </w:r>
                  <w:r>
                    <w:rPr>
                      <w:rFonts w:hint="eastAsia" w:ascii="宋体" w:hAnsi="宋体"/>
                      <w:szCs w:val="21"/>
                      <w:vertAlign w:val="superscript"/>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vAlign w:val="center"/>
                </w:tcPr>
                <w:p>
                  <w:pPr>
                    <w:jc w:val="center"/>
                    <w:rPr>
                      <w:rFonts w:ascii="宋体" w:hAnsi="宋体"/>
                      <w:szCs w:val="21"/>
                    </w:rPr>
                  </w:pPr>
                  <w:r>
                    <w:rPr>
                      <w:rFonts w:ascii="宋体" w:hAnsi="宋体"/>
                      <w:szCs w:val="21"/>
                    </w:rPr>
                    <w:t>1</w:t>
                  </w:r>
                </w:p>
              </w:tc>
              <w:tc>
                <w:tcPr>
                  <w:tcW w:w="709" w:type="dxa"/>
                  <w:vAlign w:val="center"/>
                </w:tcPr>
                <w:p>
                  <w:pPr>
                    <w:jc w:val="center"/>
                    <w:rPr>
                      <w:rFonts w:ascii="宋体" w:hAnsi="宋体"/>
                      <w:szCs w:val="21"/>
                      <w:vertAlign w:val="subscript"/>
                    </w:rPr>
                  </w:pPr>
                  <w:r>
                    <w:rPr>
                      <w:rFonts w:ascii="宋体" w:hAnsi="宋体"/>
                      <w:szCs w:val="21"/>
                    </w:rPr>
                    <w:t>NH</w:t>
                  </w:r>
                  <w:r>
                    <w:rPr>
                      <w:rFonts w:ascii="宋体" w:hAnsi="宋体"/>
                      <w:szCs w:val="21"/>
                      <w:vertAlign w:val="subscript"/>
                    </w:rPr>
                    <w:t>3</w:t>
                  </w:r>
                </w:p>
              </w:tc>
              <w:tc>
                <w:tcPr>
                  <w:tcW w:w="1701" w:type="dxa"/>
                  <w:vAlign w:val="center"/>
                </w:tcPr>
                <w:p>
                  <w:pPr>
                    <w:jc w:val="center"/>
                    <w:rPr>
                      <w:rFonts w:ascii="宋体" w:hAnsi="宋体"/>
                      <w:szCs w:val="21"/>
                    </w:rPr>
                  </w:pPr>
                  <w:r>
                    <w:rPr>
                      <w:rFonts w:ascii="宋体" w:hAnsi="宋体"/>
                      <w:szCs w:val="21"/>
                    </w:rPr>
                    <w:t>15</w:t>
                  </w:r>
                </w:p>
              </w:tc>
              <w:tc>
                <w:tcPr>
                  <w:tcW w:w="1603" w:type="dxa"/>
                  <w:vAlign w:val="center"/>
                </w:tcPr>
                <w:p>
                  <w:pPr>
                    <w:jc w:val="center"/>
                    <w:rPr>
                      <w:rFonts w:ascii="宋体" w:hAnsi="宋体"/>
                      <w:szCs w:val="21"/>
                    </w:rPr>
                  </w:pPr>
                  <w:r>
                    <w:rPr>
                      <w:rFonts w:ascii="宋体" w:hAnsi="宋体"/>
                      <w:szCs w:val="21"/>
                    </w:rPr>
                    <w:t>4.9</w:t>
                  </w:r>
                </w:p>
              </w:tc>
              <w:tc>
                <w:tcPr>
                  <w:tcW w:w="1925" w:type="dxa"/>
                  <w:vAlign w:val="center"/>
                </w:tcPr>
                <w:p>
                  <w:pPr>
                    <w:jc w:val="center"/>
                    <w:rPr>
                      <w:rFonts w:ascii="宋体" w:hAnsi="宋体"/>
                      <w:szCs w:val="21"/>
                    </w:rPr>
                  </w:pPr>
                  <w:r>
                    <w:rPr>
                      <w:rFonts w:hint="eastAsia" w:ascii="宋体" w:hAnsi="宋体"/>
                      <w:szCs w:val="21"/>
                    </w:rPr>
                    <w:t>厂界标准</w:t>
                  </w:r>
                </w:p>
              </w:tc>
              <w:tc>
                <w:tcPr>
                  <w:tcW w:w="1440" w:type="dxa"/>
                  <w:vAlign w:val="center"/>
                </w:tcPr>
                <w:p>
                  <w:pPr>
                    <w:jc w:val="center"/>
                    <w:rPr>
                      <w:rFonts w:ascii="宋体" w:hAnsi="宋体"/>
                      <w:szCs w:val="21"/>
                    </w:rPr>
                  </w:pPr>
                  <w:r>
                    <w:rPr>
                      <w:rFonts w:ascii="宋体" w:hAnsi="宋体"/>
                      <w:szCs w:val="21"/>
                    </w:rPr>
                    <w:t>1.5</w:t>
                  </w:r>
                </w:p>
              </w:tc>
            </w:tr>
          </w:tbl>
          <w:p>
            <w:pPr>
              <w:pStyle w:val="21"/>
              <w:spacing w:line="500" w:lineRule="exact"/>
              <w:ind w:firstLine="482"/>
              <w:jc w:val="center"/>
              <w:rPr>
                <w:b/>
              </w:rPr>
            </w:pPr>
            <w:r>
              <w:rPr>
                <w:b/>
              </w:rPr>
              <w:t xml:space="preserve">表4-5 </w:t>
            </w:r>
            <w:r>
              <w:rPr>
                <w:rFonts w:hint="eastAsia"/>
                <w:b/>
              </w:rPr>
              <w:t>《大气污染物综合排放标准》（G</w:t>
            </w:r>
            <w:r>
              <w:rPr>
                <w:b/>
              </w:rPr>
              <w:t>B16297-1996</w:t>
            </w:r>
            <w:r>
              <w:rPr>
                <w:rFonts w:hint="eastAsia"/>
                <w:b/>
              </w:rPr>
              <w:t>）中无组织排放标准</w:t>
            </w:r>
          </w:p>
          <w:tbl>
            <w:tblPr>
              <w:tblStyle w:val="53"/>
              <w:tblW w:w="72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418"/>
              <w:gridCol w:w="2452"/>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69" w:type="dxa"/>
                  <w:vMerge w:val="restart"/>
                  <w:vAlign w:val="center"/>
                </w:tcPr>
                <w:p>
                  <w:pPr>
                    <w:jc w:val="center"/>
                    <w:rPr>
                      <w:rFonts w:ascii="宋体" w:hAnsi="宋体"/>
                      <w:szCs w:val="21"/>
                    </w:rPr>
                  </w:pPr>
                  <w:r>
                    <w:rPr>
                      <w:rFonts w:hint="eastAsia" w:ascii="宋体" w:hAnsi="宋体"/>
                      <w:szCs w:val="21"/>
                    </w:rPr>
                    <w:t>序号</w:t>
                  </w:r>
                </w:p>
              </w:tc>
              <w:tc>
                <w:tcPr>
                  <w:tcW w:w="1418" w:type="dxa"/>
                  <w:vMerge w:val="restart"/>
                  <w:vAlign w:val="center"/>
                </w:tcPr>
                <w:p>
                  <w:pPr>
                    <w:jc w:val="center"/>
                    <w:rPr>
                      <w:rFonts w:ascii="宋体" w:hAnsi="宋体"/>
                      <w:szCs w:val="21"/>
                    </w:rPr>
                  </w:pPr>
                  <w:r>
                    <w:rPr>
                      <w:rFonts w:hint="eastAsia" w:ascii="宋体" w:hAnsi="宋体"/>
                      <w:szCs w:val="21"/>
                    </w:rPr>
                    <w:t>评价因子</w:t>
                  </w:r>
                </w:p>
              </w:tc>
              <w:tc>
                <w:tcPr>
                  <w:tcW w:w="4677" w:type="dxa"/>
                  <w:gridSpan w:val="2"/>
                  <w:vAlign w:val="center"/>
                </w:tcPr>
                <w:p>
                  <w:pPr>
                    <w:jc w:val="center"/>
                    <w:rPr>
                      <w:rFonts w:ascii="宋体" w:hAnsi="宋体"/>
                      <w:szCs w:val="21"/>
                    </w:rPr>
                  </w:pPr>
                  <w:r>
                    <w:rPr>
                      <w:rFonts w:hint="eastAsia" w:ascii="宋体" w:hAnsi="宋体"/>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169" w:type="dxa"/>
                  <w:vMerge w:val="continue"/>
                  <w:vAlign w:val="center"/>
                </w:tcPr>
                <w:p>
                  <w:pPr>
                    <w:jc w:val="center"/>
                    <w:rPr>
                      <w:rFonts w:ascii="宋体" w:hAnsi="宋体"/>
                      <w:szCs w:val="21"/>
                    </w:rPr>
                  </w:pPr>
                </w:p>
              </w:tc>
              <w:tc>
                <w:tcPr>
                  <w:tcW w:w="1418" w:type="dxa"/>
                  <w:vMerge w:val="continue"/>
                  <w:vAlign w:val="center"/>
                </w:tcPr>
                <w:p>
                  <w:pPr>
                    <w:jc w:val="center"/>
                    <w:rPr>
                      <w:rFonts w:ascii="宋体" w:hAnsi="宋体"/>
                      <w:szCs w:val="21"/>
                    </w:rPr>
                  </w:pPr>
                </w:p>
              </w:tc>
              <w:tc>
                <w:tcPr>
                  <w:tcW w:w="2452" w:type="dxa"/>
                  <w:vAlign w:val="center"/>
                </w:tcPr>
                <w:p>
                  <w:pPr>
                    <w:jc w:val="center"/>
                    <w:rPr>
                      <w:rFonts w:ascii="宋体" w:hAnsi="宋体"/>
                      <w:szCs w:val="21"/>
                    </w:rPr>
                  </w:pPr>
                  <w:r>
                    <w:rPr>
                      <w:rFonts w:hint="eastAsia" w:ascii="宋体" w:hAnsi="宋体"/>
                      <w:szCs w:val="21"/>
                    </w:rPr>
                    <w:t>监控点</w:t>
                  </w:r>
                </w:p>
              </w:tc>
              <w:tc>
                <w:tcPr>
                  <w:tcW w:w="2225" w:type="dxa"/>
                  <w:vAlign w:val="center"/>
                </w:tcPr>
                <w:p>
                  <w:pPr>
                    <w:jc w:val="center"/>
                    <w:rPr>
                      <w:rFonts w:ascii="宋体" w:hAnsi="宋体"/>
                      <w:szCs w:val="21"/>
                    </w:rPr>
                  </w:pPr>
                  <w:r>
                    <w:rPr>
                      <w:rFonts w:hint="eastAsia" w:ascii="宋体" w:hAnsi="宋体"/>
                      <w:szCs w:val="21"/>
                    </w:rPr>
                    <w:t>浓度（mg/m</w:t>
                  </w:r>
                  <w:r>
                    <w:rPr>
                      <w:rFonts w:hint="eastAsia" w:ascii="宋体" w:hAnsi="宋体"/>
                      <w:szCs w:val="21"/>
                      <w:vertAlign w:val="superscript"/>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jc w:val="center"/>
                    <w:rPr>
                      <w:rFonts w:ascii="宋体" w:hAnsi="宋体"/>
                      <w:szCs w:val="21"/>
                    </w:rPr>
                  </w:pPr>
                  <w:r>
                    <w:rPr>
                      <w:rFonts w:ascii="宋体" w:hAnsi="宋体"/>
                      <w:szCs w:val="21"/>
                    </w:rPr>
                    <w:t>1</w:t>
                  </w:r>
                </w:p>
              </w:tc>
              <w:tc>
                <w:tcPr>
                  <w:tcW w:w="1418" w:type="dxa"/>
                  <w:vAlign w:val="center"/>
                </w:tcPr>
                <w:p>
                  <w:pPr>
                    <w:jc w:val="center"/>
                    <w:rPr>
                      <w:rFonts w:ascii="宋体" w:hAnsi="宋体"/>
                      <w:szCs w:val="21"/>
                      <w:vertAlign w:val="subscript"/>
                    </w:rPr>
                  </w:pPr>
                  <w:r>
                    <w:rPr>
                      <w:rFonts w:hint="eastAsia" w:ascii="宋体" w:hAnsi="宋体"/>
                      <w:szCs w:val="21"/>
                    </w:rPr>
                    <w:t>颗粒物</w:t>
                  </w:r>
                </w:p>
              </w:tc>
              <w:tc>
                <w:tcPr>
                  <w:tcW w:w="2452" w:type="dxa"/>
                  <w:vAlign w:val="center"/>
                </w:tcPr>
                <w:p>
                  <w:pPr>
                    <w:jc w:val="center"/>
                    <w:rPr>
                      <w:rFonts w:ascii="宋体" w:hAnsi="宋体"/>
                      <w:szCs w:val="21"/>
                    </w:rPr>
                  </w:pPr>
                  <w:r>
                    <w:rPr>
                      <w:rFonts w:hint="eastAsia" w:ascii="宋体" w:hAnsi="宋体"/>
                      <w:szCs w:val="21"/>
                    </w:rPr>
                    <w:t>周界外浓度最高点</w:t>
                  </w:r>
                </w:p>
              </w:tc>
              <w:tc>
                <w:tcPr>
                  <w:tcW w:w="2225" w:type="dxa"/>
                  <w:vAlign w:val="center"/>
                </w:tcPr>
                <w:p>
                  <w:pPr>
                    <w:jc w:val="center"/>
                    <w:rPr>
                      <w:rFonts w:ascii="宋体" w:hAnsi="宋体"/>
                      <w:szCs w:val="21"/>
                    </w:rPr>
                  </w:pPr>
                  <w:r>
                    <w:rPr>
                      <w:rFonts w:ascii="宋体" w:hAnsi="宋体"/>
                      <w:szCs w:val="21"/>
                    </w:rPr>
                    <w:t>1.0</w:t>
                  </w:r>
                </w:p>
              </w:tc>
            </w:tr>
          </w:tbl>
          <w:p>
            <w:pPr>
              <w:pStyle w:val="21"/>
              <w:spacing w:line="500" w:lineRule="exact"/>
              <w:ind w:firstLine="480"/>
            </w:pPr>
            <w:r>
              <w:t>2. 废水</w:t>
            </w:r>
          </w:p>
          <w:p>
            <w:pPr>
              <w:spacing w:line="360" w:lineRule="auto"/>
              <w:ind w:firstLine="480"/>
              <w:rPr>
                <w:rFonts w:ascii="黑体" w:hAnsi="黑体" w:eastAsia="黑体"/>
                <w:sz w:val="24"/>
              </w:rPr>
            </w:pPr>
            <w:r>
              <w:rPr>
                <w:sz w:val="24"/>
              </w:rPr>
              <w:t>废水执行《污水综合排放标准》（GB8978-1996）中的</w:t>
            </w:r>
            <w:r>
              <w:rPr>
                <w:rFonts w:hint="eastAsia"/>
                <w:sz w:val="24"/>
              </w:rPr>
              <w:t>三</w:t>
            </w:r>
            <w:r>
              <w:rPr>
                <w:sz w:val="24"/>
              </w:rPr>
              <w:t>级标准，标准值如表4-6：</w:t>
            </w:r>
          </w:p>
          <w:p>
            <w:pPr>
              <w:pStyle w:val="47"/>
              <w:spacing w:before="0" w:beforeAutospacing="0" w:after="0" w:afterAutospacing="0" w:line="360" w:lineRule="auto"/>
              <w:ind w:firstLine="1884" w:firstLineChars="782"/>
              <w:rPr>
                <w:rFonts w:ascii="Times New Roman" w:hAnsi="Times New Roman"/>
                <w:b/>
                <w:kern w:val="2"/>
              </w:rPr>
            </w:pPr>
            <w:r>
              <w:rPr>
                <w:rFonts w:hint="eastAsia" w:ascii="Times New Roman" w:hAnsi="Times New Roman"/>
                <w:b/>
                <w:kern w:val="2"/>
              </w:rPr>
              <w:t>表4-</w:t>
            </w:r>
            <w:r>
              <w:rPr>
                <w:rFonts w:ascii="Times New Roman" w:hAnsi="Times New Roman"/>
                <w:b/>
                <w:kern w:val="2"/>
              </w:rPr>
              <w:t>6</w:t>
            </w:r>
            <w:r>
              <w:rPr>
                <w:rFonts w:hint="eastAsia" w:ascii="Times New Roman" w:hAnsi="Times New Roman"/>
                <w:b/>
                <w:kern w:val="2"/>
              </w:rPr>
              <w:t xml:space="preserve">   废水排放执行标准   单位：mg/l</w:t>
            </w:r>
          </w:p>
          <w:tbl>
            <w:tblPr>
              <w:tblStyle w:val="53"/>
              <w:tblW w:w="83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1"/>
              <w:gridCol w:w="2916"/>
              <w:gridCol w:w="26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4" w:hRule="atLeast"/>
                <w:jc w:val="center"/>
              </w:trPr>
              <w:tc>
                <w:tcPr>
                  <w:tcW w:w="2881" w:type="dxa"/>
                  <w:vAlign w:val="center"/>
                </w:tcPr>
                <w:p>
                  <w:pPr>
                    <w:spacing w:line="300" w:lineRule="exact"/>
                    <w:jc w:val="center"/>
                    <w:rPr>
                      <w:szCs w:val="21"/>
                    </w:rPr>
                  </w:pPr>
                  <w:r>
                    <w:rPr>
                      <w:rFonts w:hAnsi="宋体"/>
                      <w:szCs w:val="21"/>
                    </w:rPr>
                    <w:t>污染物</w:t>
                  </w:r>
                </w:p>
              </w:tc>
              <w:tc>
                <w:tcPr>
                  <w:tcW w:w="2916" w:type="dxa"/>
                  <w:vAlign w:val="center"/>
                </w:tcPr>
                <w:p>
                  <w:pPr>
                    <w:spacing w:line="300" w:lineRule="exact"/>
                    <w:jc w:val="center"/>
                    <w:rPr>
                      <w:szCs w:val="21"/>
                    </w:rPr>
                  </w:pPr>
                  <w:r>
                    <w:rPr>
                      <w:rFonts w:hAnsi="宋体"/>
                      <w:szCs w:val="21"/>
                    </w:rPr>
                    <w:t>标准值</w:t>
                  </w:r>
                  <w:r>
                    <w:rPr>
                      <w:szCs w:val="21"/>
                    </w:rPr>
                    <w:t>(mg/L)</w:t>
                  </w:r>
                </w:p>
              </w:tc>
              <w:tc>
                <w:tcPr>
                  <w:tcW w:w="2602" w:type="dxa"/>
                  <w:vAlign w:val="center"/>
                </w:tcPr>
                <w:p>
                  <w:pPr>
                    <w:spacing w:line="300" w:lineRule="exact"/>
                    <w:jc w:val="center"/>
                    <w:rPr>
                      <w:szCs w:val="21"/>
                    </w:rPr>
                  </w:pPr>
                  <w:r>
                    <w:rPr>
                      <w:rFonts w:hAnsi="宋体"/>
                      <w:szCs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7" w:hRule="exact"/>
                <w:jc w:val="center"/>
              </w:trPr>
              <w:tc>
                <w:tcPr>
                  <w:tcW w:w="2881" w:type="dxa"/>
                  <w:vAlign w:val="center"/>
                </w:tcPr>
                <w:p>
                  <w:pPr>
                    <w:spacing w:line="300" w:lineRule="exact"/>
                    <w:jc w:val="center"/>
                    <w:rPr>
                      <w:szCs w:val="21"/>
                      <w:vertAlign w:val="subscript"/>
                    </w:rPr>
                  </w:pPr>
                  <w:r>
                    <w:rPr>
                      <w:szCs w:val="21"/>
                    </w:rPr>
                    <w:t xml:space="preserve">pH </w:t>
                  </w:r>
                </w:p>
              </w:tc>
              <w:tc>
                <w:tcPr>
                  <w:tcW w:w="2916" w:type="dxa"/>
                  <w:vAlign w:val="center"/>
                </w:tcPr>
                <w:p>
                  <w:pPr>
                    <w:spacing w:line="300" w:lineRule="exact"/>
                    <w:jc w:val="center"/>
                    <w:rPr>
                      <w:szCs w:val="21"/>
                    </w:rPr>
                  </w:pPr>
                  <w:r>
                    <w:rPr>
                      <w:szCs w:val="21"/>
                    </w:rPr>
                    <w:t>6</w:t>
                  </w:r>
                  <w:r>
                    <w:rPr>
                      <w:rFonts w:hAnsi="宋体"/>
                      <w:szCs w:val="21"/>
                    </w:rPr>
                    <w:t>～</w:t>
                  </w:r>
                  <w:r>
                    <w:rPr>
                      <w:szCs w:val="21"/>
                    </w:rPr>
                    <w:t>9</w:t>
                  </w:r>
                </w:p>
              </w:tc>
              <w:tc>
                <w:tcPr>
                  <w:tcW w:w="2602" w:type="dxa"/>
                  <w:vMerge w:val="restart"/>
                  <w:vAlign w:val="center"/>
                </w:tcPr>
                <w:p>
                  <w:pPr>
                    <w:spacing w:line="300" w:lineRule="exact"/>
                    <w:jc w:val="center"/>
                    <w:rPr>
                      <w:szCs w:val="21"/>
                    </w:rPr>
                  </w:pPr>
                  <w:r>
                    <w:rPr>
                      <w:rFonts w:hAnsi="宋体"/>
                      <w:szCs w:val="21"/>
                    </w:rPr>
                    <w:t>《污水综合排放标准》</w:t>
                  </w:r>
                </w:p>
                <w:p>
                  <w:pPr>
                    <w:spacing w:line="300" w:lineRule="exact"/>
                    <w:jc w:val="center"/>
                    <w:rPr>
                      <w:szCs w:val="21"/>
                    </w:rPr>
                  </w:pPr>
                  <w:r>
                    <w:rPr>
                      <w:szCs w:val="21"/>
                    </w:rPr>
                    <w:t>(GB8978-1996)</w:t>
                  </w:r>
                  <w:r>
                    <w:rPr>
                      <w:rFonts w:hAnsi="宋体"/>
                      <w:szCs w:val="21"/>
                    </w:rPr>
                    <w:t>中的</w:t>
                  </w:r>
                  <w:r>
                    <w:rPr>
                      <w:rFonts w:hint="eastAsia" w:hAnsi="宋体"/>
                      <w:szCs w:val="21"/>
                    </w:rPr>
                    <w:t>三</w:t>
                  </w:r>
                  <w:r>
                    <w:rPr>
                      <w:rFonts w:hAnsi="宋体"/>
                      <w:szCs w:val="21"/>
                    </w:rPr>
                    <w:t>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7" w:hRule="exact"/>
                <w:jc w:val="center"/>
              </w:trPr>
              <w:tc>
                <w:tcPr>
                  <w:tcW w:w="2881" w:type="dxa"/>
                  <w:vAlign w:val="center"/>
                </w:tcPr>
                <w:p>
                  <w:pPr>
                    <w:spacing w:line="300" w:lineRule="exact"/>
                    <w:jc w:val="center"/>
                    <w:rPr>
                      <w:szCs w:val="21"/>
                    </w:rPr>
                  </w:pPr>
                  <w:r>
                    <w:rPr>
                      <w:szCs w:val="21"/>
                    </w:rPr>
                    <w:t>COD</w:t>
                  </w:r>
                  <w:r>
                    <w:rPr>
                      <w:szCs w:val="21"/>
                      <w:vertAlign w:val="subscript"/>
                    </w:rPr>
                    <w:t>cr</w:t>
                  </w:r>
                </w:p>
              </w:tc>
              <w:tc>
                <w:tcPr>
                  <w:tcW w:w="2916" w:type="dxa"/>
                  <w:vAlign w:val="center"/>
                </w:tcPr>
                <w:p>
                  <w:pPr>
                    <w:spacing w:line="300" w:lineRule="exact"/>
                    <w:jc w:val="center"/>
                    <w:rPr>
                      <w:szCs w:val="21"/>
                    </w:rPr>
                  </w:pPr>
                  <w:r>
                    <w:rPr>
                      <w:rFonts w:hint="eastAsia"/>
                      <w:szCs w:val="21"/>
                    </w:rPr>
                    <w:t>500</w:t>
                  </w:r>
                </w:p>
              </w:tc>
              <w:tc>
                <w:tcPr>
                  <w:tcW w:w="2602" w:type="dxa"/>
                  <w:vMerge w:val="continue"/>
                  <w:vAlign w:val="center"/>
                </w:tcPr>
                <w:p>
                  <w:pPr>
                    <w:spacing w:line="30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7" w:hRule="exact"/>
                <w:jc w:val="center"/>
              </w:trPr>
              <w:tc>
                <w:tcPr>
                  <w:tcW w:w="2881" w:type="dxa"/>
                  <w:vAlign w:val="center"/>
                </w:tcPr>
                <w:p>
                  <w:pPr>
                    <w:spacing w:line="300" w:lineRule="exact"/>
                    <w:jc w:val="center"/>
                    <w:rPr>
                      <w:szCs w:val="21"/>
                    </w:rPr>
                  </w:pPr>
                  <w:r>
                    <w:rPr>
                      <w:szCs w:val="21"/>
                    </w:rPr>
                    <w:t>SS</w:t>
                  </w:r>
                </w:p>
              </w:tc>
              <w:tc>
                <w:tcPr>
                  <w:tcW w:w="2916" w:type="dxa"/>
                  <w:vAlign w:val="center"/>
                </w:tcPr>
                <w:p>
                  <w:pPr>
                    <w:spacing w:line="300" w:lineRule="exact"/>
                    <w:jc w:val="center"/>
                    <w:rPr>
                      <w:szCs w:val="21"/>
                    </w:rPr>
                  </w:pPr>
                  <w:r>
                    <w:rPr>
                      <w:rFonts w:hint="eastAsia"/>
                      <w:szCs w:val="21"/>
                    </w:rPr>
                    <w:t>400</w:t>
                  </w:r>
                </w:p>
              </w:tc>
              <w:tc>
                <w:tcPr>
                  <w:tcW w:w="2602" w:type="dxa"/>
                  <w:vMerge w:val="continue"/>
                  <w:vAlign w:val="center"/>
                </w:tcPr>
                <w:p>
                  <w:pPr>
                    <w:spacing w:line="30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7" w:hRule="exact"/>
                <w:jc w:val="center"/>
              </w:trPr>
              <w:tc>
                <w:tcPr>
                  <w:tcW w:w="2881" w:type="dxa"/>
                  <w:vAlign w:val="center"/>
                </w:tcPr>
                <w:p>
                  <w:pPr>
                    <w:spacing w:line="300" w:lineRule="exact"/>
                    <w:jc w:val="center"/>
                    <w:rPr>
                      <w:szCs w:val="21"/>
                    </w:rPr>
                  </w:pPr>
                  <w:r>
                    <w:rPr>
                      <w:szCs w:val="21"/>
                    </w:rPr>
                    <w:t>BOD</w:t>
                  </w:r>
                  <w:r>
                    <w:rPr>
                      <w:szCs w:val="21"/>
                      <w:vertAlign w:val="subscript"/>
                    </w:rPr>
                    <w:t>5</w:t>
                  </w:r>
                </w:p>
              </w:tc>
              <w:tc>
                <w:tcPr>
                  <w:tcW w:w="2916" w:type="dxa"/>
                  <w:vAlign w:val="center"/>
                </w:tcPr>
                <w:p>
                  <w:pPr>
                    <w:spacing w:line="300" w:lineRule="exact"/>
                    <w:jc w:val="center"/>
                    <w:rPr>
                      <w:szCs w:val="21"/>
                    </w:rPr>
                  </w:pPr>
                  <w:r>
                    <w:rPr>
                      <w:rFonts w:hint="eastAsia"/>
                      <w:szCs w:val="21"/>
                    </w:rPr>
                    <w:t>300</w:t>
                  </w:r>
                </w:p>
              </w:tc>
              <w:tc>
                <w:tcPr>
                  <w:tcW w:w="2602" w:type="dxa"/>
                  <w:vMerge w:val="continue"/>
                  <w:vAlign w:val="center"/>
                </w:tcPr>
                <w:p>
                  <w:pPr>
                    <w:spacing w:line="30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7" w:hRule="exact"/>
                <w:jc w:val="center"/>
              </w:trPr>
              <w:tc>
                <w:tcPr>
                  <w:tcW w:w="2881" w:type="dxa"/>
                  <w:vAlign w:val="center"/>
                </w:tcPr>
                <w:p>
                  <w:pPr>
                    <w:spacing w:line="300" w:lineRule="exact"/>
                    <w:jc w:val="center"/>
                    <w:rPr>
                      <w:szCs w:val="21"/>
                    </w:rPr>
                  </w:pPr>
                  <w:r>
                    <w:rPr>
                      <w:szCs w:val="21"/>
                    </w:rPr>
                    <w:t>NH</w:t>
                  </w:r>
                  <w:r>
                    <w:rPr>
                      <w:szCs w:val="21"/>
                      <w:vertAlign w:val="subscript"/>
                    </w:rPr>
                    <w:t>3</w:t>
                  </w:r>
                  <w:r>
                    <w:rPr>
                      <w:rFonts w:hAnsi="宋体"/>
                      <w:szCs w:val="21"/>
                    </w:rPr>
                    <w:t>－</w:t>
                  </w:r>
                  <w:r>
                    <w:rPr>
                      <w:szCs w:val="21"/>
                    </w:rPr>
                    <w:t>N</w:t>
                  </w:r>
                </w:p>
              </w:tc>
              <w:tc>
                <w:tcPr>
                  <w:tcW w:w="2916" w:type="dxa"/>
                  <w:vAlign w:val="center"/>
                </w:tcPr>
                <w:p>
                  <w:pPr>
                    <w:spacing w:line="300" w:lineRule="exact"/>
                    <w:jc w:val="center"/>
                    <w:rPr>
                      <w:szCs w:val="21"/>
                    </w:rPr>
                  </w:pPr>
                  <w:r>
                    <w:rPr>
                      <w:rFonts w:hint="eastAsia"/>
                      <w:szCs w:val="21"/>
                    </w:rPr>
                    <w:t>/</w:t>
                  </w:r>
                </w:p>
              </w:tc>
              <w:tc>
                <w:tcPr>
                  <w:tcW w:w="2602" w:type="dxa"/>
                  <w:vMerge w:val="continue"/>
                  <w:vAlign w:val="center"/>
                </w:tcPr>
                <w:p>
                  <w:pPr>
                    <w:spacing w:line="300" w:lineRule="exact"/>
                    <w:jc w:val="center"/>
                    <w:rPr>
                      <w:szCs w:val="21"/>
                    </w:rPr>
                  </w:pPr>
                </w:p>
              </w:tc>
            </w:tr>
          </w:tbl>
          <w:p>
            <w:pPr>
              <w:spacing w:line="360" w:lineRule="auto"/>
              <w:rPr>
                <w:sz w:val="24"/>
              </w:rPr>
            </w:pPr>
            <w:r>
              <w:rPr>
                <w:sz w:val="24"/>
              </w:rPr>
              <w:t>3、噪声</w:t>
            </w:r>
          </w:p>
          <w:p>
            <w:pPr>
              <w:spacing w:line="360" w:lineRule="auto"/>
              <w:ind w:firstLine="480"/>
              <w:rPr>
                <w:sz w:val="24"/>
              </w:rPr>
            </w:pPr>
            <w:r>
              <w:rPr>
                <w:sz w:val="24"/>
              </w:rPr>
              <w:t>建筑施工噪声排放标准执行《建筑施工场界环境噪声排放</w:t>
            </w:r>
            <w:r>
              <w:rPr>
                <w:rFonts w:hint="eastAsia"/>
                <w:sz w:val="24"/>
              </w:rPr>
              <w:t>标准</w:t>
            </w:r>
            <w:r>
              <w:rPr>
                <w:sz w:val="24"/>
              </w:rPr>
              <w:t>》</w:t>
            </w:r>
            <w:r>
              <w:rPr>
                <w:rFonts w:hint="eastAsia"/>
                <w:sz w:val="24"/>
              </w:rPr>
              <w:t>(</w:t>
            </w:r>
            <w:r>
              <w:rPr>
                <w:sz w:val="24"/>
              </w:rPr>
              <w:t>GB12523-2011</w:t>
            </w:r>
            <w:r>
              <w:rPr>
                <w:rFonts w:hint="eastAsia"/>
                <w:sz w:val="24"/>
              </w:rPr>
              <w:t>)</w:t>
            </w:r>
            <w:r>
              <w:rPr>
                <w:sz w:val="24"/>
              </w:rPr>
              <w:t>，见表4-7。</w:t>
            </w:r>
          </w:p>
          <w:p>
            <w:pPr>
              <w:spacing w:line="276" w:lineRule="auto"/>
              <w:jc w:val="center"/>
              <w:rPr>
                <w:b/>
                <w:sz w:val="24"/>
              </w:rPr>
            </w:pPr>
            <w:r>
              <w:rPr>
                <w:rFonts w:hint="eastAsia"/>
                <w:b/>
                <w:sz w:val="24"/>
              </w:rPr>
              <w:t>表4-</w:t>
            </w:r>
            <w:r>
              <w:rPr>
                <w:b/>
                <w:sz w:val="24"/>
              </w:rPr>
              <w:t>7</w:t>
            </w:r>
            <w:r>
              <w:rPr>
                <w:rFonts w:hint="eastAsia"/>
                <w:b/>
                <w:sz w:val="24"/>
              </w:rPr>
              <w:t xml:space="preserve">  《建筑施工场界环境噪声排放标准》（GB12523-2011）</w:t>
            </w:r>
          </w:p>
          <w:tbl>
            <w:tblPr>
              <w:tblStyle w:val="53"/>
              <w:tblW w:w="7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4"/>
              <w:gridCol w:w="3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934" w:type="dxa"/>
                  <w:vAlign w:val="center"/>
                </w:tcPr>
                <w:p>
                  <w:pPr>
                    <w:jc w:val="center"/>
                    <w:rPr>
                      <w:szCs w:val="21"/>
                    </w:rPr>
                  </w:pPr>
                  <w:r>
                    <w:rPr>
                      <w:rFonts w:hAnsi="宋体"/>
                      <w:szCs w:val="21"/>
                    </w:rPr>
                    <w:t>昼间</w:t>
                  </w:r>
                </w:p>
              </w:tc>
              <w:tc>
                <w:tcPr>
                  <w:tcW w:w="3933" w:type="dxa"/>
                  <w:vAlign w:val="center"/>
                </w:tcPr>
                <w:p>
                  <w:pPr>
                    <w:jc w:val="center"/>
                    <w:rPr>
                      <w:szCs w:val="21"/>
                    </w:rPr>
                  </w:pPr>
                  <w:r>
                    <w:rPr>
                      <w:rFonts w:hAnsi="宋体"/>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3934" w:type="dxa"/>
                  <w:vAlign w:val="center"/>
                </w:tcPr>
                <w:p>
                  <w:pPr>
                    <w:jc w:val="center"/>
                    <w:rPr>
                      <w:szCs w:val="21"/>
                    </w:rPr>
                  </w:pPr>
                  <w:r>
                    <w:rPr>
                      <w:szCs w:val="21"/>
                    </w:rPr>
                    <w:t>70 dB(A)</w:t>
                  </w:r>
                </w:p>
              </w:tc>
              <w:tc>
                <w:tcPr>
                  <w:tcW w:w="3933" w:type="dxa"/>
                  <w:vAlign w:val="center"/>
                </w:tcPr>
                <w:p>
                  <w:pPr>
                    <w:jc w:val="center"/>
                    <w:rPr>
                      <w:szCs w:val="21"/>
                    </w:rPr>
                  </w:pPr>
                  <w:r>
                    <w:rPr>
                      <w:szCs w:val="21"/>
                    </w:rPr>
                    <w:t>55 dB(A)</w:t>
                  </w:r>
                </w:p>
              </w:tc>
            </w:tr>
          </w:tbl>
          <w:p>
            <w:pPr>
              <w:spacing w:line="360" w:lineRule="auto"/>
              <w:ind w:firstLine="480" w:firstLineChars="200"/>
              <w:rPr>
                <w:sz w:val="24"/>
              </w:rPr>
            </w:pPr>
            <w:r>
              <w:rPr>
                <w:rFonts w:hint="eastAsia"/>
                <w:sz w:val="24"/>
              </w:rPr>
              <w:t>营运期厂界执行3类标准。标准限值见下表：</w:t>
            </w:r>
          </w:p>
          <w:p>
            <w:pPr>
              <w:spacing w:line="276" w:lineRule="auto"/>
              <w:jc w:val="center"/>
              <w:rPr>
                <w:b/>
                <w:sz w:val="24"/>
              </w:rPr>
            </w:pPr>
            <w:r>
              <w:rPr>
                <w:rFonts w:hint="eastAsia"/>
                <w:b/>
                <w:sz w:val="24"/>
              </w:rPr>
              <w:t>表4-</w:t>
            </w:r>
            <w:r>
              <w:rPr>
                <w:b/>
                <w:sz w:val="24"/>
              </w:rPr>
              <w:t>8</w:t>
            </w:r>
            <w:r>
              <w:rPr>
                <w:rFonts w:hint="eastAsia"/>
                <w:b/>
                <w:sz w:val="24"/>
              </w:rPr>
              <w:t xml:space="preserve">   厂界噪声标准值表     等效声级LAeq:dB</w:t>
            </w:r>
          </w:p>
          <w:tbl>
            <w:tblPr>
              <w:tblStyle w:val="53"/>
              <w:tblW w:w="844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79"/>
              <w:gridCol w:w="3050"/>
              <w:gridCol w:w="26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3" w:hRule="atLeast"/>
                <w:jc w:val="center"/>
              </w:trPr>
              <w:tc>
                <w:tcPr>
                  <w:tcW w:w="2779" w:type="dxa"/>
                  <w:vAlign w:val="center"/>
                </w:tcPr>
                <w:p>
                  <w:pPr>
                    <w:pStyle w:val="21"/>
                    <w:spacing w:line="300" w:lineRule="exact"/>
                    <w:ind w:firstLine="420"/>
                    <w:jc w:val="center"/>
                    <w:rPr>
                      <w:bCs/>
                      <w:sz w:val="21"/>
                    </w:rPr>
                  </w:pPr>
                  <w:r>
                    <w:rPr>
                      <w:rFonts w:hint="eastAsia"/>
                      <w:bCs/>
                      <w:sz w:val="21"/>
                    </w:rPr>
                    <w:t>别   类</w:t>
                  </w:r>
                </w:p>
              </w:tc>
              <w:tc>
                <w:tcPr>
                  <w:tcW w:w="3050" w:type="dxa"/>
                  <w:vAlign w:val="center"/>
                </w:tcPr>
                <w:p>
                  <w:pPr>
                    <w:pStyle w:val="21"/>
                    <w:spacing w:line="300" w:lineRule="exact"/>
                    <w:ind w:firstLine="420"/>
                    <w:jc w:val="center"/>
                    <w:rPr>
                      <w:bCs/>
                      <w:sz w:val="21"/>
                    </w:rPr>
                  </w:pPr>
                  <w:r>
                    <w:rPr>
                      <w:rFonts w:hint="eastAsia"/>
                      <w:bCs/>
                      <w:sz w:val="21"/>
                    </w:rPr>
                    <w:t>昼  间</w:t>
                  </w:r>
                </w:p>
              </w:tc>
              <w:tc>
                <w:tcPr>
                  <w:tcW w:w="2613" w:type="dxa"/>
                  <w:vAlign w:val="center"/>
                </w:tcPr>
                <w:p>
                  <w:pPr>
                    <w:pStyle w:val="21"/>
                    <w:spacing w:line="300" w:lineRule="exact"/>
                    <w:ind w:firstLine="420"/>
                    <w:jc w:val="center"/>
                    <w:rPr>
                      <w:bCs/>
                      <w:sz w:val="21"/>
                    </w:rPr>
                  </w:pPr>
                  <w:r>
                    <w:rPr>
                      <w:rFonts w:hint="eastAsia"/>
                      <w:bCs/>
                      <w:sz w:val="21"/>
                    </w:rPr>
                    <w:t>夜  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2779" w:type="dxa"/>
                  <w:vAlign w:val="center"/>
                </w:tcPr>
                <w:p>
                  <w:pPr>
                    <w:pStyle w:val="21"/>
                    <w:spacing w:line="300" w:lineRule="exact"/>
                    <w:ind w:firstLine="420"/>
                    <w:jc w:val="center"/>
                    <w:rPr>
                      <w:bCs/>
                      <w:sz w:val="21"/>
                    </w:rPr>
                  </w:pPr>
                  <w:r>
                    <w:rPr>
                      <w:rFonts w:hint="eastAsia"/>
                      <w:bCs/>
                      <w:sz w:val="21"/>
                    </w:rPr>
                    <w:t>3</w:t>
                  </w:r>
                </w:p>
              </w:tc>
              <w:tc>
                <w:tcPr>
                  <w:tcW w:w="3050" w:type="dxa"/>
                  <w:vAlign w:val="center"/>
                </w:tcPr>
                <w:p>
                  <w:pPr>
                    <w:pStyle w:val="21"/>
                    <w:spacing w:line="300" w:lineRule="exact"/>
                    <w:ind w:firstLine="420"/>
                    <w:jc w:val="center"/>
                    <w:rPr>
                      <w:bCs/>
                      <w:sz w:val="21"/>
                    </w:rPr>
                  </w:pPr>
                  <w:r>
                    <w:rPr>
                      <w:rFonts w:hint="eastAsia"/>
                      <w:bCs/>
                      <w:sz w:val="21"/>
                    </w:rPr>
                    <w:t>65</w:t>
                  </w:r>
                </w:p>
              </w:tc>
              <w:tc>
                <w:tcPr>
                  <w:tcW w:w="2613" w:type="dxa"/>
                  <w:vAlign w:val="center"/>
                </w:tcPr>
                <w:p>
                  <w:pPr>
                    <w:pStyle w:val="21"/>
                    <w:spacing w:line="300" w:lineRule="exact"/>
                    <w:ind w:firstLine="420"/>
                    <w:jc w:val="center"/>
                    <w:rPr>
                      <w:bCs/>
                      <w:sz w:val="21"/>
                    </w:rPr>
                  </w:pPr>
                  <w:r>
                    <w:rPr>
                      <w:rFonts w:hint="eastAsia"/>
                      <w:bCs/>
                      <w:sz w:val="21"/>
                    </w:rPr>
                    <w:t xml:space="preserve">   55</w:t>
                  </w:r>
                </w:p>
              </w:tc>
            </w:tr>
          </w:tbl>
          <w:p>
            <w:pPr>
              <w:tabs>
                <w:tab w:val="left" w:pos="1170"/>
              </w:tabs>
              <w:spacing w:line="360" w:lineRule="auto"/>
              <w:rPr>
                <w:sz w:val="24"/>
              </w:rPr>
            </w:pPr>
            <w:r>
              <w:rPr>
                <w:sz w:val="24"/>
              </w:rPr>
              <w:t>4</w:t>
            </w:r>
            <w:r>
              <w:rPr>
                <w:rFonts w:hint="eastAsia"/>
                <w:sz w:val="24"/>
              </w:rPr>
              <w:t>、</w:t>
            </w:r>
            <w:r>
              <w:rPr>
                <w:sz w:val="24"/>
              </w:rPr>
              <w:t>固废</w:t>
            </w:r>
          </w:p>
          <w:p>
            <w:pPr>
              <w:adjustRightInd w:val="0"/>
              <w:snapToGrid w:val="0"/>
              <w:spacing w:line="360" w:lineRule="auto"/>
              <w:rPr>
                <w:rFonts w:ascii="宋体" w:hAnsi="宋体"/>
                <w:sz w:val="24"/>
              </w:rPr>
            </w:pPr>
            <w:r>
              <w:rPr>
                <w:rFonts w:hint="eastAsia" w:ascii="宋体" w:hAnsi="宋体"/>
                <w:sz w:val="24"/>
              </w:rPr>
              <w:t>（1）一般固体废物贮存、处置执行《一般工业固体废物贮存、处置场污染控制标准》（GB18599-2001）及其2</w:t>
            </w:r>
            <w:r>
              <w:rPr>
                <w:rFonts w:ascii="宋体" w:hAnsi="宋体"/>
                <w:sz w:val="24"/>
              </w:rPr>
              <w:t>013年</w:t>
            </w:r>
            <w:r>
              <w:rPr>
                <w:rFonts w:hint="eastAsia" w:ascii="宋体" w:hAnsi="宋体"/>
                <w:sz w:val="24"/>
              </w:rPr>
              <w:t>修改单</w:t>
            </w:r>
            <w:r>
              <w:rPr>
                <w:rFonts w:ascii="宋体" w:hAnsi="宋体"/>
                <w:sz w:val="24"/>
              </w:rPr>
              <w:t>的相关要求</w:t>
            </w:r>
            <w:r>
              <w:rPr>
                <w:rFonts w:hint="eastAsia" w:ascii="宋体" w:hAnsi="宋体"/>
                <w:sz w:val="24"/>
              </w:rPr>
              <w:t>。</w:t>
            </w:r>
          </w:p>
          <w:p>
            <w:pPr>
              <w:adjustRightInd w:val="0"/>
              <w:snapToGrid w:val="0"/>
              <w:spacing w:line="360" w:lineRule="auto"/>
              <w:rPr>
                <w:sz w:val="24"/>
              </w:rPr>
            </w:pPr>
            <w:r>
              <w:rPr>
                <w:rFonts w:hint="eastAsia" w:ascii="宋体" w:hAnsi="宋体"/>
                <w:sz w:val="24"/>
              </w:rPr>
              <w:t xml:space="preserve">   （2）危险废物执行《危险废物贮存污染控制标准》（GB18597-2001）及其2</w:t>
            </w:r>
            <w:r>
              <w:rPr>
                <w:rFonts w:ascii="宋体" w:hAnsi="宋体"/>
                <w:sz w:val="24"/>
              </w:rPr>
              <w:t>013年修改单的相关要求</w:t>
            </w:r>
            <w:r>
              <w:rPr>
                <w:rFonts w:hint="eastAsia" w:ascii="宋体" w:hAnsi="宋体"/>
                <w:sz w:val="24"/>
              </w:rPr>
              <w:t>，并交有资质单位处置。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15" w:type="dxa"/>
            <w:vAlign w:val="center"/>
          </w:tcPr>
          <w:p>
            <w:pPr>
              <w:adjustRightInd w:val="0"/>
              <w:snapToGrid w:val="0"/>
              <w:jc w:val="center"/>
              <w:rPr>
                <w:sz w:val="24"/>
              </w:rPr>
            </w:pPr>
            <w:r>
              <w:rPr>
                <w:sz w:val="24"/>
              </w:rPr>
              <w:t>总</w:t>
            </w:r>
          </w:p>
          <w:p>
            <w:pPr>
              <w:adjustRightInd w:val="0"/>
              <w:snapToGrid w:val="0"/>
              <w:jc w:val="center"/>
              <w:rPr>
                <w:sz w:val="24"/>
              </w:rPr>
            </w:pPr>
            <w:r>
              <w:rPr>
                <w:sz w:val="24"/>
              </w:rPr>
              <w:t>量</w:t>
            </w:r>
          </w:p>
          <w:p>
            <w:pPr>
              <w:adjustRightInd w:val="0"/>
              <w:snapToGrid w:val="0"/>
              <w:jc w:val="center"/>
              <w:rPr>
                <w:sz w:val="24"/>
              </w:rPr>
            </w:pPr>
            <w:r>
              <w:rPr>
                <w:sz w:val="24"/>
              </w:rPr>
              <w:t>控</w:t>
            </w:r>
          </w:p>
          <w:p>
            <w:pPr>
              <w:adjustRightInd w:val="0"/>
              <w:snapToGrid w:val="0"/>
              <w:ind w:firstLine="240" w:firstLineChars="100"/>
              <w:rPr>
                <w:sz w:val="24"/>
              </w:rPr>
            </w:pPr>
            <w:r>
              <w:rPr>
                <w:sz w:val="24"/>
              </w:rPr>
              <w:t>制</w:t>
            </w:r>
          </w:p>
        </w:tc>
        <w:tc>
          <w:tcPr>
            <w:tcW w:w="8625" w:type="dxa"/>
          </w:tcPr>
          <w:p>
            <w:pPr>
              <w:spacing w:line="360" w:lineRule="auto"/>
              <w:ind w:firstLine="480" w:firstLineChars="200"/>
              <w:rPr>
                <w:sz w:val="24"/>
              </w:rPr>
            </w:pPr>
            <w:r>
              <w:rPr>
                <w:rFonts w:hAnsi="宋体"/>
                <w:sz w:val="24"/>
              </w:rPr>
              <w:t>本项目建成营运后，</w:t>
            </w:r>
            <w:r>
              <w:rPr>
                <w:rFonts w:hint="eastAsia" w:hAnsi="宋体"/>
                <w:sz w:val="24"/>
              </w:rPr>
              <w:t>废水经预处理满足《污水综合排放标准》G</w:t>
            </w:r>
            <w:r>
              <w:rPr>
                <w:rFonts w:hAnsi="宋体"/>
                <w:sz w:val="24"/>
              </w:rPr>
              <w:t>B8978-1996中三级标准后</w:t>
            </w:r>
            <w:r>
              <w:rPr>
                <w:rFonts w:hint="eastAsia" w:hAnsi="宋体"/>
                <w:sz w:val="24"/>
              </w:rPr>
              <w:t>排入园区污水管网经园区污水处理厂进一步处理达到</w:t>
            </w:r>
            <w:r>
              <w:rPr>
                <w:rFonts w:hint="eastAsia"/>
                <w:sz w:val="24"/>
              </w:rPr>
              <w:t>《城镇污水处理厂污染物排放标准》（GB18918-2002）一级A标后排放。根据国家对污染物总量口控制的要求，结合本项目特点，本项目涉及总量控制指标为COD、NH</w:t>
            </w:r>
            <w:r>
              <w:rPr>
                <w:rFonts w:hint="eastAsia"/>
                <w:sz w:val="24"/>
                <w:vertAlign w:val="subscript"/>
              </w:rPr>
              <w:t>3</w:t>
            </w:r>
            <w:r>
              <w:rPr>
                <w:rFonts w:hint="eastAsia"/>
                <w:sz w:val="24"/>
              </w:rPr>
              <w:t>-N。其排入园区污水管网总量控制指标建议如下：</w:t>
            </w:r>
          </w:p>
          <w:p>
            <w:pPr>
              <w:spacing w:line="360" w:lineRule="auto"/>
              <w:ind w:firstLine="480" w:firstLineChars="200"/>
              <w:rPr>
                <w:sz w:val="24"/>
              </w:rPr>
            </w:pPr>
            <w:r>
              <w:rPr>
                <w:rFonts w:hint="eastAsia"/>
                <w:sz w:val="24"/>
              </w:rPr>
              <w:t>COD：</w:t>
            </w:r>
            <w:r>
              <w:rPr>
                <w:sz w:val="24"/>
              </w:rPr>
              <w:t xml:space="preserve">0.38 </w:t>
            </w:r>
            <w:r>
              <w:rPr>
                <w:rFonts w:hint="eastAsia"/>
                <w:sz w:val="24"/>
              </w:rPr>
              <w:t>t/a  NH</w:t>
            </w:r>
            <w:r>
              <w:rPr>
                <w:rFonts w:hint="eastAsia"/>
                <w:sz w:val="24"/>
                <w:vertAlign w:val="subscript"/>
              </w:rPr>
              <w:t>3</w:t>
            </w:r>
            <w:r>
              <w:rPr>
                <w:rFonts w:hint="eastAsia"/>
                <w:sz w:val="24"/>
              </w:rPr>
              <w:t>-N：</w:t>
            </w:r>
            <w:r>
              <w:rPr>
                <w:sz w:val="24"/>
              </w:rPr>
              <w:t>0.034</w:t>
            </w:r>
            <w:r>
              <w:rPr>
                <w:rFonts w:hint="eastAsia"/>
                <w:sz w:val="24"/>
              </w:rPr>
              <w:t>t/a。</w:t>
            </w:r>
          </w:p>
          <w:p>
            <w:pPr>
              <w:spacing w:line="360" w:lineRule="auto"/>
              <w:ind w:firstLine="480" w:firstLineChars="200"/>
              <w:rPr>
                <w:sz w:val="24"/>
              </w:rPr>
            </w:pPr>
            <w:r>
              <w:rPr>
                <w:rFonts w:hint="eastAsia"/>
                <w:sz w:val="24"/>
              </w:rPr>
              <w:t>本项目废水经园区污水处理厂进一步处理达到《城镇污水处理厂污染物排放标准》（GB18918-2002）一级A标后排放，排放浓度限值为COD50mg/l，氨氮5mg/l，根据此浓度限值，本项目废水经污水处理厂处理后排放总量控制指标如下：</w:t>
            </w:r>
          </w:p>
          <w:p>
            <w:pPr>
              <w:spacing w:line="360" w:lineRule="auto"/>
              <w:ind w:firstLine="480" w:firstLineChars="200"/>
              <w:rPr>
                <w:sz w:val="24"/>
              </w:rPr>
            </w:pPr>
            <w:r>
              <w:rPr>
                <w:rFonts w:hint="eastAsia"/>
                <w:sz w:val="24"/>
              </w:rPr>
              <w:t>COD：</w:t>
            </w:r>
            <w:r>
              <w:rPr>
                <w:sz w:val="24"/>
              </w:rPr>
              <w:t>0.038</w:t>
            </w:r>
            <w:r>
              <w:rPr>
                <w:rFonts w:hint="eastAsia"/>
                <w:sz w:val="24"/>
              </w:rPr>
              <w:t>t/a  NH</w:t>
            </w:r>
            <w:r>
              <w:rPr>
                <w:rFonts w:hint="eastAsia"/>
                <w:sz w:val="24"/>
                <w:vertAlign w:val="subscript"/>
              </w:rPr>
              <w:t>3</w:t>
            </w:r>
            <w:r>
              <w:rPr>
                <w:rFonts w:hint="eastAsia"/>
                <w:sz w:val="24"/>
              </w:rPr>
              <w:t>-N：0.0</w:t>
            </w:r>
            <w:r>
              <w:rPr>
                <w:sz w:val="24"/>
              </w:rPr>
              <w:t>038</w:t>
            </w:r>
            <w:r>
              <w:rPr>
                <w:rFonts w:hint="eastAsia"/>
                <w:sz w:val="24"/>
              </w:rPr>
              <w:t>t/a。</w:t>
            </w:r>
          </w:p>
          <w:p>
            <w:pPr>
              <w:adjustRightInd w:val="0"/>
              <w:snapToGrid w:val="0"/>
              <w:spacing w:line="360" w:lineRule="auto"/>
              <w:ind w:firstLine="480" w:firstLineChars="200"/>
              <w:rPr>
                <w:sz w:val="24"/>
              </w:rPr>
            </w:pPr>
            <w:r>
              <w:rPr>
                <w:rFonts w:hint="eastAsia"/>
                <w:sz w:val="24"/>
              </w:rPr>
              <w:t>建议将以上总量纳入园区污水处理厂排放总量指标，不单独设置。</w:t>
            </w:r>
          </w:p>
          <w:p>
            <w:pPr>
              <w:adjustRightInd w:val="0"/>
              <w:snapToGrid w:val="0"/>
              <w:spacing w:line="440" w:lineRule="exact"/>
              <w:ind w:firstLine="480" w:firstLineChars="200"/>
              <w:rPr>
                <w:rFonts w:hAnsi="宋体"/>
                <w:sz w:val="24"/>
              </w:rPr>
            </w:pPr>
          </w:p>
          <w:p>
            <w:pPr>
              <w:spacing w:line="360" w:lineRule="auto"/>
            </w:pPr>
          </w:p>
        </w:tc>
      </w:tr>
    </w:tbl>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spacing w:line="360" w:lineRule="auto"/>
        <w:rPr>
          <w:rFonts w:ascii="宋体" w:hAnsi="宋体"/>
          <w:b/>
          <w:sz w:val="30"/>
          <w:szCs w:val="30"/>
        </w:rPr>
      </w:pPr>
    </w:p>
    <w:p>
      <w:pPr>
        <w:pStyle w:val="3"/>
        <w:jc w:val="both"/>
        <w:rPr>
          <w:b/>
          <w:sz w:val="30"/>
          <w:szCs w:val="30"/>
        </w:rPr>
      </w:pPr>
      <w:r>
        <w:rPr>
          <w:rFonts w:hint="eastAsia"/>
          <w:b/>
          <w:sz w:val="30"/>
          <w:szCs w:val="30"/>
        </w:rPr>
        <w:t xml:space="preserve">表五、建设项目工程分析                                        </w:t>
      </w:r>
    </w:p>
    <w:p>
      <w:pPr>
        <w:spacing w:line="20" w:lineRule="exact"/>
        <w:rPr>
          <w:rFonts w:eastAsia="黑体"/>
          <w:b/>
          <w:sz w:val="30"/>
        </w:rPr>
      </w:pPr>
    </w:p>
    <w:tbl>
      <w:tblPr>
        <w:tblStyle w:val="53"/>
        <w:tblW w:w="928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906" w:hRule="atLeast"/>
        </w:trPr>
        <w:tc>
          <w:tcPr>
            <w:tcW w:w="9288" w:type="dxa"/>
            <w:tcBorders>
              <w:bottom w:val="single" w:color="auto" w:sz="4" w:space="0"/>
            </w:tcBorders>
          </w:tcPr>
          <w:p>
            <w:pPr>
              <w:spacing w:line="360" w:lineRule="auto"/>
              <w:ind w:right="359" w:rightChars="171"/>
              <w:rPr>
                <w:rFonts w:ascii="宋体" w:hAnsi="宋体"/>
                <w:b/>
                <w:sz w:val="28"/>
              </w:rPr>
            </w:pPr>
            <w:r>
              <w:rPr>
                <w:rFonts w:hint="eastAsia" w:ascii="宋体" w:hAnsi="宋体"/>
                <w:b/>
                <w:sz w:val="28"/>
              </w:rPr>
              <w:t>工艺流程简述(图示)：</w:t>
            </w:r>
          </w:p>
          <w:p>
            <w:pPr>
              <w:adjustRightInd w:val="0"/>
              <w:snapToGrid w:val="0"/>
              <w:spacing w:line="360" w:lineRule="auto"/>
              <w:ind w:firstLine="482" w:firstLineChars="200"/>
              <w:rPr>
                <w:rFonts w:ascii="宋体" w:hAnsi="宋体"/>
                <w:b/>
                <w:sz w:val="28"/>
              </w:rPr>
            </w:pPr>
            <w:r>
              <w:rPr>
                <w:rFonts w:ascii="宋体" w:hAnsi="宋体"/>
                <w:b/>
                <w:sz w:val="24"/>
              </w:rPr>
              <w:t>一</w:t>
            </w:r>
            <w:r>
              <w:rPr>
                <w:rFonts w:hint="eastAsia" w:ascii="宋体" w:hAnsi="宋体"/>
                <w:b/>
                <w:sz w:val="24"/>
              </w:rPr>
              <w:t>、施工期工艺流程及污染源</w:t>
            </w:r>
            <w:r>
              <w:rPr>
                <w:rFonts w:hint="eastAsia" w:ascii="宋体" w:hAnsi="宋体"/>
                <w:b/>
                <w:sz w:val="28"/>
              </w:rPr>
              <w:t xml:space="preserve"> </w:t>
            </w:r>
          </w:p>
          <w:p>
            <w:pPr>
              <w:adjustRightInd w:val="0"/>
              <w:snapToGrid w:val="0"/>
              <w:spacing w:line="360" w:lineRule="auto"/>
              <w:ind w:firstLine="480" w:firstLineChars="200"/>
              <w:jc w:val="left"/>
              <w:rPr>
                <w:sz w:val="24"/>
              </w:rPr>
            </w:pPr>
            <w:r>
              <w:rPr>
                <w:rFonts w:hint="eastAsia"/>
                <w:sz w:val="24"/>
              </w:rPr>
              <w:t>本项目为改建项目，在原有厂房内进行改建。因此，项目施工包括本项目涉及生产设备及环保设备的安装，项目建设不涉及平场、土建工程等施工建设。简要分析如下：</w:t>
            </w:r>
          </w:p>
          <w:p>
            <w:pPr>
              <w:adjustRightInd w:val="0"/>
              <w:snapToGrid w:val="0"/>
              <w:spacing w:line="360" w:lineRule="auto"/>
              <w:ind w:firstLine="480" w:firstLineChars="200"/>
              <w:rPr>
                <w:rFonts w:ascii="黑体" w:hAnsi="宋体" w:eastAsia="黑体"/>
              </w:rPr>
            </w:pPr>
            <w:r>
              <w:rPr>
                <w:rFonts w:hint="eastAsia"/>
                <w:sz w:val="24"/>
              </w:rPr>
              <w:t>项目设备包括氮化炉、氧化炉、清洗槽等，安装于生产厂房内，在设备安装过程中会产生噪声及一定量的粉尘，且项目打扫卫生、粉刷装修将有一定量粉尘产生，由于设备安装、打扫卫生、粉刷装修持续时间较短，其产生的粉尘将随设备安装、打扫卫生、粉刷装修的结束而结束，不会对环境造成大的影响。</w:t>
            </w:r>
            <w:r>
              <w:rPr>
                <w:rFonts w:hint="eastAsia" w:ascii="黑体" w:hAnsi="宋体" w:eastAsia="黑体"/>
                <w:sz w:val="24"/>
              </w:rPr>
              <w:t xml:space="preserve">          </w:t>
            </w:r>
            <w:r>
              <w:rPr>
                <w:rFonts w:hint="eastAsia" w:ascii="黑体" w:hAnsi="宋体" w:eastAsia="黑体"/>
              </w:rPr>
              <w:t xml:space="preserve">       </w:t>
            </w:r>
          </w:p>
          <w:p>
            <w:pPr>
              <w:adjustRightInd w:val="0"/>
              <w:snapToGrid w:val="0"/>
              <w:spacing w:line="360" w:lineRule="auto"/>
              <w:rPr>
                <w:sz w:val="24"/>
              </w:rPr>
            </w:pPr>
            <w:r>
              <w:rPr>
                <w:rFonts w:hint="eastAsia"/>
                <w:b/>
                <w:bCs/>
                <w:sz w:val="24"/>
              </w:rPr>
              <w:t>二、运营期工艺流程及污染源</w:t>
            </w:r>
          </w:p>
          <w:p>
            <w:pPr>
              <w:adjustRightInd w:val="0"/>
              <w:snapToGrid w:val="0"/>
              <w:spacing w:line="360" w:lineRule="auto"/>
              <w:ind w:firstLine="465"/>
              <w:jc w:val="left"/>
              <w:rPr>
                <w:sz w:val="24"/>
              </w:rPr>
            </w:pPr>
            <w:r>
              <w:rPr>
                <w:rFonts w:hint="eastAsia"/>
                <w:sz w:val="24"/>
              </w:rPr>
              <w:t>本项目为提高铸铁锅表面防锈性能技术改造升级项目，其工艺主要包括原料备料、下料、熔化、压铸、表面磨削、</w:t>
            </w:r>
            <w:r>
              <w:rPr>
                <w:rFonts w:hint="eastAsia"/>
                <w:b/>
                <w:sz w:val="24"/>
              </w:rPr>
              <w:t>Q</w:t>
            </w:r>
            <w:r>
              <w:rPr>
                <w:b/>
                <w:sz w:val="24"/>
              </w:rPr>
              <w:t>PQ盐浴复合处理技术</w:t>
            </w:r>
            <w:r>
              <w:rPr>
                <w:rFonts w:hint="eastAsia"/>
                <w:sz w:val="24"/>
              </w:rPr>
              <w:t>（本项目工艺流程包括预热、盐浴氮化、盐浴氧化、清洗、抛光、后清洗）、包装等，其工艺流程见下图。</w:t>
            </w:r>
            <w:r>
              <w:rPr>
                <w:b/>
                <w:sz w:val="24"/>
              </w:rPr>
              <w:pict>
                <v:group id="画布 2" o:spid="_x0000_s16012" o:spt="203" style="height:667.55pt;width:456.9pt;" coordorigin="4444,4427" coordsize="9138,13351" editas="canvas">
                  <o:lock v:ext="edit"/>
                  <v:shape id="画布 2" o:spid="_x0000_s16013" o:spt="75" type="#_x0000_t75" style="position:absolute;left:4444;top:4427;height:13351;width:9138;" filled="f" o:preferrelative="t" stroked="f" coordsize="21600,21600">
                    <v:fill on="f" focussize="0,0"/>
                    <v:stroke on="f" joinstyle="miter"/>
                    <v:imagedata o:title=""/>
                    <o:lock v:ext="edit" rotation="t" text="t" aspectratio="t"/>
                  </v:shape>
                  <v:rect id="矩形 1689" o:spid="_x0000_s16014" o:spt="1" style="position:absolute;left:9294;top:12873;height:435;width:1277;" stroked="t" coordsize="21600,21600">
                    <v:path/>
                    <v:fill focussize="0,0"/>
                    <v:stroke color="#FFFFFF"/>
                    <v:imagedata o:title=""/>
                    <o:lock v:ext="edit"/>
                    <v:textbox>
                      <w:txbxContent>
                        <w:p>
                          <w:r>
                            <w:t>过滤</w:t>
                          </w:r>
                          <w:r>
                            <w:rPr>
                              <w:rFonts w:hint="eastAsia"/>
                            </w:rPr>
                            <w:t xml:space="preserve"> </w:t>
                          </w:r>
                          <w:r>
                            <w:t>废渣</w:t>
                          </w:r>
                        </w:p>
                      </w:txbxContent>
                    </v:textbox>
                  </v:rect>
                  <v:rect id="矩形 1686" o:spid="_x0000_s16015" o:spt="1" style="position:absolute;left:5126;top:8559;height:7680;width:2640;" stroked="t" coordsize="21600,21600">
                    <v:path/>
                    <v:fill focussize="0,0"/>
                    <v:stroke color="#FF0000" dashstyle="dash"/>
                    <v:imagedata o:title=""/>
                    <o:lock v:ext="edit"/>
                  </v:rect>
                  <v:shape id="文本框 7" o:spid="_x0000_s16016" o:spt="202" type="#_x0000_t202" style="position:absolute;left:5939;top:9640;height:466;width:1217;" fillcolor="#BFBFBF" filled="t" coordsize="21600,21600">
                    <v:path/>
                    <v:fill on="t" focussize="0,0"/>
                    <v:stroke weight="0.25pt" joinstyle="miter"/>
                    <v:imagedata o:title=""/>
                    <o:lock v:ext="edit"/>
                    <v:textbox>
                      <w:txbxContent>
                        <w:p>
                          <w:pPr>
                            <w:jc w:val="center"/>
                          </w:pPr>
                          <w:r>
                            <w:rPr>
                              <w:rFonts w:hint="eastAsia"/>
                            </w:rPr>
                            <w:t>盐浴氮化</w:t>
                          </w:r>
                        </w:p>
                      </w:txbxContent>
                    </v:textbox>
                  </v:shape>
                  <v:shape id="文本框 9" o:spid="_x0000_s16017" o:spt="202" type="#_x0000_t202" style="position:absolute;left:5934;top:8800;height:466;width:1222;" fillcolor="#BFBFBF" filled="t" coordsize="21600,21600">
                    <v:path/>
                    <v:fill on="t" focussize="0,0"/>
                    <v:stroke weight="0.25pt" joinstyle="miter"/>
                    <v:imagedata o:title=""/>
                    <o:lock v:ext="edit"/>
                    <v:textbox>
                      <w:txbxContent>
                        <w:p>
                          <w:pPr>
                            <w:jc w:val="center"/>
                          </w:pPr>
                          <w:r>
                            <w:rPr>
                              <w:rFonts w:hint="eastAsia"/>
                            </w:rPr>
                            <w:t>预热</w:t>
                          </w:r>
                        </w:p>
                      </w:txbxContent>
                    </v:textbox>
                  </v:shape>
                  <v:shape id="文本框 12" o:spid="_x0000_s16018" o:spt="202" type="#_x0000_t202" style="position:absolute;left:5959;top:5470;height:466;width:1182;" fillcolor="#BFBFBF" filled="t" coordsize="21600,21600">
                    <v:path/>
                    <v:fill on="t" focussize="0,0"/>
                    <v:stroke weight="0.25pt" joinstyle="miter"/>
                    <v:imagedata o:title=""/>
                    <o:lock v:ext="edit"/>
                    <v:textbox>
                      <w:txbxContent>
                        <w:p>
                          <w:pPr>
                            <w:jc w:val="center"/>
                          </w:pPr>
                          <w:r>
                            <w:rPr>
                              <w:rFonts w:hint="eastAsia"/>
                            </w:rPr>
                            <w:t>下料</w:t>
                          </w:r>
                        </w:p>
                      </w:txbxContent>
                    </v:textbox>
                  </v:shape>
                  <v:shape id="文本框 15" o:spid="_x0000_s16019" o:spt="202" type="#_x0000_t202" style="position:absolute;left:5955;top:6270;height:466;width:1186;" fillcolor="#BFBFBF" filled="t" coordsize="21600,21600">
                    <v:path/>
                    <v:fill on="t" focussize="0,0"/>
                    <v:stroke weight="0.25pt" joinstyle="miter"/>
                    <v:imagedata o:title=""/>
                    <o:lock v:ext="edit"/>
                    <v:textbox>
                      <w:txbxContent>
                        <w:p>
                          <w:pPr>
                            <w:jc w:val="center"/>
                          </w:pPr>
                          <w:r>
                            <w:rPr>
                              <w:rFonts w:hint="eastAsia"/>
                            </w:rPr>
                            <w:t>熔化</w:t>
                          </w:r>
                        </w:p>
                      </w:txbxContent>
                    </v:textbox>
                  </v:shape>
                  <v:shape id="文本框 23" o:spid="_x0000_s16020" o:spt="202" type="#_x0000_t202" style="position:absolute;left:5895;top:7105;height:466;width:1299;" fillcolor="#BFBFBF" filled="t" coordsize="21600,21600">
                    <v:path/>
                    <v:fill on="t" focussize="0,0"/>
                    <v:stroke weight="0.25pt" joinstyle="miter"/>
                    <v:imagedata o:title=""/>
                    <o:lock v:ext="edit"/>
                    <v:textbox>
                      <w:txbxContent>
                        <w:p>
                          <w:pPr>
                            <w:jc w:val="center"/>
                          </w:pPr>
                          <w:r>
                            <w:rPr>
                              <w:rFonts w:hint="eastAsia"/>
                            </w:rPr>
                            <w:t>压铸、冷却</w:t>
                          </w:r>
                        </w:p>
                      </w:txbxContent>
                    </v:textbox>
                  </v:shape>
                  <v:shape id="文本框 27" o:spid="_x0000_s16021" o:spt="202" type="#_x0000_t202" style="position:absolute;left:5954;top:7945;height:466;width:1187;" fillcolor="#BFBFBF" filled="t" coordsize="21600,21600">
                    <v:path/>
                    <v:fill on="t" focussize="0,0"/>
                    <v:stroke weight="0.25pt" joinstyle="miter"/>
                    <v:imagedata o:title=""/>
                    <o:lock v:ext="edit"/>
                    <v:textbox>
                      <w:txbxContent>
                        <w:p>
                          <w:pPr>
                            <w:jc w:val="center"/>
                          </w:pPr>
                          <w:r>
                            <w:rPr>
                              <w:rFonts w:hint="eastAsia"/>
                            </w:rPr>
                            <w:t>表面磨削</w:t>
                          </w:r>
                        </w:p>
                      </w:txbxContent>
                    </v:textbox>
                  </v:shape>
                  <v:rect id="矩形 60" o:spid="_x0000_s16022" o:spt="1" style="position:absolute;left:8154;top:7106;height:463;width:1423;" filled="f" stroked="f" coordsize="21600,21600">
                    <v:path/>
                    <v:fill on="f" focussize="0,0"/>
                    <v:stroke on="f"/>
                    <v:imagedata o:title=""/>
                    <o:lock v:ext="edit"/>
                    <v:textbox>
                      <w:txbxContent>
                        <w:p>
                          <w:r>
                            <w:rPr>
                              <w:rFonts w:hint="eastAsia"/>
                            </w:rPr>
                            <w:t>噪声、粉尘</w:t>
                          </w:r>
                        </w:p>
                      </w:txbxContent>
                    </v:textbox>
                  </v:rect>
                  <v:shape id="文本框 1335" o:spid="_x0000_s16023" o:spt="202" type="#_x0000_t202" style="position:absolute;left:8144;top:6279;height:435;width:1493;" stroked="t" coordsize="21600,21600">
                    <v:path/>
                    <v:fill focussize="0,0"/>
                    <v:stroke color="#FFFFFF" joinstyle="miter"/>
                    <v:imagedata o:title=""/>
                    <o:lock v:ext="edit"/>
                    <v:textbox>
                      <w:txbxContent>
                        <w:p>
                          <w:r>
                            <w:t>噪声</w:t>
                          </w:r>
                        </w:p>
                      </w:txbxContent>
                    </v:textbox>
                  </v:shape>
                  <v:shape id="文本框 1343" o:spid="_x0000_s16024" o:spt="202" type="#_x0000_t202" style="position:absolute;left:5944;top:4562;height:469;width:1197;" fillcolor="#BFBFBF" filled="t" coordsize="21600,21600">
                    <v:path/>
                    <v:fill on="t" focussize="0,0"/>
                    <v:stroke joinstyle="miter"/>
                    <v:imagedata o:title=""/>
                    <o:lock v:ext="edit"/>
                    <v:textbox>
                      <w:txbxContent>
                        <w:p>
                          <w:r>
                            <w:rPr>
                              <w:rFonts w:hint="eastAsia"/>
                            </w:rPr>
                            <w:t>原料备料</w:t>
                          </w:r>
                        </w:p>
                      </w:txbxContent>
                    </v:textbox>
                  </v:shape>
                  <v:shape id="文本框 7" o:spid="_x0000_s16025" o:spt="202" type="#_x0000_t202" style="position:absolute;left:5754;top:10420;height:466;width:1555;" fillcolor="#BFBFBF" filled="t" coordsize="21600,21600">
                    <v:path/>
                    <v:fill on="t" focussize="0,0"/>
                    <v:stroke weight="0.25pt" joinstyle="miter"/>
                    <v:imagedata o:title=""/>
                    <o:lock v:ext="edit"/>
                    <v:textbox>
                      <w:txbxContent>
                        <w:p>
                          <w:pPr>
                            <w:jc w:val="center"/>
                          </w:pPr>
                          <w:r>
                            <w:rPr>
                              <w:rFonts w:hint="eastAsia"/>
                            </w:rPr>
                            <w:t>盐浴一次氧化</w:t>
                          </w:r>
                        </w:p>
                      </w:txbxContent>
                    </v:textbox>
                  </v:shape>
                  <v:shape id="文本框 7" o:spid="_x0000_s16026" o:spt="202" type="#_x0000_t202" style="position:absolute;left:5827;top:11290;height:466;width:1442;" fillcolor="#BFBFBF" filled="t" coordsize="21600,21600">
                    <v:path/>
                    <v:fill on="t" focussize="0,0"/>
                    <v:stroke weight="0.25pt" joinstyle="miter"/>
                    <v:imagedata o:title=""/>
                    <o:lock v:ext="edit"/>
                    <v:textbox>
                      <w:txbxContent>
                        <w:p>
                          <w:pPr>
                            <w:jc w:val="center"/>
                          </w:pPr>
                          <w:r>
                            <w:rPr>
                              <w:rFonts w:hint="eastAsia"/>
                            </w:rPr>
                            <w:t>五级清洗</w:t>
                          </w:r>
                        </w:p>
                      </w:txbxContent>
                    </v:textbox>
                  </v:shape>
                  <v:shape id="文本框 7" o:spid="_x0000_s16027" o:spt="202" type="#_x0000_t202" style="position:absolute;left:5739;top:12175;height:466;width:1605;" fillcolor="#BFBFBF" filled="t" coordsize="21600,21600">
                    <v:path/>
                    <v:fill on="t" focussize="0,0"/>
                    <v:stroke weight="0.25pt" joinstyle="miter"/>
                    <v:imagedata o:title=""/>
                    <o:lock v:ext="edit"/>
                    <v:textbox>
                      <w:txbxContent>
                        <w:p>
                          <w:pPr>
                            <w:jc w:val="center"/>
                          </w:pPr>
                          <w:r>
                            <w:rPr>
                              <w:rFonts w:hint="eastAsia"/>
                            </w:rPr>
                            <w:t>一次表面抛光</w:t>
                          </w:r>
                        </w:p>
                      </w:txbxContent>
                    </v:textbox>
                  </v:shape>
                  <v:shape id="文本框 7" o:spid="_x0000_s16028" o:spt="202" type="#_x0000_t202" style="position:absolute;left:5681;top:13075;height:466;width:1710;" fillcolor="#BFBFBF" filled="t" coordsize="21600,21600">
                    <v:path/>
                    <v:fill on="t" focussize="0,0"/>
                    <v:stroke weight="0.25pt" joinstyle="miter"/>
                    <v:imagedata o:title=""/>
                    <o:lock v:ext="edit"/>
                    <v:textbox>
                      <w:txbxContent>
                        <w:p>
                          <w:pPr>
                            <w:jc w:val="center"/>
                          </w:pPr>
                          <w:r>
                            <w:rPr>
                              <w:rFonts w:hint="eastAsia"/>
                            </w:rPr>
                            <w:t>盐浴二次氧化</w:t>
                          </w:r>
                        </w:p>
                      </w:txbxContent>
                    </v:textbox>
                  </v:shape>
                  <v:shape id="文本框 4" o:spid="_x0000_s16029" o:spt="202" type="#_x0000_t202" style="position:absolute;left:6324;top:17169;height:466;width:4725;" filled="t" stroked="f" coordsize="21600,21600">
                    <v:path/>
                    <v:fill type="gradient" on="t" angle="90" focussize="0,0">
                      <o:fill type="gradientUnscaled" v:ext="backwardCompatible"/>
                    </v:fill>
                    <v:stroke on="f" weight="0.25pt" joinstyle="miter"/>
                    <v:imagedata o:title=""/>
                    <o:lock v:ext="edit"/>
                    <v:textbox>
                      <w:txbxContent>
                        <w:p>
                          <w:pPr>
                            <w:rPr>
                              <w:rFonts w:ascii="宋体" w:hAnsi="宋体"/>
                              <w:b/>
                            </w:rPr>
                          </w:pPr>
                          <w:r>
                            <w:rPr>
                              <w:rFonts w:hint="eastAsia" w:ascii="宋体" w:hAnsi="宋体"/>
                              <w:b/>
                            </w:rPr>
                            <w:t xml:space="preserve">图5-1 </w:t>
                          </w:r>
                          <w:r>
                            <w:rPr>
                              <w:rFonts w:ascii="宋体" w:hAnsi="宋体"/>
                              <w:b/>
                            </w:rPr>
                            <w:t xml:space="preserve">  </w:t>
                          </w:r>
                          <w:r>
                            <w:rPr>
                              <w:rFonts w:hint="eastAsia" w:ascii="宋体" w:hAnsi="宋体"/>
                              <w:b/>
                            </w:rPr>
                            <w:t>生产工艺流程及产污节点图</w:t>
                          </w:r>
                        </w:p>
                      </w:txbxContent>
                    </v:textbox>
                  </v:shape>
                  <v:shape id="文本框 7" o:spid="_x0000_s16030" o:spt="202" type="#_x0000_t202" style="position:absolute;left:5754;top:13900;height:466;width:1555;" fillcolor="#BFBFBF" filled="t" coordsize="21600,21600">
                    <v:path/>
                    <v:fill on="t" focussize="0,0"/>
                    <v:stroke weight="0.25pt" joinstyle="miter"/>
                    <v:imagedata o:title=""/>
                    <o:lock v:ext="edit"/>
                    <v:textbox>
                      <w:txbxContent>
                        <w:p>
                          <w:pPr>
                            <w:jc w:val="center"/>
                          </w:pPr>
                          <w:r>
                            <w:rPr>
                              <w:rFonts w:hint="eastAsia"/>
                            </w:rPr>
                            <w:t>五级清洗</w:t>
                          </w:r>
                        </w:p>
                      </w:txbxContent>
                    </v:textbox>
                  </v:shape>
                  <v:shape id="文本框 7" o:spid="_x0000_s16031" o:spt="202" type="#_x0000_t202" style="position:absolute;left:5724;top:14695;height:466;width:1652;" fillcolor="#BFBFBF" filled="t" coordsize="21600,21600">
                    <v:path/>
                    <v:fill on="t" focussize="0,0"/>
                    <v:stroke weight="0.25pt" joinstyle="miter"/>
                    <v:imagedata o:title=""/>
                    <o:lock v:ext="edit"/>
                    <v:textbox>
                      <w:txbxContent>
                        <w:p>
                          <w:pPr>
                            <w:jc w:val="center"/>
                          </w:pPr>
                          <w:r>
                            <w:rPr>
                              <w:rFonts w:hint="eastAsia"/>
                            </w:rPr>
                            <w:t>二次表面抛光</w:t>
                          </w:r>
                        </w:p>
                      </w:txbxContent>
                    </v:textbox>
                  </v:shape>
                  <v:shape id="自选图形 1456" o:spid="_x0000_s16032" o:spt="32" type="#_x0000_t32" style="position:absolute;left:6543;top:5031;height:439;width:7;" o:connectortype="straight" filled="f" coordsize="21600,21600">
                    <v:path arrowok="t"/>
                    <v:fill on="f" focussize="0,0"/>
                    <v:stroke endarrow="block"/>
                    <v:imagedata o:title=""/>
                    <o:lock v:ext="edit"/>
                  </v:shape>
                  <v:shape id="自选图形 1457" o:spid="_x0000_s16033" o:spt="32" type="#_x0000_t32" style="position:absolute;left:6548;top:5936;flip:x;height:334;width:2;" o:connectortype="straight" filled="f" coordsize="21600,21600">
                    <v:path arrowok="t"/>
                    <v:fill on="f" focussize="0,0"/>
                    <v:stroke endarrow="block"/>
                    <v:imagedata o:title=""/>
                    <o:lock v:ext="edit"/>
                  </v:shape>
                  <v:shape id="自选图形 1459" o:spid="_x0000_s16034" o:spt="32" type="#_x0000_t32" style="position:absolute;left:6545;top:6736;flip:x;height:369;width:3;" o:connectortype="straight" filled="f" coordsize="21600,21600">
                    <v:path arrowok="t"/>
                    <v:fill on="f" focussize="0,0"/>
                    <v:stroke endarrow="block"/>
                    <v:imagedata o:title=""/>
                    <o:lock v:ext="edit"/>
                  </v:shape>
                  <v:shape id="自选图形 1460" o:spid="_x0000_s16035" o:spt="32" type="#_x0000_t32" style="position:absolute;left:6545;top:7571;height:374;width:3;" o:connectortype="straight" filled="f" coordsize="21600,21600">
                    <v:path arrowok="t"/>
                    <v:fill on="f" focussize="0,0"/>
                    <v:stroke endarrow="block"/>
                    <v:imagedata o:title=""/>
                    <o:lock v:ext="edit"/>
                  </v:shape>
                  <v:shape id="自选图形 1461" o:spid="_x0000_s16036" o:spt="32" type="#_x0000_t32" style="position:absolute;left:6545;top:8411;flip:x;height:389;width:3;" o:connectortype="straight" filled="f" coordsize="21600,21600">
                    <v:path arrowok="t"/>
                    <v:fill on="f" focussize="0,0"/>
                    <v:stroke endarrow="block"/>
                    <v:imagedata o:title=""/>
                    <o:lock v:ext="edit"/>
                  </v:shape>
                  <v:shape id="自选图形 1462" o:spid="_x0000_s16037" o:spt="32" type="#_x0000_t32" style="position:absolute;left:6545;top:9266;height:374;width:3;" o:connectortype="straight" filled="f" coordsize="21600,21600">
                    <v:path arrowok="t"/>
                    <v:fill on="f" focussize="0,0"/>
                    <v:stroke endarrow="block"/>
                    <v:imagedata o:title=""/>
                    <o:lock v:ext="edit"/>
                  </v:shape>
                  <v:shape id="自选图形 1463" o:spid="_x0000_s16038" o:spt="32" type="#_x0000_t32" style="position:absolute;left:6532;top:10106;flip:x;height:314;width:16;" o:connectortype="straight" filled="f" coordsize="21600,21600">
                    <v:path arrowok="t"/>
                    <v:fill on="f" focussize="0,0"/>
                    <v:stroke endarrow="block"/>
                    <v:imagedata o:title=""/>
                    <o:lock v:ext="edit"/>
                  </v:shape>
                  <v:shape id="自选图形 1464" o:spid="_x0000_s16039" o:spt="32" type="#_x0000_t32" style="position:absolute;left:6532;top:10886;height:404;width:16;" o:connectortype="straight" filled="f" coordsize="21600,21600">
                    <v:path arrowok="t"/>
                    <v:fill on="f" focussize="0,0"/>
                    <v:stroke endarrow="block"/>
                    <v:imagedata o:title=""/>
                    <o:lock v:ext="edit"/>
                  </v:shape>
                  <v:shape id="自选图形 1465" o:spid="_x0000_s16040" o:spt="32" type="#_x0000_t32" style="position:absolute;left:6542;top:11756;flip:x;height:419;width:6;" o:connectortype="straight" filled="f" coordsize="21600,21600">
                    <v:path arrowok="t"/>
                    <v:fill on="f" focussize="0,0"/>
                    <v:stroke endarrow="block"/>
                    <v:imagedata o:title=""/>
                    <o:lock v:ext="edit"/>
                  </v:shape>
                  <v:shape id="自选图形 1466" o:spid="_x0000_s16041" o:spt="32" type="#_x0000_t32" style="position:absolute;left:6536;top:12641;flip:x;height:434;width:6;" o:connectortype="straight" filled="f" coordsize="21600,21600">
                    <v:path arrowok="t"/>
                    <v:fill on="f" focussize="0,0"/>
                    <v:stroke endarrow="block"/>
                    <v:imagedata o:title=""/>
                    <o:lock v:ext="edit"/>
                  </v:shape>
                  <v:shape id="自选图形 1467" o:spid="_x0000_s16042" o:spt="32" type="#_x0000_t32" style="position:absolute;left:6532;top:13541;flip:x;height:359;width:4;" o:connectortype="straight" filled="f" coordsize="21600,21600">
                    <v:path arrowok="t"/>
                    <v:fill on="f" focussize="0,0"/>
                    <v:stroke endarrow="block"/>
                    <v:imagedata o:title=""/>
                    <o:lock v:ext="edit"/>
                  </v:shape>
                  <v:shape id="自选图形 1468" o:spid="_x0000_s16043" o:spt="32" type="#_x0000_t32" style="position:absolute;left:6532;top:14366;height:329;width:18;" o:connectortype="straight" filled="f" coordsize="21600,21600">
                    <v:path arrowok="t"/>
                    <v:fill on="f" focussize="0,0"/>
                    <v:stroke endarrow="block"/>
                    <v:imagedata o:title=""/>
                    <o:lock v:ext="edit"/>
                  </v:shape>
                  <v:rect id="矩形 60" o:spid="_x0000_s16044" o:spt="1" style="position:absolute;left:8169;top:7946;height:463;width:1423;" filled="f" stroked="f" coordsize="21600,21600">
                    <v:path/>
                    <v:fill on="f" focussize="0,0"/>
                    <v:stroke on="f"/>
                    <v:imagedata o:title=""/>
                    <o:lock v:ext="edit"/>
                    <v:textbox>
                      <w:txbxContent>
                        <w:p>
                          <w:r>
                            <w:rPr>
                              <w:rFonts w:hint="eastAsia"/>
                            </w:rPr>
                            <w:t>噪声、粉尘</w:t>
                          </w:r>
                        </w:p>
                      </w:txbxContent>
                    </v:textbox>
                  </v:rect>
                  <v:rect id="矩形 60" o:spid="_x0000_s16045" o:spt="1" style="position:absolute;left:7524;top:9311;height:1138;width:1156;" filled="f" stroked="f" coordsize="21600,21600">
                    <v:path/>
                    <v:fill on="f" focussize="0,0"/>
                    <v:stroke on="f"/>
                    <v:imagedata o:title=""/>
                    <o:lock v:ext="edit"/>
                    <v:textbox>
                      <w:txbxContent>
                        <w:p>
                          <w:r>
                            <w:rPr>
                              <w:rFonts w:hint="eastAsia"/>
                            </w:rPr>
                            <w:t>噪声</w:t>
                          </w:r>
                        </w:p>
                        <w:p>
                          <w:r>
                            <w:rPr>
                              <w:rFonts w:hint="eastAsia"/>
                            </w:rPr>
                            <w:t>含氨废气</w:t>
                          </w:r>
                        </w:p>
                        <w:p>
                          <w:r>
                            <w:rPr>
                              <w:rFonts w:hint="eastAsia"/>
                            </w:rPr>
                            <w:t>固废</w:t>
                          </w:r>
                        </w:p>
                      </w:txbxContent>
                    </v:textbox>
                  </v:rect>
                  <v:rect id="矩形 60" o:spid="_x0000_s16046" o:spt="1" style="position:absolute;left:8334;top:10421;height:463;width:1972;" filled="f" stroked="f" coordsize="21600,21600">
                    <v:path/>
                    <v:fill on="f" focussize="0,0"/>
                    <v:stroke on="f"/>
                    <v:imagedata o:title=""/>
                    <o:lock v:ext="edit"/>
                    <v:textbox>
                      <w:txbxContent>
                        <w:p>
                          <w:r>
                            <w:rPr>
                              <w:rFonts w:hint="eastAsia"/>
                            </w:rPr>
                            <w:t>噪声、固废</w:t>
                          </w:r>
                        </w:p>
                      </w:txbxContent>
                    </v:textbox>
                  </v:rect>
                  <v:rect id="矩形 60" o:spid="_x0000_s16047" o:spt="1" style="position:absolute;left:8064;top:11320;height:397;width:802;" filled="f" stroked="f" coordsize="21600,21600">
                    <v:path/>
                    <v:fill on="f" focussize="0,0"/>
                    <v:stroke on="f"/>
                    <v:imagedata o:title=""/>
                    <o:lock v:ext="edit"/>
                    <v:textbox>
                      <w:txbxContent>
                        <w:p>
                          <w:pPr>
                            <w:jc w:val="center"/>
                          </w:pPr>
                          <w:r>
                            <w:rPr>
                              <w:rFonts w:hint="eastAsia"/>
                            </w:rPr>
                            <w:t>废水</w:t>
                          </w:r>
                        </w:p>
                      </w:txbxContent>
                    </v:textbox>
                  </v:rect>
                  <v:rect id="矩形 60" o:spid="_x0000_s16048" o:spt="1" style="position:absolute;left:8259;top:12055;height:688;width:772;" filled="f" stroked="f" coordsize="21600,21600">
                    <v:path/>
                    <v:fill on="f" focussize="0,0"/>
                    <v:stroke on="f"/>
                    <v:imagedata o:title=""/>
                    <o:lock v:ext="edit"/>
                    <v:textbox>
                      <w:txbxContent>
                        <w:p>
                          <w:r>
                            <w:rPr>
                              <w:rFonts w:hint="eastAsia"/>
                            </w:rPr>
                            <w:t>粉尘</w:t>
                          </w:r>
                        </w:p>
                        <w:p>
                          <w:r>
                            <w:rPr>
                              <w:rFonts w:hint="eastAsia"/>
                            </w:rPr>
                            <w:t>噪声</w:t>
                          </w:r>
                        </w:p>
                      </w:txbxContent>
                    </v:textbox>
                  </v:rect>
                  <v:rect id="矩形 60" o:spid="_x0000_s16049" o:spt="1" style="position:absolute;left:8319;top:13078;height:463;width:967;" filled="f" stroked="f" coordsize="21600,21600">
                    <v:path/>
                    <v:fill on="f" focussize="0,0"/>
                    <v:stroke on="f"/>
                    <v:imagedata o:title=""/>
                    <o:lock v:ext="edit"/>
                    <v:textbox>
                      <w:txbxContent>
                        <w:p>
                          <w:r>
                            <w:rPr>
                              <w:rFonts w:hint="eastAsia"/>
                            </w:rPr>
                            <w:t>固废</w:t>
                          </w:r>
                        </w:p>
                      </w:txbxContent>
                    </v:textbox>
                  </v:rect>
                  <v:rect id="矩形 60" o:spid="_x0000_s16050" o:spt="1" style="position:absolute;left:8184;top:13903;height:463;width:752;" filled="f" stroked="f" coordsize="21600,21600">
                    <v:path/>
                    <v:fill on="f" focussize="0,0"/>
                    <v:stroke on="f"/>
                    <v:imagedata o:title=""/>
                    <o:lock v:ext="edit"/>
                    <v:textbox>
                      <w:txbxContent>
                        <w:p>
                          <w:r>
                            <w:rPr>
                              <w:rFonts w:hint="eastAsia"/>
                            </w:rPr>
                            <w:t>废水</w:t>
                          </w:r>
                        </w:p>
                      </w:txbxContent>
                    </v:textbox>
                  </v:rect>
                  <v:shape id="自选图形 1476" o:spid="_x0000_s16051" o:spt="32" type="#_x0000_t32" style="position:absolute;left:7141;top:6497;flip:y;height:6;width:1003;" o:connectortype="straight" filled="f" coordsize="21600,21600">
                    <v:path arrowok="t"/>
                    <v:fill on="f" focussize="0,0"/>
                    <v:stroke dashstyle="dash" endarrow="block"/>
                    <v:imagedata o:title=""/>
                    <o:lock v:ext="edit"/>
                  </v:shape>
                  <v:shape id="自选图形 1477" o:spid="_x0000_s16052" o:spt="32" type="#_x0000_t32" style="position:absolute;left:7194;top:7338;height:1;width:960;" o:connectortype="straight" filled="f" coordsize="21600,21600">
                    <v:path arrowok="t"/>
                    <v:fill on="f" focussize="0,0"/>
                    <v:stroke dashstyle="dash" endarrow="block"/>
                    <v:imagedata o:title=""/>
                    <o:lock v:ext="edit"/>
                  </v:shape>
                  <v:shape id="自选图形 1478" o:spid="_x0000_s16053" o:spt="32" type="#_x0000_t32" style="position:absolute;left:7141;top:8178;height:1;width:1028;" o:connectortype="straight" filled="f" coordsize="21600,21600">
                    <v:path arrowok="t"/>
                    <v:fill on="f" focussize="0,0"/>
                    <v:stroke dashstyle="dash" endarrow="block"/>
                    <v:imagedata o:title=""/>
                    <o:lock v:ext="edit"/>
                  </v:shape>
                  <v:shape id="自选图形 1479" o:spid="_x0000_s16054" o:spt="32" type="#_x0000_t32" style="position:absolute;left:7156;top:9873;height:7;width:368;" o:connectortype="straight" filled="f" coordsize="21600,21600">
                    <v:path arrowok="t"/>
                    <v:fill on="f" focussize="0,0"/>
                    <v:stroke dashstyle="dash" endarrow="block"/>
                    <v:imagedata o:title=""/>
                    <o:lock v:ext="edit"/>
                  </v:shape>
                  <v:shape id="自选图形 1480" o:spid="_x0000_s16055" o:spt="32" type="#_x0000_t32" style="position:absolute;left:7309;top:10653;height:1;width:1025;" o:connectortype="straight" filled="f" coordsize="21600,21600">
                    <v:path arrowok="t"/>
                    <v:fill on="f" focussize="0,0"/>
                    <v:stroke dashstyle="dash" endarrow="block"/>
                    <v:imagedata o:title=""/>
                    <o:lock v:ext="edit"/>
                  </v:shape>
                  <v:shape id="自选图形 1481" o:spid="_x0000_s16056" o:spt="32" type="#_x0000_t32" style="position:absolute;left:7269;top:11519;flip:y;height:4;width:795;" o:connectortype="straight" filled="f" coordsize="21600,21600">
                    <v:path arrowok="t"/>
                    <v:fill on="f" focussize="0,0"/>
                    <v:stroke dashstyle="dash" endarrow="block"/>
                    <v:imagedata o:title=""/>
                    <o:lock v:ext="edit"/>
                  </v:shape>
                  <v:shape id="自选图形 1482" o:spid="_x0000_s16057" o:spt="32" type="#_x0000_t32" style="position:absolute;left:7344;top:12399;flip:y;height:9;width:915;" o:connectortype="straight" filled="f" coordsize="21600,21600">
                    <v:path arrowok="t"/>
                    <v:fill on="f" focussize="0,0"/>
                    <v:stroke dashstyle="dash" endarrow="block"/>
                    <v:imagedata o:title=""/>
                    <o:lock v:ext="edit"/>
                  </v:shape>
                  <v:shape id="自选图形 1483" o:spid="_x0000_s16058" o:spt="32" type="#_x0000_t32" style="position:absolute;left:7391;top:13308;height:2;width:928;" o:connectortype="straight" filled="f" coordsize="21600,21600">
                    <v:path arrowok="t"/>
                    <v:fill on="f" focussize="0,0"/>
                    <v:stroke dashstyle="dash" endarrow="block"/>
                    <v:imagedata o:title=""/>
                    <o:lock v:ext="edit"/>
                  </v:shape>
                  <v:shape id="自选图形 1484" o:spid="_x0000_s16059" o:spt="32" type="#_x0000_t32" style="position:absolute;left:7309;top:14133;height:2;width:875;" o:connectortype="straight" filled="f" coordsize="21600,21600">
                    <v:path arrowok="t"/>
                    <v:fill on="f" focussize="0,0"/>
                    <v:stroke dashstyle="dash" endarrow="block"/>
                    <v:imagedata o:title=""/>
                    <o:lock v:ext="edit"/>
                  </v:shape>
                  <v:shape id="自选图形 1485" o:spid="_x0000_s16060" o:spt="32" type="#_x0000_t32" style="position:absolute;left:4756;top:9874;height:1;width:1118;" o:connectortype="straight" filled="f" coordsize="21600,21600">
                    <v:path arrowok="t"/>
                    <v:fill on="f" focussize="0,0"/>
                    <v:stroke endarrow="block"/>
                    <v:imagedata o:title=""/>
                    <o:lock v:ext="edit"/>
                  </v:shape>
                  <v:rect id="矩形 60" o:spid="_x0000_s16061" o:spt="1" style="position:absolute;left:4669;top:9412;height:463;width:1972;" filled="f" stroked="f" coordsize="21600,21600">
                    <v:path/>
                    <v:fill on="f" focussize="0,0"/>
                    <v:stroke on="f"/>
                    <v:imagedata o:title=""/>
                    <o:lock v:ext="edit"/>
                    <v:textbox>
                      <w:txbxContent>
                        <w:p>
                          <w:r>
                            <w:rPr>
                              <w:rFonts w:hint="eastAsia"/>
                            </w:rPr>
                            <w:t>氮化盐</w:t>
                          </w:r>
                        </w:p>
                      </w:txbxContent>
                    </v:textbox>
                  </v:rect>
                  <v:rect id="矩形 60" o:spid="_x0000_s16062" o:spt="1" style="position:absolute;left:4669;top:10192;height:463;width:1972;" filled="f" stroked="f" coordsize="21600,21600">
                    <v:path/>
                    <v:fill on="f" focussize="0,0"/>
                    <v:stroke on="f"/>
                    <v:imagedata o:title=""/>
                    <o:lock v:ext="edit"/>
                    <v:textbox>
                      <w:txbxContent>
                        <w:p>
                          <w:r>
                            <w:rPr>
                              <w:rFonts w:hint="eastAsia"/>
                            </w:rPr>
                            <w:t>氧化盐</w:t>
                          </w:r>
                        </w:p>
                      </w:txbxContent>
                    </v:textbox>
                  </v:rect>
                  <v:shape id="自选图形 1488" o:spid="_x0000_s16063" o:spt="32" type="#_x0000_t32" style="position:absolute;left:4786;top:10654;height:1;width:869;" o:connectortype="straight" filled="f" coordsize="21600,21600">
                    <v:path arrowok="t"/>
                    <v:fill on="f" focussize="0,0"/>
                    <v:stroke endarrow="block"/>
                    <v:imagedata o:title=""/>
                    <o:lock v:ext="edit"/>
                  </v:shape>
                  <v:rect id="矩形 1499" o:spid="_x0000_s16064" o:spt="1" style="position:absolute;left:9526;top:12369;height:465;width:760;" coordsize="21600,21600">
                    <v:path/>
                    <v:fill focussize="0,0"/>
                    <v:stroke/>
                    <v:imagedata o:title=""/>
                    <o:lock v:ext="edit"/>
                    <v:textbox>
                      <w:txbxContent>
                        <w:p>
                          <w:pPr>
                            <w:adjustRightInd w:val="0"/>
                          </w:pPr>
                          <w:r>
                            <w:rPr>
                              <w:rFonts w:hint="eastAsia"/>
                            </w:rPr>
                            <w:t>过滤</w:t>
                          </w:r>
                        </w:p>
                      </w:txbxContent>
                    </v:textbox>
                  </v:rect>
                  <v:rect id="矩形 1500" o:spid="_x0000_s16065" o:spt="1" style="position:absolute;left:11244;top:12939;height:435;width:1005;" stroked="t" coordsize="21600,21600">
                    <v:path/>
                    <v:fill focussize="0,0"/>
                    <v:stroke color="#FFFFFF"/>
                    <v:imagedata o:title=""/>
                    <o:lock v:ext="edit"/>
                    <v:textbox>
                      <w:txbxContent>
                        <w:p>
                          <w:r>
                            <w:rPr>
                              <w:rFonts w:hint="eastAsia"/>
                            </w:rPr>
                            <w:t>固体盐</w:t>
                          </w:r>
                        </w:p>
                      </w:txbxContent>
                    </v:textbox>
                  </v:rect>
                  <v:rect id="矩形 1501" o:spid="_x0000_s16066" o:spt="1" style="position:absolute;left:11231;top:11756;height:435;width:1005;" stroked="t" coordsize="21600,21600">
                    <v:path/>
                    <v:fill focussize="0,0"/>
                    <v:stroke color="#FFFFFF"/>
                    <v:imagedata o:title=""/>
                    <o:lock v:ext="edit"/>
                    <v:textbox>
                      <w:txbxContent>
                        <w:p>
                          <w:r>
                            <w:rPr>
                              <w:rFonts w:hint="eastAsia"/>
                            </w:rPr>
                            <w:t>水蒸气</w:t>
                          </w:r>
                        </w:p>
                      </w:txbxContent>
                    </v:textbox>
                  </v:rect>
                  <v:rect id="矩形 1502" o:spid="_x0000_s16067" o:spt="1" style="position:absolute;left:10900;top:11155;height:435;width:1005;" coordsize="21600,21600">
                    <v:path/>
                    <v:fill focussize="0,0"/>
                    <v:stroke/>
                    <v:imagedata o:title=""/>
                    <o:lock v:ext="edit"/>
                    <v:textbox>
                      <w:txbxContent>
                        <w:p>
                          <w:pPr>
                            <w:jc w:val="center"/>
                          </w:pPr>
                          <w:r>
                            <w:rPr>
                              <w:rFonts w:hint="eastAsia"/>
                            </w:rPr>
                            <w:t>冷却</w:t>
                          </w:r>
                        </w:p>
                      </w:txbxContent>
                    </v:textbox>
                  </v:rect>
                  <v:rect id="矩形 60" o:spid="_x0000_s16068" o:spt="1" style="position:absolute;left:12348;top:10841;height:1063;width:1234;" filled="f" stroked="f" coordsize="21600,21600">
                    <v:path/>
                    <v:fill on="f" focussize="0,0"/>
                    <v:stroke on="f"/>
                    <v:imagedata o:title=""/>
                    <o:lock v:ext="edit"/>
                    <v:textbox>
                      <w:txbxContent>
                        <w:p>
                          <w:r>
                            <w:rPr>
                              <w:rFonts w:hint="eastAsia"/>
                            </w:rPr>
                            <w:t>作为第一级清洗补充水使用</w:t>
                          </w:r>
                        </w:p>
                      </w:txbxContent>
                    </v:textbox>
                  </v:rect>
                  <v:rect id="矩形 60" o:spid="_x0000_s16069" o:spt="1" style="position:absolute;left:10582;top:13494;height:780;width:1605;" filled="f" stroked="t" coordsize="21600,21600">
                    <v:path/>
                    <v:fill on="f" focussize="0,0"/>
                    <v:stroke color="#FFFFFF"/>
                    <v:imagedata o:title=""/>
                    <o:lock v:ext="edit"/>
                    <v:textbox>
                      <w:txbxContent>
                        <w:p>
                          <w:r>
                            <w:rPr>
                              <w:rFonts w:hint="eastAsia"/>
                            </w:rPr>
                            <w:t>作为盐浴氮化原料回收利用</w:t>
                          </w:r>
                        </w:p>
                      </w:txbxContent>
                    </v:textbox>
                  </v:rect>
                  <v:rect id="矩形 1536" o:spid="_x0000_s16070" o:spt="1" style="position:absolute;left:8953;top:9577;height:510;width:948;" coordsize="21600,21600">
                    <v:path/>
                    <v:fill focussize="0,0"/>
                    <v:stroke/>
                    <v:imagedata o:title=""/>
                    <o:lock v:ext="edit"/>
                    <v:textbox>
                      <w:txbxContent>
                        <w:p>
                          <w:r>
                            <w:rPr>
                              <w:rFonts w:hint="eastAsia"/>
                            </w:rPr>
                            <w:t>水喷淋</w:t>
                          </w:r>
                        </w:p>
                      </w:txbxContent>
                    </v:textbox>
                  </v:rect>
                  <v:rect id="矩形 1537" o:spid="_x0000_s16071" o:spt="1" style="position:absolute;left:10281;top:9415;height:822;width:1221;" coordsize="21600,21600">
                    <v:path/>
                    <v:fill focussize="0,0"/>
                    <v:stroke/>
                    <v:imagedata o:title=""/>
                    <o:lock v:ext="edit"/>
                    <v:textbox>
                      <w:txbxContent>
                        <w:p>
                          <w:r>
                            <w:rPr>
                              <w:rFonts w:hint="eastAsia"/>
                            </w:rPr>
                            <w:t>三级串联</w:t>
                          </w:r>
                          <w:r>
                            <w:t>光氧处理</w:t>
                          </w:r>
                        </w:p>
                      </w:txbxContent>
                    </v:textbox>
                  </v:rect>
                  <v:shape id="自选图形 1538" o:spid="_x0000_s16072" o:spt="32" type="#_x0000_t32" style="position:absolute;left:8581;top:9832;flip:y;height:3;width:372;" o:connectortype="straight" filled="f" coordsize="21600,21600">
                    <v:path arrowok="t"/>
                    <v:fill on="f" focussize="0,0"/>
                    <v:stroke endarrow="block"/>
                    <v:imagedata o:title=""/>
                    <o:lock v:ext="edit"/>
                  </v:shape>
                  <v:shape id="自选图形 1539" o:spid="_x0000_s16073" o:spt="32" type="#_x0000_t32" style="position:absolute;left:9901;top:9826;flip:y;height:6;width:380;" o:connectortype="straight" filled="f" coordsize="21600,21600">
                    <v:path arrowok="t"/>
                    <v:fill on="f" focussize="0,0"/>
                    <v:stroke endarrow="block"/>
                    <v:imagedata o:title=""/>
                    <o:lock v:ext="edit"/>
                  </v:shape>
                  <v:shape id="文本框 7" o:spid="_x0000_s16074" o:spt="202" type="#_x0000_t202" style="position:absolute;left:5724;top:15563;height:466;width:1652;" fillcolor="#BFBFBF" filled="t" coordsize="21600,21600">
                    <v:path/>
                    <v:fill on="t" focussize="0,0"/>
                    <v:stroke weight="0.25pt" joinstyle="miter"/>
                    <v:imagedata o:title=""/>
                    <o:lock v:ext="edit"/>
                    <v:textbox>
                      <w:txbxContent>
                        <w:p>
                          <w:pPr>
                            <w:jc w:val="center"/>
                          </w:pPr>
                          <w:r>
                            <w:rPr>
                              <w:rFonts w:hint="eastAsia"/>
                            </w:rPr>
                            <w:t>自动清洗</w:t>
                          </w:r>
                        </w:p>
                      </w:txbxContent>
                    </v:textbox>
                  </v:shape>
                  <v:shape id="文本框 7" o:spid="_x0000_s16075" o:spt="202" type="#_x0000_t202" style="position:absolute;left:5724;top:16420;height:466;width:1652;" fillcolor="#BFBFBF" filled="t" coordsize="21600,21600">
                    <v:path/>
                    <v:fill on="t" focussize="0,0"/>
                    <v:stroke weight="0.25pt" joinstyle="miter"/>
                    <v:imagedata o:title=""/>
                    <o:lock v:ext="edit"/>
                    <v:textbox>
                      <w:txbxContent>
                        <w:p>
                          <w:pPr>
                            <w:jc w:val="center"/>
                          </w:pPr>
                          <w:r>
                            <w:rPr>
                              <w:rFonts w:hint="eastAsia"/>
                            </w:rPr>
                            <w:t>检验入库</w:t>
                          </w:r>
                        </w:p>
                      </w:txbxContent>
                    </v:textbox>
                  </v:shape>
                  <v:shape id="自选图形 1623" o:spid="_x0000_s16076" o:spt="32" type="#_x0000_t32" style="position:absolute;left:6550;top:15161;height:402;width:1;" o:connectortype="straight" filled="f" coordsize="21600,21600">
                    <v:path arrowok="t"/>
                    <v:fill on="f" focussize="0,0"/>
                    <v:stroke endarrow="block"/>
                    <v:imagedata o:title=""/>
                    <o:lock v:ext="edit"/>
                  </v:shape>
                  <v:shape id="自选图形 1624" o:spid="_x0000_s16077" o:spt="32" type="#_x0000_t32" style="position:absolute;left:6550;top:16029;height:391;width:1;" o:connectortype="straight" filled="f" coordsize="21600,21600">
                    <v:path arrowok="t"/>
                    <v:fill on="f" focussize="0,0"/>
                    <v:stroke endarrow="block"/>
                    <v:imagedata o:title=""/>
                    <o:lock v:ext="edit"/>
                  </v:shape>
                  <v:rect id="矩形 1625" o:spid="_x0000_s16078" o:spt="1" style="position:absolute;left:11842;top:9415;height:822;width:1221;" coordsize="21600,21600">
                    <v:path/>
                    <v:fill focussize="0,0"/>
                    <v:stroke/>
                    <v:imagedata o:title=""/>
                    <o:lock v:ext="edit"/>
                    <v:textbox>
                      <w:txbxContent>
                        <w:p>
                          <w:r>
                            <w:t>15m高排气筒排放</w:t>
                          </w:r>
                        </w:p>
                      </w:txbxContent>
                    </v:textbox>
                  </v:rect>
                  <v:shape id="自选图形 1626" o:spid="_x0000_s16079" o:spt="32" type="#_x0000_t32" style="position:absolute;left:11502;top:9826;height:1;width:340;" o:connectortype="straight" filled="f" coordsize="21600,21600">
                    <v:path arrowok="t"/>
                    <v:fill on="f" focussize="0,0"/>
                    <v:stroke endarrow="block"/>
                    <v:imagedata o:title=""/>
                    <o:lock v:ext="edit"/>
                  </v:shape>
                  <v:shape id="自选图形 1630" o:spid="_x0000_s16080" o:spt="34" type="#_x0000_t34" style="position:absolute;left:8866;top:11519;height:1083;width:660;" o:connectortype="elbow" filled="f" coordsize="21600,21600" adj=",-170327,-191127">
                    <v:path arrowok="t"/>
                    <v:fill on="f" focussize="0,0"/>
                    <v:stroke endarrow="block"/>
                    <v:imagedata o:title=""/>
                    <o:lock v:ext="edit"/>
                  </v:shape>
                  <v:shape id="自选图形 1633" o:spid="_x0000_s16081" o:spt="34" type="#_x0000_t34" style="position:absolute;left:8936;top:12602;flip:y;height:1533;width:590;" o:connectortype="elbow" filled="f" coordsize="21600,21600" adj=",157188,-216366">
                    <v:path arrowok="t"/>
                    <v:fill on="f" focussize="0,0"/>
                    <v:stroke endarrow="block"/>
                    <v:imagedata o:title=""/>
                    <o:lock v:ext="edit"/>
                  </v:shape>
                  <v:rect id="矩形 1634" o:spid="_x0000_s16082" o:spt="1" style="position:absolute;left:10792;top:12384;height:435;width:1185;" coordsize="21600,21600">
                    <v:path/>
                    <v:fill focussize="0,0"/>
                    <v:stroke/>
                    <v:imagedata o:title=""/>
                    <o:lock v:ext="edit"/>
                    <v:textbox>
                      <w:txbxContent>
                        <w:p>
                          <w:pPr>
                            <w:jc w:val="center"/>
                          </w:pPr>
                          <w:r>
                            <w:rPr>
                              <w:rFonts w:hint="eastAsia"/>
                            </w:rPr>
                            <w:t>蒸馏浓缩</w:t>
                          </w:r>
                        </w:p>
                      </w:txbxContent>
                    </v:textbox>
                  </v:rect>
                  <v:shape id="自选图形 1635" o:spid="_x0000_s16083" o:spt="32" type="#_x0000_t32" style="position:absolute;left:10286;top:12602;height:1;width:506;" o:connectortype="straight" filled="f" coordsize="21600,21600">
                    <v:path arrowok="t"/>
                    <v:fill on="f" focussize="0,0"/>
                    <v:stroke endarrow="block"/>
                    <v:imagedata o:title=""/>
                    <o:lock v:ext="edit"/>
                  </v:shape>
                  <v:shape id="自选图形 1637" o:spid="_x0000_s16084" o:spt="32" type="#_x0000_t32" style="position:absolute;left:11385;top:11590;flip:y;height:794;width:18;" o:connectortype="straight" filled="f" coordsize="21600,21600">
                    <v:path arrowok="t"/>
                    <v:fill on="f" focussize="0,0"/>
                    <v:stroke endarrow="block"/>
                    <v:imagedata o:title=""/>
                    <o:lock v:ext="edit"/>
                  </v:shape>
                  <v:shape id="自选图形 1638" o:spid="_x0000_s16085" o:spt="32" type="#_x0000_t32" style="position:absolute;left:11385;top:12819;height:675;width:1;" o:connectortype="straight" filled="f" coordsize="21600,21600">
                    <v:path arrowok="t"/>
                    <v:fill on="f" focussize="0,0"/>
                    <v:stroke endarrow="block"/>
                    <v:imagedata o:title=""/>
                    <o:lock v:ext="edit"/>
                  </v:shape>
                  <v:shape id="自选图形 1639" o:spid="_x0000_s16086" o:spt="32" type="#_x0000_t32" style="position:absolute;left:11905;top:11373;height:1;width:443;" o:connectortype="straight" filled="f" coordsize="21600,21600">
                    <v:path arrowok="t"/>
                    <v:fill on="f" focussize="0,0"/>
                    <v:stroke endarrow="block"/>
                    <v:imagedata o:title=""/>
                    <o:lock v:ext="edit"/>
                  </v:shape>
                  <v:rect id="矩形 1643" o:spid="_x0000_s16087" o:spt="1" style="position:absolute;left:9295;top:13525;height:730;width:1201;" stroked="t" coordsize="21600,21600">
                    <v:path/>
                    <v:fill focussize="0,0"/>
                    <v:stroke color="#FFFFFF"/>
                    <v:imagedata o:title=""/>
                    <o:lock v:ext="edit"/>
                    <v:textbox>
                      <w:txbxContent>
                        <w:p>
                          <w:pPr>
                            <w:jc w:val="center"/>
                          </w:pPr>
                          <w:r>
                            <w:rPr>
                              <w:rFonts w:hint="eastAsia"/>
                            </w:rPr>
                            <w:t>作为熔化原料使用</w:t>
                          </w:r>
                        </w:p>
                      </w:txbxContent>
                    </v:textbox>
                  </v:rect>
                  <v:shape id="自选图形 1644" o:spid="_x0000_s16088" o:spt="32" type="#_x0000_t32" style="position:absolute;left:9896;top:12834;flip:x;height:691;width:10;" o:connectortype="straight" filled="f" coordsize="21600,21600">
                    <v:path arrowok="t"/>
                    <v:fill on="f" focussize="0,0"/>
                    <v:stroke endarrow="block"/>
                    <v:imagedata o:title=""/>
                    <o:lock v:ext="edit"/>
                  </v:shape>
                  <v:rect id="矩形 1687" o:spid="_x0000_s16089" o:spt="1" style="position:absolute;left:9731;top:15714;height:465;width:1005;" stroked="t" coordsize="21600,21600">
                    <v:path/>
                    <v:fill focussize="0,0"/>
                    <v:stroke color="#FF0000" dashstyle="dash"/>
                    <v:imagedata o:title=""/>
                    <o:lock v:ext="edit"/>
                  </v:rect>
                  <v:rect id="矩形 60" o:spid="_x0000_s16090" o:spt="1" style="position:absolute;left:10830;top:15580;height:1155;width:1736;" filled="f" stroked="t" coordsize="21600,21600">
                    <v:path/>
                    <v:fill on="f" focussize="0,0"/>
                    <v:stroke color="#FFFFFF"/>
                    <v:imagedata o:title=""/>
                    <o:lock v:ext="edit"/>
                    <v:textbox>
                      <w:txbxContent>
                        <w:p>
                          <w:pPr>
                            <w:rPr>
                              <w:color w:val="FF0000"/>
                            </w:rPr>
                          </w:pPr>
                          <w:r>
                            <w:rPr>
                              <w:rFonts w:hint="eastAsia"/>
                              <w:color w:val="FF0000"/>
                            </w:rPr>
                            <w:t>框内为本项目主要工艺流程</w:t>
                          </w:r>
                        </w:p>
                      </w:txbxContent>
                    </v:textbox>
                  </v:rect>
                  <v:rect id="矩形 60" o:spid="_x0000_s16091" o:spt="1" style="position:absolute;left:8199;top:14698;height:463;width:967;" filled="f" stroked="f" coordsize="21600,21600">
                    <v:path/>
                    <v:fill on="f" focussize="0,0"/>
                    <v:stroke on="f"/>
                    <v:imagedata o:title=""/>
                    <o:lock v:ext="edit"/>
                    <v:textbox>
                      <w:txbxContent>
                        <w:p>
                          <w:r>
                            <w:rPr>
                              <w:rFonts w:hint="eastAsia"/>
                            </w:rPr>
                            <w:t>固废</w:t>
                          </w:r>
                        </w:p>
                      </w:txbxContent>
                    </v:textbox>
                  </v:rect>
                  <v:rect id="矩形 60" o:spid="_x0000_s16092" o:spt="1" style="position:absolute;left:8304;top:15568;height:463;width:967;" filled="f" stroked="f" coordsize="21600,21600">
                    <v:path/>
                    <v:fill on="f" focussize="0,0"/>
                    <v:stroke on="f"/>
                    <v:imagedata o:title=""/>
                    <o:lock v:ext="edit"/>
                    <v:textbox>
                      <w:txbxContent>
                        <w:p>
                          <w:r>
                            <w:rPr>
                              <w:rFonts w:hint="eastAsia"/>
                            </w:rPr>
                            <w:t>废水</w:t>
                          </w:r>
                        </w:p>
                      </w:txbxContent>
                    </v:textbox>
                  </v:rect>
                  <v:shape id="自选图形 1693" o:spid="_x0000_s16093" o:spt="32" type="#_x0000_t32" style="position:absolute;left:7376;top:14928;height:2;width:823;" o:connectortype="straight" filled="f" coordsize="21600,21600">
                    <v:path arrowok="t"/>
                    <v:fill on="f" focussize="0,0"/>
                    <v:stroke dashstyle="dash" endarrow="block"/>
                    <v:imagedata o:title=""/>
                    <o:lock v:ext="edit"/>
                  </v:shape>
                  <v:shape id="自选图形 1694" o:spid="_x0000_s16094" o:spt="32" type="#_x0000_t32" style="position:absolute;left:7376;top:15796;height:4;width:928;" o:connectortype="straight" filled="f" coordsize="21600,21600">
                    <v:path arrowok="t"/>
                    <v:fill on="f" focussize="0,0"/>
                    <v:stroke dashstyle="dash" endarrow="block"/>
                    <v:imagedata o:title=""/>
                    <o:lock v:ext="edit"/>
                  </v:shape>
                  <v:rect id="矩形 60" o:spid="_x0000_s16095" o:spt="1" style="position:absolute;left:4695;top:12892;height:463;width:1972;" filled="f" stroked="f" coordsize="21600,21600">
                    <v:path/>
                    <v:fill on="f" focussize="0,0"/>
                    <v:stroke on="f"/>
                    <v:imagedata o:title=""/>
                    <o:lock v:ext="edit"/>
                    <v:textbox>
                      <w:txbxContent>
                        <w:p>
                          <w:r>
                            <w:rPr>
                              <w:rFonts w:hint="eastAsia"/>
                            </w:rPr>
                            <w:t>氧化盐</w:t>
                          </w:r>
                        </w:p>
                      </w:txbxContent>
                    </v:textbox>
                  </v:rect>
                  <v:shape id="自选图形 1696" o:spid="_x0000_s16096" o:spt="32" type="#_x0000_t32" style="position:absolute;left:4812;top:13354;height:1;width:869;" o:connectortype="straight" filled="f" coordsize="21600,21600">
                    <v:path arrowok="t"/>
                    <v:fill on="f" focussize="0,0"/>
                    <v:stroke endarrow="block"/>
                    <v:imagedata o:title=""/>
                    <o:lock v:ext="edit"/>
                  </v:shape>
                  <w10:wrap type="none"/>
                  <w10:anchorlock/>
                </v:group>
              </w:pict>
            </w:r>
          </w:p>
          <w:p>
            <w:pPr>
              <w:shd w:val="clear" w:color="auto" w:fill="FFFFFF"/>
              <w:tabs>
                <w:tab w:val="left" w:pos="420"/>
                <w:tab w:val="left" w:pos="5040"/>
              </w:tabs>
              <w:adjustRightInd w:val="0"/>
              <w:snapToGrid w:val="0"/>
              <w:spacing w:line="360" w:lineRule="auto"/>
              <w:ind w:firstLine="472" w:firstLineChars="196"/>
              <w:rPr>
                <w:b/>
                <w:sz w:val="24"/>
              </w:rPr>
            </w:pPr>
            <w:r>
              <w:rPr>
                <w:rFonts w:hint="eastAsia"/>
                <w:b/>
                <w:sz w:val="24"/>
              </w:rPr>
              <w:t>生产工艺流程简述：</w:t>
            </w:r>
          </w:p>
          <w:p>
            <w:pPr>
              <w:adjustRightInd w:val="0"/>
              <w:snapToGrid w:val="0"/>
              <w:spacing w:line="360" w:lineRule="auto"/>
              <w:ind w:firstLine="480"/>
              <w:rPr>
                <w:sz w:val="24"/>
              </w:rPr>
            </w:pPr>
            <w:r>
              <w:rPr>
                <w:rFonts w:hint="eastAsia"/>
                <w:sz w:val="24"/>
              </w:rPr>
              <w:t>1）原料备料</w:t>
            </w:r>
          </w:p>
          <w:p>
            <w:pPr>
              <w:adjustRightInd w:val="0"/>
              <w:snapToGrid w:val="0"/>
              <w:spacing w:line="360" w:lineRule="auto"/>
              <w:ind w:firstLine="480"/>
              <w:rPr>
                <w:sz w:val="24"/>
              </w:rPr>
            </w:pPr>
            <w:r>
              <w:rPr>
                <w:rFonts w:hint="eastAsia"/>
                <w:sz w:val="24"/>
              </w:rPr>
              <w:t>本项目原料采用特选特供2</w:t>
            </w:r>
            <w:r>
              <w:rPr>
                <w:sz w:val="24"/>
              </w:rPr>
              <w:t>2号优质原生铁</w:t>
            </w:r>
            <w:r>
              <w:rPr>
                <w:rFonts w:hint="eastAsia"/>
                <w:sz w:val="24"/>
              </w:rPr>
              <w:t>，采用汽车运输方式运入厂区，然后存入原料库房中。</w:t>
            </w:r>
          </w:p>
          <w:p>
            <w:pPr>
              <w:adjustRightInd w:val="0"/>
              <w:snapToGrid w:val="0"/>
              <w:spacing w:line="360" w:lineRule="auto"/>
              <w:ind w:firstLine="480"/>
              <w:rPr>
                <w:sz w:val="24"/>
              </w:rPr>
            </w:pPr>
            <w:r>
              <w:rPr>
                <w:rFonts w:hint="eastAsia"/>
                <w:sz w:val="24"/>
              </w:rPr>
              <w:t>2）熔化</w:t>
            </w:r>
          </w:p>
          <w:p>
            <w:pPr>
              <w:adjustRightInd w:val="0"/>
              <w:snapToGrid w:val="0"/>
              <w:spacing w:line="360" w:lineRule="auto"/>
              <w:ind w:firstLine="480"/>
              <w:rPr>
                <w:sz w:val="24"/>
              </w:rPr>
            </w:pPr>
            <w:r>
              <w:rPr>
                <w:rFonts w:hint="eastAsia"/>
                <w:sz w:val="24"/>
              </w:rPr>
              <w:t>采用已有的熔化炉对生铁进行熔化，熔化温度约为1</w:t>
            </w:r>
            <w:r>
              <w:rPr>
                <w:sz w:val="24"/>
              </w:rPr>
              <w:t>400</w:t>
            </w:r>
            <w:r>
              <w:rPr>
                <w:rFonts w:hint="eastAsia" w:ascii="宋体" w:hAnsi="宋体"/>
                <w:sz w:val="24"/>
              </w:rPr>
              <w:t>℃</w:t>
            </w:r>
            <w:r>
              <w:rPr>
                <w:rFonts w:hint="eastAsia"/>
                <w:sz w:val="24"/>
              </w:rPr>
              <w:t>~</w:t>
            </w:r>
            <w:r>
              <w:rPr>
                <w:sz w:val="24"/>
              </w:rPr>
              <w:t>1500</w:t>
            </w:r>
            <w:r>
              <w:rPr>
                <w:rFonts w:hint="eastAsia" w:ascii="宋体" w:hAnsi="宋体"/>
                <w:sz w:val="24"/>
              </w:rPr>
              <w:t>℃。熔化过程用电。</w:t>
            </w:r>
          </w:p>
          <w:p>
            <w:pPr>
              <w:adjustRightInd w:val="0"/>
              <w:snapToGrid w:val="0"/>
              <w:spacing w:line="360" w:lineRule="auto"/>
              <w:ind w:firstLine="480"/>
              <w:rPr>
                <w:sz w:val="24"/>
              </w:rPr>
            </w:pPr>
            <w:r>
              <w:rPr>
                <w:rFonts w:hint="eastAsia"/>
                <w:sz w:val="24"/>
              </w:rPr>
              <w:t>3）压铸、冷却</w:t>
            </w:r>
          </w:p>
          <w:p>
            <w:pPr>
              <w:adjustRightInd w:val="0"/>
              <w:snapToGrid w:val="0"/>
              <w:spacing w:line="360" w:lineRule="auto"/>
              <w:ind w:firstLine="480"/>
              <w:rPr>
                <w:sz w:val="24"/>
              </w:rPr>
            </w:pPr>
            <w:r>
              <w:rPr>
                <w:rFonts w:hint="eastAsia"/>
                <w:sz w:val="24"/>
              </w:rPr>
              <w:t>将熔化的铁水倒入已有的铁模中压铸成型，然后采用水对模具进行冷却。</w:t>
            </w:r>
          </w:p>
          <w:p>
            <w:pPr>
              <w:adjustRightInd w:val="0"/>
              <w:snapToGrid w:val="0"/>
              <w:spacing w:line="360" w:lineRule="auto"/>
              <w:ind w:firstLine="480"/>
              <w:rPr>
                <w:sz w:val="24"/>
              </w:rPr>
            </w:pPr>
            <w:r>
              <w:rPr>
                <w:rFonts w:hint="eastAsia"/>
                <w:sz w:val="24"/>
              </w:rPr>
              <w:t>4）表面磨削</w:t>
            </w:r>
          </w:p>
          <w:p>
            <w:pPr>
              <w:adjustRightInd w:val="0"/>
              <w:snapToGrid w:val="0"/>
              <w:spacing w:line="360" w:lineRule="auto"/>
              <w:ind w:firstLine="480"/>
              <w:rPr>
                <w:sz w:val="24"/>
              </w:rPr>
            </w:pPr>
            <w:r>
              <w:rPr>
                <w:rFonts w:hint="eastAsia"/>
                <w:sz w:val="24"/>
              </w:rPr>
              <w:t>采用内抛机对压铸成型的毛坯进行打磨抛光。此工序在内抛机封闭箱体内进行。该过程中主要产生噪声、固废、粉尘。</w:t>
            </w:r>
          </w:p>
          <w:p>
            <w:pPr>
              <w:adjustRightInd w:val="0"/>
              <w:snapToGrid w:val="0"/>
              <w:spacing w:line="360" w:lineRule="auto"/>
              <w:ind w:firstLine="480"/>
              <w:rPr>
                <w:sz w:val="24"/>
              </w:rPr>
            </w:pPr>
            <w:r>
              <w:rPr>
                <w:rFonts w:hint="eastAsia"/>
                <w:sz w:val="24"/>
              </w:rPr>
              <w:t>5）预热</w:t>
            </w:r>
          </w:p>
          <w:p>
            <w:pPr>
              <w:adjustRightInd w:val="0"/>
              <w:snapToGrid w:val="0"/>
              <w:spacing w:line="360" w:lineRule="auto"/>
              <w:ind w:firstLine="480"/>
              <w:rPr>
                <w:rFonts w:ascii="宋体" w:hAnsi="宋体"/>
                <w:sz w:val="24"/>
              </w:rPr>
            </w:pPr>
            <w:r>
              <w:rPr>
                <w:rFonts w:hint="eastAsia"/>
                <w:sz w:val="24"/>
              </w:rPr>
              <w:t>对经过粗加工的铸铁锅进行预热，预热时间约1</w:t>
            </w:r>
            <w:r>
              <w:rPr>
                <w:sz w:val="24"/>
              </w:rPr>
              <w:t>5min</w:t>
            </w:r>
            <w:r>
              <w:rPr>
                <w:rFonts w:hint="eastAsia"/>
                <w:sz w:val="24"/>
              </w:rPr>
              <w:t>，</w:t>
            </w:r>
            <w:r>
              <w:rPr>
                <w:sz w:val="24"/>
              </w:rPr>
              <w:t>温度约520</w:t>
            </w:r>
            <w:r>
              <w:rPr>
                <w:rFonts w:hint="eastAsia"/>
                <w:sz w:val="24"/>
              </w:rPr>
              <w:t>~</w:t>
            </w:r>
            <w:r>
              <w:rPr>
                <w:sz w:val="24"/>
              </w:rPr>
              <w:t>550</w:t>
            </w:r>
            <w:r>
              <w:rPr>
                <w:rFonts w:hint="eastAsia" w:ascii="宋体" w:hAnsi="宋体"/>
                <w:sz w:val="24"/>
              </w:rPr>
              <w:t>℃。目的是使工件升温后再进入氮化炉，以防冷工件入炉后盐浴温度下降太多，同时预热对减少工件变形和获得色泽均一的外观也有一定的作用。预热工序在电力预热炉中进行。</w:t>
            </w:r>
          </w:p>
          <w:p>
            <w:pPr>
              <w:adjustRightInd w:val="0"/>
              <w:snapToGrid w:val="0"/>
              <w:spacing w:line="360" w:lineRule="auto"/>
              <w:ind w:firstLine="480"/>
              <w:rPr>
                <w:rFonts w:ascii="宋体" w:hAnsi="宋体"/>
                <w:sz w:val="24"/>
              </w:rPr>
            </w:pPr>
            <w:r>
              <w:rPr>
                <w:rFonts w:hint="eastAsia" w:ascii="宋体" w:hAnsi="宋体"/>
                <w:sz w:val="24"/>
              </w:rPr>
              <w:t>6）盐浴氮化</w:t>
            </w:r>
          </w:p>
          <w:p>
            <w:pPr>
              <w:adjustRightInd w:val="0"/>
              <w:snapToGrid w:val="0"/>
              <w:spacing w:line="360" w:lineRule="auto"/>
              <w:ind w:firstLine="480"/>
              <w:rPr>
                <w:rFonts w:ascii="宋体" w:hAnsi="宋体"/>
                <w:sz w:val="24"/>
              </w:rPr>
            </w:pPr>
            <w:r>
              <w:rPr>
                <w:rFonts w:hint="eastAsia" w:ascii="宋体" w:hAnsi="宋体"/>
                <w:b/>
                <w:sz w:val="24"/>
              </w:rPr>
              <w:t>原理：</w:t>
            </w:r>
            <w:r>
              <w:rPr>
                <w:rFonts w:hint="eastAsia" w:ascii="宋体" w:hAnsi="宋体"/>
                <w:sz w:val="24"/>
              </w:rPr>
              <w:t>盐浴氮化是Q</w:t>
            </w:r>
            <w:r>
              <w:rPr>
                <w:rFonts w:ascii="宋体" w:hAnsi="宋体"/>
                <w:sz w:val="24"/>
              </w:rPr>
              <w:t>PQ盐浴复合热处理技术的核心工序</w:t>
            </w:r>
            <w:r>
              <w:rPr>
                <w:rFonts w:hint="eastAsia" w:ascii="宋体" w:hAnsi="宋体"/>
                <w:sz w:val="24"/>
              </w:rPr>
              <w:t>。氮化盐浴中氰酸根的分解而产生的活性氮原子渗入工件，在工件表面形成耐磨性和抗蚀性很高的化合物层和耐疲劳的扩散层。反应方程式如下：</w:t>
            </w:r>
          </w:p>
          <w:p>
            <w:pPr>
              <w:adjustRightInd w:val="0"/>
              <w:snapToGrid w:val="0"/>
              <w:spacing w:line="360" w:lineRule="auto"/>
              <w:ind w:firstLine="480"/>
              <w:rPr>
                <w:rFonts w:ascii="宋体" w:hAnsi="宋体"/>
                <w:sz w:val="24"/>
                <w:vertAlign w:val="subscript"/>
              </w:rPr>
            </w:pPr>
            <w:r>
              <w:rPr>
                <w:rFonts w:ascii="宋体" w:hAnsi="宋体"/>
                <w:sz w:val="24"/>
              </w:rPr>
              <w:pict>
                <v:shape id="自选图形 1493" o:spid="_x0000_s16170" o:spt="32" type="#_x0000_t32" style="position:absolute;left:0pt;margin-left:127.1pt;margin-top:8.05pt;height:0pt;width:23.25pt;z-index:251665408;mso-width-relative:page;mso-height-relative:page;" o:connectortype="straight" filled="f" coordsize="21600,21600">
                  <v:path arrowok="t"/>
                  <v:fill on="f" focussize="0,0"/>
                  <v:stroke endarrow="block"/>
                  <v:imagedata o:title=""/>
                  <o:lock v:ext="edit"/>
                </v:shape>
              </w:pict>
            </w:r>
            <w:r>
              <w:rPr>
                <w:rFonts w:hint="eastAsia" w:ascii="宋体" w:hAnsi="宋体"/>
                <w:sz w:val="24"/>
              </w:rPr>
              <w:t>C</w:t>
            </w:r>
            <w:r>
              <w:rPr>
                <w:rFonts w:ascii="宋体" w:hAnsi="宋体"/>
                <w:sz w:val="24"/>
                <w:vertAlign w:val="subscript"/>
              </w:rPr>
              <w:t>3</w:t>
            </w:r>
            <w:r>
              <w:rPr>
                <w:rFonts w:hint="eastAsia" w:ascii="宋体" w:hAnsi="宋体"/>
                <w:sz w:val="24"/>
              </w:rPr>
              <w:t>N</w:t>
            </w:r>
            <w:r>
              <w:rPr>
                <w:rFonts w:ascii="宋体" w:hAnsi="宋体"/>
                <w:sz w:val="24"/>
                <w:vertAlign w:val="subscript"/>
              </w:rPr>
              <w:t>3</w:t>
            </w:r>
            <w:r>
              <w:rPr>
                <w:rFonts w:hint="eastAsia" w:ascii="宋体" w:hAnsi="宋体"/>
                <w:sz w:val="24"/>
              </w:rPr>
              <w:t>（N</w:t>
            </w:r>
            <w:r>
              <w:rPr>
                <w:rFonts w:ascii="宋体" w:hAnsi="宋体"/>
                <w:sz w:val="24"/>
              </w:rPr>
              <w:t>H</w:t>
            </w:r>
            <w:r>
              <w:rPr>
                <w:rFonts w:hint="eastAsia" w:ascii="宋体" w:hAnsi="宋体"/>
                <w:sz w:val="24"/>
                <w:vertAlign w:val="subscript"/>
              </w:rPr>
              <w:t>2</w:t>
            </w:r>
            <w:r>
              <w:rPr>
                <w:rFonts w:hint="eastAsia" w:ascii="宋体" w:hAnsi="宋体"/>
                <w:sz w:val="24"/>
              </w:rPr>
              <w:t>）</w:t>
            </w:r>
            <w:r>
              <w:rPr>
                <w:rFonts w:ascii="宋体" w:hAnsi="宋体"/>
                <w:sz w:val="24"/>
                <w:vertAlign w:val="subscript"/>
              </w:rPr>
              <w:t>3</w:t>
            </w:r>
            <w:r>
              <w:rPr>
                <w:rFonts w:ascii="宋体" w:hAnsi="宋体"/>
                <w:sz w:val="24"/>
              </w:rPr>
              <w:t>+2M</w:t>
            </w:r>
            <w:r>
              <w:rPr>
                <w:rFonts w:ascii="宋体" w:hAnsi="宋体"/>
                <w:sz w:val="24"/>
                <w:vertAlign w:val="subscript"/>
              </w:rPr>
              <w:t>2</w:t>
            </w:r>
            <w:r>
              <w:rPr>
                <w:rFonts w:ascii="宋体" w:hAnsi="宋体"/>
                <w:sz w:val="24"/>
              </w:rPr>
              <w:t>CO</w:t>
            </w:r>
            <w:r>
              <w:rPr>
                <w:rFonts w:ascii="宋体" w:hAnsi="宋体"/>
                <w:sz w:val="24"/>
                <w:vertAlign w:val="subscript"/>
              </w:rPr>
              <w:t>3</w:t>
            </w:r>
            <w:r>
              <w:rPr>
                <w:rFonts w:ascii="宋体" w:hAnsi="宋体"/>
                <w:sz w:val="24"/>
              </w:rPr>
              <w:t xml:space="preserve">     4MCNO+2NH</w:t>
            </w:r>
            <w:r>
              <w:rPr>
                <w:rFonts w:ascii="宋体" w:hAnsi="宋体"/>
                <w:sz w:val="24"/>
                <w:vertAlign w:val="subscript"/>
              </w:rPr>
              <w:t>3</w:t>
            </w:r>
            <w:r>
              <w:rPr>
                <w:rFonts w:ascii="宋体" w:hAnsi="宋体"/>
                <w:sz w:val="24"/>
              </w:rPr>
              <w:t>+ CO</w:t>
            </w:r>
            <w:r>
              <w:rPr>
                <w:rFonts w:ascii="宋体" w:hAnsi="宋体"/>
                <w:sz w:val="24"/>
                <w:vertAlign w:val="subscript"/>
              </w:rPr>
              <w:t>2</w:t>
            </w:r>
          </w:p>
          <w:p>
            <w:pPr>
              <w:adjustRightInd w:val="0"/>
              <w:snapToGrid w:val="0"/>
              <w:spacing w:line="360" w:lineRule="auto"/>
              <w:ind w:firstLine="480"/>
              <w:rPr>
                <w:rFonts w:ascii="宋体" w:hAnsi="宋体"/>
                <w:sz w:val="24"/>
              </w:rPr>
            </w:pPr>
            <w:r>
              <w:rPr>
                <w:rFonts w:ascii="宋体" w:hAnsi="宋体"/>
                <w:sz w:val="24"/>
              </w:rPr>
              <w:pict>
                <v:shape id="自选图形 1494" o:spid="_x0000_s16171" o:spt="32" type="#_x0000_t32" style="position:absolute;left:0pt;margin-left:55.1pt;margin-top:8.7pt;height:0pt;width:24.75pt;z-index:251666432;mso-width-relative:page;mso-height-relative:page;" o:connectortype="straight" filled="f" coordsize="21600,21600">
                  <v:path arrowok="t"/>
                  <v:fill on="f" focussize="0,0"/>
                  <v:stroke endarrow="block"/>
                  <v:imagedata o:title=""/>
                  <o:lock v:ext="edit"/>
                </v:shape>
              </w:pict>
            </w:r>
            <w:r>
              <w:rPr>
                <w:rFonts w:ascii="宋体" w:hAnsi="宋体"/>
                <w:sz w:val="24"/>
              </w:rPr>
              <w:t>3MCNO     M</w:t>
            </w:r>
            <w:r>
              <w:rPr>
                <w:rFonts w:ascii="宋体" w:hAnsi="宋体"/>
                <w:sz w:val="24"/>
                <w:vertAlign w:val="subscript"/>
              </w:rPr>
              <w:t>2</w:t>
            </w:r>
            <w:r>
              <w:rPr>
                <w:rFonts w:ascii="宋体" w:hAnsi="宋体"/>
                <w:sz w:val="24"/>
              </w:rPr>
              <w:t>CO</w:t>
            </w:r>
            <w:r>
              <w:rPr>
                <w:rFonts w:ascii="宋体" w:hAnsi="宋体"/>
                <w:sz w:val="24"/>
                <w:vertAlign w:val="subscript"/>
              </w:rPr>
              <w:t>3</w:t>
            </w:r>
            <w:r>
              <w:rPr>
                <w:rFonts w:ascii="宋体" w:hAnsi="宋体"/>
                <w:sz w:val="24"/>
              </w:rPr>
              <w:t>+MCN+2[N]+CO</w:t>
            </w:r>
          </w:p>
          <w:p>
            <w:pPr>
              <w:adjustRightInd w:val="0"/>
              <w:snapToGrid w:val="0"/>
              <w:spacing w:line="360" w:lineRule="auto"/>
              <w:ind w:firstLine="480"/>
              <w:rPr>
                <w:rFonts w:ascii="宋体" w:hAnsi="宋体"/>
                <w:sz w:val="24"/>
              </w:rPr>
            </w:pPr>
            <w:r>
              <w:rPr>
                <w:rFonts w:ascii="宋体" w:hAnsi="宋体"/>
                <w:sz w:val="24"/>
              </w:rPr>
              <w:pict>
                <v:shape id="自选图形 1540" o:spid="_x0000_s16173" o:spt="32" type="#_x0000_t32" style="position:absolute;left:0pt;margin-left:44.6pt;margin-top:8.5pt;height:0pt;width:17.25pt;z-index:251668480;mso-width-relative:page;mso-height-relative:page;" o:connectortype="straight" filled="f" coordsize="21600,21600">
                  <v:path arrowok="t"/>
                  <v:fill on="f" focussize="0,0"/>
                  <v:stroke endarrow="block"/>
                  <v:imagedata o:title=""/>
                  <o:lock v:ext="edit"/>
                </v:shape>
              </w:pict>
            </w:r>
            <w:r>
              <w:rPr>
                <w:rFonts w:ascii="宋体" w:hAnsi="宋体"/>
                <w:sz w:val="24"/>
              </w:rPr>
              <w:t>2CO    CO</w:t>
            </w:r>
            <w:r>
              <w:rPr>
                <w:rFonts w:ascii="宋体" w:hAnsi="宋体"/>
                <w:sz w:val="24"/>
                <w:vertAlign w:val="subscript"/>
              </w:rPr>
              <w:t>2</w:t>
            </w:r>
            <w:r>
              <w:rPr>
                <w:rFonts w:ascii="宋体" w:hAnsi="宋体"/>
                <w:sz w:val="24"/>
              </w:rPr>
              <w:t>+[C]</w:t>
            </w:r>
          </w:p>
          <w:p>
            <w:pPr>
              <w:adjustRightInd w:val="0"/>
              <w:snapToGrid w:val="0"/>
              <w:spacing w:line="360" w:lineRule="auto"/>
              <w:ind w:firstLine="480"/>
              <w:rPr>
                <w:rFonts w:ascii="宋体" w:hAnsi="宋体"/>
                <w:sz w:val="24"/>
              </w:rPr>
            </w:pPr>
            <w:r>
              <w:rPr>
                <w:rFonts w:hint="eastAsia" w:ascii="宋体" w:hAnsi="宋体"/>
                <w:b/>
                <w:sz w:val="24"/>
              </w:rPr>
              <w:t>操作：</w:t>
            </w:r>
            <w:r>
              <w:rPr>
                <w:rFonts w:hint="eastAsia" w:ascii="宋体" w:hAnsi="宋体"/>
                <w:sz w:val="24"/>
              </w:rPr>
              <w:t>采用电动葫芦将预热充分的工件吊入电加热的氮化炉中进行氮化盐浴处理，获得淡化渗层。氮化炉温度约6</w:t>
            </w:r>
            <w:r>
              <w:rPr>
                <w:rFonts w:ascii="宋体" w:hAnsi="宋体"/>
                <w:sz w:val="24"/>
              </w:rPr>
              <w:t>50</w:t>
            </w:r>
            <w:r>
              <w:rPr>
                <w:rFonts w:hint="eastAsia" w:ascii="宋体" w:hAnsi="宋体"/>
                <w:sz w:val="24"/>
              </w:rPr>
              <w:t>℃，炉中氮化盐处理熔融状态，处理时间约1小时。氮化盐在氮化炉中熔化形成高氰酸根（C</w:t>
            </w:r>
            <w:r>
              <w:rPr>
                <w:rFonts w:ascii="宋体" w:hAnsi="宋体"/>
                <w:sz w:val="24"/>
              </w:rPr>
              <w:t>NO-</w:t>
            </w:r>
            <w:r>
              <w:rPr>
                <w:rFonts w:hint="eastAsia" w:ascii="宋体" w:hAnsi="宋体"/>
                <w:sz w:val="24"/>
              </w:rPr>
              <w:t>）的氮化盐浴。氮化盐除了第一次开始生产时加到氮化炉深度的3</w:t>
            </w:r>
            <w:r>
              <w:rPr>
                <w:rFonts w:ascii="宋体" w:hAnsi="宋体"/>
                <w:sz w:val="24"/>
              </w:rPr>
              <w:t>/4左右</w:t>
            </w:r>
            <w:r>
              <w:rPr>
                <w:rFonts w:hint="eastAsia" w:ascii="宋体" w:hAnsi="宋体"/>
                <w:sz w:val="24"/>
              </w:rPr>
              <w:t>，在正常生产中浴面下降时采用人工补充加入氮化盐以提高浴面。在生产过程中当氮化盐浴的氰酸根下降时，人工向氮化炉内补充三聚氰胺，以使氰酸根含量维持在规定的范围之内。</w:t>
            </w:r>
          </w:p>
          <w:p>
            <w:pPr>
              <w:adjustRightInd w:val="0"/>
              <w:snapToGrid w:val="0"/>
              <w:spacing w:line="360" w:lineRule="auto"/>
              <w:ind w:firstLine="480"/>
              <w:rPr>
                <w:rFonts w:ascii="宋体" w:hAnsi="宋体"/>
                <w:sz w:val="24"/>
              </w:rPr>
            </w:pPr>
            <w:r>
              <w:rPr>
                <w:rFonts w:hint="eastAsia" w:ascii="宋体" w:hAnsi="宋体"/>
                <w:sz w:val="24"/>
              </w:rPr>
              <w:t>7）盐浴一次氧化、二次氧化</w:t>
            </w:r>
          </w:p>
          <w:p>
            <w:pPr>
              <w:adjustRightInd w:val="0"/>
              <w:snapToGrid w:val="0"/>
              <w:spacing w:line="360" w:lineRule="auto"/>
              <w:ind w:firstLine="480"/>
              <w:rPr>
                <w:rFonts w:ascii="宋体" w:hAnsi="宋体"/>
                <w:sz w:val="24"/>
              </w:rPr>
            </w:pPr>
            <w:r>
              <w:rPr>
                <w:rFonts w:ascii="宋体" w:hAnsi="宋体"/>
                <w:b/>
                <w:sz w:val="24"/>
              </w:rPr>
              <w:t>原理</w:t>
            </w:r>
            <w:r>
              <w:rPr>
                <w:rFonts w:hint="eastAsia" w:ascii="宋体" w:hAnsi="宋体"/>
                <w:b/>
                <w:sz w:val="24"/>
              </w:rPr>
              <w:t>：</w:t>
            </w:r>
            <w:r>
              <w:rPr>
                <w:rFonts w:ascii="宋体" w:hAnsi="宋体"/>
                <w:sz w:val="24"/>
              </w:rPr>
              <w:t>氧化工序的作用有两部分</w:t>
            </w:r>
            <w:r>
              <w:rPr>
                <w:rFonts w:hint="eastAsia" w:ascii="宋体" w:hAnsi="宋体"/>
                <w:sz w:val="24"/>
              </w:rPr>
              <w:t>，</w:t>
            </w:r>
            <w:r>
              <w:rPr>
                <w:rFonts w:ascii="宋体" w:hAnsi="宋体"/>
                <w:sz w:val="24"/>
              </w:rPr>
              <w:t>一是彻底分解工件从氮化炉中带出来的氰根</w:t>
            </w:r>
            <w:r>
              <w:rPr>
                <w:rFonts w:hint="eastAsia" w:ascii="宋体" w:hAnsi="宋体"/>
                <w:sz w:val="24"/>
              </w:rPr>
              <w:t>（C</w:t>
            </w:r>
            <w:r>
              <w:rPr>
                <w:rFonts w:ascii="宋体" w:hAnsi="宋体"/>
                <w:sz w:val="24"/>
              </w:rPr>
              <w:t>N</w:t>
            </w:r>
            <w:r>
              <w:rPr>
                <w:rFonts w:ascii="宋体" w:hAnsi="宋体"/>
                <w:sz w:val="24"/>
                <w:vertAlign w:val="superscript"/>
              </w:rPr>
              <w:t>-</w:t>
            </w:r>
            <w:r>
              <w:rPr>
                <w:rFonts w:hint="eastAsia" w:ascii="宋体" w:hAnsi="宋体"/>
                <w:sz w:val="24"/>
              </w:rPr>
              <w:t>），将C</w:t>
            </w:r>
            <w:r>
              <w:rPr>
                <w:rFonts w:ascii="宋体" w:hAnsi="宋体"/>
                <w:sz w:val="24"/>
              </w:rPr>
              <w:t>N</w:t>
            </w:r>
            <w:r>
              <w:rPr>
                <w:rFonts w:ascii="宋体" w:hAnsi="宋体"/>
                <w:sz w:val="24"/>
                <w:vertAlign w:val="superscript"/>
              </w:rPr>
              <w:t>-</w:t>
            </w:r>
            <w:r>
              <w:rPr>
                <w:rFonts w:hint="eastAsia" w:ascii="宋体" w:hAnsi="宋体"/>
                <w:sz w:val="24"/>
              </w:rPr>
              <w:t>转化为碳酸盐，达到环保要求；二是在工件表面形成黑色氧化膜F</w:t>
            </w:r>
            <w:r>
              <w:rPr>
                <w:rFonts w:ascii="宋体" w:hAnsi="宋体"/>
                <w:sz w:val="24"/>
              </w:rPr>
              <w:t>e</w:t>
            </w:r>
            <w:r>
              <w:rPr>
                <w:rFonts w:ascii="宋体" w:hAnsi="宋体"/>
                <w:sz w:val="24"/>
                <w:vertAlign w:val="subscript"/>
              </w:rPr>
              <w:t>3</w:t>
            </w:r>
            <w:r>
              <w:rPr>
                <w:rFonts w:ascii="宋体" w:hAnsi="宋体"/>
                <w:sz w:val="24"/>
              </w:rPr>
              <w:t>O</w:t>
            </w:r>
            <w:r>
              <w:rPr>
                <w:rFonts w:ascii="宋体" w:hAnsi="宋体"/>
                <w:sz w:val="24"/>
                <w:vertAlign w:val="subscript"/>
              </w:rPr>
              <w:t>4</w:t>
            </w:r>
            <w:r>
              <w:rPr>
                <w:rFonts w:hint="eastAsia" w:ascii="宋体" w:hAnsi="宋体"/>
                <w:sz w:val="24"/>
              </w:rPr>
              <w:t>，增加防腐能力，对提高耐磨性也有一定的好处。反应方程式如下：</w:t>
            </w:r>
          </w:p>
          <w:p>
            <w:pPr>
              <w:adjustRightInd w:val="0"/>
              <w:snapToGrid w:val="0"/>
              <w:spacing w:line="360" w:lineRule="auto"/>
              <w:ind w:firstLine="480"/>
              <w:rPr>
                <w:rFonts w:ascii="宋体" w:hAnsi="宋体"/>
                <w:sz w:val="24"/>
              </w:rPr>
            </w:pPr>
            <w:r>
              <w:rPr>
                <w:rFonts w:ascii="宋体" w:hAnsi="宋体"/>
                <w:sz w:val="24"/>
              </w:rPr>
              <w:pict>
                <v:shape id="自选图形 1495" o:spid="_x0000_s16172" o:spt="32" type="#_x0000_t32" style="position:absolute;left:0pt;margin-left:158.6pt;margin-top:9.65pt;height:0pt;width:18pt;z-index:251667456;mso-width-relative:page;mso-height-relative:page;" o:connectortype="straight" filled="f" coordsize="21600,21600">
                  <v:path arrowok="t"/>
                  <v:fill on="f" focussize="0,0"/>
                  <v:stroke endarrow="block"/>
                  <v:imagedata o:title=""/>
                  <o:lock v:ext="edit"/>
                </v:shape>
              </w:pict>
            </w:r>
            <w:r>
              <w:rPr>
                <w:rFonts w:ascii="宋体" w:hAnsi="宋体"/>
                <w:sz w:val="24"/>
              </w:rPr>
              <w:t>CN</w:t>
            </w:r>
            <w:r>
              <w:rPr>
                <w:rFonts w:ascii="宋体" w:hAnsi="宋体"/>
                <w:sz w:val="24"/>
                <w:vertAlign w:val="superscript"/>
              </w:rPr>
              <w:t>-</w:t>
            </w:r>
            <w:r>
              <w:rPr>
                <w:rFonts w:ascii="宋体" w:hAnsi="宋体"/>
                <w:sz w:val="24"/>
              </w:rPr>
              <w:t>的转化</w:t>
            </w:r>
            <w:r>
              <w:rPr>
                <w:rFonts w:hint="eastAsia" w:ascii="宋体" w:hAnsi="宋体"/>
                <w:sz w:val="24"/>
              </w:rPr>
              <w:t>：3N</w:t>
            </w:r>
            <w:r>
              <w:rPr>
                <w:rFonts w:ascii="宋体" w:hAnsi="宋体"/>
                <w:sz w:val="24"/>
              </w:rPr>
              <w:t>a</w:t>
            </w:r>
            <w:r>
              <w:rPr>
                <w:rFonts w:hint="eastAsia" w:ascii="宋体" w:hAnsi="宋体"/>
                <w:sz w:val="24"/>
              </w:rPr>
              <w:t>C</w:t>
            </w:r>
            <w:r>
              <w:rPr>
                <w:rFonts w:ascii="宋体" w:hAnsi="宋体"/>
                <w:sz w:val="24"/>
              </w:rPr>
              <w:t>N+5</w:t>
            </w:r>
            <w:r>
              <w:rPr>
                <w:rFonts w:hint="eastAsia" w:ascii="宋体" w:hAnsi="宋体"/>
                <w:sz w:val="24"/>
              </w:rPr>
              <w:t>N</w:t>
            </w:r>
            <w:r>
              <w:rPr>
                <w:rFonts w:ascii="宋体" w:hAnsi="宋体"/>
                <w:sz w:val="24"/>
              </w:rPr>
              <w:t>aNO</w:t>
            </w:r>
            <w:r>
              <w:rPr>
                <w:rFonts w:ascii="宋体" w:hAnsi="宋体"/>
                <w:sz w:val="24"/>
                <w:vertAlign w:val="subscript"/>
              </w:rPr>
              <w:t>2</w:t>
            </w:r>
            <w:r>
              <w:rPr>
                <w:rFonts w:ascii="宋体" w:hAnsi="宋体"/>
                <w:sz w:val="24"/>
              </w:rPr>
              <w:t xml:space="preserve">    3</w:t>
            </w:r>
            <w:r>
              <w:rPr>
                <w:rFonts w:hint="eastAsia" w:ascii="宋体" w:hAnsi="宋体"/>
                <w:sz w:val="24"/>
              </w:rPr>
              <w:t>N</w:t>
            </w:r>
            <w:r>
              <w:rPr>
                <w:rFonts w:ascii="宋体" w:hAnsi="宋体"/>
                <w:sz w:val="24"/>
              </w:rPr>
              <w:t>a</w:t>
            </w:r>
            <w:r>
              <w:rPr>
                <w:rFonts w:ascii="宋体" w:hAnsi="宋体"/>
                <w:sz w:val="24"/>
                <w:vertAlign w:val="subscript"/>
              </w:rPr>
              <w:t>2</w:t>
            </w:r>
            <w:r>
              <w:rPr>
                <w:rFonts w:ascii="宋体" w:hAnsi="宋体"/>
                <w:sz w:val="24"/>
              </w:rPr>
              <w:t>CO</w:t>
            </w:r>
            <w:r>
              <w:rPr>
                <w:rFonts w:ascii="宋体" w:hAnsi="宋体"/>
                <w:sz w:val="24"/>
                <w:vertAlign w:val="subscript"/>
              </w:rPr>
              <w:t>3</w:t>
            </w:r>
            <w:r>
              <w:rPr>
                <w:rFonts w:ascii="宋体" w:hAnsi="宋体"/>
                <w:sz w:val="24"/>
              </w:rPr>
              <w:t>+4N</w:t>
            </w:r>
            <w:r>
              <w:rPr>
                <w:rFonts w:ascii="宋体" w:hAnsi="宋体"/>
                <w:sz w:val="24"/>
                <w:vertAlign w:val="subscript"/>
              </w:rPr>
              <w:t xml:space="preserve">2 </w:t>
            </w:r>
            <w:r>
              <w:rPr>
                <w:rFonts w:ascii="宋体" w:hAnsi="宋体"/>
                <w:sz w:val="24"/>
              </w:rPr>
              <w:t>+</w:t>
            </w:r>
            <w:r>
              <w:rPr>
                <w:rFonts w:hint="eastAsia" w:ascii="宋体" w:hAnsi="宋体"/>
                <w:sz w:val="24"/>
              </w:rPr>
              <w:t xml:space="preserve"> N</w:t>
            </w:r>
            <w:r>
              <w:rPr>
                <w:rFonts w:ascii="宋体" w:hAnsi="宋体"/>
                <w:sz w:val="24"/>
              </w:rPr>
              <w:t>a</w:t>
            </w:r>
            <w:r>
              <w:rPr>
                <w:rFonts w:ascii="宋体" w:hAnsi="宋体"/>
                <w:sz w:val="24"/>
                <w:vertAlign w:val="subscript"/>
              </w:rPr>
              <w:t>2</w:t>
            </w:r>
            <w:r>
              <w:rPr>
                <w:rFonts w:ascii="宋体" w:hAnsi="宋体"/>
                <w:sz w:val="24"/>
              </w:rPr>
              <w:t>O</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rFonts w:ascii="宋体" w:hAnsi="宋体" w:cs="宋体"/>
                <w:kern w:val="0"/>
                <w:sz w:val="24"/>
                <w:highlight w:val="red"/>
              </w:rPr>
            </w:pPr>
            <w:r>
              <w:rPr>
                <w:rFonts w:hint="eastAsia" w:ascii="宋体" w:hAnsi="宋体" w:cs="宋体"/>
                <w:kern w:val="0"/>
                <w:sz w:val="24"/>
              </w:rPr>
              <w:t>黑色氧化膜的形成：4</w:t>
            </w:r>
            <w:r>
              <w:rPr>
                <w:rFonts w:hint="eastAsia" w:ascii="宋体" w:hAnsi="宋体"/>
                <w:sz w:val="24"/>
              </w:rPr>
              <w:t>N</w:t>
            </w:r>
            <w:r>
              <w:rPr>
                <w:rFonts w:ascii="宋体" w:hAnsi="宋体"/>
                <w:sz w:val="24"/>
              </w:rPr>
              <w:t>aNO</w:t>
            </w:r>
            <w:r>
              <w:rPr>
                <w:rFonts w:ascii="宋体" w:hAnsi="宋体"/>
                <w:sz w:val="24"/>
                <w:vertAlign w:val="subscript"/>
              </w:rPr>
              <w:t>2</w:t>
            </w:r>
            <w:r>
              <w:rPr>
                <w:rFonts w:hint="eastAsia" w:ascii="宋体" w:hAnsi="宋体" w:cs="宋体"/>
                <w:kern w:val="0"/>
                <w:sz w:val="24"/>
              </w:rPr>
              <w:t>→3</w:t>
            </w:r>
            <w:r>
              <w:rPr>
                <w:rFonts w:ascii="宋体" w:hAnsi="宋体" w:cs="宋体"/>
                <w:kern w:val="0"/>
                <w:sz w:val="24"/>
              </w:rPr>
              <w:t>O</w:t>
            </w:r>
            <w:r>
              <w:rPr>
                <w:rFonts w:ascii="宋体" w:hAnsi="宋体" w:cs="宋体"/>
                <w:kern w:val="0"/>
                <w:sz w:val="24"/>
                <w:vertAlign w:val="subscript"/>
              </w:rPr>
              <w:t>2</w:t>
            </w:r>
            <w:r>
              <w:rPr>
                <w:rFonts w:hint="eastAsia" w:ascii="宋体" w:hAnsi="宋体" w:cs="宋体"/>
                <w:kern w:val="0"/>
                <w:sz w:val="24"/>
              </w:rPr>
              <w:t>+</w:t>
            </w:r>
            <w:r>
              <w:rPr>
                <w:rFonts w:ascii="宋体" w:hAnsi="宋体"/>
                <w:sz w:val="24"/>
              </w:rPr>
              <w:t xml:space="preserve"> 2N</w:t>
            </w:r>
            <w:r>
              <w:rPr>
                <w:rFonts w:ascii="宋体" w:hAnsi="宋体"/>
                <w:sz w:val="24"/>
                <w:vertAlign w:val="subscript"/>
              </w:rPr>
              <w:t xml:space="preserve">2 </w:t>
            </w:r>
            <w:r>
              <w:rPr>
                <w:rFonts w:ascii="宋体" w:hAnsi="宋体"/>
                <w:sz w:val="24"/>
              </w:rPr>
              <w:t>+</w:t>
            </w:r>
            <w:r>
              <w:rPr>
                <w:rFonts w:hint="eastAsia" w:ascii="宋体" w:hAnsi="宋体"/>
                <w:sz w:val="24"/>
              </w:rPr>
              <w:t xml:space="preserve"> </w:t>
            </w:r>
            <w:r>
              <w:rPr>
                <w:rFonts w:ascii="宋体" w:hAnsi="宋体"/>
                <w:sz w:val="24"/>
              </w:rPr>
              <w:t>2</w:t>
            </w:r>
            <w:r>
              <w:rPr>
                <w:rFonts w:hint="eastAsia" w:ascii="宋体" w:hAnsi="宋体"/>
                <w:sz w:val="24"/>
              </w:rPr>
              <w:t>N</w:t>
            </w:r>
            <w:r>
              <w:rPr>
                <w:rFonts w:ascii="宋体" w:hAnsi="宋体"/>
                <w:sz w:val="24"/>
              </w:rPr>
              <w:t>a</w:t>
            </w:r>
            <w:r>
              <w:rPr>
                <w:rFonts w:ascii="宋体" w:hAnsi="宋体"/>
                <w:sz w:val="24"/>
                <w:vertAlign w:val="subscript"/>
              </w:rPr>
              <w:t>2</w:t>
            </w:r>
            <w:r>
              <w:rPr>
                <w:rFonts w:ascii="宋体" w:hAnsi="宋体"/>
                <w:sz w:val="24"/>
              </w:rPr>
              <w:t>O</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2640" w:firstLineChars="11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Fe+</w:t>
            </w:r>
            <w:r>
              <w:rPr>
                <w:rFonts w:ascii="宋体" w:hAnsi="宋体" w:cs="宋体"/>
                <w:kern w:val="0"/>
                <w:sz w:val="24"/>
              </w:rPr>
              <w:t>2</w:t>
            </w:r>
            <w:r>
              <w:rPr>
                <w:rFonts w:hint="eastAsia" w:ascii="宋体" w:hAnsi="宋体" w:cs="宋体"/>
                <w:kern w:val="0"/>
                <w:sz w:val="24"/>
              </w:rPr>
              <w:t>O</w:t>
            </w:r>
            <w:r>
              <w:rPr>
                <w:rFonts w:ascii="宋体" w:hAnsi="宋体" w:cs="宋体"/>
                <w:kern w:val="0"/>
                <w:sz w:val="24"/>
                <w:vertAlign w:val="subscript"/>
              </w:rPr>
              <w:t>2</w:t>
            </w:r>
            <w:r>
              <w:rPr>
                <w:rFonts w:hint="eastAsia" w:ascii="宋体" w:hAnsi="宋体" w:cs="宋体"/>
                <w:kern w:val="0"/>
                <w:sz w:val="24"/>
              </w:rPr>
              <w:t>→Fe</w:t>
            </w:r>
            <w:r>
              <w:rPr>
                <w:rFonts w:hint="eastAsia" w:ascii="宋体" w:hAnsi="宋体" w:cs="宋体"/>
                <w:kern w:val="0"/>
                <w:sz w:val="24"/>
                <w:vertAlign w:val="subscript"/>
              </w:rPr>
              <w:t>3</w:t>
            </w:r>
            <w:r>
              <w:rPr>
                <w:rFonts w:hint="eastAsia" w:ascii="宋体" w:hAnsi="宋体" w:cs="宋体"/>
                <w:kern w:val="0"/>
                <w:sz w:val="24"/>
              </w:rPr>
              <w:t>O</w:t>
            </w:r>
            <w:r>
              <w:rPr>
                <w:rFonts w:hint="eastAsia" w:ascii="宋体" w:hAnsi="宋体" w:cs="宋体"/>
                <w:kern w:val="0"/>
                <w:sz w:val="24"/>
                <w:vertAlign w:val="subscript"/>
              </w:rPr>
              <w:t>4</w:t>
            </w:r>
          </w:p>
          <w:p>
            <w:pPr>
              <w:adjustRightInd w:val="0"/>
              <w:snapToGrid w:val="0"/>
              <w:spacing w:line="360" w:lineRule="auto"/>
              <w:ind w:firstLine="480"/>
              <w:rPr>
                <w:rFonts w:ascii="宋体" w:hAnsi="宋体"/>
                <w:sz w:val="24"/>
              </w:rPr>
            </w:pPr>
            <w:r>
              <w:rPr>
                <w:rFonts w:ascii="宋体" w:hAnsi="宋体"/>
                <w:b/>
                <w:sz w:val="24"/>
              </w:rPr>
              <w:t>操作</w:t>
            </w:r>
            <w:r>
              <w:rPr>
                <w:rFonts w:hint="eastAsia" w:ascii="宋体" w:hAnsi="宋体"/>
                <w:b/>
                <w:sz w:val="24"/>
              </w:rPr>
              <w:t>：</w:t>
            </w:r>
            <w:r>
              <w:rPr>
                <w:rFonts w:ascii="宋体" w:hAnsi="宋体"/>
                <w:sz w:val="24"/>
              </w:rPr>
              <w:t>用电动葫芦将氮化后的工件吊入电加热的氧化炉中进行盐浴氧化</w:t>
            </w:r>
            <w:r>
              <w:rPr>
                <w:rFonts w:hint="eastAsia" w:ascii="宋体" w:hAnsi="宋体"/>
                <w:sz w:val="24"/>
              </w:rPr>
              <w:t>。氧化炉温度3</w:t>
            </w:r>
            <w:r>
              <w:rPr>
                <w:rFonts w:ascii="宋体" w:hAnsi="宋体"/>
                <w:sz w:val="24"/>
              </w:rPr>
              <w:t>80</w:t>
            </w:r>
            <w:r>
              <w:rPr>
                <w:sz w:val="24"/>
              </w:rPr>
              <w:t>~</w:t>
            </w:r>
            <w:r>
              <w:rPr>
                <w:rFonts w:ascii="宋体" w:hAnsi="宋体"/>
                <w:sz w:val="24"/>
              </w:rPr>
              <w:t>450</w:t>
            </w:r>
            <w:r>
              <w:rPr>
                <w:rFonts w:hint="eastAsia" w:ascii="宋体" w:hAnsi="宋体"/>
                <w:sz w:val="24"/>
              </w:rPr>
              <w:t>℃，</w:t>
            </w:r>
            <w:r>
              <w:rPr>
                <w:rFonts w:ascii="宋体" w:hAnsi="宋体"/>
                <w:sz w:val="24"/>
              </w:rPr>
              <w:t>炉中氧化盐处于熔融状态</w:t>
            </w:r>
            <w:r>
              <w:rPr>
                <w:rFonts w:hint="eastAsia" w:ascii="宋体" w:hAnsi="宋体"/>
                <w:sz w:val="24"/>
              </w:rPr>
              <w:t>，</w:t>
            </w:r>
            <w:r>
              <w:rPr>
                <w:rFonts w:ascii="宋体" w:hAnsi="宋体"/>
                <w:sz w:val="24"/>
              </w:rPr>
              <w:t>处理时间约</w:t>
            </w:r>
            <w:r>
              <w:rPr>
                <w:rFonts w:hint="eastAsia" w:ascii="宋体" w:hAnsi="宋体"/>
                <w:sz w:val="24"/>
              </w:rPr>
              <w:t>1</w:t>
            </w:r>
            <w:r>
              <w:rPr>
                <w:rFonts w:ascii="宋体" w:hAnsi="宋体"/>
                <w:sz w:val="24"/>
              </w:rPr>
              <w:t>5min</w:t>
            </w:r>
            <w:r>
              <w:rPr>
                <w:rFonts w:hint="eastAsia" w:ascii="宋体" w:hAnsi="宋体"/>
                <w:sz w:val="24"/>
              </w:rPr>
              <w:t>。氧化盐除了第一次开始生产时熔化装满氧化炉外，在正常生产中浴面下降时，应人工加入氧化盐以提高浴面。</w:t>
            </w:r>
          </w:p>
          <w:p>
            <w:pPr>
              <w:adjustRightInd w:val="0"/>
              <w:snapToGrid w:val="0"/>
              <w:spacing w:line="360" w:lineRule="auto"/>
              <w:ind w:firstLine="480"/>
              <w:rPr>
                <w:rFonts w:ascii="宋体" w:hAnsi="宋体"/>
                <w:sz w:val="24"/>
              </w:rPr>
            </w:pPr>
            <w:r>
              <w:rPr>
                <w:rFonts w:hint="eastAsia" w:ascii="宋体" w:hAnsi="宋体"/>
                <w:sz w:val="24"/>
              </w:rPr>
              <w:t>8）清洗</w:t>
            </w:r>
          </w:p>
          <w:p>
            <w:pPr>
              <w:adjustRightInd w:val="0"/>
              <w:snapToGrid w:val="0"/>
              <w:spacing w:line="360" w:lineRule="auto"/>
              <w:ind w:firstLine="480"/>
              <w:rPr>
                <w:rFonts w:ascii="宋体" w:hAnsi="宋体"/>
                <w:sz w:val="24"/>
              </w:rPr>
            </w:pPr>
            <w:r>
              <w:rPr>
                <w:rFonts w:ascii="宋体" w:hAnsi="宋体"/>
                <w:sz w:val="24"/>
              </w:rPr>
              <w:t>工件从氧化炉出来以后表面上附着一层氧化盐</w:t>
            </w:r>
            <w:r>
              <w:rPr>
                <w:rFonts w:hint="eastAsia" w:ascii="宋体" w:hAnsi="宋体"/>
                <w:sz w:val="24"/>
              </w:rPr>
              <w:t>，</w:t>
            </w:r>
            <w:r>
              <w:rPr>
                <w:rFonts w:ascii="宋体" w:hAnsi="宋体"/>
                <w:sz w:val="24"/>
              </w:rPr>
              <w:t>因此必须进行清洗</w:t>
            </w:r>
            <w:r>
              <w:rPr>
                <w:rFonts w:hint="eastAsia" w:ascii="宋体" w:hAnsi="宋体"/>
                <w:sz w:val="24"/>
              </w:rPr>
              <w:t>。</w:t>
            </w:r>
            <w:r>
              <w:rPr>
                <w:rFonts w:ascii="宋体" w:hAnsi="宋体"/>
                <w:sz w:val="24"/>
              </w:rPr>
              <w:t>本项目一次清洗及二次清洗均采用</w:t>
            </w:r>
            <w:r>
              <w:rPr>
                <w:rFonts w:hint="eastAsia" w:ascii="宋体" w:hAnsi="宋体"/>
                <w:sz w:val="24"/>
              </w:rPr>
              <w:t>5级清洗。</w:t>
            </w:r>
          </w:p>
          <w:p>
            <w:pPr>
              <w:adjustRightInd w:val="0"/>
              <w:snapToGrid w:val="0"/>
              <w:spacing w:line="360" w:lineRule="auto"/>
              <w:ind w:firstLine="480"/>
              <w:rPr>
                <w:rFonts w:ascii="宋体" w:hAnsi="宋体"/>
                <w:sz w:val="24"/>
              </w:rPr>
            </w:pPr>
            <w:r>
              <w:rPr>
                <w:rFonts w:ascii="宋体" w:hAnsi="宋体"/>
                <w:sz w:val="24"/>
              </w:rPr>
              <w:t>将氧化后的工件吊入第一个清洗槽中进行清洗</w:t>
            </w:r>
            <w:r>
              <w:rPr>
                <w:rFonts w:hint="eastAsia" w:ascii="宋体" w:hAnsi="宋体"/>
                <w:sz w:val="24"/>
              </w:rPr>
              <w:t>，之后依次进行5级清洗。其中第一个清洗槽中的清洗废水中盐浓度较高，收集后采用过滤、蒸馏浓缩回收固体盐后，蒸馏的水蒸气经冷却收集后作为第一级清洗槽清洗水回用，不外排，后一级清洗废水作为前一级清洗用水综合利用。因此，该过程中产生的废水主要第一级冷水桶中产生的清洗废水。回收的固体盐作为氧化盐回用，不外排。</w:t>
            </w:r>
          </w:p>
          <w:p>
            <w:pPr>
              <w:adjustRightInd w:val="0"/>
              <w:snapToGrid w:val="0"/>
              <w:spacing w:line="360" w:lineRule="auto"/>
              <w:ind w:firstLine="480"/>
              <w:rPr>
                <w:rFonts w:ascii="宋体" w:hAnsi="宋体"/>
                <w:sz w:val="24"/>
              </w:rPr>
            </w:pPr>
            <w:r>
              <w:rPr>
                <w:rFonts w:hint="eastAsia" w:ascii="宋体" w:hAnsi="宋体"/>
                <w:sz w:val="24"/>
              </w:rPr>
              <w:t>9）一次表面抛光、二次表面抛光</w:t>
            </w:r>
          </w:p>
          <w:p>
            <w:pPr>
              <w:adjustRightInd w:val="0"/>
              <w:snapToGrid w:val="0"/>
              <w:spacing w:line="360" w:lineRule="auto"/>
              <w:ind w:firstLine="480"/>
              <w:rPr>
                <w:rFonts w:ascii="宋体" w:hAnsi="宋体"/>
                <w:sz w:val="24"/>
              </w:rPr>
            </w:pPr>
            <w:r>
              <w:rPr>
                <w:rFonts w:ascii="宋体" w:hAnsi="宋体"/>
                <w:sz w:val="24"/>
              </w:rPr>
              <w:t>对</w:t>
            </w:r>
            <w:r>
              <w:rPr>
                <w:rFonts w:hint="eastAsia" w:ascii="宋体" w:hAnsi="宋体"/>
                <w:sz w:val="24"/>
              </w:rPr>
              <w:t>清洗</w:t>
            </w:r>
            <w:r>
              <w:rPr>
                <w:rFonts w:ascii="宋体" w:hAnsi="宋体"/>
                <w:sz w:val="24"/>
              </w:rPr>
              <w:t>后的工件进行</w:t>
            </w:r>
            <w:r>
              <w:rPr>
                <w:rFonts w:hint="eastAsia" w:ascii="宋体" w:hAnsi="宋体"/>
                <w:sz w:val="24"/>
              </w:rPr>
              <w:t>抛光</w:t>
            </w:r>
            <w:r>
              <w:rPr>
                <w:rFonts w:ascii="宋体" w:hAnsi="宋体"/>
                <w:sz w:val="24"/>
              </w:rPr>
              <w:t>处理</w:t>
            </w:r>
            <w:r>
              <w:rPr>
                <w:rFonts w:hint="eastAsia" w:ascii="宋体" w:hAnsi="宋体"/>
                <w:sz w:val="24"/>
              </w:rPr>
              <w:t>，</w:t>
            </w:r>
            <w:r>
              <w:rPr>
                <w:rFonts w:ascii="宋体" w:hAnsi="宋体"/>
                <w:sz w:val="24"/>
              </w:rPr>
              <w:t>以去除表面氧化皮等杂质提高外观质量</w:t>
            </w:r>
            <w:r>
              <w:rPr>
                <w:rFonts w:hint="eastAsia" w:ascii="宋体" w:hAnsi="宋体"/>
                <w:sz w:val="24"/>
              </w:rPr>
              <w:t>。</w:t>
            </w:r>
          </w:p>
          <w:p>
            <w:pPr>
              <w:adjustRightInd w:val="0"/>
              <w:snapToGrid w:val="0"/>
              <w:spacing w:line="360" w:lineRule="auto"/>
              <w:ind w:firstLine="48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w:t>
            </w:r>
            <w:r>
              <w:rPr>
                <w:rFonts w:ascii="宋体" w:hAnsi="宋体"/>
                <w:sz w:val="24"/>
              </w:rPr>
              <w:t>后清洗</w:t>
            </w:r>
          </w:p>
          <w:p>
            <w:pPr>
              <w:adjustRightInd w:val="0"/>
              <w:snapToGrid w:val="0"/>
              <w:spacing w:line="360" w:lineRule="auto"/>
              <w:ind w:firstLine="480"/>
              <w:rPr>
                <w:rFonts w:ascii="宋体" w:hAnsi="宋体"/>
                <w:sz w:val="24"/>
              </w:rPr>
            </w:pPr>
            <w:r>
              <w:rPr>
                <w:rFonts w:hint="eastAsia" w:ascii="宋体" w:hAnsi="宋体"/>
                <w:sz w:val="24"/>
              </w:rPr>
              <w:t>用自动清洗设备对抛光后的工件进行清洗，本工序用水清洗。清洗废水经收集后作为模具的冷却用水。</w:t>
            </w:r>
          </w:p>
          <w:p>
            <w:pPr>
              <w:adjustRightInd w:val="0"/>
              <w:snapToGrid w:val="0"/>
              <w:spacing w:line="360" w:lineRule="auto"/>
              <w:ind w:firstLine="48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）检验入库</w:t>
            </w:r>
          </w:p>
          <w:p>
            <w:pPr>
              <w:adjustRightInd w:val="0"/>
              <w:snapToGrid w:val="0"/>
              <w:spacing w:line="360" w:lineRule="auto"/>
              <w:rPr>
                <w:b/>
                <w:sz w:val="24"/>
              </w:rPr>
            </w:pPr>
            <w:r>
              <w:rPr>
                <w:rFonts w:hint="eastAsia"/>
                <w:b/>
                <w:sz w:val="24"/>
              </w:rPr>
              <w:t>三、项目施工期主要污染工序</w:t>
            </w:r>
          </w:p>
          <w:p>
            <w:pPr>
              <w:spacing w:line="480" w:lineRule="exact"/>
              <w:ind w:firstLine="480" w:firstLineChars="200"/>
              <w:jc w:val="left"/>
              <w:rPr>
                <w:sz w:val="24"/>
              </w:rPr>
            </w:pPr>
            <w:r>
              <w:rPr>
                <w:rFonts w:hint="eastAsia"/>
                <w:sz w:val="24"/>
              </w:rPr>
              <w:t>本项目系在原生产厂房进行设备安装，原有场地无环境遗留问题。项目施工期不用动土，仅对原有生产厂房进行粉刷装修、打扫卫生、设备安装、环保设施建设等，本环评在此仅做简单论述。</w:t>
            </w:r>
          </w:p>
          <w:p>
            <w:pPr>
              <w:spacing w:line="480" w:lineRule="exact"/>
              <w:ind w:firstLine="480" w:firstLineChars="200"/>
              <w:jc w:val="left"/>
              <w:rPr>
                <w:sz w:val="24"/>
              </w:rPr>
            </w:pPr>
            <w:r>
              <w:rPr>
                <w:rFonts w:hint="eastAsia"/>
                <w:sz w:val="24"/>
              </w:rPr>
              <w:t>对原有生产厂房进行粉刷装修、打扫卫生、设备安装、环保设施建设时，本环评要求加强车间通风，洒水降尘等方式处理扬尘，不会对环境造成大的影响。</w:t>
            </w:r>
          </w:p>
          <w:p>
            <w:pPr>
              <w:rPr>
                <w:b/>
                <w:sz w:val="28"/>
                <w:szCs w:val="28"/>
              </w:rPr>
            </w:pPr>
            <w:r>
              <w:rPr>
                <w:rFonts w:hint="eastAsia"/>
                <w:b/>
                <w:sz w:val="28"/>
                <w:szCs w:val="28"/>
              </w:rPr>
              <w:t>四、生产营运期主要污染工序</w:t>
            </w:r>
          </w:p>
          <w:p>
            <w:pPr>
              <w:spacing w:line="360" w:lineRule="auto"/>
              <w:ind w:firstLine="480" w:firstLineChars="200"/>
              <w:rPr>
                <w:sz w:val="24"/>
              </w:rPr>
            </w:pPr>
            <w:r>
              <w:rPr>
                <w:rFonts w:hint="eastAsia"/>
                <w:sz w:val="24"/>
              </w:rPr>
              <w:t>根据工程建设及运行的特性，其工程运行期产生的主要污染物及其处理措施有：</w:t>
            </w:r>
          </w:p>
          <w:p>
            <w:pPr>
              <w:spacing w:line="360" w:lineRule="auto"/>
              <w:ind w:firstLine="482" w:firstLineChars="200"/>
              <w:rPr>
                <w:b/>
                <w:sz w:val="24"/>
              </w:rPr>
            </w:pPr>
            <w:r>
              <w:rPr>
                <w:b/>
                <w:sz w:val="24"/>
              </w:rPr>
              <w:t>1、</w:t>
            </w:r>
            <w:r>
              <w:rPr>
                <w:rFonts w:hint="eastAsia"/>
                <w:b/>
                <w:sz w:val="24"/>
              </w:rPr>
              <w:t>废气排放及治理措施</w:t>
            </w:r>
          </w:p>
          <w:p>
            <w:pPr>
              <w:spacing w:line="360" w:lineRule="auto"/>
              <w:ind w:firstLine="480" w:firstLineChars="200"/>
              <w:rPr>
                <w:sz w:val="24"/>
              </w:rPr>
            </w:pPr>
            <w:r>
              <w:rPr>
                <w:rFonts w:hint="eastAsia"/>
                <w:sz w:val="24"/>
              </w:rPr>
              <w:t>本项目运营期产生废气主要为工件抛光粉尘、工件盐浴氮化过程产生的含氨废气。</w:t>
            </w:r>
          </w:p>
          <w:p>
            <w:pPr>
              <w:spacing w:line="360" w:lineRule="auto"/>
              <w:ind w:firstLine="480"/>
              <w:rPr>
                <w:sz w:val="24"/>
              </w:rPr>
            </w:pPr>
            <w:r>
              <w:rPr>
                <w:rFonts w:hint="eastAsia"/>
                <w:sz w:val="24"/>
              </w:rPr>
              <w:t>（1）抛光粉尘</w:t>
            </w:r>
          </w:p>
          <w:p>
            <w:pPr>
              <w:spacing w:line="360" w:lineRule="auto"/>
              <w:ind w:firstLine="480"/>
              <w:rPr>
                <w:sz w:val="24"/>
              </w:rPr>
            </w:pPr>
            <w:r>
              <w:rPr>
                <w:rFonts w:hint="eastAsia"/>
                <w:sz w:val="24"/>
              </w:rPr>
              <w:t>本项目生产过程中产生的抛光粉尘包括工件进行热处理后一次抛光与二次抛光工序产生的粉尘。</w:t>
            </w:r>
          </w:p>
          <w:p>
            <w:pPr>
              <w:spacing w:line="360" w:lineRule="auto"/>
              <w:ind w:firstLine="480"/>
              <w:rPr>
                <w:sz w:val="24"/>
              </w:rPr>
            </w:pPr>
            <w:r>
              <w:rPr>
                <w:sz w:val="24"/>
              </w:rPr>
              <w:t>工件热处理后</w:t>
            </w:r>
            <w:r>
              <w:rPr>
                <w:rFonts w:hint="eastAsia"/>
                <w:sz w:val="24"/>
              </w:rPr>
              <w:t>抛光</w:t>
            </w:r>
            <w:r>
              <w:rPr>
                <w:sz w:val="24"/>
              </w:rPr>
              <w:t>工序产生的粉尘</w:t>
            </w:r>
            <w:r>
              <w:rPr>
                <w:rFonts w:hint="eastAsia"/>
                <w:sz w:val="24"/>
              </w:rPr>
              <w:t>：根据同类型企业类比分析，项目在打磨过程产生的粉尘量约占原材料的0</w:t>
            </w:r>
            <w:r>
              <w:rPr>
                <w:sz w:val="24"/>
              </w:rPr>
              <w:t>.04</w:t>
            </w:r>
            <w:r>
              <w:rPr>
                <w:rFonts w:hint="eastAsia"/>
                <w:sz w:val="24"/>
              </w:rPr>
              <w:t>%，</w:t>
            </w:r>
            <w:r>
              <w:rPr>
                <w:sz w:val="24"/>
              </w:rPr>
              <w:t>即本项目在打磨工序产生的粉尘量为1.28t/a</w:t>
            </w:r>
            <w:r>
              <w:rPr>
                <w:rFonts w:hint="eastAsia"/>
                <w:sz w:val="24"/>
              </w:rPr>
              <w:t>。本评价要求设置一套布袋除尘设备，对产生的粉尘进行收集处理后排放。除尘设备的除尘效率约9</w:t>
            </w:r>
            <w:r>
              <w:rPr>
                <w:sz w:val="24"/>
              </w:rPr>
              <w:t>9</w:t>
            </w:r>
            <w:r>
              <w:rPr>
                <w:rFonts w:hint="eastAsia"/>
                <w:sz w:val="24"/>
              </w:rPr>
              <w:t>%，</w:t>
            </w:r>
            <w:r>
              <w:rPr>
                <w:sz w:val="24"/>
              </w:rPr>
              <w:t>则本项目打磨工序产生的粉尘排放量为</w:t>
            </w:r>
            <w:r>
              <w:rPr>
                <w:rFonts w:hint="eastAsia"/>
                <w:sz w:val="24"/>
              </w:rPr>
              <w:t>0</w:t>
            </w:r>
            <w:r>
              <w:rPr>
                <w:sz w:val="24"/>
              </w:rPr>
              <w:t>.0128t/a</w:t>
            </w:r>
            <w:r>
              <w:rPr>
                <w:rFonts w:hint="eastAsia"/>
                <w:sz w:val="24"/>
              </w:rPr>
              <w:t>，0</w:t>
            </w:r>
            <w:r>
              <w:rPr>
                <w:sz w:val="24"/>
              </w:rPr>
              <w:t>.00019 kg/h</w:t>
            </w:r>
            <w:r>
              <w:rPr>
                <w:rFonts w:hint="eastAsia"/>
                <w:sz w:val="24"/>
              </w:rPr>
              <w:t>。</w:t>
            </w:r>
          </w:p>
          <w:p>
            <w:pPr>
              <w:spacing w:line="360" w:lineRule="auto"/>
              <w:ind w:firstLine="480"/>
              <w:rPr>
                <w:sz w:val="24"/>
              </w:rPr>
            </w:pPr>
            <w:r>
              <w:rPr>
                <w:rFonts w:hint="eastAsia"/>
                <w:sz w:val="24"/>
              </w:rPr>
              <w:t>（</w:t>
            </w:r>
            <w:r>
              <w:rPr>
                <w:sz w:val="24"/>
              </w:rPr>
              <w:t>2</w:t>
            </w:r>
            <w:r>
              <w:rPr>
                <w:rFonts w:hint="eastAsia"/>
                <w:sz w:val="24"/>
              </w:rPr>
              <w:t>）工件盐浴氮化过程产生的含氨废气</w:t>
            </w:r>
          </w:p>
          <w:p>
            <w:pPr>
              <w:spacing w:line="360" w:lineRule="auto"/>
              <w:ind w:firstLine="480" w:firstLineChars="200"/>
              <w:rPr>
                <w:sz w:val="24"/>
              </w:rPr>
            </w:pPr>
            <w:r>
              <w:rPr>
                <w:sz w:val="24"/>
              </w:rPr>
              <w:t>根据氮化原理</w:t>
            </w:r>
            <w:r>
              <w:rPr>
                <w:rFonts w:hint="eastAsia"/>
                <w:sz w:val="24"/>
              </w:rPr>
              <w:t>，</w:t>
            </w:r>
            <w:r>
              <w:rPr>
                <w:sz w:val="24"/>
              </w:rPr>
              <w:t>项目</w:t>
            </w:r>
            <w:r>
              <w:rPr>
                <w:rFonts w:hint="eastAsia"/>
                <w:sz w:val="24"/>
              </w:rPr>
              <w:t>工件在盐浴氮化过程中会产生氨气。项目三聚氰胺的用量为2</w:t>
            </w:r>
            <w:r>
              <w:rPr>
                <w:sz w:val="24"/>
              </w:rPr>
              <w:t>0t/a</w:t>
            </w:r>
            <w:r>
              <w:rPr>
                <w:rFonts w:hint="eastAsia"/>
                <w:sz w:val="24"/>
              </w:rPr>
              <w:t>，</w:t>
            </w:r>
            <w:r>
              <w:rPr>
                <w:sz w:val="24"/>
              </w:rPr>
              <w:t>故氨的产生量为</w:t>
            </w:r>
            <w:r>
              <w:rPr>
                <w:rFonts w:hint="eastAsia"/>
                <w:sz w:val="24"/>
              </w:rPr>
              <w:t>5</w:t>
            </w:r>
            <w:r>
              <w:rPr>
                <w:sz w:val="24"/>
              </w:rPr>
              <w:t>.4t/a</w:t>
            </w:r>
            <w:r>
              <w:rPr>
                <w:rFonts w:hint="eastAsia"/>
                <w:sz w:val="24"/>
              </w:rPr>
              <w:t>，0</w:t>
            </w:r>
            <w:r>
              <w:rPr>
                <w:sz w:val="24"/>
              </w:rPr>
              <w:t>.8kg/h</w:t>
            </w:r>
            <w:r>
              <w:rPr>
                <w:rFonts w:hint="eastAsia"/>
                <w:sz w:val="24"/>
              </w:rPr>
              <w:t>。本评价要求在氮化炉上方设置集气罩（风量为5</w:t>
            </w:r>
            <w:r>
              <w:rPr>
                <w:sz w:val="24"/>
              </w:rPr>
              <w:t>000m</w:t>
            </w:r>
            <w:r>
              <w:rPr>
                <w:sz w:val="24"/>
                <w:vertAlign w:val="superscript"/>
              </w:rPr>
              <w:t>3</w:t>
            </w:r>
            <w:r>
              <w:rPr>
                <w:sz w:val="24"/>
              </w:rPr>
              <w:t>/h</w:t>
            </w:r>
            <w:r>
              <w:rPr>
                <w:rFonts w:hint="eastAsia"/>
                <w:sz w:val="24"/>
              </w:rPr>
              <w:t>，集气效率不低于9</w:t>
            </w:r>
            <w:r>
              <w:rPr>
                <w:sz w:val="24"/>
              </w:rPr>
              <w:t>5</w:t>
            </w:r>
            <w:r>
              <w:rPr>
                <w:rFonts w:hint="eastAsia"/>
                <w:sz w:val="24"/>
              </w:rPr>
              <w:t>%），且表面处理工序设置在封闭厂房内，且在厂房上方设置负压抽风系统，收集的废气经管道收集后采用“水喷淋+</w:t>
            </w:r>
            <w:r>
              <w:rPr>
                <w:sz w:val="24"/>
              </w:rPr>
              <w:t>3级串联光氧催化</w:t>
            </w:r>
            <w:r>
              <w:rPr>
                <w:rFonts w:hint="eastAsia"/>
                <w:sz w:val="24"/>
              </w:rPr>
              <w:t>+</w:t>
            </w:r>
            <w:r>
              <w:rPr>
                <w:sz w:val="24"/>
              </w:rPr>
              <w:t>15m高排气筒</w:t>
            </w:r>
            <w:r>
              <w:rPr>
                <w:rFonts w:hint="eastAsia"/>
                <w:sz w:val="24"/>
              </w:rPr>
              <w:t>”的处理措施。项目设备上方设置集气罩与厂房负压抽风的情况下，含氨废气集气效率很高（约9</w:t>
            </w:r>
            <w:r>
              <w:rPr>
                <w:sz w:val="24"/>
              </w:rPr>
              <w:t>9.9</w:t>
            </w:r>
            <w:r>
              <w:rPr>
                <w:rFonts w:hint="eastAsia"/>
                <w:sz w:val="24"/>
              </w:rPr>
              <w:t>%），水喷淋的处理效率不低于</w:t>
            </w:r>
            <w:r>
              <w:rPr>
                <w:sz w:val="24"/>
              </w:rPr>
              <w:t>90</w:t>
            </w:r>
            <w:r>
              <w:rPr>
                <w:rFonts w:hint="eastAsia"/>
                <w:sz w:val="24"/>
              </w:rPr>
              <w:t>%，单级光氧催化的处理效率不低于5</w:t>
            </w:r>
            <w:r>
              <w:rPr>
                <w:sz w:val="24"/>
              </w:rPr>
              <w:t>0</w:t>
            </w:r>
            <w:r>
              <w:rPr>
                <w:rFonts w:hint="eastAsia"/>
                <w:sz w:val="24"/>
              </w:rPr>
              <w:t>%，</w:t>
            </w:r>
            <w:r>
              <w:rPr>
                <w:sz w:val="24"/>
              </w:rPr>
              <w:t>因此本项目含氨废气有组织</w:t>
            </w:r>
            <w:r>
              <w:rPr>
                <w:rFonts w:hint="eastAsia"/>
                <w:sz w:val="24"/>
              </w:rPr>
              <w:t>排放量为</w:t>
            </w:r>
            <w:r>
              <w:rPr>
                <w:sz w:val="24"/>
              </w:rPr>
              <w:t>0.068t/a</w:t>
            </w:r>
            <w:r>
              <w:rPr>
                <w:rFonts w:hint="eastAsia"/>
                <w:sz w:val="24"/>
              </w:rPr>
              <w:t>，0</w:t>
            </w:r>
            <w:r>
              <w:rPr>
                <w:sz w:val="24"/>
              </w:rPr>
              <w:t>.01kg/h</w:t>
            </w:r>
            <w:r>
              <w:rPr>
                <w:rFonts w:hint="eastAsia"/>
                <w:sz w:val="24"/>
              </w:rPr>
              <w:t>，</w:t>
            </w:r>
            <w:r>
              <w:rPr>
                <w:sz w:val="24"/>
              </w:rPr>
              <w:t>2.0mg/m</w:t>
            </w:r>
            <w:r>
              <w:rPr>
                <w:sz w:val="24"/>
                <w:vertAlign w:val="superscript"/>
              </w:rPr>
              <w:t>3</w:t>
            </w:r>
            <w:r>
              <w:rPr>
                <w:rFonts w:hint="eastAsia"/>
                <w:sz w:val="24"/>
              </w:rPr>
              <w:t>，因此氨气的排放浓度满足《恶臭污染物排放标准》（G</w:t>
            </w:r>
            <w:r>
              <w:rPr>
                <w:sz w:val="24"/>
              </w:rPr>
              <w:t>B14554-93</w:t>
            </w:r>
            <w:r>
              <w:rPr>
                <w:rFonts w:hint="eastAsia"/>
                <w:sz w:val="24"/>
              </w:rPr>
              <w:t>）中表2中排放标准要求。</w:t>
            </w:r>
          </w:p>
          <w:p>
            <w:pPr>
              <w:spacing w:line="360" w:lineRule="auto"/>
              <w:ind w:firstLine="480"/>
              <w:rPr>
                <w:sz w:val="24"/>
              </w:rPr>
            </w:pPr>
            <w:r>
              <w:rPr>
                <w:sz w:val="24"/>
              </w:rPr>
              <w:pict>
                <v:group id="画布 1526" o:spid="_x0000_s16120" o:spt="203" style="height:112.4pt;width:431.85pt;" coordorigin="3173,8085" coordsize="8637,2248" editas="canvas">
                  <o:lock v:ext="edit"/>
                  <v:shape id="画布 1526" o:spid="_x0000_s16121" o:spt="75" type="#_x0000_t75" style="position:absolute;left:3173;top:8085;height:2248;width:8637;" filled="f" o:preferrelative="f" stroked="f" coordsize="21600,21600">
                    <v:fill on="f" focussize="0,0"/>
                    <v:stroke on="f" joinstyle="miter"/>
                    <v:imagedata o:title=""/>
                    <o:lock v:ext="edit" rotation="t" text="t" aspectratio="t"/>
                  </v:shape>
                  <v:rect id="矩形 1529" o:spid="_x0000_s16122" o:spt="1" style="position:absolute;left:3173;top:8626;height:868;width:1036;" stroked="t" coordsize="21600,21600">
                    <v:path/>
                    <v:fill focussize="0,0"/>
                    <v:stroke color="#FFFFFF"/>
                    <v:imagedata o:title=""/>
                    <o:lock v:ext="edit"/>
                    <v:textbox>
                      <w:txbxContent>
                        <w:p>
                          <w:r>
                            <w:t>含氨</w:t>
                          </w:r>
                        </w:p>
                        <w:p>
                          <w:r>
                            <w:t>废气</w:t>
                          </w:r>
                        </w:p>
                      </w:txbxContent>
                    </v:textbox>
                  </v:rect>
                  <v:rect id="矩形 1527" o:spid="_x0000_s16123" o:spt="1" style="position:absolute;left:4095;top:8626;height:838;width:1156;" coordsize="21600,21600">
                    <v:path/>
                    <v:fill focussize="0,0"/>
                    <v:stroke/>
                    <v:imagedata o:title=""/>
                    <o:lock v:ext="edit"/>
                    <v:textbox>
                      <w:txbxContent>
                        <w:p>
                          <w:r>
                            <w:t>集气罩</w:t>
                          </w:r>
                          <w:r>
                            <w:rPr>
                              <w:rFonts w:hint="eastAsia"/>
                            </w:rPr>
                            <w:t>、负压</w:t>
                          </w:r>
                          <w:r>
                            <w:t>抽风</w:t>
                          </w:r>
                        </w:p>
                      </w:txbxContent>
                    </v:textbox>
                  </v:rect>
                  <v:shape id="自选图形 1528" o:spid="_x0000_s16124" o:spt="32" type="#_x0000_t32" style="position:absolute;left:3315;top:9045;flip:y;height:7;width:780;" o:connectortype="straight" filled="f" coordsize="21600,21600">
                    <v:path arrowok="t"/>
                    <v:fill on="f" focussize="0,0"/>
                    <v:stroke endarrow="block"/>
                    <v:imagedata o:title=""/>
                    <o:lock v:ext="edit"/>
                  </v:shape>
                  <v:rect id="矩形 1531" o:spid="_x0000_s16125" o:spt="1" style="position:absolute;left:5936;top:8792;height:491;width:1231;" coordsize="21600,21600">
                    <v:path/>
                    <v:fill focussize="0,0"/>
                    <v:stroke/>
                    <v:imagedata o:title=""/>
                    <o:lock v:ext="edit"/>
                    <v:textbox>
                      <w:txbxContent>
                        <w:p>
                          <w:r>
                            <w:t>水</w:t>
                          </w:r>
                          <w:r>
                            <w:rPr>
                              <w:rFonts w:hint="eastAsia"/>
                            </w:rPr>
                            <w:t>喷淋塔</w:t>
                          </w:r>
                        </w:p>
                      </w:txbxContent>
                    </v:textbox>
                  </v:rect>
                  <v:rect id="矩形 1532" o:spid="_x0000_s16126" o:spt="1" style="position:absolute;left:7826;top:8807;height:474;width:1210;" coordsize="21600,21600">
                    <v:path/>
                    <v:fill focussize="0,0"/>
                    <v:stroke/>
                    <v:imagedata o:title=""/>
                    <o:lock v:ext="edit"/>
                    <v:textbox>
                      <w:txbxContent>
                        <w:p>
                          <w:r>
                            <w:t>光氧催化</w:t>
                          </w:r>
                        </w:p>
                      </w:txbxContent>
                    </v:textbox>
                  </v:rect>
                  <v:shape id="自选图形 1534" o:spid="_x0000_s16127" o:spt="32" type="#_x0000_t32" style="position:absolute;left:5322;top:9037;height:1;width:614;" o:connectortype="straight" filled="f" coordsize="21600,21600">
                    <v:path arrowok="t"/>
                    <v:fill on="f" focussize="0,0"/>
                    <v:stroke endarrow="block"/>
                    <v:imagedata o:title=""/>
                    <o:lock v:ext="edit"/>
                  </v:shape>
                  <v:shape id="自选图形 1535" o:spid="_x0000_s16128" o:spt="32" type="#_x0000_t32" style="position:absolute;left:7167;top:9038;height:6;width:659;" o:connectortype="straight" filled="f" coordsize="21600,21600">
                    <v:path arrowok="t"/>
                    <v:fill on="f" focussize="0,0"/>
                    <v:stroke endarrow="block"/>
                    <v:imagedata o:title=""/>
                    <o:lock v:ext="edit"/>
                  </v:shape>
                  <v:rect id="矩形 1640" o:spid="_x0000_s16129" o:spt="1" style="position:absolute;left:9821;top:8656;height:755;width:1210;" stroked="t" coordsize="21600,21600">
                    <v:path/>
                    <v:fill focussize="0,0"/>
                    <v:stroke color="#FFFFFF"/>
                    <v:imagedata o:title=""/>
                    <o:lock v:ext="edit"/>
                    <v:textbox>
                      <w:txbxContent>
                        <w:p>
                          <w:r>
                            <w:t>15m高排气筒排放</w:t>
                          </w:r>
                        </w:p>
                      </w:txbxContent>
                    </v:textbox>
                  </v:rect>
                  <v:shape id="自选图形 1641" o:spid="_x0000_s16130" o:spt="32" type="#_x0000_t32" style="position:absolute;left:9036;top:9034;flip:y;height:10;width:785;" o:connectortype="straight" filled="f" coordsize="21600,21600">
                    <v:path arrowok="t"/>
                    <v:fill on="f" focussize="0,0"/>
                    <v:stroke endarrow="block"/>
                    <v:imagedata o:title=""/>
                    <o:lock v:ext="edit"/>
                  </v:shape>
                  <v:shape id="文本框 1645" o:spid="_x0000_s16131" o:spt="202" type="#_x0000_t202" style="position:absolute;left:5025;top:9684;height:530;width:3540;" stroked="t" coordsize="21600,21600">
                    <v:path/>
                    <v:fill focussize="0,0"/>
                    <v:stroke color="#FFFFFF" joinstyle="miter"/>
                    <v:imagedata o:title=""/>
                    <o:lock v:ext="edit"/>
                    <v:textbox>
                      <w:txbxContent>
                        <w:p>
                          <w:pPr>
                            <w:rPr>
                              <w:b/>
                              <w:sz w:val="24"/>
                            </w:rPr>
                          </w:pPr>
                          <w:r>
                            <w:rPr>
                              <w:b/>
                              <w:color w:val="FF0000"/>
                              <w:sz w:val="24"/>
                            </w:rPr>
                            <w:t>图</w:t>
                          </w:r>
                          <w:r>
                            <w:rPr>
                              <w:rFonts w:hint="eastAsia"/>
                              <w:b/>
                              <w:color w:val="FF0000"/>
                              <w:sz w:val="24"/>
                            </w:rPr>
                            <w:t>5</w:t>
                          </w:r>
                          <w:r>
                            <w:rPr>
                              <w:b/>
                              <w:color w:val="FF0000"/>
                              <w:sz w:val="24"/>
                            </w:rPr>
                            <w:t>-2 含氨废气处理工艺流程</w:t>
                          </w:r>
                          <w:r>
                            <w:rPr>
                              <w:b/>
                              <w:sz w:val="24"/>
                            </w:rPr>
                            <w:t>图</w:t>
                          </w:r>
                        </w:p>
                      </w:txbxContent>
                    </v:textbox>
                  </v:shape>
                  <w10:wrap type="none"/>
                  <w10:anchorlock/>
                </v:group>
              </w:pict>
            </w:r>
          </w:p>
          <w:p>
            <w:pPr>
              <w:spacing w:line="360" w:lineRule="auto"/>
              <w:ind w:firstLine="480"/>
              <w:rPr>
                <w:sz w:val="24"/>
              </w:rPr>
            </w:pPr>
            <w:r>
              <w:rPr>
                <w:sz w:val="24"/>
              </w:rPr>
              <w:t>项目中有0.1</w:t>
            </w:r>
            <w:r>
              <w:rPr>
                <w:rFonts w:hint="eastAsia"/>
                <w:sz w:val="24"/>
              </w:rPr>
              <w:t>%的氮化氧化工序产生含氨废气呈无组织排放，排放量为</w:t>
            </w:r>
            <w:r>
              <w:rPr>
                <w:sz w:val="24"/>
              </w:rPr>
              <w:t>5.4kg/a</w:t>
            </w:r>
            <w:r>
              <w:rPr>
                <w:rFonts w:hint="eastAsia"/>
                <w:sz w:val="24"/>
              </w:rPr>
              <w:t>，0</w:t>
            </w:r>
            <w:r>
              <w:rPr>
                <w:sz w:val="24"/>
              </w:rPr>
              <w:t>.0008kg/h</w:t>
            </w:r>
            <w:r>
              <w:rPr>
                <w:rFonts w:hint="eastAsia"/>
                <w:sz w:val="24"/>
              </w:rPr>
              <w:t>。</w:t>
            </w:r>
          </w:p>
          <w:p>
            <w:pPr>
              <w:spacing w:line="480" w:lineRule="exact"/>
              <w:ind w:firstLine="422" w:firstLineChars="176"/>
              <w:jc w:val="left"/>
              <w:rPr>
                <w:rFonts w:ascii="宋体" w:hAnsi="宋体"/>
                <w:sz w:val="24"/>
              </w:rPr>
            </w:pPr>
            <w:r>
              <w:rPr>
                <w:rFonts w:ascii="宋体" w:hAnsi="宋体"/>
                <w:sz w:val="24"/>
              </w:rPr>
              <w:t>因此</w:t>
            </w:r>
            <w:r>
              <w:rPr>
                <w:rFonts w:hint="eastAsia" w:ascii="宋体" w:hAnsi="宋体"/>
                <w:sz w:val="24"/>
              </w:rPr>
              <w:t>，</w:t>
            </w:r>
            <w:r>
              <w:rPr>
                <w:rFonts w:ascii="宋体" w:hAnsi="宋体"/>
                <w:sz w:val="24"/>
              </w:rPr>
              <w:t>本项目废气产生及排放情况见下表</w:t>
            </w:r>
            <w:r>
              <w:rPr>
                <w:rFonts w:hint="eastAsia" w:ascii="宋体" w:hAnsi="宋体"/>
                <w:sz w:val="24"/>
              </w:rPr>
              <w:t>。</w:t>
            </w:r>
          </w:p>
          <w:p>
            <w:pPr>
              <w:spacing w:line="480" w:lineRule="exact"/>
              <w:jc w:val="center"/>
              <w:rPr>
                <w:rFonts w:ascii="宋体" w:hAnsi="宋体"/>
                <w:b/>
                <w:sz w:val="24"/>
              </w:rPr>
            </w:pPr>
            <w:r>
              <w:rPr>
                <w:rFonts w:ascii="宋体" w:hAnsi="宋体"/>
                <w:b/>
                <w:sz w:val="24"/>
              </w:rPr>
              <w:t>表</w:t>
            </w:r>
            <w:r>
              <w:rPr>
                <w:rFonts w:hint="eastAsia" w:ascii="宋体" w:hAnsi="宋体"/>
                <w:b/>
                <w:sz w:val="24"/>
              </w:rPr>
              <w:t>5</w:t>
            </w:r>
            <w:r>
              <w:rPr>
                <w:rFonts w:ascii="宋体" w:hAnsi="宋体"/>
                <w:b/>
                <w:sz w:val="24"/>
              </w:rPr>
              <w:t>-1项目废气产生及排放情况表</w:t>
            </w:r>
          </w:p>
          <w:tbl>
            <w:tblPr>
              <w:tblStyle w:val="53"/>
              <w:tblW w:w="9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688"/>
              <w:gridCol w:w="770"/>
              <w:gridCol w:w="708"/>
              <w:gridCol w:w="709"/>
              <w:gridCol w:w="709"/>
              <w:gridCol w:w="850"/>
              <w:gridCol w:w="1418"/>
              <w:gridCol w:w="709"/>
              <w:gridCol w:w="99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Merge w:val="restart"/>
                  <w:vAlign w:val="center"/>
                </w:tcPr>
                <w:p>
                  <w:pPr>
                    <w:adjustRightInd w:val="0"/>
                    <w:snapToGrid w:val="0"/>
                    <w:jc w:val="center"/>
                    <w:rPr>
                      <w:rFonts w:ascii="宋体" w:hAnsi="宋体"/>
                      <w:szCs w:val="21"/>
                    </w:rPr>
                  </w:pPr>
                  <w:r>
                    <w:rPr>
                      <w:rFonts w:hint="eastAsia" w:ascii="宋体" w:hAnsi="宋体"/>
                      <w:szCs w:val="21"/>
                    </w:rPr>
                    <w:t>排放方式</w:t>
                  </w:r>
                </w:p>
              </w:tc>
              <w:tc>
                <w:tcPr>
                  <w:tcW w:w="688" w:type="dxa"/>
                  <w:vMerge w:val="restart"/>
                  <w:vAlign w:val="center"/>
                </w:tcPr>
                <w:p>
                  <w:pPr>
                    <w:adjustRightInd w:val="0"/>
                    <w:snapToGrid w:val="0"/>
                    <w:jc w:val="center"/>
                    <w:rPr>
                      <w:rFonts w:ascii="宋体" w:hAnsi="宋体"/>
                      <w:szCs w:val="21"/>
                    </w:rPr>
                  </w:pPr>
                  <w:r>
                    <w:rPr>
                      <w:rFonts w:hint="eastAsia" w:ascii="宋体" w:hAnsi="宋体"/>
                      <w:szCs w:val="21"/>
                    </w:rPr>
                    <w:t>污染源</w:t>
                  </w:r>
                </w:p>
              </w:tc>
              <w:tc>
                <w:tcPr>
                  <w:tcW w:w="770" w:type="dxa"/>
                  <w:vMerge w:val="restart"/>
                  <w:vAlign w:val="center"/>
                </w:tcPr>
                <w:p>
                  <w:pPr>
                    <w:adjustRightInd w:val="0"/>
                    <w:snapToGrid w:val="0"/>
                    <w:jc w:val="center"/>
                    <w:rPr>
                      <w:rFonts w:ascii="宋体" w:hAnsi="宋体"/>
                      <w:szCs w:val="21"/>
                    </w:rPr>
                  </w:pPr>
                  <w:r>
                    <w:rPr>
                      <w:rFonts w:hint="eastAsia" w:ascii="宋体" w:hAnsi="宋体"/>
                      <w:szCs w:val="21"/>
                    </w:rPr>
                    <w:t>污染物</w:t>
                  </w:r>
                </w:p>
              </w:tc>
              <w:tc>
                <w:tcPr>
                  <w:tcW w:w="708" w:type="dxa"/>
                  <w:vMerge w:val="restart"/>
                  <w:vAlign w:val="center"/>
                </w:tcPr>
                <w:p>
                  <w:pPr>
                    <w:adjustRightInd w:val="0"/>
                    <w:snapToGrid w:val="0"/>
                    <w:jc w:val="center"/>
                    <w:rPr>
                      <w:rFonts w:ascii="宋体" w:hAnsi="宋体"/>
                      <w:szCs w:val="21"/>
                    </w:rPr>
                  </w:pPr>
                  <w:r>
                    <w:rPr>
                      <w:rFonts w:hint="eastAsia" w:ascii="宋体" w:hAnsi="宋体"/>
                      <w:szCs w:val="21"/>
                    </w:rPr>
                    <w:t>风量m</w:t>
                  </w:r>
                  <w:r>
                    <w:rPr>
                      <w:rFonts w:ascii="宋体" w:hAnsi="宋体"/>
                      <w:szCs w:val="21"/>
                      <w:vertAlign w:val="superscript"/>
                    </w:rPr>
                    <w:t>3</w:t>
                  </w:r>
                  <w:r>
                    <w:rPr>
                      <w:rFonts w:ascii="宋体" w:hAnsi="宋体"/>
                      <w:szCs w:val="21"/>
                    </w:rPr>
                    <w:t>/h</w:t>
                  </w:r>
                </w:p>
              </w:tc>
              <w:tc>
                <w:tcPr>
                  <w:tcW w:w="2268" w:type="dxa"/>
                  <w:gridSpan w:val="3"/>
                  <w:vAlign w:val="center"/>
                </w:tcPr>
                <w:p>
                  <w:pPr>
                    <w:adjustRightInd w:val="0"/>
                    <w:snapToGrid w:val="0"/>
                    <w:jc w:val="center"/>
                    <w:rPr>
                      <w:rFonts w:ascii="宋体" w:hAnsi="宋体"/>
                      <w:szCs w:val="21"/>
                    </w:rPr>
                  </w:pPr>
                  <w:r>
                    <w:rPr>
                      <w:rFonts w:hint="eastAsia" w:ascii="宋体" w:hAnsi="宋体"/>
                      <w:szCs w:val="21"/>
                    </w:rPr>
                    <w:t>产生情况</w:t>
                  </w:r>
                </w:p>
              </w:tc>
              <w:tc>
                <w:tcPr>
                  <w:tcW w:w="1418" w:type="dxa"/>
                  <w:vMerge w:val="restart"/>
                  <w:vAlign w:val="center"/>
                </w:tcPr>
                <w:p>
                  <w:pPr>
                    <w:adjustRightInd w:val="0"/>
                    <w:snapToGrid w:val="0"/>
                    <w:jc w:val="center"/>
                    <w:rPr>
                      <w:rFonts w:ascii="宋体" w:hAnsi="宋体"/>
                      <w:szCs w:val="21"/>
                    </w:rPr>
                  </w:pPr>
                  <w:r>
                    <w:rPr>
                      <w:rFonts w:hint="eastAsia" w:ascii="宋体" w:hAnsi="宋体"/>
                      <w:szCs w:val="21"/>
                    </w:rPr>
                    <w:t>治理措施</w:t>
                  </w:r>
                </w:p>
              </w:tc>
              <w:tc>
                <w:tcPr>
                  <w:tcW w:w="2596" w:type="dxa"/>
                  <w:gridSpan w:val="3"/>
                  <w:vAlign w:val="center"/>
                </w:tcPr>
                <w:p>
                  <w:pPr>
                    <w:adjustRightInd w:val="0"/>
                    <w:snapToGrid w:val="0"/>
                    <w:jc w:val="center"/>
                    <w:rPr>
                      <w:rFonts w:ascii="宋体" w:hAnsi="宋体"/>
                      <w:szCs w:val="21"/>
                    </w:rPr>
                  </w:pPr>
                  <w:r>
                    <w:rPr>
                      <w:rFonts w:hint="eastAsia" w:ascii="宋体" w:hAnsi="宋体"/>
                      <w:szCs w:val="21"/>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Merge w:val="continue"/>
                  <w:vAlign w:val="center"/>
                </w:tcPr>
                <w:p>
                  <w:pPr>
                    <w:adjustRightInd w:val="0"/>
                    <w:snapToGrid w:val="0"/>
                    <w:jc w:val="center"/>
                    <w:rPr>
                      <w:rFonts w:ascii="宋体" w:hAnsi="宋体"/>
                      <w:szCs w:val="21"/>
                    </w:rPr>
                  </w:pPr>
                </w:p>
              </w:tc>
              <w:tc>
                <w:tcPr>
                  <w:tcW w:w="688" w:type="dxa"/>
                  <w:vMerge w:val="continue"/>
                  <w:vAlign w:val="center"/>
                </w:tcPr>
                <w:p>
                  <w:pPr>
                    <w:adjustRightInd w:val="0"/>
                    <w:snapToGrid w:val="0"/>
                    <w:jc w:val="center"/>
                    <w:rPr>
                      <w:rFonts w:ascii="宋体" w:hAnsi="宋体"/>
                      <w:szCs w:val="21"/>
                    </w:rPr>
                  </w:pPr>
                </w:p>
              </w:tc>
              <w:tc>
                <w:tcPr>
                  <w:tcW w:w="770" w:type="dxa"/>
                  <w:vMerge w:val="continue"/>
                  <w:vAlign w:val="center"/>
                </w:tcPr>
                <w:p>
                  <w:pPr>
                    <w:adjustRightInd w:val="0"/>
                    <w:snapToGrid w:val="0"/>
                    <w:jc w:val="center"/>
                    <w:rPr>
                      <w:rFonts w:ascii="宋体" w:hAnsi="宋体"/>
                      <w:szCs w:val="21"/>
                    </w:rPr>
                  </w:pPr>
                </w:p>
              </w:tc>
              <w:tc>
                <w:tcPr>
                  <w:tcW w:w="708" w:type="dxa"/>
                  <w:vMerge w:val="continue"/>
                  <w:vAlign w:val="center"/>
                </w:tcPr>
                <w:p>
                  <w:pPr>
                    <w:adjustRightInd w:val="0"/>
                    <w:snapToGrid w:val="0"/>
                    <w:jc w:val="center"/>
                    <w:rPr>
                      <w:rFonts w:ascii="宋体" w:hAnsi="宋体"/>
                      <w:szCs w:val="21"/>
                    </w:rPr>
                  </w:pPr>
                </w:p>
              </w:tc>
              <w:tc>
                <w:tcPr>
                  <w:tcW w:w="709" w:type="dxa"/>
                  <w:vAlign w:val="center"/>
                </w:tcPr>
                <w:p>
                  <w:pPr>
                    <w:adjustRightInd w:val="0"/>
                    <w:snapToGrid w:val="0"/>
                    <w:jc w:val="center"/>
                    <w:rPr>
                      <w:rFonts w:ascii="宋体" w:hAnsi="宋体"/>
                      <w:szCs w:val="21"/>
                    </w:rPr>
                  </w:pPr>
                  <w:r>
                    <w:rPr>
                      <w:rFonts w:hint="eastAsia" w:ascii="宋体" w:hAnsi="宋体"/>
                      <w:szCs w:val="21"/>
                    </w:rPr>
                    <w:t>浓度mg/m</w:t>
                  </w:r>
                  <w:r>
                    <w:rPr>
                      <w:rFonts w:hint="eastAsia" w:ascii="宋体" w:hAnsi="宋体"/>
                      <w:szCs w:val="21"/>
                      <w:vertAlign w:val="superscript"/>
                    </w:rPr>
                    <w:t>3</w:t>
                  </w:r>
                </w:p>
              </w:tc>
              <w:tc>
                <w:tcPr>
                  <w:tcW w:w="709" w:type="dxa"/>
                  <w:vAlign w:val="center"/>
                </w:tcPr>
                <w:p>
                  <w:pPr>
                    <w:adjustRightInd w:val="0"/>
                    <w:snapToGrid w:val="0"/>
                    <w:jc w:val="center"/>
                    <w:rPr>
                      <w:rFonts w:ascii="宋体" w:hAnsi="宋体"/>
                      <w:szCs w:val="21"/>
                    </w:rPr>
                  </w:pPr>
                  <w:r>
                    <w:rPr>
                      <w:rFonts w:hint="eastAsia" w:ascii="宋体" w:hAnsi="宋体"/>
                      <w:szCs w:val="21"/>
                    </w:rPr>
                    <w:t>速率kg/h</w:t>
                  </w:r>
                </w:p>
              </w:tc>
              <w:tc>
                <w:tcPr>
                  <w:tcW w:w="850" w:type="dxa"/>
                  <w:vAlign w:val="center"/>
                </w:tcPr>
                <w:p>
                  <w:pPr>
                    <w:adjustRightInd w:val="0"/>
                    <w:snapToGrid w:val="0"/>
                    <w:jc w:val="center"/>
                    <w:rPr>
                      <w:rFonts w:ascii="宋体" w:hAnsi="宋体"/>
                      <w:szCs w:val="21"/>
                    </w:rPr>
                  </w:pPr>
                  <w:r>
                    <w:rPr>
                      <w:rFonts w:hint="eastAsia" w:ascii="宋体" w:hAnsi="宋体"/>
                      <w:szCs w:val="21"/>
                    </w:rPr>
                    <w:t>产生量t/a</w:t>
                  </w:r>
                </w:p>
              </w:tc>
              <w:tc>
                <w:tcPr>
                  <w:tcW w:w="1418" w:type="dxa"/>
                  <w:vMerge w:val="continue"/>
                  <w:vAlign w:val="center"/>
                </w:tcPr>
                <w:p>
                  <w:pPr>
                    <w:adjustRightInd w:val="0"/>
                    <w:snapToGrid w:val="0"/>
                    <w:jc w:val="center"/>
                    <w:rPr>
                      <w:rFonts w:ascii="宋体" w:hAnsi="宋体"/>
                      <w:szCs w:val="21"/>
                    </w:rPr>
                  </w:pPr>
                </w:p>
              </w:tc>
              <w:tc>
                <w:tcPr>
                  <w:tcW w:w="709" w:type="dxa"/>
                  <w:vAlign w:val="center"/>
                </w:tcPr>
                <w:p>
                  <w:pPr>
                    <w:adjustRightInd w:val="0"/>
                    <w:snapToGrid w:val="0"/>
                    <w:jc w:val="center"/>
                    <w:rPr>
                      <w:rFonts w:ascii="宋体" w:hAnsi="宋体"/>
                      <w:szCs w:val="21"/>
                    </w:rPr>
                  </w:pPr>
                  <w:r>
                    <w:rPr>
                      <w:rFonts w:hint="eastAsia" w:ascii="宋体" w:hAnsi="宋体"/>
                      <w:szCs w:val="21"/>
                    </w:rPr>
                    <w:t>浓度mg/m</w:t>
                  </w:r>
                  <w:r>
                    <w:rPr>
                      <w:rFonts w:hint="eastAsia" w:ascii="宋体" w:hAnsi="宋体"/>
                      <w:szCs w:val="21"/>
                      <w:vertAlign w:val="superscript"/>
                    </w:rPr>
                    <w:t>3</w:t>
                  </w:r>
                </w:p>
              </w:tc>
              <w:tc>
                <w:tcPr>
                  <w:tcW w:w="992" w:type="dxa"/>
                  <w:vAlign w:val="center"/>
                </w:tcPr>
                <w:p>
                  <w:pPr>
                    <w:adjustRightInd w:val="0"/>
                    <w:snapToGrid w:val="0"/>
                    <w:jc w:val="center"/>
                    <w:rPr>
                      <w:rFonts w:ascii="宋体" w:hAnsi="宋体"/>
                      <w:szCs w:val="21"/>
                    </w:rPr>
                  </w:pPr>
                  <w:r>
                    <w:rPr>
                      <w:rFonts w:hint="eastAsia" w:ascii="宋体" w:hAnsi="宋体"/>
                      <w:szCs w:val="21"/>
                    </w:rPr>
                    <w:t>速率kg/h</w:t>
                  </w:r>
                </w:p>
              </w:tc>
              <w:tc>
                <w:tcPr>
                  <w:tcW w:w="895" w:type="dxa"/>
                  <w:vAlign w:val="center"/>
                </w:tcPr>
                <w:p>
                  <w:pPr>
                    <w:adjustRightInd w:val="0"/>
                    <w:snapToGrid w:val="0"/>
                    <w:jc w:val="center"/>
                    <w:rPr>
                      <w:rFonts w:ascii="宋体" w:hAnsi="宋体"/>
                      <w:szCs w:val="21"/>
                    </w:rPr>
                  </w:pPr>
                  <w:r>
                    <w:rPr>
                      <w:rFonts w:hint="eastAsia" w:ascii="宋体" w:hAnsi="宋体"/>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adjustRightInd w:val="0"/>
                    <w:snapToGrid w:val="0"/>
                    <w:jc w:val="center"/>
                    <w:rPr>
                      <w:rFonts w:ascii="宋体" w:hAnsi="宋体"/>
                      <w:szCs w:val="21"/>
                    </w:rPr>
                  </w:pPr>
                  <w:r>
                    <w:rPr>
                      <w:rFonts w:hint="eastAsia" w:ascii="宋体" w:hAnsi="宋体"/>
                      <w:szCs w:val="21"/>
                    </w:rPr>
                    <w:t>有组织</w:t>
                  </w:r>
                </w:p>
              </w:tc>
              <w:tc>
                <w:tcPr>
                  <w:tcW w:w="688" w:type="dxa"/>
                  <w:vMerge w:val="restart"/>
                  <w:vAlign w:val="center"/>
                </w:tcPr>
                <w:p>
                  <w:pPr>
                    <w:adjustRightInd w:val="0"/>
                    <w:snapToGrid w:val="0"/>
                    <w:jc w:val="center"/>
                    <w:rPr>
                      <w:rFonts w:ascii="宋体" w:hAnsi="宋体"/>
                      <w:szCs w:val="21"/>
                    </w:rPr>
                  </w:pPr>
                  <w:r>
                    <w:rPr>
                      <w:rFonts w:hint="eastAsia" w:ascii="宋体" w:hAnsi="宋体"/>
                      <w:szCs w:val="21"/>
                    </w:rPr>
                    <w:t>盐浴氮化</w:t>
                  </w:r>
                </w:p>
              </w:tc>
              <w:tc>
                <w:tcPr>
                  <w:tcW w:w="770" w:type="dxa"/>
                  <w:vMerge w:val="restart"/>
                  <w:vAlign w:val="center"/>
                </w:tcPr>
                <w:p>
                  <w:pPr>
                    <w:adjustRightInd w:val="0"/>
                    <w:snapToGrid w:val="0"/>
                    <w:jc w:val="center"/>
                    <w:rPr>
                      <w:rFonts w:ascii="宋体" w:hAnsi="宋体"/>
                      <w:szCs w:val="21"/>
                    </w:rPr>
                  </w:pPr>
                  <w:r>
                    <w:rPr>
                      <w:rFonts w:hint="eastAsia" w:ascii="宋体" w:hAnsi="宋体"/>
                      <w:szCs w:val="21"/>
                    </w:rPr>
                    <w:t>氨</w:t>
                  </w:r>
                </w:p>
              </w:tc>
              <w:tc>
                <w:tcPr>
                  <w:tcW w:w="708" w:type="dxa"/>
                  <w:vMerge w:val="restart"/>
                  <w:vAlign w:val="center"/>
                </w:tcPr>
                <w:p>
                  <w:pPr>
                    <w:adjustRightInd w:val="0"/>
                    <w:snapToGrid w:val="0"/>
                    <w:jc w:val="center"/>
                    <w:rPr>
                      <w:rFonts w:ascii="宋体" w:hAnsi="宋体"/>
                      <w:szCs w:val="21"/>
                    </w:rPr>
                  </w:pPr>
                  <w:r>
                    <w:rPr>
                      <w:rFonts w:ascii="宋体" w:hAnsi="宋体"/>
                      <w:szCs w:val="21"/>
                    </w:rPr>
                    <w:t>5000</w:t>
                  </w:r>
                </w:p>
              </w:tc>
              <w:tc>
                <w:tcPr>
                  <w:tcW w:w="709" w:type="dxa"/>
                  <w:vMerge w:val="restart"/>
                  <w:vAlign w:val="center"/>
                </w:tcPr>
                <w:p>
                  <w:pPr>
                    <w:adjustRightInd w:val="0"/>
                    <w:snapToGrid w:val="0"/>
                    <w:jc w:val="center"/>
                    <w:rPr>
                      <w:rFonts w:ascii="宋体" w:hAnsi="宋体"/>
                      <w:szCs w:val="21"/>
                    </w:rPr>
                  </w:pPr>
                  <w:r>
                    <w:rPr>
                      <w:rFonts w:ascii="宋体" w:hAnsi="宋体"/>
                      <w:szCs w:val="21"/>
                    </w:rPr>
                    <w:t>160</w:t>
                  </w:r>
                </w:p>
              </w:tc>
              <w:tc>
                <w:tcPr>
                  <w:tcW w:w="709" w:type="dxa"/>
                  <w:vMerge w:val="restart"/>
                  <w:vAlign w:val="center"/>
                </w:tcPr>
                <w:p>
                  <w:pPr>
                    <w:adjustRightInd w:val="0"/>
                    <w:snapToGrid w:val="0"/>
                    <w:jc w:val="center"/>
                    <w:rPr>
                      <w:rFonts w:ascii="宋体" w:hAnsi="宋体"/>
                      <w:szCs w:val="21"/>
                    </w:rPr>
                  </w:pPr>
                  <w:r>
                    <w:rPr>
                      <w:rFonts w:ascii="宋体" w:hAnsi="宋体"/>
                      <w:szCs w:val="21"/>
                    </w:rPr>
                    <w:t>0.8</w:t>
                  </w:r>
                </w:p>
              </w:tc>
              <w:tc>
                <w:tcPr>
                  <w:tcW w:w="850" w:type="dxa"/>
                  <w:vMerge w:val="restart"/>
                  <w:vAlign w:val="center"/>
                </w:tcPr>
                <w:p>
                  <w:pPr>
                    <w:adjustRightInd w:val="0"/>
                    <w:snapToGrid w:val="0"/>
                    <w:jc w:val="center"/>
                    <w:rPr>
                      <w:rFonts w:ascii="宋体" w:hAnsi="宋体"/>
                      <w:szCs w:val="21"/>
                    </w:rPr>
                  </w:pPr>
                  <w:r>
                    <w:rPr>
                      <w:rFonts w:ascii="宋体" w:hAnsi="宋体"/>
                      <w:szCs w:val="21"/>
                    </w:rPr>
                    <w:t>5.4</w:t>
                  </w:r>
                </w:p>
              </w:tc>
              <w:tc>
                <w:tcPr>
                  <w:tcW w:w="1418" w:type="dxa"/>
                  <w:vAlign w:val="center"/>
                </w:tcPr>
                <w:p>
                  <w:pPr>
                    <w:adjustRightInd w:val="0"/>
                    <w:snapToGrid w:val="0"/>
                    <w:jc w:val="center"/>
                    <w:rPr>
                      <w:rFonts w:ascii="宋体" w:hAnsi="宋体"/>
                      <w:szCs w:val="21"/>
                    </w:rPr>
                  </w:pPr>
                  <w:r>
                    <w:rPr>
                      <w:rFonts w:hint="eastAsia" w:ascii="宋体" w:hAnsi="宋体"/>
                      <w:szCs w:val="21"/>
                    </w:rPr>
                    <w:t>集气罩+负压抽风+水喷淋+光氧催化+</w:t>
                  </w:r>
                  <w:r>
                    <w:rPr>
                      <w:rFonts w:ascii="宋体" w:hAnsi="宋体"/>
                      <w:szCs w:val="21"/>
                    </w:rPr>
                    <w:t>15m高排气筒</w:t>
                  </w:r>
                </w:p>
              </w:tc>
              <w:tc>
                <w:tcPr>
                  <w:tcW w:w="709" w:type="dxa"/>
                  <w:vAlign w:val="center"/>
                </w:tcPr>
                <w:p>
                  <w:pPr>
                    <w:adjustRightInd w:val="0"/>
                    <w:snapToGrid w:val="0"/>
                    <w:jc w:val="center"/>
                    <w:rPr>
                      <w:rFonts w:ascii="宋体" w:hAnsi="宋体"/>
                      <w:szCs w:val="21"/>
                    </w:rPr>
                  </w:pPr>
                  <w:r>
                    <w:rPr>
                      <w:rFonts w:ascii="宋体" w:hAnsi="宋体"/>
                      <w:szCs w:val="21"/>
                    </w:rPr>
                    <w:t>2</w:t>
                  </w:r>
                </w:p>
              </w:tc>
              <w:tc>
                <w:tcPr>
                  <w:tcW w:w="992" w:type="dxa"/>
                  <w:vAlign w:val="center"/>
                </w:tcPr>
                <w:p>
                  <w:pPr>
                    <w:adjustRightInd w:val="0"/>
                    <w:snapToGrid w:val="0"/>
                    <w:jc w:val="center"/>
                    <w:rPr>
                      <w:rFonts w:ascii="宋体" w:hAnsi="宋体"/>
                      <w:szCs w:val="21"/>
                    </w:rPr>
                  </w:pPr>
                  <w:r>
                    <w:rPr>
                      <w:rFonts w:ascii="宋体" w:hAnsi="宋体"/>
                      <w:szCs w:val="21"/>
                    </w:rPr>
                    <w:t>0.01</w:t>
                  </w:r>
                </w:p>
              </w:tc>
              <w:tc>
                <w:tcPr>
                  <w:tcW w:w="895" w:type="dxa"/>
                  <w:vAlign w:val="center"/>
                </w:tcPr>
                <w:p>
                  <w:pPr>
                    <w:adjustRightInd w:val="0"/>
                    <w:snapToGrid w:val="0"/>
                    <w:jc w:val="center"/>
                    <w:rPr>
                      <w:rFonts w:ascii="宋体" w:hAnsi="宋体"/>
                      <w:szCs w:val="21"/>
                    </w:rPr>
                  </w:pPr>
                  <w:r>
                    <w:rPr>
                      <w:rFonts w:ascii="宋体" w:hAnsi="宋体"/>
                      <w:szCs w:val="21"/>
                    </w:rPr>
                    <w:t>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adjustRightInd w:val="0"/>
                    <w:snapToGrid w:val="0"/>
                    <w:jc w:val="center"/>
                    <w:rPr>
                      <w:rFonts w:ascii="宋体" w:hAnsi="宋体"/>
                      <w:szCs w:val="21"/>
                    </w:rPr>
                  </w:pPr>
                  <w:r>
                    <w:rPr>
                      <w:rFonts w:hint="eastAsia" w:ascii="宋体" w:hAnsi="宋体"/>
                      <w:szCs w:val="21"/>
                    </w:rPr>
                    <w:t>无组织</w:t>
                  </w:r>
                </w:p>
              </w:tc>
              <w:tc>
                <w:tcPr>
                  <w:tcW w:w="688" w:type="dxa"/>
                  <w:vMerge w:val="continue"/>
                  <w:vAlign w:val="center"/>
                </w:tcPr>
                <w:p>
                  <w:pPr>
                    <w:adjustRightInd w:val="0"/>
                    <w:snapToGrid w:val="0"/>
                    <w:jc w:val="center"/>
                    <w:rPr>
                      <w:rFonts w:ascii="宋体" w:hAnsi="宋体"/>
                      <w:szCs w:val="21"/>
                    </w:rPr>
                  </w:pPr>
                </w:p>
              </w:tc>
              <w:tc>
                <w:tcPr>
                  <w:tcW w:w="770" w:type="dxa"/>
                  <w:vMerge w:val="continue"/>
                  <w:vAlign w:val="center"/>
                </w:tcPr>
                <w:p>
                  <w:pPr>
                    <w:adjustRightInd w:val="0"/>
                    <w:snapToGrid w:val="0"/>
                    <w:jc w:val="center"/>
                    <w:rPr>
                      <w:rFonts w:ascii="宋体" w:hAnsi="宋体"/>
                      <w:szCs w:val="21"/>
                    </w:rPr>
                  </w:pPr>
                </w:p>
              </w:tc>
              <w:tc>
                <w:tcPr>
                  <w:tcW w:w="708" w:type="dxa"/>
                  <w:vMerge w:val="continue"/>
                  <w:vAlign w:val="center"/>
                </w:tcPr>
                <w:p>
                  <w:pPr>
                    <w:adjustRightInd w:val="0"/>
                    <w:snapToGrid w:val="0"/>
                    <w:jc w:val="center"/>
                    <w:rPr>
                      <w:rFonts w:ascii="宋体" w:hAnsi="宋体"/>
                      <w:szCs w:val="21"/>
                    </w:rPr>
                  </w:pPr>
                </w:p>
              </w:tc>
              <w:tc>
                <w:tcPr>
                  <w:tcW w:w="709" w:type="dxa"/>
                  <w:vMerge w:val="continue"/>
                  <w:vAlign w:val="center"/>
                </w:tcPr>
                <w:p>
                  <w:pPr>
                    <w:adjustRightInd w:val="0"/>
                    <w:snapToGrid w:val="0"/>
                    <w:jc w:val="center"/>
                    <w:rPr>
                      <w:rFonts w:ascii="宋体" w:hAnsi="宋体"/>
                      <w:szCs w:val="21"/>
                    </w:rPr>
                  </w:pPr>
                </w:p>
              </w:tc>
              <w:tc>
                <w:tcPr>
                  <w:tcW w:w="709" w:type="dxa"/>
                  <w:vMerge w:val="continue"/>
                  <w:vAlign w:val="center"/>
                </w:tcPr>
                <w:p>
                  <w:pPr>
                    <w:adjustRightInd w:val="0"/>
                    <w:snapToGrid w:val="0"/>
                    <w:jc w:val="center"/>
                    <w:rPr>
                      <w:rFonts w:ascii="宋体" w:hAnsi="宋体"/>
                      <w:szCs w:val="21"/>
                    </w:rPr>
                  </w:pPr>
                </w:p>
              </w:tc>
              <w:tc>
                <w:tcPr>
                  <w:tcW w:w="850" w:type="dxa"/>
                  <w:vMerge w:val="continue"/>
                  <w:vAlign w:val="center"/>
                </w:tcPr>
                <w:p>
                  <w:pPr>
                    <w:adjustRightInd w:val="0"/>
                    <w:snapToGrid w:val="0"/>
                    <w:jc w:val="center"/>
                    <w:rPr>
                      <w:rFonts w:ascii="宋体" w:hAnsi="宋体"/>
                      <w:szCs w:val="21"/>
                    </w:rPr>
                  </w:pPr>
                </w:p>
              </w:tc>
              <w:tc>
                <w:tcPr>
                  <w:tcW w:w="1418" w:type="dxa"/>
                  <w:vAlign w:val="center"/>
                </w:tcPr>
                <w:p>
                  <w:pPr>
                    <w:adjustRightInd w:val="0"/>
                    <w:snapToGrid w:val="0"/>
                    <w:jc w:val="center"/>
                    <w:rPr>
                      <w:rFonts w:ascii="宋体" w:hAnsi="宋体"/>
                      <w:szCs w:val="21"/>
                    </w:rPr>
                  </w:pPr>
                  <w:r>
                    <w:rPr>
                      <w:rFonts w:ascii="宋体" w:hAnsi="宋体"/>
                      <w:szCs w:val="21"/>
                    </w:rPr>
                    <w:t>/</w:t>
                  </w:r>
                </w:p>
              </w:tc>
              <w:tc>
                <w:tcPr>
                  <w:tcW w:w="709" w:type="dxa"/>
                  <w:vAlign w:val="center"/>
                </w:tcPr>
                <w:p>
                  <w:pPr>
                    <w:adjustRightInd w:val="0"/>
                    <w:snapToGrid w:val="0"/>
                    <w:jc w:val="center"/>
                    <w:rPr>
                      <w:rFonts w:ascii="宋体" w:hAnsi="宋体"/>
                      <w:szCs w:val="21"/>
                    </w:rPr>
                  </w:pPr>
                  <w:r>
                    <w:rPr>
                      <w:rFonts w:hint="eastAsia" w:ascii="宋体" w:hAnsi="宋体"/>
                      <w:szCs w:val="21"/>
                    </w:rPr>
                    <w:t>/</w:t>
                  </w:r>
                </w:p>
              </w:tc>
              <w:tc>
                <w:tcPr>
                  <w:tcW w:w="992" w:type="dxa"/>
                  <w:vAlign w:val="center"/>
                </w:tcPr>
                <w:p>
                  <w:pPr>
                    <w:adjustRightInd w:val="0"/>
                    <w:snapToGrid w:val="0"/>
                    <w:jc w:val="center"/>
                    <w:rPr>
                      <w:rFonts w:ascii="宋体" w:hAnsi="宋体"/>
                      <w:szCs w:val="21"/>
                    </w:rPr>
                  </w:pPr>
                  <w:r>
                    <w:rPr>
                      <w:rFonts w:hint="eastAsia" w:ascii="宋体" w:hAnsi="宋体"/>
                      <w:szCs w:val="21"/>
                    </w:rPr>
                    <w:t>0</w:t>
                  </w:r>
                  <w:r>
                    <w:rPr>
                      <w:rFonts w:ascii="宋体" w:hAnsi="宋体"/>
                      <w:szCs w:val="21"/>
                    </w:rPr>
                    <w:t>.0008</w:t>
                  </w:r>
                </w:p>
              </w:tc>
              <w:tc>
                <w:tcPr>
                  <w:tcW w:w="895" w:type="dxa"/>
                  <w:vAlign w:val="center"/>
                </w:tcPr>
                <w:p>
                  <w:pPr>
                    <w:adjustRightInd w:val="0"/>
                    <w:snapToGrid w:val="0"/>
                    <w:jc w:val="center"/>
                    <w:rPr>
                      <w:rFonts w:ascii="宋体" w:hAnsi="宋体"/>
                      <w:szCs w:val="21"/>
                    </w:rPr>
                  </w:pPr>
                  <w:r>
                    <w:rPr>
                      <w:rFonts w:ascii="宋体" w:hAnsi="宋体"/>
                      <w:szCs w:val="21"/>
                    </w:rPr>
                    <w:t>0.0054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adjustRightInd w:val="0"/>
                    <w:snapToGrid w:val="0"/>
                    <w:jc w:val="center"/>
                    <w:rPr>
                      <w:rFonts w:ascii="宋体" w:hAnsi="宋体"/>
                      <w:szCs w:val="21"/>
                    </w:rPr>
                  </w:pPr>
                  <w:r>
                    <w:rPr>
                      <w:rFonts w:hint="eastAsia" w:ascii="宋体" w:hAnsi="宋体"/>
                      <w:szCs w:val="21"/>
                    </w:rPr>
                    <w:t>无组织</w:t>
                  </w:r>
                </w:p>
              </w:tc>
              <w:tc>
                <w:tcPr>
                  <w:tcW w:w="688" w:type="dxa"/>
                  <w:vAlign w:val="center"/>
                </w:tcPr>
                <w:p>
                  <w:pPr>
                    <w:adjustRightInd w:val="0"/>
                    <w:snapToGrid w:val="0"/>
                    <w:jc w:val="center"/>
                    <w:rPr>
                      <w:rFonts w:ascii="宋体" w:hAnsi="宋体"/>
                      <w:szCs w:val="21"/>
                    </w:rPr>
                  </w:pPr>
                  <w:r>
                    <w:rPr>
                      <w:rFonts w:hint="eastAsia" w:ascii="宋体" w:hAnsi="宋体"/>
                      <w:szCs w:val="21"/>
                    </w:rPr>
                    <w:t>抛光</w:t>
                  </w:r>
                </w:p>
              </w:tc>
              <w:tc>
                <w:tcPr>
                  <w:tcW w:w="770" w:type="dxa"/>
                  <w:vAlign w:val="center"/>
                </w:tcPr>
                <w:p>
                  <w:pPr>
                    <w:adjustRightInd w:val="0"/>
                    <w:snapToGrid w:val="0"/>
                    <w:jc w:val="center"/>
                    <w:rPr>
                      <w:rFonts w:ascii="宋体" w:hAnsi="宋体"/>
                      <w:szCs w:val="21"/>
                    </w:rPr>
                  </w:pPr>
                  <w:r>
                    <w:rPr>
                      <w:rFonts w:hint="eastAsia" w:ascii="宋体" w:hAnsi="宋体"/>
                      <w:szCs w:val="21"/>
                    </w:rPr>
                    <w:t>粉尘</w:t>
                  </w:r>
                </w:p>
              </w:tc>
              <w:tc>
                <w:tcPr>
                  <w:tcW w:w="708" w:type="dxa"/>
                  <w:vAlign w:val="center"/>
                </w:tcPr>
                <w:p>
                  <w:pPr>
                    <w:adjustRightInd w:val="0"/>
                    <w:snapToGrid w:val="0"/>
                    <w:jc w:val="center"/>
                    <w:rPr>
                      <w:rFonts w:ascii="宋体" w:hAnsi="宋体"/>
                      <w:szCs w:val="21"/>
                    </w:rPr>
                  </w:pPr>
                  <w:r>
                    <w:rPr>
                      <w:rFonts w:hint="eastAsia" w:ascii="宋体" w:hAnsi="宋体"/>
                      <w:szCs w:val="21"/>
                    </w:rPr>
                    <w:t>/</w:t>
                  </w:r>
                </w:p>
              </w:tc>
              <w:tc>
                <w:tcPr>
                  <w:tcW w:w="709" w:type="dxa"/>
                  <w:vAlign w:val="center"/>
                </w:tcPr>
                <w:p>
                  <w:pPr>
                    <w:adjustRightInd w:val="0"/>
                    <w:snapToGrid w:val="0"/>
                    <w:jc w:val="center"/>
                    <w:rPr>
                      <w:rFonts w:ascii="宋体" w:hAnsi="宋体"/>
                      <w:szCs w:val="21"/>
                    </w:rPr>
                  </w:pPr>
                  <w:r>
                    <w:rPr>
                      <w:rFonts w:hint="eastAsia" w:ascii="宋体" w:hAnsi="宋体"/>
                      <w:szCs w:val="21"/>
                    </w:rPr>
                    <w:t>/</w:t>
                  </w:r>
                </w:p>
              </w:tc>
              <w:tc>
                <w:tcPr>
                  <w:tcW w:w="709" w:type="dxa"/>
                  <w:vAlign w:val="center"/>
                </w:tcPr>
                <w:p>
                  <w:pPr>
                    <w:adjustRightInd w:val="0"/>
                    <w:snapToGrid w:val="0"/>
                    <w:jc w:val="center"/>
                    <w:rPr>
                      <w:rFonts w:ascii="宋体" w:hAnsi="宋体"/>
                      <w:szCs w:val="21"/>
                    </w:rPr>
                  </w:pPr>
                  <w:r>
                    <w:rPr>
                      <w:rFonts w:hint="eastAsia" w:ascii="宋体" w:hAnsi="宋体"/>
                      <w:szCs w:val="21"/>
                    </w:rPr>
                    <w:t>0</w:t>
                  </w:r>
                  <w:r>
                    <w:rPr>
                      <w:rFonts w:ascii="宋体" w:hAnsi="宋体"/>
                      <w:szCs w:val="21"/>
                    </w:rPr>
                    <w:t>.19</w:t>
                  </w:r>
                </w:p>
              </w:tc>
              <w:tc>
                <w:tcPr>
                  <w:tcW w:w="850" w:type="dxa"/>
                  <w:vAlign w:val="center"/>
                </w:tcPr>
                <w:p>
                  <w:pPr>
                    <w:adjustRightInd w:val="0"/>
                    <w:snapToGrid w:val="0"/>
                    <w:jc w:val="center"/>
                    <w:rPr>
                      <w:rFonts w:ascii="宋体" w:hAnsi="宋体"/>
                      <w:szCs w:val="21"/>
                    </w:rPr>
                  </w:pPr>
                  <w:r>
                    <w:rPr>
                      <w:rFonts w:hint="eastAsia" w:ascii="宋体" w:hAnsi="宋体"/>
                      <w:szCs w:val="21"/>
                    </w:rPr>
                    <w:t>1</w:t>
                  </w:r>
                  <w:r>
                    <w:rPr>
                      <w:rFonts w:ascii="宋体" w:hAnsi="宋体"/>
                      <w:szCs w:val="21"/>
                    </w:rPr>
                    <w:t>.28</w:t>
                  </w:r>
                </w:p>
              </w:tc>
              <w:tc>
                <w:tcPr>
                  <w:tcW w:w="1418" w:type="dxa"/>
                  <w:vAlign w:val="center"/>
                </w:tcPr>
                <w:p>
                  <w:pPr>
                    <w:adjustRightInd w:val="0"/>
                    <w:snapToGrid w:val="0"/>
                    <w:jc w:val="center"/>
                    <w:rPr>
                      <w:rFonts w:ascii="宋体" w:hAnsi="宋体"/>
                      <w:szCs w:val="21"/>
                    </w:rPr>
                  </w:pPr>
                  <w:r>
                    <w:rPr>
                      <w:rFonts w:hint="eastAsia" w:ascii="宋体" w:hAnsi="宋体"/>
                      <w:szCs w:val="21"/>
                    </w:rPr>
                    <w:t>布袋除尘</w:t>
                  </w:r>
                </w:p>
              </w:tc>
              <w:tc>
                <w:tcPr>
                  <w:tcW w:w="709" w:type="dxa"/>
                  <w:vAlign w:val="center"/>
                </w:tcPr>
                <w:p>
                  <w:pPr>
                    <w:adjustRightInd w:val="0"/>
                    <w:snapToGrid w:val="0"/>
                    <w:jc w:val="center"/>
                    <w:rPr>
                      <w:rFonts w:ascii="宋体" w:hAnsi="宋体"/>
                      <w:szCs w:val="21"/>
                    </w:rPr>
                  </w:pPr>
                  <w:r>
                    <w:rPr>
                      <w:rFonts w:hint="eastAsia" w:ascii="宋体" w:hAnsi="宋体"/>
                      <w:szCs w:val="21"/>
                    </w:rPr>
                    <w:t>/</w:t>
                  </w:r>
                </w:p>
              </w:tc>
              <w:tc>
                <w:tcPr>
                  <w:tcW w:w="992" w:type="dxa"/>
                  <w:vAlign w:val="center"/>
                </w:tcPr>
                <w:p>
                  <w:pPr>
                    <w:adjustRightInd w:val="0"/>
                    <w:snapToGrid w:val="0"/>
                    <w:jc w:val="center"/>
                    <w:rPr>
                      <w:rFonts w:ascii="宋体" w:hAnsi="宋体"/>
                      <w:szCs w:val="21"/>
                    </w:rPr>
                  </w:pPr>
                  <w:r>
                    <w:rPr>
                      <w:rFonts w:hint="eastAsia" w:ascii="宋体" w:hAnsi="宋体"/>
                      <w:szCs w:val="21"/>
                    </w:rPr>
                    <w:t>0</w:t>
                  </w:r>
                  <w:r>
                    <w:rPr>
                      <w:rFonts w:ascii="宋体" w:hAnsi="宋体"/>
                      <w:szCs w:val="21"/>
                    </w:rPr>
                    <w:t>.00019</w:t>
                  </w:r>
                </w:p>
              </w:tc>
              <w:tc>
                <w:tcPr>
                  <w:tcW w:w="895" w:type="dxa"/>
                  <w:vAlign w:val="center"/>
                </w:tcPr>
                <w:p>
                  <w:pPr>
                    <w:adjustRightInd w:val="0"/>
                    <w:snapToGrid w:val="0"/>
                    <w:jc w:val="center"/>
                    <w:rPr>
                      <w:rFonts w:ascii="宋体" w:hAnsi="宋体"/>
                      <w:szCs w:val="21"/>
                    </w:rPr>
                  </w:pPr>
                  <w:r>
                    <w:rPr>
                      <w:rFonts w:hint="eastAsia" w:ascii="宋体" w:hAnsi="宋体"/>
                      <w:szCs w:val="21"/>
                    </w:rPr>
                    <w:t>0</w:t>
                  </w:r>
                  <w:r>
                    <w:rPr>
                      <w:rFonts w:ascii="宋体" w:hAnsi="宋体"/>
                      <w:szCs w:val="21"/>
                    </w:rPr>
                    <w:t>.0128</w:t>
                  </w:r>
                </w:p>
              </w:tc>
            </w:tr>
          </w:tbl>
          <w:p>
            <w:pPr>
              <w:spacing w:line="480" w:lineRule="exact"/>
              <w:ind w:firstLine="422" w:firstLineChars="176"/>
              <w:jc w:val="left"/>
              <w:rPr>
                <w:b/>
                <w:sz w:val="24"/>
              </w:rPr>
            </w:pPr>
            <w:r>
              <w:rPr>
                <w:rFonts w:hint="eastAsia" w:ascii="宋体" w:hAnsi="宋体"/>
                <w:sz w:val="24"/>
              </w:rPr>
              <w:t>（</w:t>
            </w:r>
            <w:r>
              <w:rPr>
                <w:rFonts w:ascii="宋体" w:hAnsi="宋体"/>
                <w:sz w:val="24"/>
              </w:rPr>
              <w:t>5</w:t>
            </w:r>
            <w:r>
              <w:rPr>
                <w:rFonts w:hint="eastAsia" w:ascii="宋体" w:hAnsi="宋体"/>
                <w:sz w:val="24"/>
              </w:rPr>
              <w:t>）</w:t>
            </w:r>
            <w:r>
              <w:rPr>
                <w:sz w:val="24"/>
              </w:rPr>
              <w:t>大气环境影响评价工作等级的确定</w:t>
            </w:r>
          </w:p>
          <w:p>
            <w:pPr>
              <w:spacing w:line="480" w:lineRule="exact"/>
              <w:ind w:firstLine="480"/>
              <w:jc w:val="left"/>
              <w:rPr>
                <w:sz w:val="24"/>
              </w:rPr>
            </w:pPr>
            <w:r>
              <w:rPr>
                <w:sz w:val="24"/>
              </w:rPr>
              <w:t>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spacing w:line="480" w:lineRule="exact"/>
              <w:ind w:firstLine="480"/>
              <w:jc w:val="left"/>
              <w:rPr>
                <w:sz w:val="24"/>
              </w:rPr>
            </w:pPr>
            <w:r>
              <w:rPr>
                <w:rFonts w:hint="eastAsia" w:ascii="宋体" w:hAnsi="宋体"/>
                <w:sz w:val="24"/>
              </w:rPr>
              <w:t>①</w:t>
            </w:r>
            <w:r>
              <w:rPr>
                <w:sz w:val="24"/>
              </w:rPr>
              <w:t>P</w:t>
            </w:r>
            <w:r>
              <w:rPr>
                <w:sz w:val="24"/>
                <w:vertAlign w:val="subscript"/>
              </w:rPr>
              <w:t>max</w:t>
            </w:r>
            <w:r>
              <w:rPr>
                <w:sz w:val="24"/>
              </w:rPr>
              <w:t>及D</w:t>
            </w:r>
            <w:r>
              <w:rPr>
                <w:sz w:val="24"/>
                <w:vertAlign w:val="subscript"/>
              </w:rPr>
              <w:t>10%</w:t>
            </w:r>
            <w:r>
              <w:rPr>
                <w:sz w:val="24"/>
              </w:rPr>
              <w:t>的确定</w:t>
            </w:r>
          </w:p>
          <w:p>
            <w:pPr>
              <w:spacing w:line="480" w:lineRule="exact"/>
              <w:ind w:firstLine="480"/>
              <w:jc w:val="left"/>
              <w:rPr>
                <w:sz w:val="24"/>
              </w:rPr>
            </w:pPr>
            <w:r>
              <w:rPr>
                <w:sz w:val="24"/>
              </w:rPr>
              <w:t>依据《环境影响评价技术导则 大气环境》(HJ2.2-20</w:t>
            </w:r>
            <w:r>
              <w:rPr>
                <w:rFonts w:hint="eastAsia"/>
                <w:sz w:val="24"/>
              </w:rPr>
              <w:t>1</w:t>
            </w:r>
            <w:r>
              <w:rPr>
                <w:sz w:val="24"/>
              </w:rPr>
              <w:t>8)中最大地面浓度占标率P</w:t>
            </w:r>
            <w:r>
              <w:rPr>
                <w:i/>
                <w:sz w:val="24"/>
              </w:rPr>
              <w:t>i</w:t>
            </w:r>
            <w:r>
              <w:rPr>
                <w:sz w:val="24"/>
              </w:rPr>
              <w:t>定义如下：</w:t>
            </w:r>
          </w:p>
          <w:p>
            <w:pPr>
              <w:spacing w:line="276" w:lineRule="auto"/>
              <w:jc w:val="center"/>
              <w:rPr>
                <w:sz w:val="24"/>
              </w:rPr>
            </w:pPr>
            <m:oMathPara>
              <m:oMath>
                <m:sSub>
                  <m:sSubPr>
                    <m:ctrlPr>
                      <w:rPr>
                        <w:rFonts w:ascii="Cambria Math" w:hAnsi="Cambria Math"/>
                        <w:sz w:val="24"/>
                      </w:rPr>
                    </m:ctrlPr>
                  </m:sSubPr>
                  <m:e>
                    <m:r>
                      <w:rPr>
                        <w:rFonts w:ascii="Cambria Math" w:hAnsi="Cambria Math"/>
                        <w:sz w:val="24"/>
                      </w:rPr>
                      <m:t>P</m:t>
                    </m:r>
                    <m:ctrlPr>
                      <w:rPr>
                        <w:rFonts w:ascii="Cambria Math" w:hAnsi="Cambria Math"/>
                        <w:sz w:val="24"/>
                      </w:rPr>
                    </m:ctrlPr>
                  </m:e>
                  <m:sub>
                    <m:r>
                      <w:rPr>
                        <w:rFonts w:ascii="Cambria Math" w:hAnsi="Cambria Math"/>
                        <w:sz w:val="24"/>
                      </w:rPr>
                      <m:t>i</m:t>
                    </m:r>
                    <m:ctrlPr>
                      <w:rPr>
                        <w:rFonts w:ascii="Cambria Math" w:hAnsi="Cambria Math"/>
                        <w:sz w:val="24"/>
                      </w:rPr>
                    </m:ctrlPr>
                  </m:sub>
                </m:sSub>
                <m:r>
                  <m:rPr>
                    <m:sty m:val="p"/>
                  </m:rPr>
                  <w:rPr>
                    <w:rFonts w:ascii="Cambria Math" w:hAnsi="Cambria Math"/>
                    <w:sz w:val="24"/>
                  </w:rPr>
                  <m:t>=</m:t>
                </m:r>
                <m:f>
                  <m:fPr>
                    <m:ctrlPr>
                      <w:rPr>
                        <w:rFonts w:ascii="Cambria Math" w:hAnsi="Cambria Math"/>
                        <w:sz w:val="24"/>
                      </w:rPr>
                    </m:ctrlPr>
                  </m:fPr>
                  <m:num>
                    <m:sSub>
                      <m:sSubPr>
                        <m:ctrlPr>
                          <w:rPr>
                            <w:rFonts w:ascii="Cambria Math" w:hAnsi="Cambria Math"/>
                            <w:i/>
                            <w:sz w:val="24"/>
                          </w:rPr>
                        </m:ctrlPr>
                      </m:sSubPr>
                      <m:e>
                        <m:r>
                          <w:rPr>
                            <w:rFonts w:ascii="Cambria Math" w:hAnsi="Cambria Math"/>
                            <w:sz w:val="24"/>
                          </w:rPr>
                          <m:t>C</m:t>
                        </m:r>
                        <m:ctrlPr>
                          <w:rPr>
                            <w:rFonts w:ascii="Cambria Math" w:hAnsi="Cambria Math"/>
                            <w:i/>
                            <w:sz w:val="24"/>
                          </w:rPr>
                        </m:ctrlPr>
                      </m:e>
                      <m:sub>
                        <m:r>
                          <w:rPr>
                            <w:rFonts w:ascii="Cambria Math" w:hAnsi="Cambria Math"/>
                            <w:sz w:val="24"/>
                          </w:rPr>
                          <m:t>i</m:t>
                        </m:r>
                        <m:ctrlPr>
                          <w:rPr>
                            <w:rFonts w:ascii="Cambria Math" w:hAnsi="Cambria Math"/>
                            <w:i/>
                            <w:sz w:val="24"/>
                          </w:rPr>
                        </m:ctrlPr>
                      </m:sub>
                    </m:sSub>
                    <m:ctrlPr>
                      <w:rPr>
                        <w:rFonts w:ascii="Cambria Math" w:hAnsi="Cambria Math"/>
                        <w:sz w:val="24"/>
                      </w:rPr>
                    </m:ctrlPr>
                  </m:num>
                  <m:den>
                    <m:sSub>
                      <m:sSubPr>
                        <m:ctrlPr>
                          <w:rPr>
                            <w:rFonts w:ascii="Cambria Math" w:hAnsi="Cambria Math"/>
                            <w:i/>
                            <w:sz w:val="24"/>
                          </w:rPr>
                        </m:ctrlPr>
                      </m:sSubPr>
                      <m:e>
                        <m:r>
                          <w:rPr>
                            <w:rFonts w:ascii="Cambria Math" w:hAnsi="Cambria Math"/>
                            <w:sz w:val="24"/>
                          </w:rPr>
                          <m:t>C</m:t>
                        </m:r>
                        <m:ctrlPr>
                          <w:rPr>
                            <w:rFonts w:ascii="Cambria Math" w:hAnsi="Cambria Math"/>
                            <w:i/>
                            <w:sz w:val="24"/>
                          </w:rPr>
                        </m:ctrlPr>
                      </m:e>
                      <m:sub>
                        <m:r>
                          <w:rPr>
                            <w:rFonts w:ascii="Cambria Math" w:hAnsi="Cambria Math"/>
                            <w:sz w:val="24"/>
                          </w:rPr>
                          <m:t>0i</m:t>
                        </m:r>
                        <m:ctrlPr>
                          <w:rPr>
                            <w:rFonts w:ascii="Cambria Math" w:hAnsi="Cambria Math"/>
                            <w:i/>
                            <w:sz w:val="24"/>
                          </w:rPr>
                        </m:ctrlPr>
                      </m:sub>
                    </m:sSub>
                    <m:ctrlPr>
                      <w:rPr>
                        <w:rFonts w:ascii="Cambria Math" w:hAnsi="Cambria Math"/>
                        <w:sz w:val="24"/>
                      </w:rPr>
                    </m:ctrlPr>
                  </m:den>
                </m:f>
                <m:r>
                  <w:rPr>
                    <w:rFonts w:ascii="Cambria Math" w:hAnsi="Cambria Math"/>
                    <w:sz w:val="24"/>
                  </w:rPr>
                  <m:t>×100%</m:t>
                </m:r>
              </m:oMath>
            </m:oMathPara>
          </w:p>
          <w:p>
            <w:pPr>
              <w:spacing w:line="480" w:lineRule="exact"/>
              <w:jc w:val="left"/>
              <w:rPr>
                <w:sz w:val="24"/>
              </w:rPr>
            </w:pPr>
            <m:oMath>
              <m:sSub>
                <m:sSubPr>
                  <m:ctrlPr>
                    <w:rPr>
                      <w:rFonts w:ascii="Cambria Math" w:hAnsi="Cambria Math"/>
                      <w:sz w:val="24"/>
                    </w:rPr>
                  </m:ctrlPr>
                </m:sSubPr>
                <m:e>
                  <m:r>
                    <w:rPr>
                      <w:rFonts w:ascii="Cambria Math" w:hAnsi="Cambria Math"/>
                      <w:sz w:val="24"/>
                    </w:rPr>
                    <m:t>P</m:t>
                  </m:r>
                  <m:ctrlPr>
                    <w:rPr>
                      <w:rFonts w:ascii="Cambria Math" w:hAnsi="Cambria Math"/>
                      <w:sz w:val="24"/>
                    </w:rPr>
                  </m:ctrlPr>
                </m:e>
                <m:sub>
                  <m:r>
                    <w:rPr>
                      <w:rFonts w:ascii="Cambria Math" w:hAnsi="Cambria Math"/>
                      <w:sz w:val="24"/>
                    </w:rPr>
                    <m:t>i</m:t>
                  </m:r>
                  <m:ctrlPr>
                    <w:rPr>
                      <w:rFonts w:ascii="Cambria Math" w:hAnsi="Cambria Math"/>
                      <w:sz w:val="24"/>
                    </w:rPr>
                  </m:ctrlPr>
                </m:sub>
              </m:sSub>
            </m:oMath>
            <w:r>
              <w:rPr>
                <w:sz w:val="24"/>
              </w:rPr>
              <w:t xml:space="preserve"> ——第i个污染物的最大地面空气质量浓度 占标率，%；</w:t>
            </w:r>
          </w:p>
          <w:p>
            <w:pPr>
              <w:spacing w:line="480" w:lineRule="exact"/>
              <w:jc w:val="left"/>
              <w:rPr>
                <w:sz w:val="24"/>
              </w:rPr>
            </w:pPr>
            <m:oMath>
              <m:sSub>
                <m:sSubPr>
                  <m:ctrlPr>
                    <w:rPr>
                      <w:rFonts w:ascii="Cambria Math" w:hAnsi="Cambria Math"/>
                      <w:i/>
                      <w:sz w:val="24"/>
                    </w:rPr>
                  </m:ctrlPr>
                </m:sSubPr>
                <m:e>
                  <m:r>
                    <w:rPr>
                      <w:rFonts w:ascii="Cambria Math" w:hAnsi="Cambria Math"/>
                      <w:sz w:val="24"/>
                    </w:rPr>
                    <m:t>C</m:t>
                  </m:r>
                  <m:ctrlPr>
                    <w:rPr>
                      <w:rFonts w:ascii="Cambria Math" w:hAnsi="Cambria Math"/>
                      <w:i/>
                      <w:sz w:val="24"/>
                    </w:rPr>
                  </m:ctrlPr>
                </m:e>
                <m:sub>
                  <m:r>
                    <w:rPr>
                      <w:rFonts w:ascii="Cambria Math" w:hAnsi="Cambria Math"/>
                      <w:sz w:val="24"/>
                    </w:rPr>
                    <m:t>i</m:t>
                  </m:r>
                  <m:ctrlPr>
                    <w:rPr>
                      <w:rFonts w:ascii="Cambria Math" w:hAnsi="Cambria Math"/>
                      <w:i/>
                      <w:sz w:val="24"/>
                    </w:rPr>
                  </m:ctrlPr>
                </m:sub>
              </m:sSub>
            </m:oMath>
            <w:r>
              <w:rPr>
                <w:sz w:val="24"/>
              </w:rPr>
              <w:t>——采用估算模型计算出的第i个污染物的最大1h地面空气质量浓度，μg/m</w:t>
            </w:r>
            <w:r>
              <w:rPr>
                <w:sz w:val="24"/>
                <w:vertAlign w:val="superscript"/>
              </w:rPr>
              <w:t>3</w:t>
            </w:r>
            <w:r>
              <w:rPr>
                <w:sz w:val="24"/>
              </w:rPr>
              <w:t>；</w:t>
            </w:r>
          </w:p>
          <w:p>
            <w:pPr>
              <w:spacing w:line="480" w:lineRule="exact"/>
              <w:jc w:val="left"/>
              <w:rPr>
                <w:sz w:val="24"/>
              </w:rPr>
            </w:pPr>
            <m:oMath>
              <m:sSub>
                <m:sSubPr>
                  <m:ctrlPr>
                    <w:rPr>
                      <w:rFonts w:ascii="Cambria Math" w:hAnsi="Cambria Math"/>
                      <w:i/>
                      <w:sz w:val="24"/>
                    </w:rPr>
                  </m:ctrlPr>
                </m:sSubPr>
                <m:e>
                  <m:r>
                    <w:rPr>
                      <w:rFonts w:ascii="Cambria Math" w:hAnsi="Cambria Math"/>
                      <w:sz w:val="24"/>
                    </w:rPr>
                    <m:t>C</m:t>
                  </m:r>
                  <m:ctrlPr>
                    <w:rPr>
                      <w:rFonts w:ascii="Cambria Math" w:hAnsi="Cambria Math"/>
                      <w:i/>
                      <w:sz w:val="24"/>
                    </w:rPr>
                  </m:ctrlPr>
                </m:e>
                <m:sub>
                  <m:r>
                    <w:rPr>
                      <w:rFonts w:ascii="Cambria Math" w:hAnsi="Cambria Math"/>
                      <w:sz w:val="24"/>
                    </w:rPr>
                    <m:t>0i</m:t>
                  </m:r>
                  <m:ctrlPr>
                    <w:rPr>
                      <w:rFonts w:ascii="Cambria Math" w:hAnsi="Cambria Math"/>
                      <w:i/>
                      <w:sz w:val="24"/>
                    </w:rPr>
                  </m:ctrlPr>
                </m:sub>
              </m:sSub>
            </m:oMath>
            <w:r>
              <w:rPr>
                <w:sz w:val="24"/>
              </w:rPr>
              <w:t>——第i个污染物的环境空气质量浓度标准，μg/m</w:t>
            </w:r>
            <w:r>
              <w:rPr>
                <w:sz w:val="24"/>
                <w:vertAlign w:val="superscript"/>
              </w:rPr>
              <w:t>3</w:t>
            </w:r>
            <w:r>
              <w:rPr>
                <w:sz w:val="24"/>
              </w:rPr>
              <w:t>。</w:t>
            </w:r>
          </w:p>
          <w:p>
            <w:pPr>
              <w:spacing w:line="480" w:lineRule="exact"/>
              <w:ind w:firstLine="480"/>
              <w:jc w:val="left"/>
              <w:rPr>
                <w:sz w:val="24"/>
              </w:rPr>
            </w:pPr>
            <w:r>
              <w:rPr>
                <w:rFonts w:hint="eastAsia" w:ascii="宋体" w:hAnsi="宋体"/>
                <w:sz w:val="24"/>
              </w:rPr>
              <w:t>②</w:t>
            </w:r>
            <w:r>
              <w:rPr>
                <w:sz w:val="24"/>
              </w:rPr>
              <w:t>评价等级判别表</w:t>
            </w:r>
          </w:p>
          <w:p>
            <w:pPr>
              <w:spacing w:line="480" w:lineRule="exact"/>
              <w:ind w:firstLine="480"/>
              <w:jc w:val="left"/>
              <w:rPr>
                <w:sz w:val="24"/>
              </w:rPr>
            </w:pPr>
            <w:r>
              <w:rPr>
                <w:sz w:val="24"/>
              </w:rPr>
              <w:t>评价等级按下表的分级判据进行划分</w:t>
            </w:r>
          </w:p>
          <w:p>
            <w:pPr>
              <w:spacing w:line="480" w:lineRule="exact"/>
              <w:jc w:val="center"/>
              <w:rPr>
                <w:b/>
                <w:sz w:val="24"/>
              </w:rPr>
            </w:pPr>
            <w:r>
              <w:rPr>
                <w:b/>
                <w:sz w:val="24"/>
              </w:rPr>
              <w:t>表5-2 评价等级判别表</w:t>
            </w:r>
          </w:p>
          <w:tbl>
            <w:tblPr>
              <w:tblStyle w:val="53"/>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4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448" w:type="dxa"/>
                  <w:vAlign w:val="center"/>
                </w:tcPr>
                <w:p>
                  <w:pPr>
                    <w:adjustRightInd w:val="0"/>
                    <w:snapToGrid w:val="0"/>
                    <w:jc w:val="center"/>
                    <w:rPr>
                      <w:rFonts w:ascii="Calibri" w:hAnsi="Calibri"/>
                      <w:szCs w:val="21"/>
                    </w:rPr>
                  </w:pPr>
                  <w:r>
                    <w:rPr>
                      <w:rFonts w:ascii="Calibri" w:hAnsi="Calibri"/>
                      <w:szCs w:val="21"/>
                    </w:rPr>
                    <w:t>评价工作等级</w:t>
                  </w:r>
                </w:p>
              </w:tc>
              <w:tc>
                <w:tcPr>
                  <w:tcW w:w="4448" w:type="dxa"/>
                  <w:vAlign w:val="center"/>
                </w:tcPr>
                <w:p>
                  <w:pPr>
                    <w:adjustRightInd w:val="0"/>
                    <w:snapToGrid w:val="0"/>
                    <w:jc w:val="center"/>
                    <w:rPr>
                      <w:rFonts w:ascii="Calibri" w:hAnsi="Calibri"/>
                      <w:szCs w:val="21"/>
                    </w:rPr>
                  </w:pPr>
                  <w:r>
                    <w:rPr>
                      <w:rFonts w:ascii="Calibri" w:hAnsi="Calibri"/>
                      <w:szCs w:val="21"/>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4448" w:type="dxa"/>
                  <w:vAlign w:val="center"/>
                </w:tcPr>
                <w:p>
                  <w:pPr>
                    <w:adjustRightInd w:val="0"/>
                    <w:snapToGrid w:val="0"/>
                    <w:jc w:val="center"/>
                    <w:rPr>
                      <w:rFonts w:ascii="Calibri" w:hAnsi="Calibri"/>
                      <w:szCs w:val="21"/>
                    </w:rPr>
                  </w:pPr>
                  <w:r>
                    <w:rPr>
                      <w:rFonts w:ascii="Calibri" w:hAnsi="Calibri"/>
                      <w:szCs w:val="21"/>
                    </w:rPr>
                    <w:t>一级评价</w:t>
                  </w:r>
                </w:p>
              </w:tc>
              <w:tc>
                <w:tcPr>
                  <w:tcW w:w="4448" w:type="dxa"/>
                  <w:vAlign w:val="center"/>
                </w:tcPr>
                <w:p>
                  <w:pPr>
                    <w:adjustRightInd w:val="0"/>
                    <w:snapToGrid w:val="0"/>
                    <w:jc w:val="center"/>
                    <w:rPr>
                      <w:rFonts w:ascii="Calibri" w:hAnsi="Calibri"/>
                      <w:szCs w:val="21"/>
                    </w:rPr>
                  </w:pPr>
                  <w:r>
                    <w:rPr>
                      <w:rFonts w:ascii="Calibri" w:hAnsi="Calibri"/>
                      <w:szCs w:val="21"/>
                    </w:rPr>
                    <w:t>Pmax</w:t>
                  </w:r>
                  <w:r>
                    <w:rPr>
                      <w:rFonts w:hint="eastAsia" w:ascii="宋体" w:hAnsi="宋体" w:cs="宋体"/>
                      <w:szCs w:val="21"/>
                    </w:rPr>
                    <w:t>≧</w:t>
                  </w:r>
                  <w:r>
                    <w:rPr>
                      <w:rFonts w:ascii="Calibri" w:hAnsi="Calibri"/>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4448" w:type="dxa"/>
                  <w:vAlign w:val="center"/>
                </w:tcPr>
                <w:p>
                  <w:pPr>
                    <w:adjustRightInd w:val="0"/>
                    <w:snapToGrid w:val="0"/>
                    <w:jc w:val="center"/>
                    <w:rPr>
                      <w:rFonts w:ascii="Calibri" w:hAnsi="Calibri"/>
                      <w:szCs w:val="21"/>
                    </w:rPr>
                  </w:pPr>
                  <w:r>
                    <w:rPr>
                      <w:rFonts w:ascii="Calibri" w:hAnsi="Calibri"/>
                      <w:szCs w:val="21"/>
                    </w:rPr>
                    <w:t>二级评价</w:t>
                  </w:r>
                </w:p>
              </w:tc>
              <w:tc>
                <w:tcPr>
                  <w:tcW w:w="4448" w:type="dxa"/>
                  <w:vAlign w:val="center"/>
                </w:tcPr>
                <w:p>
                  <w:pPr>
                    <w:adjustRightInd w:val="0"/>
                    <w:snapToGrid w:val="0"/>
                    <w:jc w:val="center"/>
                    <w:rPr>
                      <w:rFonts w:ascii="Calibri" w:hAnsi="Calibri"/>
                      <w:szCs w:val="21"/>
                    </w:rPr>
                  </w:pPr>
                  <w:r>
                    <w:rPr>
                      <w:rFonts w:ascii="Calibri" w:hAnsi="Calibri"/>
                      <w:szCs w:val="21"/>
                    </w:rPr>
                    <w:t>1%</w:t>
                  </w:r>
                  <w:r>
                    <w:rPr>
                      <w:rFonts w:hint="eastAsia" w:ascii="宋体" w:hAnsi="宋体" w:cs="宋体"/>
                      <w:szCs w:val="21"/>
                    </w:rPr>
                    <w:t>≦</w:t>
                  </w:r>
                  <w:r>
                    <w:rPr>
                      <w:rFonts w:ascii="Calibri" w:hAnsi="Calibri"/>
                      <w:szCs w:val="21"/>
                    </w:rPr>
                    <w:t>Pmax&lt;10%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4448" w:type="dxa"/>
                  <w:vAlign w:val="center"/>
                </w:tcPr>
                <w:p>
                  <w:pPr>
                    <w:adjustRightInd w:val="0"/>
                    <w:snapToGrid w:val="0"/>
                    <w:jc w:val="center"/>
                    <w:rPr>
                      <w:rFonts w:ascii="Calibri" w:hAnsi="Calibri"/>
                      <w:szCs w:val="21"/>
                    </w:rPr>
                  </w:pPr>
                  <w:r>
                    <w:rPr>
                      <w:rFonts w:ascii="Calibri" w:hAnsi="Calibri"/>
                      <w:szCs w:val="21"/>
                    </w:rPr>
                    <w:t>三级评价</w:t>
                  </w:r>
                </w:p>
              </w:tc>
              <w:tc>
                <w:tcPr>
                  <w:tcW w:w="4448" w:type="dxa"/>
                  <w:vAlign w:val="center"/>
                </w:tcPr>
                <w:p>
                  <w:pPr>
                    <w:adjustRightInd w:val="0"/>
                    <w:snapToGrid w:val="0"/>
                    <w:jc w:val="center"/>
                    <w:rPr>
                      <w:rFonts w:ascii="Calibri" w:hAnsi="Calibri"/>
                      <w:szCs w:val="21"/>
                    </w:rPr>
                  </w:pPr>
                  <w:r>
                    <w:rPr>
                      <w:rFonts w:ascii="Calibri" w:hAnsi="Calibri"/>
                      <w:szCs w:val="21"/>
                    </w:rPr>
                    <w:t>Pmax&lt;1%</w:t>
                  </w:r>
                </w:p>
              </w:tc>
            </w:tr>
          </w:tbl>
          <w:p>
            <w:pPr>
              <w:spacing w:line="480" w:lineRule="exact"/>
              <w:ind w:firstLine="480"/>
              <w:jc w:val="left"/>
              <w:rPr>
                <w:sz w:val="24"/>
              </w:rPr>
            </w:pPr>
            <w:r>
              <w:rPr>
                <w:rFonts w:hint="eastAsia" w:ascii="宋体" w:hAnsi="宋体"/>
                <w:sz w:val="24"/>
              </w:rPr>
              <w:t>③</w:t>
            </w:r>
            <w:r>
              <w:rPr>
                <w:sz w:val="24"/>
              </w:rPr>
              <w:t>污染物评价标准</w:t>
            </w:r>
          </w:p>
          <w:p>
            <w:pPr>
              <w:spacing w:line="480" w:lineRule="exact"/>
              <w:ind w:firstLine="480"/>
              <w:jc w:val="left"/>
              <w:rPr>
                <w:sz w:val="24"/>
              </w:rPr>
            </w:pPr>
            <w:r>
              <w:rPr>
                <w:sz w:val="24"/>
              </w:rPr>
              <w:t>污染物评价标准和来源见下表。</w:t>
            </w:r>
          </w:p>
          <w:p>
            <w:pPr>
              <w:spacing w:line="480" w:lineRule="exact"/>
              <w:jc w:val="center"/>
              <w:rPr>
                <w:b/>
                <w:sz w:val="24"/>
              </w:rPr>
            </w:pPr>
            <w:r>
              <w:rPr>
                <w:b/>
                <w:sz w:val="24"/>
              </w:rPr>
              <w:t>表5-3  污染物评价标准</w:t>
            </w:r>
          </w:p>
          <w:tbl>
            <w:tblPr>
              <w:tblStyle w:val="53"/>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212"/>
              <w:gridCol w:w="1417"/>
              <w:gridCol w:w="1985"/>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19" w:type="dxa"/>
                  <w:vAlign w:val="center"/>
                </w:tcPr>
                <w:p>
                  <w:pPr>
                    <w:jc w:val="center"/>
                    <w:rPr>
                      <w:rFonts w:ascii="Calibri" w:hAnsi="Calibri"/>
                      <w:szCs w:val="21"/>
                    </w:rPr>
                  </w:pPr>
                  <w:r>
                    <w:rPr>
                      <w:rFonts w:ascii="Calibri" w:hAnsi="Calibri"/>
                      <w:szCs w:val="21"/>
                    </w:rPr>
                    <w:t>污染物名称</w:t>
                  </w:r>
                </w:p>
              </w:tc>
              <w:tc>
                <w:tcPr>
                  <w:tcW w:w="1212" w:type="dxa"/>
                  <w:vAlign w:val="center"/>
                </w:tcPr>
                <w:p>
                  <w:pPr>
                    <w:jc w:val="center"/>
                    <w:rPr>
                      <w:rFonts w:ascii="Calibri" w:hAnsi="Calibri"/>
                      <w:szCs w:val="21"/>
                    </w:rPr>
                  </w:pPr>
                  <w:r>
                    <w:rPr>
                      <w:rFonts w:ascii="Calibri" w:hAnsi="Calibri"/>
                      <w:szCs w:val="21"/>
                    </w:rPr>
                    <w:t>功能区</w:t>
                  </w:r>
                </w:p>
              </w:tc>
              <w:tc>
                <w:tcPr>
                  <w:tcW w:w="1417" w:type="dxa"/>
                  <w:vAlign w:val="center"/>
                </w:tcPr>
                <w:p>
                  <w:pPr>
                    <w:jc w:val="center"/>
                    <w:rPr>
                      <w:rFonts w:ascii="Calibri" w:hAnsi="Calibri"/>
                      <w:szCs w:val="21"/>
                    </w:rPr>
                  </w:pPr>
                  <w:r>
                    <w:rPr>
                      <w:rFonts w:ascii="Calibri" w:hAnsi="Calibri"/>
                      <w:szCs w:val="21"/>
                    </w:rPr>
                    <w:t>取值时间</w:t>
                  </w:r>
                </w:p>
              </w:tc>
              <w:tc>
                <w:tcPr>
                  <w:tcW w:w="1985" w:type="dxa"/>
                  <w:vAlign w:val="center"/>
                </w:tcPr>
                <w:p>
                  <w:pPr>
                    <w:jc w:val="center"/>
                    <w:rPr>
                      <w:rFonts w:ascii="Calibri" w:hAnsi="Calibri"/>
                      <w:szCs w:val="21"/>
                    </w:rPr>
                  </w:pPr>
                  <w:bookmarkStart w:id="8" w:name="OLE_LINK4"/>
                  <w:bookmarkStart w:id="9" w:name="OLE_LINK5"/>
                  <w:r>
                    <w:rPr>
                      <w:rFonts w:ascii="Calibri" w:hAnsi="Calibri"/>
                      <w:szCs w:val="21"/>
                    </w:rPr>
                    <w:t>标准值</w:t>
                  </w:r>
                  <w:bookmarkEnd w:id="8"/>
                  <w:bookmarkEnd w:id="9"/>
                  <w:bookmarkStart w:id="10" w:name="OLE_LINK14"/>
                  <w:bookmarkStart w:id="11" w:name="OLE_LINK15"/>
                  <w:r>
                    <w:rPr>
                      <w:rFonts w:ascii="Calibri" w:hAnsi="Calibri"/>
                      <w:szCs w:val="21"/>
                    </w:rPr>
                    <w:t>(μg/m</w:t>
                  </w:r>
                  <w:r>
                    <w:rPr>
                      <w:rFonts w:ascii="Calibri" w:hAnsi="Calibri"/>
                      <w:szCs w:val="21"/>
                      <w:vertAlign w:val="superscript"/>
                    </w:rPr>
                    <w:t>3</w:t>
                  </w:r>
                  <w:r>
                    <w:rPr>
                      <w:rFonts w:ascii="Calibri" w:hAnsi="Calibri"/>
                      <w:szCs w:val="21"/>
                    </w:rPr>
                    <w:t>)</w:t>
                  </w:r>
                  <w:bookmarkEnd w:id="10"/>
                  <w:bookmarkEnd w:id="11"/>
                </w:p>
              </w:tc>
              <w:tc>
                <w:tcPr>
                  <w:tcW w:w="2829" w:type="dxa"/>
                  <w:vAlign w:val="center"/>
                </w:tcPr>
                <w:p>
                  <w:pPr>
                    <w:jc w:val="center"/>
                    <w:rPr>
                      <w:rFonts w:ascii="Calibri" w:hAnsi="Calibri"/>
                      <w:szCs w:val="21"/>
                    </w:rPr>
                  </w:pPr>
                  <w:r>
                    <w:rPr>
                      <w:rFonts w:ascii="Calibri" w:hAnsi="Calibri"/>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9" w:type="dxa"/>
                  <w:vAlign w:val="center"/>
                </w:tcPr>
                <w:p>
                  <w:pPr>
                    <w:jc w:val="center"/>
                    <w:rPr>
                      <w:rFonts w:ascii="Calibri" w:hAnsi="Calibri"/>
                      <w:szCs w:val="21"/>
                    </w:rPr>
                  </w:pPr>
                  <w:r>
                    <w:rPr>
                      <w:rFonts w:ascii="Calibri" w:hAnsi="Calibri"/>
                      <w:szCs w:val="21"/>
                    </w:rPr>
                    <w:t>NH</w:t>
                  </w:r>
                  <w:r>
                    <w:rPr>
                      <w:rFonts w:ascii="Calibri" w:hAnsi="Calibri"/>
                      <w:szCs w:val="21"/>
                      <w:vertAlign w:val="subscript"/>
                    </w:rPr>
                    <w:t>3</w:t>
                  </w:r>
                </w:p>
              </w:tc>
              <w:tc>
                <w:tcPr>
                  <w:tcW w:w="1212" w:type="dxa"/>
                  <w:vAlign w:val="center"/>
                </w:tcPr>
                <w:p>
                  <w:pPr>
                    <w:jc w:val="center"/>
                    <w:rPr>
                      <w:rFonts w:ascii="Calibri" w:hAnsi="Calibri"/>
                      <w:szCs w:val="21"/>
                    </w:rPr>
                  </w:pPr>
                  <w:r>
                    <w:rPr>
                      <w:rFonts w:ascii="Calibri" w:hAnsi="Calibri"/>
                      <w:szCs w:val="21"/>
                    </w:rPr>
                    <w:t>二类限区</w:t>
                  </w:r>
                </w:p>
              </w:tc>
              <w:tc>
                <w:tcPr>
                  <w:tcW w:w="1417" w:type="dxa"/>
                  <w:vAlign w:val="center"/>
                </w:tcPr>
                <w:p>
                  <w:pPr>
                    <w:jc w:val="center"/>
                    <w:rPr>
                      <w:rFonts w:ascii="Calibri" w:hAnsi="Calibri"/>
                      <w:szCs w:val="21"/>
                    </w:rPr>
                  </w:pPr>
                  <w:r>
                    <w:rPr>
                      <w:rFonts w:ascii="Calibri" w:hAnsi="Calibri"/>
                      <w:szCs w:val="21"/>
                    </w:rPr>
                    <w:t>一小时</w:t>
                  </w:r>
                </w:p>
              </w:tc>
              <w:tc>
                <w:tcPr>
                  <w:tcW w:w="1985" w:type="dxa"/>
                  <w:vAlign w:val="center"/>
                </w:tcPr>
                <w:p>
                  <w:pPr>
                    <w:jc w:val="center"/>
                    <w:rPr>
                      <w:rFonts w:ascii="Calibri" w:hAnsi="Calibri"/>
                      <w:szCs w:val="21"/>
                    </w:rPr>
                  </w:pPr>
                  <w:r>
                    <w:rPr>
                      <w:rFonts w:ascii="Calibri" w:hAnsi="Calibri"/>
                      <w:szCs w:val="21"/>
                    </w:rPr>
                    <w:t>200.0</w:t>
                  </w:r>
                </w:p>
              </w:tc>
              <w:tc>
                <w:tcPr>
                  <w:tcW w:w="2829" w:type="dxa"/>
                  <w:vAlign w:val="center"/>
                </w:tcPr>
                <w:p>
                  <w:pPr>
                    <w:jc w:val="center"/>
                    <w:rPr>
                      <w:rFonts w:ascii="Calibri" w:hAnsi="Calibri"/>
                      <w:szCs w:val="21"/>
                    </w:rPr>
                  </w:pPr>
                  <w:r>
                    <w:rPr>
                      <w:rFonts w:ascii="Calibri" w:hAnsi="Calibri"/>
                      <w:szCs w:val="21"/>
                    </w:rPr>
                    <w:t>《环境影响评价技术导则-大气环境》 HJ 2.2-2018 附录D</w:t>
                  </w:r>
                </w:p>
              </w:tc>
            </w:tr>
          </w:tbl>
          <w:p>
            <w:pPr>
              <w:spacing w:line="480" w:lineRule="exact"/>
              <w:ind w:firstLine="480"/>
              <w:jc w:val="left"/>
              <w:rPr>
                <w:sz w:val="24"/>
              </w:rPr>
            </w:pPr>
            <w:r>
              <w:rPr>
                <w:rFonts w:hint="eastAsia" w:ascii="宋体" w:hAnsi="宋体"/>
                <w:sz w:val="24"/>
              </w:rPr>
              <w:t>④</w:t>
            </w:r>
            <w:r>
              <w:rPr>
                <w:sz w:val="24"/>
              </w:rPr>
              <w:t>污染源参数</w:t>
            </w:r>
          </w:p>
          <w:p>
            <w:pPr>
              <w:spacing w:line="480" w:lineRule="exact"/>
              <w:ind w:firstLine="480"/>
              <w:jc w:val="left"/>
              <w:rPr>
                <w:sz w:val="24"/>
              </w:rPr>
            </w:pPr>
            <w:r>
              <w:rPr>
                <w:sz w:val="24"/>
              </w:rPr>
              <w:t>主要废气污染源排放参数见下表：</w:t>
            </w:r>
          </w:p>
          <w:p>
            <w:pPr>
              <w:spacing w:line="480" w:lineRule="exact"/>
              <w:jc w:val="center"/>
              <w:rPr>
                <w:b/>
                <w:sz w:val="24"/>
              </w:rPr>
            </w:pPr>
            <w:r>
              <w:rPr>
                <w:b/>
                <w:sz w:val="24"/>
              </w:rPr>
              <w:t>表5-4 主要废气污染源有组织排放参数一览表</w:t>
            </w:r>
            <w:r>
              <w:rPr>
                <w:rFonts w:hint="eastAsia"/>
                <w:b/>
                <w:sz w:val="24"/>
              </w:rPr>
              <w:t>（点源）</w:t>
            </w:r>
          </w:p>
          <w:tbl>
            <w:tblPr>
              <w:tblStyle w:val="53"/>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1111"/>
              <w:gridCol w:w="992"/>
              <w:gridCol w:w="852"/>
              <w:gridCol w:w="850"/>
              <w:gridCol w:w="709"/>
              <w:gridCol w:w="850"/>
              <w:gridCol w:w="709"/>
              <w:gridCol w:w="852"/>
              <w:gridCol w:w="707"/>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868" w:type="dxa"/>
                  <w:vMerge w:val="restart"/>
                  <w:vAlign w:val="center"/>
                </w:tcPr>
                <w:p>
                  <w:pPr>
                    <w:jc w:val="center"/>
                    <w:rPr>
                      <w:rFonts w:ascii="宋体" w:hAnsi="宋体"/>
                      <w:szCs w:val="21"/>
                    </w:rPr>
                  </w:pPr>
                  <w:r>
                    <w:rPr>
                      <w:rFonts w:ascii="宋体" w:hAnsi="宋体"/>
                      <w:szCs w:val="21"/>
                    </w:rPr>
                    <w:t>污染源名称</w:t>
                  </w:r>
                </w:p>
              </w:tc>
              <w:tc>
                <w:tcPr>
                  <w:tcW w:w="2103" w:type="dxa"/>
                  <w:gridSpan w:val="2"/>
                  <w:vAlign w:val="center"/>
                </w:tcPr>
                <w:p>
                  <w:pPr>
                    <w:snapToGrid w:val="0"/>
                    <w:jc w:val="center"/>
                    <w:rPr>
                      <w:rFonts w:ascii="宋体" w:hAnsi="宋体"/>
                      <w:szCs w:val="21"/>
                    </w:rPr>
                  </w:pPr>
                  <w:r>
                    <w:rPr>
                      <w:rFonts w:ascii="宋体" w:hAnsi="宋体"/>
                      <w:szCs w:val="21"/>
                    </w:rPr>
                    <w:t>排气筒底部中心坐标(</w:t>
                  </w:r>
                  <w:r>
                    <w:rPr>
                      <w:rFonts w:ascii="宋体" w:hAnsi="宋体"/>
                      <w:szCs w:val="21"/>
                      <w:vertAlign w:val="superscript"/>
                    </w:rPr>
                    <w:t>o</w:t>
                  </w:r>
                  <w:r>
                    <w:rPr>
                      <w:rFonts w:ascii="宋体" w:hAnsi="宋体"/>
                      <w:szCs w:val="21"/>
                    </w:rPr>
                    <w:t>)</w:t>
                  </w:r>
                </w:p>
              </w:tc>
              <w:tc>
                <w:tcPr>
                  <w:tcW w:w="852" w:type="dxa"/>
                  <w:vMerge w:val="restart"/>
                  <w:vAlign w:val="center"/>
                </w:tcPr>
                <w:p>
                  <w:pPr>
                    <w:snapToGrid w:val="0"/>
                    <w:jc w:val="center"/>
                    <w:rPr>
                      <w:rFonts w:ascii="宋体" w:hAnsi="宋体"/>
                      <w:szCs w:val="21"/>
                    </w:rPr>
                  </w:pPr>
                  <w:r>
                    <w:rPr>
                      <w:rFonts w:ascii="宋体" w:hAnsi="宋体"/>
                      <w:szCs w:val="21"/>
                    </w:rPr>
                    <w:t>排气筒底部海拔高度(m)</w:t>
                  </w:r>
                </w:p>
              </w:tc>
              <w:tc>
                <w:tcPr>
                  <w:tcW w:w="3118" w:type="dxa"/>
                  <w:gridSpan w:val="4"/>
                  <w:vAlign w:val="center"/>
                </w:tcPr>
                <w:p>
                  <w:pPr>
                    <w:snapToGrid w:val="0"/>
                    <w:jc w:val="center"/>
                    <w:rPr>
                      <w:rFonts w:ascii="宋体" w:hAnsi="宋体"/>
                      <w:szCs w:val="21"/>
                    </w:rPr>
                  </w:pPr>
                  <w:r>
                    <w:rPr>
                      <w:rFonts w:ascii="宋体" w:hAnsi="宋体"/>
                      <w:szCs w:val="21"/>
                    </w:rPr>
                    <w:t>排气筒参数</w:t>
                  </w:r>
                </w:p>
              </w:tc>
              <w:tc>
                <w:tcPr>
                  <w:tcW w:w="852" w:type="dxa"/>
                  <w:vMerge w:val="restart"/>
                  <w:vAlign w:val="center"/>
                </w:tcPr>
                <w:p>
                  <w:pPr>
                    <w:snapToGrid w:val="0"/>
                    <w:jc w:val="center"/>
                    <w:rPr>
                      <w:rFonts w:ascii="宋体" w:hAnsi="宋体"/>
                      <w:szCs w:val="21"/>
                    </w:rPr>
                  </w:pPr>
                  <w:r>
                    <w:rPr>
                      <w:rFonts w:ascii="宋体" w:hAnsi="宋体"/>
                      <w:szCs w:val="21"/>
                    </w:rPr>
                    <w:t>污染物名称</w:t>
                  </w:r>
                </w:p>
              </w:tc>
              <w:tc>
                <w:tcPr>
                  <w:tcW w:w="707" w:type="dxa"/>
                  <w:vMerge w:val="restart"/>
                  <w:vAlign w:val="center"/>
                </w:tcPr>
                <w:p>
                  <w:pPr>
                    <w:snapToGrid w:val="0"/>
                    <w:jc w:val="center"/>
                    <w:rPr>
                      <w:rFonts w:ascii="宋体" w:hAnsi="宋体"/>
                      <w:szCs w:val="21"/>
                    </w:rPr>
                  </w:pPr>
                  <w:r>
                    <w:rPr>
                      <w:rFonts w:ascii="宋体" w:hAnsi="宋体"/>
                      <w:szCs w:val="21"/>
                    </w:rPr>
                    <w:t>排放速率</w:t>
                  </w:r>
                </w:p>
              </w:tc>
              <w:tc>
                <w:tcPr>
                  <w:tcW w:w="638" w:type="dxa"/>
                  <w:vMerge w:val="restart"/>
                  <w:vAlign w:val="center"/>
                </w:tcPr>
                <w:p>
                  <w:pPr>
                    <w:snapToGrid w:val="0"/>
                    <w:jc w:val="center"/>
                    <w:rPr>
                      <w:rFonts w:ascii="宋体" w:hAnsi="宋体"/>
                      <w:szCs w:val="21"/>
                    </w:rPr>
                  </w:pPr>
                  <w:r>
                    <w:rPr>
                      <w:rFonts w:ascii="宋体" w:hAnsi="宋体"/>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868" w:type="dxa"/>
                  <w:vMerge w:val="continue"/>
                  <w:vAlign w:val="center"/>
                </w:tcPr>
                <w:p>
                  <w:pPr>
                    <w:snapToGrid w:val="0"/>
                    <w:jc w:val="center"/>
                    <w:rPr>
                      <w:rFonts w:ascii="宋体" w:hAnsi="宋体"/>
                      <w:szCs w:val="21"/>
                    </w:rPr>
                  </w:pPr>
                </w:p>
              </w:tc>
              <w:tc>
                <w:tcPr>
                  <w:tcW w:w="1111" w:type="dxa"/>
                  <w:vAlign w:val="center"/>
                </w:tcPr>
                <w:p>
                  <w:pPr>
                    <w:snapToGrid w:val="0"/>
                    <w:jc w:val="center"/>
                    <w:rPr>
                      <w:rFonts w:ascii="宋体" w:hAnsi="宋体"/>
                      <w:szCs w:val="21"/>
                    </w:rPr>
                  </w:pPr>
                  <w:r>
                    <w:rPr>
                      <w:rFonts w:hint="eastAsia" w:ascii="宋体" w:hAnsi="宋体"/>
                      <w:szCs w:val="21"/>
                    </w:rPr>
                    <w:t>经度</w:t>
                  </w:r>
                </w:p>
              </w:tc>
              <w:tc>
                <w:tcPr>
                  <w:tcW w:w="992" w:type="dxa"/>
                  <w:vAlign w:val="center"/>
                </w:tcPr>
                <w:p>
                  <w:pPr>
                    <w:snapToGrid w:val="0"/>
                    <w:jc w:val="center"/>
                    <w:rPr>
                      <w:rFonts w:ascii="宋体" w:hAnsi="宋体"/>
                      <w:szCs w:val="21"/>
                    </w:rPr>
                  </w:pPr>
                  <w:r>
                    <w:rPr>
                      <w:rFonts w:hint="eastAsia" w:ascii="宋体" w:hAnsi="宋体"/>
                      <w:szCs w:val="21"/>
                    </w:rPr>
                    <w:t>纬度</w:t>
                  </w:r>
                </w:p>
              </w:tc>
              <w:tc>
                <w:tcPr>
                  <w:tcW w:w="852" w:type="dxa"/>
                  <w:vMerge w:val="continue"/>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r>
                    <w:rPr>
                      <w:rFonts w:ascii="宋体" w:hAnsi="宋体"/>
                      <w:szCs w:val="21"/>
                    </w:rPr>
                    <w:t>高度</w:t>
                  </w:r>
                </w:p>
                <w:p>
                  <w:pPr>
                    <w:snapToGrid w:val="0"/>
                    <w:jc w:val="center"/>
                    <w:rPr>
                      <w:rFonts w:ascii="宋体" w:hAnsi="宋体"/>
                      <w:szCs w:val="21"/>
                    </w:rPr>
                  </w:pPr>
                  <w:r>
                    <w:rPr>
                      <w:rFonts w:ascii="宋体" w:hAnsi="宋体"/>
                      <w:szCs w:val="21"/>
                    </w:rPr>
                    <w:t>(m)</w:t>
                  </w:r>
                </w:p>
              </w:tc>
              <w:tc>
                <w:tcPr>
                  <w:tcW w:w="709" w:type="dxa"/>
                  <w:vAlign w:val="center"/>
                </w:tcPr>
                <w:p>
                  <w:pPr>
                    <w:snapToGrid w:val="0"/>
                    <w:jc w:val="center"/>
                    <w:rPr>
                      <w:rFonts w:ascii="宋体" w:hAnsi="宋体"/>
                      <w:szCs w:val="21"/>
                    </w:rPr>
                  </w:pPr>
                  <w:r>
                    <w:rPr>
                      <w:rFonts w:ascii="宋体" w:hAnsi="宋体"/>
                      <w:szCs w:val="21"/>
                    </w:rPr>
                    <w:t>内径</w:t>
                  </w:r>
                </w:p>
                <w:p>
                  <w:pPr>
                    <w:snapToGrid w:val="0"/>
                    <w:jc w:val="center"/>
                    <w:rPr>
                      <w:rFonts w:ascii="宋体" w:hAnsi="宋体"/>
                      <w:szCs w:val="21"/>
                    </w:rPr>
                  </w:pPr>
                  <w:r>
                    <w:rPr>
                      <w:rFonts w:ascii="宋体" w:hAnsi="宋体"/>
                      <w:szCs w:val="21"/>
                    </w:rPr>
                    <w:t>(m)</w:t>
                  </w:r>
                </w:p>
              </w:tc>
              <w:tc>
                <w:tcPr>
                  <w:tcW w:w="850" w:type="dxa"/>
                  <w:vAlign w:val="center"/>
                </w:tcPr>
                <w:p>
                  <w:pPr>
                    <w:snapToGrid w:val="0"/>
                    <w:jc w:val="center"/>
                    <w:rPr>
                      <w:rFonts w:ascii="宋体" w:hAnsi="宋体"/>
                      <w:szCs w:val="21"/>
                    </w:rPr>
                  </w:pPr>
                  <w:r>
                    <w:rPr>
                      <w:rFonts w:ascii="宋体" w:hAnsi="宋体"/>
                      <w:szCs w:val="21"/>
                    </w:rPr>
                    <w:t>温度</w:t>
                  </w:r>
                </w:p>
                <w:p>
                  <w:pPr>
                    <w:snapToGrid w:val="0"/>
                    <w:jc w:val="center"/>
                    <w:rPr>
                      <w:rFonts w:ascii="宋体" w:hAnsi="宋体"/>
                      <w:szCs w:val="21"/>
                    </w:rPr>
                  </w:pPr>
                  <w:r>
                    <w:rPr>
                      <w:rFonts w:ascii="宋体" w:hAnsi="宋体"/>
                      <w:szCs w:val="21"/>
                    </w:rPr>
                    <w:t>(</w:t>
                  </w:r>
                  <w:r>
                    <w:rPr>
                      <w:rFonts w:hint="eastAsia" w:ascii="宋体" w:hAnsi="宋体" w:cs="宋体"/>
                      <w:szCs w:val="21"/>
                    </w:rPr>
                    <w:t>℃</w:t>
                  </w:r>
                  <w:r>
                    <w:rPr>
                      <w:rFonts w:ascii="宋体" w:hAnsi="宋体"/>
                      <w:szCs w:val="21"/>
                    </w:rPr>
                    <w:t>)</w:t>
                  </w:r>
                </w:p>
              </w:tc>
              <w:tc>
                <w:tcPr>
                  <w:tcW w:w="709" w:type="dxa"/>
                  <w:vAlign w:val="center"/>
                </w:tcPr>
                <w:p>
                  <w:pPr>
                    <w:snapToGrid w:val="0"/>
                    <w:jc w:val="center"/>
                    <w:rPr>
                      <w:rFonts w:ascii="宋体" w:hAnsi="宋体"/>
                      <w:szCs w:val="21"/>
                    </w:rPr>
                  </w:pPr>
                  <w:r>
                    <w:rPr>
                      <w:rFonts w:ascii="宋体" w:hAnsi="宋体"/>
                      <w:szCs w:val="21"/>
                    </w:rPr>
                    <w:t>流速</w:t>
                  </w:r>
                </w:p>
                <w:p>
                  <w:pPr>
                    <w:snapToGrid w:val="0"/>
                    <w:jc w:val="center"/>
                    <w:rPr>
                      <w:rFonts w:ascii="宋体" w:hAnsi="宋体"/>
                      <w:szCs w:val="21"/>
                    </w:rPr>
                  </w:pPr>
                  <w:r>
                    <w:rPr>
                      <w:rFonts w:ascii="宋体" w:hAnsi="宋体"/>
                      <w:szCs w:val="21"/>
                    </w:rPr>
                    <w:t>(m/s)</w:t>
                  </w:r>
                </w:p>
              </w:tc>
              <w:tc>
                <w:tcPr>
                  <w:tcW w:w="852" w:type="dxa"/>
                  <w:vMerge w:val="continue"/>
                  <w:vAlign w:val="center"/>
                </w:tcPr>
                <w:p>
                  <w:pPr>
                    <w:snapToGrid w:val="0"/>
                    <w:jc w:val="center"/>
                    <w:rPr>
                      <w:rFonts w:ascii="宋体" w:hAnsi="宋体"/>
                      <w:szCs w:val="21"/>
                    </w:rPr>
                  </w:pPr>
                </w:p>
              </w:tc>
              <w:tc>
                <w:tcPr>
                  <w:tcW w:w="707" w:type="dxa"/>
                  <w:vMerge w:val="continue"/>
                  <w:vAlign w:val="center"/>
                </w:tcPr>
                <w:p>
                  <w:pPr>
                    <w:snapToGrid w:val="0"/>
                    <w:jc w:val="center"/>
                    <w:rPr>
                      <w:rFonts w:ascii="宋体" w:hAnsi="宋体"/>
                      <w:szCs w:val="21"/>
                    </w:rPr>
                  </w:pPr>
                </w:p>
              </w:tc>
              <w:tc>
                <w:tcPr>
                  <w:tcW w:w="638" w:type="dxa"/>
                  <w:vMerge w:val="continue"/>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0" w:hRule="atLeast"/>
              </w:trPr>
              <w:tc>
                <w:tcPr>
                  <w:tcW w:w="868" w:type="dxa"/>
                  <w:vAlign w:val="center"/>
                </w:tcPr>
                <w:p>
                  <w:pPr>
                    <w:jc w:val="center"/>
                    <w:rPr>
                      <w:rFonts w:ascii="宋体" w:hAnsi="宋体"/>
                      <w:szCs w:val="21"/>
                    </w:rPr>
                  </w:pPr>
                  <w:r>
                    <w:rPr>
                      <w:rFonts w:ascii="宋体" w:hAnsi="宋体"/>
                      <w:szCs w:val="21"/>
                    </w:rPr>
                    <w:t>点源</w:t>
                  </w:r>
                </w:p>
              </w:tc>
              <w:tc>
                <w:tcPr>
                  <w:tcW w:w="1111" w:type="dxa"/>
                  <w:vAlign w:val="center"/>
                </w:tcPr>
                <w:p>
                  <w:pPr>
                    <w:jc w:val="center"/>
                    <w:rPr>
                      <w:rFonts w:ascii="宋体" w:hAnsi="宋体"/>
                      <w:szCs w:val="21"/>
                    </w:rPr>
                  </w:pPr>
                  <w:r>
                    <w:rPr>
                      <w:rFonts w:ascii="宋体" w:hAnsi="宋体"/>
                      <w:szCs w:val="21"/>
                    </w:rPr>
                    <w:t>103.6584</w:t>
                  </w:r>
                </w:p>
              </w:tc>
              <w:tc>
                <w:tcPr>
                  <w:tcW w:w="992" w:type="dxa"/>
                  <w:vAlign w:val="center"/>
                </w:tcPr>
                <w:p>
                  <w:pPr>
                    <w:jc w:val="center"/>
                    <w:rPr>
                      <w:rFonts w:ascii="宋体" w:hAnsi="宋体"/>
                      <w:szCs w:val="21"/>
                    </w:rPr>
                  </w:pPr>
                  <w:r>
                    <w:rPr>
                      <w:rFonts w:ascii="宋体" w:hAnsi="宋体"/>
                      <w:szCs w:val="21"/>
                    </w:rPr>
                    <w:t>29.5467</w:t>
                  </w:r>
                </w:p>
              </w:tc>
              <w:tc>
                <w:tcPr>
                  <w:tcW w:w="852" w:type="dxa"/>
                  <w:vAlign w:val="center"/>
                </w:tcPr>
                <w:p>
                  <w:pPr>
                    <w:jc w:val="center"/>
                    <w:rPr>
                      <w:rFonts w:ascii="宋体" w:hAnsi="宋体"/>
                      <w:szCs w:val="21"/>
                    </w:rPr>
                  </w:pPr>
                  <w:r>
                    <w:rPr>
                      <w:rFonts w:ascii="宋体" w:hAnsi="宋体"/>
                      <w:szCs w:val="21"/>
                    </w:rPr>
                    <w:t>385.0</w:t>
                  </w:r>
                </w:p>
              </w:tc>
              <w:tc>
                <w:tcPr>
                  <w:tcW w:w="850" w:type="dxa"/>
                  <w:vAlign w:val="center"/>
                </w:tcPr>
                <w:p>
                  <w:pPr>
                    <w:jc w:val="center"/>
                    <w:rPr>
                      <w:rFonts w:ascii="宋体" w:hAnsi="宋体"/>
                      <w:szCs w:val="21"/>
                    </w:rPr>
                  </w:pPr>
                  <w:r>
                    <w:rPr>
                      <w:rFonts w:ascii="宋体" w:hAnsi="宋体"/>
                      <w:szCs w:val="21"/>
                    </w:rPr>
                    <w:t>20.0</w:t>
                  </w:r>
                </w:p>
              </w:tc>
              <w:tc>
                <w:tcPr>
                  <w:tcW w:w="709" w:type="dxa"/>
                  <w:vAlign w:val="center"/>
                </w:tcPr>
                <w:p>
                  <w:pPr>
                    <w:jc w:val="center"/>
                    <w:rPr>
                      <w:rFonts w:ascii="宋体" w:hAnsi="宋体"/>
                      <w:szCs w:val="21"/>
                    </w:rPr>
                  </w:pPr>
                  <w:r>
                    <w:rPr>
                      <w:rFonts w:ascii="宋体" w:hAnsi="宋体"/>
                      <w:szCs w:val="21"/>
                    </w:rPr>
                    <w:t>0.3</w:t>
                  </w:r>
                </w:p>
              </w:tc>
              <w:tc>
                <w:tcPr>
                  <w:tcW w:w="850" w:type="dxa"/>
                  <w:vAlign w:val="center"/>
                </w:tcPr>
                <w:p>
                  <w:pPr>
                    <w:jc w:val="center"/>
                    <w:rPr>
                      <w:rFonts w:ascii="宋体" w:hAnsi="宋体"/>
                      <w:szCs w:val="21"/>
                    </w:rPr>
                  </w:pPr>
                  <w:r>
                    <w:rPr>
                      <w:rFonts w:ascii="宋体" w:hAnsi="宋体"/>
                      <w:szCs w:val="21"/>
                    </w:rPr>
                    <w:t>23.0</w:t>
                  </w:r>
                </w:p>
              </w:tc>
              <w:tc>
                <w:tcPr>
                  <w:tcW w:w="709" w:type="dxa"/>
                  <w:vAlign w:val="center"/>
                </w:tcPr>
                <w:p>
                  <w:pPr>
                    <w:jc w:val="center"/>
                    <w:rPr>
                      <w:rFonts w:ascii="宋体" w:hAnsi="宋体"/>
                      <w:szCs w:val="21"/>
                    </w:rPr>
                  </w:pPr>
                  <w:r>
                    <w:rPr>
                      <w:rFonts w:ascii="宋体" w:hAnsi="宋体"/>
                      <w:szCs w:val="21"/>
                    </w:rPr>
                    <w:t>19.66</w:t>
                  </w:r>
                </w:p>
              </w:tc>
              <w:tc>
                <w:tcPr>
                  <w:tcW w:w="852" w:type="dxa"/>
                  <w:vAlign w:val="center"/>
                </w:tcPr>
                <w:p>
                  <w:pPr>
                    <w:jc w:val="center"/>
                    <w:rPr>
                      <w:rFonts w:ascii="宋体" w:hAnsi="宋体"/>
                      <w:szCs w:val="21"/>
                    </w:rPr>
                  </w:pPr>
                  <w:r>
                    <w:rPr>
                      <w:rFonts w:ascii="宋体" w:hAnsi="宋体"/>
                      <w:szCs w:val="21"/>
                    </w:rPr>
                    <w:t>NH</w:t>
                  </w:r>
                  <w:r>
                    <w:rPr>
                      <w:rFonts w:ascii="宋体" w:hAnsi="宋体"/>
                      <w:szCs w:val="21"/>
                      <w:vertAlign w:val="subscript"/>
                    </w:rPr>
                    <w:t>3</w:t>
                  </w:r>
                </w:p>
              </w:tc>
              <w:tc>
                <w:tcPr>
                  <w:tcW w:w="707" w:type="dxa"/>
                  <w:vAlign w:val="center"/>
                </w:tcPr>
                <w:p>
                  <w:pPr>
                    <w:jc w:val="center"/>
                    <w:rPr>
                      <w:rFonts w:ascii="宋体" w:hAnsi="宋体"/>
                      <w:szCs w:val="21"/>
                    </w:rPr>
                  </w:pPr>
                  <w:r>
                    <w:rPr>
                      <w:rFonts w:ascii="宋体" w:hAnsi="宋体"/>
                      <w:szCs w:val="21"/>
                    </w:rPr>
                    <w:t>0.01</w:t>
                  </w:r>
                </w:p>
              </w:tc>
              <w:tc>
                <w:tcPr>
                  <w:tcW w:w="638" w:type="dxa"/>
                  <w:vAlign w:val="center"/>
                </w:tcPr>
                <w:p>
                  <w:pPr>
                    <w:jc w:val="center"/>
                    <w:rPr>
                      <w:rFonts w:ascii="宋体" w:hAnsi="宋体"/>
                      <w:szCs w:val="21"/>
                    </w:rPr>
                  </w:pPr>
                  <w:r>
                    <w:rPr>
                      <w:rFonts w:ascii="宋体" w:hAnsi="宋体"/>
                      <w:szCs w:val="21"/>
                    </w:rPr>
                    <w:t>kg/h</w:t>
                  </w:r>
                </w:p>
              </w:tc>
            </w:tr>
          </w:tbl>
          <w:p>
            <w:pPr>
              <w:spacing w:line="480" w:lineRule="exact"/>
              <w:ind w:firstLine="424" w:firstLineChars="176"/>
              <w:jc w:val="center"/>
              <w:rPr>
                <w:b/>
                <w:sz w:val="24"/>
              </w:rPr>
            </w:pPr>
            <w:r>
              <w:rPr>
                <w:b/>
                <w:sz w:val="24"/>
              </w:rPr>
              <w:t>表5-5  主要废气污染源无组织排放参数一览表(矩形面源)</w:t>
            </w:r>
          </w:p>
          <w:tbl>
            <w:tblPr>
              <w:tblStyle w:val="53"/>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131"/>
              <w:gridCol w:w="1135"/>
              <w:gridCol w:w="852"/>
              <w:gridCol w:w="709"/>
              <w:gridCol w:w="709"/>
              <w:gridCol w:w="1136"/>
              <w:gridCol w:w="709"/>
              <w:gridCol w:w="852"/>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8" w:type="dxa"/>
                  <w:vMerge w:val="restart"/>
                  <w:vAlign w:val="center"/>
                </w:tcPr>
                <w:p>
                  <w:pPr>
                    <w:jc w:val="center"/>
                    <w:rPr>
                      <w:rFonts w:ascii="宋体" w:hAnsi="宋体"/>
                      <w:szCs w:val="21"/>
                    </w:rPr>
                  </w:pPr>
                  <w:r>
                    <w:rPr>
                      <w:rFonts w:ascii="宋体" w:hAnsi="宋体"/>
                      <w:szCs w:val="21"/>
                    </w:rPr>
                    <w:t>污染源名称</w:t>
                  </w:r>
                </w:p>
              </w:tc>
              <w:tc>
                <w:tcPr>
                  <w:tcW w:w="2266" w:type="dxa"/>
                  <w:gridSpan w:val="2"/>
                  <w:vAlign w:val="center"/>
                </w:tcPr>
                <w:p>
                  <w:pPr>
                    <w:snapToGrid w:val="0"/>
                    <w:jc w:val="center"/>
                    <w:rPr>
                      <w:rFonts w:ascii="宋体" w:hAnsi="宋体"/>
                      <w:szCs w:val="21"/>
                    </w:rPr>
                  </w:pPr>
                  <w:r>
                    <w:rPr>
                      <w:rFonts w:hint="eastAsia" w:ascii="宋体" w:hAnsi="宋体"/>
                      <w:szCs w:val="21"/>
                    </w:rPr>
                    <w:t>坐标</w:t>
                  </w:r>
                </w:p>
              </w:tc>
              <w:tc>
                <w:tcPr>
                  <w:tcW w:w="852" w:type="dxa"/>
                  <w:vMerge w:val="restart"/>
                  <w:vAlign w:val="center"/>
                </w:tcPr>
                <w:p>
                  <w:pPr>
                    <w:snapToGrid w:val="0"/>
                    <w:jc w:val="center"/>
                    <w:rPr>
                      <w:rFonts w:ascii="宋体" w:hAnsi="宋体"/>
                      <w:szCs w:val="21"/>
                    </w:rPr>
                  </w:pPr>
                  <w:r>
                    <w:rPr>
                      <w:rFonts w:hint="eastAsia" w:ascii="宋体" w:hAnsi="宋体"/>
                      <w:szCs w:val="21"/>
                    </w:rPr>
                    <w:t>海拔高度/m</w:t>
                  </w:r>
                </w:p>
              </w:tc>
              <w:tc>
                <w:tcPr>
                  <w:tcW w:w="2554" w:type="dxa"/>
                  <w:gridSpan w:val="3"/>
                  <w:vAlign w:val="center"/>
                </w:tcPr>
                <w:p>
                  <w:pPr>
                    <w:snapToGrid w:val="0"/>
                    <w:jc w:val="center"/>
                    <w:rPr>
                      <w:rFonts w:ascii="宋体" w:hAnsi="宋体"/>
                      <w:szCs w:val="21"/>
                    </w:rPr>
                  </w:pPr>
                  <w:r>
                    <w:rPr>
                      <w:rFonts w:hint="eastAsia" w:ascii="宋体" w:hAnsi="宋体"/>
                      <w:szCs w:val="21"/>
                    </w:rPr>
                    <w:t>矩形面源</w:t>
                  </w:r>
                </w:p>
              </w:tc>
              <w:tc>
                <w:tcPr>
                  <w:tcW w:w="709" w:type="dxa"/>
                  <w:vMerge w:val="restart"/>
                  <w:vAlign w:val="center"/>
                </w:tcPr>
                <w:p>
                  <w:pPr>
                    <w:snapToGrid w:val="0"/>
                    <w:jc w:val="center"/>
                    <w:rPr>
                      <w:rFonts w:ascii="宋体" w:hAnsi="宋体"/>
                      <w:szCs w:val="21"/>
                    </w:rPr>
                  </w:pPr>
                  <w:r>
                    <w:rPr>
                      <w:rFonts w:hint="eastAsia" w:ascii="宋体" w:hAnsi="宋体"/>
                      <w:szCs w:val="21"/>
                    </w:rPr>
                    <w:t>污染物</w:t>
                  </w:r>
                </w:p>
              </w:tc>
              <w:tc>
                <w:tcPr>
                  <w:tcW w:w="852" w:type="dxa"/>
                  <w:vMerge w:val="restart"/>
                  <w:vAlign w:val="center"/>
                </w:tcPr>
                <w:p>
                  <w:pPr>
                    <w:snapToGrid w:val="0"/>
                    <w:jc w:val="center"/>
                    <w:rPr>
                      <w:rFonts w:ascii="宋体" w:hAnsi="宋体"/>
                      <w:szCs w:val="21"/>
                    </w:rPr>
                  </w:pPr>
                  <w:r>
                    <w:rPr>
                      <w:rFonts w:hint="eastAsia" w:ascii="宋体" w:hAnsi="宋体"/>
                      <w:szCs w:val="21"/>
                    </w:rPr>
                    <w:t>排放速率</w:t>
                  </w:r>
                </w:p>
              </w:tc>
              <w:tc>
                <w:tcPr>
                  <w:tcW w:w="701" w:type="dxa"/>
                  <w:vMerge w:val="restart"/>
                  <w:vAlign w:val="center"/>
                </w:tcPr>
                <w:p>
                  <w:pPr>
                    <w:snapToGrid w:val="0"/>
                    <w:jc w:val="center"/>
                    <w:rPr>
                      <w:rFonts w:ascii="宋体" w:hAnsi="宋体"/>
                      <w:szCs w:val="21"/>
                    </w:rPr>
                  </w:pPr>
                  <w:r>
                    <w:rPr>
                      <w:rFonts w:hint="eastAsia" w:ascii="宋体" w:hAnsi="宋体"/>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128" w:type="dxa"/>
                  <w:vMerge w:val="continue"/>
                  <w:vAlign w:val="center"/>
                </w:tcPr>
                <w:p>
                  <w:pPr>
                    <w:snapToGrid w:val="0"/>
                    <w:jc w:val="center"/>
                    <w:rPr>
                      <w:rFonts w:ascii="宋体" w:hAnsi="宋体"/>
                      <w:szCs w:val="21"/>
                    </w:rPr>
                  </w:pPr>
                </w:p>
              </w:tc>
              <w:tc>
                <w:tcPr>
                  <w:tcW w:w="1131" w:type="dxa"/>
                  <w:vAlign w:val="center"/>
                </w:tcPr>
                <w:p>
                  <w:pPr>
                    <w:snapToGrid w:val="0"/>
                    <w:jc w:val="center"/>
                    <w:rPr>
                      <w:rFonts w:ascii="宋体" w:hAnsi="宋体"/>
                      <w:szCs w:val="21"/>
                    </w:rPr>
                  </w:pPr>
                  <w:r>
                    <w:rPr>
                      <w:rFonts w:ascii="宋体" w:hAnsi="宋体"/>
                      <w:szCs w:val="21"/>
                    </w:rPr>
                    <w:t>X</w:t>
                  </w:r>
                </w:p>
              </w:tc>
              <w:tc>
                <w:tcPr>
                  <w:tcW w:w="1135" w:type="dxa"/>
                  <w:vAlign w:val="center"/>
                </w:tcPr>
                <w:p>
                  <w:pPr>
                    <w:snapToGrid w:val="0"/>
                    <w:jc w:val="center"/>
                    <w:rPr>
                      <w:rFonts w:ascii="宋体" w:hAnsi="宋体"/>
                      <w:szCs w:val="21"/>
                    </w:rPr>
                  </w:pPr>
                  <w:r>
                    <w:rPr>
                      <w:rFonts w:hint="eastAsia" w:ascii="宋体" w:hAnsi="宋体"/>
                      <w:szCs w:val="21"/>
                    </w:rPr>
                    <w:t>Y</w:t>
                  </w:r>
                </w:p>
              </w:tc>
              <w:tc>
                <w:tcPr>
                  <w:tcW w:w="852" w:type="dxa"/>
                  <w:vMerge w:val="continue"/>
                  <w:vAlign w:val="center"/>
                </w:tcPr>
                <w:p>
                  <w:pPr>
                    <w:snapToGrid w:val="0"/>
                    <w:jc w:val="center"/>
                    <w:rPr>
                      <w:rFonts w:ascii="宋体" w:hAnsi="宋体"/>
                      <w:szCs w:val="21"/>
                    </w:rPr>
                  </w:pPr>
                </w:p>
              </w:tc>
              <w:tc>
                <w:tcPr>
                  <w:tcW w:w="709" w:type="dxa"/>
                  <w:vAlign w:val="center"/>
                </w:tcPr>
                <w:p>
                  <w:pPr>
                    <w:snapToGrid w:val="0"/>
                    <w:jc w:val="center"/>
                    <w:rPr>
                      <w:rFonts w:ascii="宋体" w:hAnsi="宋体"/>
                      <w:szCs w:val="21"/>
                    </w:rPr>
                  </w:pPr>
                  <w:r>
                    <w:rPr>
                      <w:rFonts w:hint="eastAsia" w:ascii="宋体" w:hAnsi="宋体"/>
                      <w:szCs w:val="21"/>
                    </w:rPr>
                    <w:t>长度</w:t>
                  </w:r>
                </w:p>
              </w:tc>
              <w:tc>
                <w:tcPr>
                  <w:tcW w:w="709" w:type="dxa"/>
                  <w:vAlign w:val="center"/>
                </w:tcPr>
                <w:p>
                  <w:pPr>
                    <w:snapToGrid w:val="0"/>
                    <w:jc w:val="center"/>
                    <w:rPr>
                      <w:rFonts w:ascii="宋体" w:hAnsi="宋体"/>
                      <w:szCs w:val="21"/>
                    </w:rPr>
                  </w:pPr>
                  <w:r>
                    <w:rPr>
                      <w:rFonts w:hint="eastAsia" w:ascii="宋体" w:hAnsi="宋体"/>
                      <w:szCs w:val="21"/>
                    </w:rPr>
                    <w:t>宽度</w:t>
                  </w:r>
                </w:p>
              </w:tc>
              <w:tc>
                <w:tcPr>
                  <w:tcW w:w="1136" w:type="dxa"/>
                  <w:vAlign w:val="center"/>
                </w:tcPr>
                <w:p>
                  <w:pPr>
                    <w:snapToGrid w:val="0"/>
                    <w:jc w:val="center"/>
                    <w:rPr>
                      <w:rFonts w:ascii="宋体" w:hAnsi="宋体"/>
                      <w:szCs w:val="21"/>
                    </w:rPr>
                  </w:pPr>
                  <w:r>
                    <w:rPr>
                      <w:rFonts w:hint="eastAsia" w:ascii="宋体" w:hAnsi="宋体"/>
                      <w:szCs w:val="21"/>
                    </w:rPr>
                    <w:t>有效高度</w:t>
                  </w:r>
                </w:p>
              </w:tc>
              <w:tc>
                <w:tcPr>
                  <w:tcW w:w="709" w:type="dxa"/>
                  <w:vMerge w:val="continue"/>
                  <w:vAlign w:val="center"/>
                </w:tcPr>
                <w:p>
                  <w:pPr>
                    <w:snapToGrid w:val="0"/>
                    <w:jc w:val="center"/>
                    <w:rPr>
                      <w:rFonts w:ascii="宋体" w:hAnsi="宋体"/>
                      <w:szCs w:val="21"/>
                    </w:rPr>
                  </w:pPr>
                </w:p>
              </w:tc>
              <w:tc>
                <w:tcPr>
                  <w:tcW w:w="852" w:type="dxa"/>
                  <w:vMerge w:val="continue"/>
                  <w:vAlign w:val="center"/>
                </w:tcPr>
                <w:p>
                  <w:pPr>
                    <w:snapToGrid w:val="0"/>
                    <w:jc w:val="center"/>
                    <w:rPr>
                      <w:rFonts w:ascii="宋体" w:hAnsi="宋体"/>
                      <w:szCs w:val="21"/>
                    </w:rPr>
                  </w:pPr>
                </w:p>
              </w:tc>
              <w:tc>
                <w:tcPr>
                  <w:tcW w:w="701" w:type="dxa"/>
                  <w:vMerge w:val="continue"/>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8" w:type="dxa"/>
                  <w:vAlign w:val="center"/>
                </w:tcPr>
                <w:p>
                  <w:pPr>
                    <w:jc w:val="center"/>
                    <w:rPr>
                      <w:rFonts w:ascii="宋体" w:hAnsi="宋体"/>
                      <w:szCs w:val="21"/>
                    </w:rPr>
                  </w:pPr>
                  <w:r>
                    <w:rPr>
                      <w:rFonts w:ascii="宋体" w:hAnsi="宋体"/>
                      <w:szCs w:val="21"/>
                    </w:rPr>
                    <w:t>矩形面源</w:t>
                  </w:r>
                </w:p>
              </w:tc>
              <w:tc>
                <w:tcPr>
                  <w:tcW w:w="1131" w:type="dxa"/>
                  <w:vAlign w:val="center"/>
                </w:tcPr>
                <w:p>
                  <w:pPr>
                    <w:jc w:val="center"/>
                    <w:rPr>
                      <w:rFonts w:ascii="宋体" w:hAnsi="宋体"/>
                      <w:szCs w:val="21"/>
                    </w:rPr>
                  </w:pPr>
                  <w:r>
                    <w:rPr>
                      <w:rFonts w:ascii="宋体" w:hAnsi="宋体"/>
                      <w:szCs w:val="21"/>
                    </w:rPr>
                    <w:t>103.6586</w:t>
                  </w:r>
                </w:p>
              </w:tc>
              <w:tc>
                <w:tcPr>
                  <w:tcW w:w="1135" w:type="dxa"/>
                  <w:vAlign w:val="center"/>
                </w:tcPr>
                <w:p>
                  <w:pPr>
                    <w:jc w:val="center"/>
                    <w:rPr>
                      <w:rFonts w:ascii="宋体" w:hAnsi="宋体"/>
                      <w:szCs w:val="21"/>
                    </w:rPr>
                  </w:pPr>
                  <w:r>
                    <w:rPr>
                      <w:rFonts w:ascii="宋体" w:hAnsi="宋体"/>
                      <w:szCs w:val="21"/>
                    </w:rPr>
                    <w:t>29.5468</w:t>
                  </w:r>
                </w:p>
              </w:tc>
              <w:tc>
                <w:tcPr>
                  <w:tcW w:w="852" w:type="dxa"/>
                  <w:vAlign w:val="center"/>
                </w:tcPr>
                <w:p>
                  <w:pPr>
                    <w:jc w:val="center"/>
                    <w:rPr>
                      <w:rFonts w:ascii="宋体" w:hAnsi="宋体"/>
                      <w:szCs w:val="21"/>
                    </w:rPr>
                  </w:pPr>
                  <w:r>
                    <w:rPr>
                      <w:rFonts w:ascii="宋体" w:hAnsi="宋体"/>
                      <w:szCs w:val="21"/>
                    </w:rPr>
                    <w:t>385.0</w:t>
                  </w:r>
                </w:p>
              </w:tc>
              <w:tc>
                <w:tcPr>
                  <w:tcW w:w="709" w:type="dxa"/>
                  <w:vAlign w:val="center"/>
                </w:tcPr>
                <w:p>
                  <w:pPr>
                    <w:jc w:val="center"/>
                    <w:rPr>
                      <w:rFonts w:ascii="宋体" w:hAnsi="宋体"/>
                      <w:szCs w:val="21"/>
                    </w:rPr>
                  </w:pPr>
                  <w:r>
                    <w:rPr>
                      <w:rFonts w:ascii="宋体" w:hAnsi="宋体"/>
                      <w:szCs w:val="21"/>
                    </w:rPr>
                    <w:t>35.0</w:t>
                  </w:r>
                </w:p>
              </w:tc>
              <w:tc>
                <w:tcPr>
                  <w:tcW w:w="709" w:type="dxa"/>
                  <w:vAlign w:val="center"/>
                </w:tcPr>
                <w:p>
                  <w:pPr>
                    <w:jc w:val="center"/>
                    <w:rPr>
                      <w:rFonts w:ascii="宋体" w:hAnsi="宋体"/>
                      <w:szCs w:val="21"/>
                    </w:rPr>
                  </w:pPr>
                  <w:r>
                    <w:rPr>
                      <w:rFonts w:ascii="宋体" w:hAnsi="宋体"/>
                      <w:szCs w:val="21"/>
                    </w:rPr>
                    <w:t>15.0</w:t>
                  </w:r>
                </w:p>
              </w:tc>
              <w:tc>
                <w:tcPr>
                  <w:tcW w:w="1136" w:type="dxa"/>
                  <w:vAlign w:val="center"/>
                </w:tcPr>
                <w:p>
                  <w:pPr>
                    <w:jc w:val="center"/>
                    <w:rPr>
                      <w:rFonts w:ascii="宋体" w:hAnsi="宋体"/>
                      <w:szCs w:val="21"/>
                    </w:rPr>
                  </w:pPr>
                  <w:r>
                    <w:rPr>
                      <w:rFonts w:ascii="宋体" w:hAnsi="宋体"/>
                      <w:szCs w:val="21"/>
                    </w:rPr>
                    <w:t>5.0</w:t>
                  </w:r>
                </w:p>
              </w:tc>
              <w:tc>
                <w:tcPr>
                  <w:tcW w:w="709" w:type="dxa"/>
                  <w:vAlign w:val="center"/>
                </w:tcPr>
                <w:p>
                  <w:pPr>
                    <w:jc w:val="center"/>
                    <w:rPr>
                      <w:rFonts w:ascii="宋体" w:hAnsi="宋体"/>
                      <w:szCs w:val="21"/>
                    </w:rPr>
                  </w:pPr>
                  <w:r>
                    <w:rPr>
                      <w:rFonts w:ascii="宋体" w:hAnsi="宋体"/>
                      <w:szCs w:val="21"/>
                    </w:rPr>
                    <w:t>NH</w:t>
                  </w:r>
                  <w:r>
                    <w:rPr>
                      <w:rFonts w:ascii="宋体" w:hAnsi="宋体"/>
                      <w:szCs w:val="21"/>
                      <w:vertAlign w:val="subscript"/>
                    </w:rPr>
                    <w:t>3</w:t>
                  </w:r>
                </w:p>
              </w:tc>
              <w:tc>
                <w:tcPr>
                  <w:tcW w:w="852" w:type="dxa"/>
                  <w:vAlign w:val="center"/>
                </w:tcPr>
                <w:p>
                  <w:pPr>
                    <w:jc w:val="center"/>
                    <w:rPr>
                      <w:rFonts w:ascii="宋体" w:hAnsi="宋体"/>
                      <w:szCs w:val="21"/>
                    </w:rPr>
                  </w:pPr>
                  <w:r>
                    <w:rPr>
                      <w:rFonts w:ascii="宋体" w:hAnsi="宋体"/>
                      <w:szCs w:val="21"/>
                    </w:rPr>
                    <w:t>0.0008</w:t>
                  </w:r>
                </w:p>
              </w:tc>
              <w:tc>
                <w:tcPr>
                  <w:tcW w:w="701" w:type="dxa"/>
                  <w:vAlign w:val="center"/>
                </w:tcPr>
                <w:p>
                  <w:pPr>
                    <w:jc w:val="center"/>
                    <w:rPr>
                      <w:rFonts w:ascii="宋体" w:hAnsi="宋体"/>
                      <w:szCs w:val="21"/>
                    </w:rPr>
                  </w:pPr>
                  <w:r>
                    <w:rPr>
                      <w:rFonts w:ascii="宋体" w:hAnsi="宋体"/>
                      <w:szCs w:val="21"/>
                    </w:rPr>
                    <w:t>kg/h</w:t>
                  </w:r>
                </w:p>
              </w:tc>
            </w:tr>
          </w:tbl>
          <w:p>
            <w:pPr>
              <w:spacing w:line="480" w:lineRule="exact"/>
              <w:ind w:firstLine="424" w:firstLineChars="176"/>
              <w:jc w:val="center"/>
              <w:rPr>
                <w:b/>
                <w:sz w:val="24"/>
              </w:rPr>
            </w:pPr>
            <w:r>
              <w:rPr>
                <w:b/>
                <w:sz w:val="24"/>
              </w:rPr>
              <w:t>表5-6  主要废气污染源参数一览表(矩形面源)</w:t>
            </w:r>
          </w:p>
          <w:tbl>
            <w:tblPr>
              <w:tblStyle w:val="53"/>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91"/>
              <w:gridCol w:w="852"/>
              <w:gridCol w:w="854"/>
              <w:gridCol w:w="848"/>
              <w:gridCol w:w="709"/>
              <w:gridCol w:w="1136"/>
              <w:gridCol w:w="710"/>
              <w:gridCol w:w="99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1130" w:type="dxa"/>
                  <w:vMerge w:val="restart"/>
                  <w:vAlign w:val="center"/>
                </w:tcPr>
                <w:p>
                  <w:pPr>
                    <w:jc w:val="center"/>
                    <w:rPr>
                      <w:rFonts w:ascii="宋体" w:hAnsi="宋体"/>
                      <w:szCs w:val="21"/>
                    </w:rPr>
                  </w:pPr>
                  <w:r>
                    <w:rPr>
                      <w:rFonts w:ascii="宋体" w:hAnsi="宋体"/>
                      <w:szCs w:val="21"/>
                    </w:rPr>
                    <w:t>污染源名称</w:t>
                  </w:r>
                </w:p>
              </w:tc>
              <w:tc>
                <w:tcPr>
                  <w:tcW w:w="1843" w:type="dxa"/>
                  <w:gridSpan w:val="2"/>
                  <w:vAlign w:val="center"/>
                </w:tcPr>
                <w:p>
                  <w:pPr>
                    <w:snapToGrid w:val="0"/>
                    <w:jc w:val="center"/>
                    <w:rPr>
                      <w:rFonts w:ascii="宋体" w:hAnsi="宋体"/>
                      <w:szCs w:val="21"/>
                    </w:rPr>
                  </w:pPr>
                  <w:r>
                    <w:rPr>
                      <w:rFonts w:hint="eastAsia" w:ascii="宋体" w:hAnsi="宋体"/>
                      <w:szCs w:val="21"/>
                    </w:rPr>
                    <w:t>坐标</w:t>
                  </w:r>
                </w:p>
              </w:tc>
              <w:tc>
                <w:tcPr>
                  <w:tcW w:w="854" w:type="dxa"/>
                  <w:vMerge w:val="restart"/>
                  <w:vAlign w:val="center"/>
                </w:tcPr>
                <w:p>
                  <w:pPr>
                    <w:snapToGrid w:val="0"/>
                    <w:jc w:val="center"/>
                    <w:rPr>
                      <w:rFonts w:ascii="宋体" w:hAnsi="宋体"/>
                      <w:szCs w:val="21"/>
                    </w:rPr>
                  </w:pPr>
                  <w:r>
                    <w:rPr>
                      <w:rFonts w:hint="eastAsia" w:ascii="宋体" w:hAnsi="宋体"/>
                      <w:szCs w:val="21"/>
                    </w:rPr>
                    <w:t>海拔高度/m</w:t>
                  </w:r>
                </w:p>
              </w:tc>
              <w:tc>
                <w:tcPr>
                  <w:tcW w:w="2693" w:type="dxa"/>
                  <w:gridSpan w:val="3"/>
                  <w:vAlign w:val="center"/>
                </w:tcPr>
                <w:p>
                  <w:pPr>
                    <w:snapToGrid w:val="0"/>
                    <w:jc w:val="center"/>
                    <w:rPr>
                      <w:rFonts w:ascii="宋体" w:hAnsi="宋体"/>
                      <w:szCs w:val="21"/>
                    </w:rPr>
                  </w:pPr>
                  <w:r>
                    <w:rPr>
                      <w:rFonts w:hint="eastAsia" w:ascii="宋体" w:hAnsi="宋体"/>
                      <w:szCs w:val="21"/>
                    </w:rPr>
                    <w:t>矩形面源</w:t>
                  </w:r>
                </w:p>
              </w:tc>
              <w:tc>
                <w:tcPr>
                  <w:tcW w:w="710" w:type="dxa"/>
                  <w:vMerge w:val="restart"/>
                  <w:vAlign w:val="center"/>
                </w:tcPr>
                <w:p>
                  <w:pPr>
                    <w:snapToGrid w:val="0"/>
                    <w:jc w:val="center"/>
                    <w:rPr>
                      <w:rFonts w:ascii="宋体" w:hAnsi="宋体"/>
                      <w:szCs w:val="21"/>
                    </w:rPr>
                  </w:pPr>
                  <w:r>
                    <w:rPr>
                      <w:rFonts w:hint="eastAsia" w:ascii="宋体" w:hAnsi="宋体"/>
                      <w:szCs w:val="21"/>
                    </w:rPr>
                    <w:t>污染物</w:t>
                  </w:r>
                </w:p>
              </w:tc>
              <w:tc>
                <w:tcPr>
                  <w:tcW w:w="991" w:type="dxa"/>
                  <w:vMerge w:val="restart"/>
                  <w:vAlign w:val="center"/>
                </w:tcPr>
                <w:p>
                  <w:pPr>
                    <w:snapToGrid w:val="0"/>
                    <w:jc w:val="center"/>
                    <w:rPr>
                      <w:rFonts w:ascii="宋体" w:hAnsi="宋体"/>
                      <w:szCs w:val="21"/>
                    </w:rPr>
                  </w:pPr>
                  <w:r>
                    <w:rPr>
                      <w:rFonts w:hint="eastAsia" w:ascii="宋体" w:hAnsi="宋体"/>
                      <w:szCs w:val="21"/>
                    </w:rPr>
                    <w:t>排放速率</w:t>
                  </w:r>
                </w:p>
              </w:tc>
              <w:tc>
                <w:tcPr>
                  <w:tcW w:w="841" w:type="dxa"/>
                  <w:vMerge w:val="restart"/>
                  <w:vAlign w:val="center"/>
                </w:tcPr>
                <w:p>
                  <w:pPr>
                    <w:snapToGrid w:val="0"/>
                    <w:jc w:val="center"/>
                    <w:rPr>
                      <w:rFonts w:ascii="宋体" w:hAnsi="宋体"/>
                      <w:szCs w:val="21"/>
                    </w:rPr>
                  </w:pPr>
                  <w:r>
                    <w:rPr>
                      <w:rFonts w:hint="eastAsia" w:ascii="宋体" w:hAnsi="宋体"/>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trPr>
              <w:tc>
                <w:tcPr>
                  <w:tcW w:w="1130" w:type="dxa"/>
                  <w:vMerge w:val="continue"/>
                  <w:vAlign w:val="center"/>
                </w:tcPr>
                <w:p>
                  <w:pPr>
                    <w:snapToGrid w:val="0"/>
                    <w:jc w:val="center"/>
                    <w:rPr>
                      <w:rFonts w:ascii="宋体" w:hAnsi="宋体"/>
                      <w:szCs w:val="21"/>
                    </w:rPr>
                  </w:pPr>
                </w:p>
              </w:tc>
              <w:tc>
                <w:tcPr>
                  <w:tcW w:w="991" w:type="dxa"/>
                  <w:vAlign w:val="center"/>
                </w:tcPr>
                <w:p>
                  <w:pPr>
                    <w:snapToGrid w:val="0"/>
                    <w:jc w:val="center"/>
                    <w:rPr>
                      <w:rFonts w:ascii="宋体" w:hAnsi="宋体"/>
                      <w:szCs w:val="21"/>
                    </w:rPr>
                  </w:pPr>
                  <w:r>
                    <w:rPr>
                      <w:rFonts w:ascii="宋体" w:hAnsi="宋体"/>
                      <w:szCs w:val="21"/>
                    </w:rPr>
                    <w:t>X</w:t>
                  </w:r>
                </w:p>
              </w:tc>
              <w:tc>
                <w:tcPr>
                  <w:tcW w:w="852" w:type="dxa"/>
                  <w:vAlign w:val="center"/>
                </w:tcPr>
                <w:p>
                  <w:pPr>
                    <w:snapToGrid w:val="0"/>
                    <w:jc w:val="center"/>
                    <w:rPr>
                      <w:rFonts w:ascii="宋体" w:hAnsi="宋体"/>
                      <w:szCs w:val="21"/>
                    </w:rPr>
                  </w:pPr>
                  <w:r>
                    <w:rPr>
                      <w:rFonts w:hint="eastAsia" w:ascii="宋体" w:hAnsi="宋体"/>
                      <w:szCs w:val="21"/>
                    </w:rPr>
                    <w:t>Y</w:t>
                  </w:r>
                </w:p>
              </w:tc>
              <w:tc>
                <w:tcPr>
                  <w:tcW w:w="854" w:type="dxa"/>
                  <w:vMerge w:val="continue"/>
                  <w:vAlign w:val="center"/>
                </w:tcPr>
                <w:p>
                  <w:pPr>
                    <w:snapToGrid w:val="0"/>
                    <w:jc w:val="center"/>
                    <w:rPr>
                      <w:rFonts w:ascii="宋体" w:hAnsi="宋体"/>
                      <w:szCs w:val="21"/>
                    </w:rPr>
                  </w:pPr>
                </w:p>
              </w:tc>
              <w:tc>
                <w:tcPr>
                  <w:tcW w:w="848" w:type="dxa"/>
                  <w:vAlign w:val="center"/>
                </w:tcPr>
                <w:p>
                  <w:pPr>
                    <w:snapToGrid w:val="0"/>
                    <w:jc w:val="center"/>
                    <w:rPr>
                      <w:rFonts w:ascii="宋体" w:hAnsi="宋体"/>
                      <w:szCs w:val="21"/>
                    </w:rPr>
                  </w:pPr>
                  <w:r>
                    <w:rPr>
                      <w:rFonts w:hint="eastAsia" w:ascii="宋体" w:hAnsi="宋体"/>
                      <w:szCs w:val="21"/>
                    </w:rPr>
                    <w:t>长度</w:t>
                  </w:r>
                </w:p>
              </w:tc>
              <w:tc>
                <w:tcPr>
                  <w:tcW w:w="709" w:type="dxa"/>
                  <w:vAlign w:val="center"/>
                </w:tcPr>
                <w:p>
                  <w:pPr>
                    <w:snapToGrid w:val="0"/>
                    <w:jc w:val="center"/>
                    <w:rPr>
                      <w:rFonts w:ascii="宋体" w:hAnsi="宋体"/>
                      <w:szCs w:val="21"/>
                    </w:rPr>
                  </w:pPr>
                  <w:r>
                    <w:rPr>
                      <w:rFonts w:hint="eastAsia" w:ascii="宋体" w:hAnsi="宋体"/>
                      <w:szCs w:val="21"/>
                    </w:rPr>
                    <w:t>宽度</w:t>
                  </w:r>
                </w:p>
              </w:tc>
              <w:tc>
                <w:tcPr>
                  <w:tcW w:w="1136" w:type="dxa"/>
                  <w:vAlign w:val="center"/>
                </w:tcPr>
                <w:p>
                  <w:pPr>
                    <w:snapToGrid w:val="0"/>
                    <w:jc w:val="center"/>
                    <w:rPr>
                      <w:rFonts w:ascii="宋体" w:hAnsi="宋体"/>
                      <w:szCs w:val="21"/>
                    </w:rPr>
                  </w:pPr>
                  <w:r>
                    <w:rPr>
                      <w:rFonts w:hint="eastAsia" w:ascii="宋体" w:hAnsi="宋体"/>
                      <w:szCs w:val="21"/>
                    </w:rPr>
                    <w:t>有效高度</w:t>
                  </w:r>
                </w:p>
              </w:tc>
              <w:tc>
                <w:tcPr>
                  <w:tcW w:w="710" w:type="dxa"/>
                  <w:vMerge w:val="continue"/>
                  <w:vAlign w:val="center"/>
                </w:tcPr>
                <w:p>
                  <w:pPr>
                    <w:snapToGrid w:val="0"/>
                    <w:jc w:val="center"/>
                    <w:rPr>
                      <w:rFonts w:ascii="宋体" w:hAnsi="宋体"/>
                      <w:szCs w:val="21"/>
                    </w:rPr>
                  </w:pPr>
                </w:p>
              </w:tc>
              <w:tc>
                <w:tcPr>
                  <w:tcW w:w="991" w:type="dxa"/>
                  <w:vMerge w:val="continue"/>
                  <w:vAlign w:val="center"/>
                </w:tcPr>
                <w:p>
                  <w:pPr>
                    <w:snapToGrid w:val="0"/>
                    <w:jc w:val="center"/>
                    <w:rPr>
                      <w:rFonts w:ascii="宋体" w:hAnsi="宋体"/>
                      <w:szCs w:val="21"/>
                    </w:rPr>
                  </w:pPr>
                </w:p>
              </w:tc>
              <w:tc>
                <w:tcPr>
                  <w:tcW w:w="841" w:type="dxa"/>
                  <w:vMerge w:val="continue"/>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30" w:type="dxa"/>
                  <w:vAlign w:val="center"/>
                </w:tcPr>
                <w:p>
                  <w:pPr>
                    <w:jc w:val="center"/>
                    <w:rPr>
                      <w:rFonts w:ascii="宋体" w:hAnsi="宋体"/>
                      <w:szCs w:val="21"/>
                    </w:rPr>
                  </w:pPr>
                  <w:r>
                    <w:rPr>
                      <w:rFonts w:ascii="宋体" w:hAnsi="宋体"/>
                      <w:szCs w:val="21"/>
                    </w:rPr>
                    <w:t>矩形面源</w:t>
                  </w:r>
                </w:p>
              </w:tc>
              <w:tc>
                <w:tcPr>
                  <w:tcW w:w="991" w:type="dxa"/>
                  <w:vAlign w:val="center"/>
                </w:tcPr>
                <w:p>
                  <w:pPr>
                    <w:jc w:val="center"/>
                    <w:rPr>
                      <w:rFonts w:ascii="宋体" w:hAnsi="宋体"/>
                      <w:szCs w:val="21"/>
                    </w:rPr>
                  </w:pPr>
                  <w:r>
                    <w:rPr>
                      <w:rFonts w:ascii="宋体" w:hAnsi="宋体"/>
                      <w:szCs w:val="21"/>
                    </w:rPr>
                    <w:t>103.658</w:t>
                  </w:r>
                </w:p>
              </w:tc>
              <w:tc>
                <w:tcPr>
                  <w:tcW w:w="852" w:type="dxa"/>
                  <w:vAlign w:val="center"/>
                </w:tcPr>
                <w:p>
                  <w:pPr>
                    <w:jc w:val="center"/>
                    <w:rPr>
                      <w:rFonts w:ascii="宋体" w:hAnsi="宋体"/>
                      <w:szCs w:val="21"/>
                    </w:rPr>
                  </w:pPr>
                  <w:r>
                    <w:rPr>
                      <w:rFonts w:ascii="宋体" w:hAnsi="宋体"/>
                      <w:szCs w:val="21"/>
                    </w:rPr>
                    <w:t>29.547</w:t>
                  </w:r>
                </w:p>
              </w:tc>
              <w:tc>
                <w:tcPr>
                  <w:tcW w:w="854" w:type="dxa"/>
                  <w:vAlign w:val="center"/>
                </w:tcPr>
                <w:p>
                  <w:pPr>
                    <w:jc w:val="center"/>
                    <w:rPr>
                      <w:rFonts w:ascii="宋体" w:hAnsi="宋体"/>
                      <w:szCs w:val="21"/>
                    </w:rPr>
                  </w:pPr>
                  <w:r>
                    <w:rPr>
                      <w:rFonts w:ascii="宋体" w:hAnsi="宋体"/>
                      <w:szCs w:val="21"/>
                    </w:rPr>
                    <w:t>385.0</w:t>
                  </w:r>
                </w:p>
              </w:tc>
              <w:tc>
                <w:tcPr>
                  <w:tcW w:w="848" w:type="dxa"/>
                  <w:vAlign w:val="center"/>
                </w:tcPr>
                <w:p>
                  <w:pPr>
                    <w:jc w:val="center"/>
                    <w:rPr>
                      <w:rFonts w:ascii="宋体" w:hAnsi="宋体"/>
                      <w:szCs w:val="21"/>
                    </w:rPr>
                  </w:pPr>
                  <w:r>
                    <w:rPr>
                      <w:rFonts w:ascii="宋体" w:hAnsi="宋体"/>
                      <w:szCs w:val="21"/>
                    </w:rPr>
                    <w:t>50.0</w:t>
                  </w:r>
                </w:p>
              </w:tc>
              <w:tc>
                <w:tcPr>
                  <w:tcW w:w="709" w:type="dxa"/>
                  <w:vAlign w:val="center"/>
                </w:tcPr>
                <w:p>
                  <w:pPr>
                    <w:jc w:val="center"/>
                    <w:rPr>
                      <w:rFonts w:ascii="宋体" w:hAnsi="宋体"/>
                      <w:szCs w:val="21"/>
                    </w:rPr>
                  </w:pPr>
                  <w:r>
                    <w:rPr>
                      <w:rFonts w:ascii="宋体" w:hAnsi="宋体"/>
                      <w:szCs w:val="21"/>
                    </w:rPr>
                    <w:t>35</w:t>
                  </w:r>
                </w:p>
              </w:tc>
              <w:tc>
                <w:tcPr>
                  <w:tcW w:w="1136" w:type="dxa"/>
                  <w:vAlign w:val="center"/>
                </w:tcPr>
                <w:p>
                  <w:pPr>
                    <w:jc w:val="center"/>
                    <w:rPr>
                      <w:rFonts w:ascii="宋体" w:hAnsi="宋体"/>
                      <w:szCs w:val="21"/>
                    </w:rPr>
                  </w:pPr>
                  <w:r>
                    <w:rPr>
                      <w:rFonts w:ascii="宋体" w:hAnsi="宋体"/>
                      <w:szCs w:val="21"/>
                    </w:rPr>
                    <w:t>5.0</w:t>
                  </w:r>
                </w:p>
              </w:tc>
              <w:tc>
                <w:tcPr>
                  <w:tcW w:w="710" w:type="dxa"/>
                  <w:vAlign w:val="center"/>
                </w:tcPr>
                <w:p>
                  <w:pPr>
                    <w:jc w:val="center"/>
                    <w:rPr>
                      <w:rFonts w:ascii="宋体" w:hAnsi="宋体"/>
                      <w:szCs w:val="21"/>
                    </w:rPr>
                  </w:pPr>
                  <w:r>
                    <w:rPr>
                      <w:rFonts w:ascii="宋体" w:hAnsi="宋体"/>
                      <w:szCs w:val="21"/>
                    </w:rPr>
                    <w:t>TSP</w:t>
                  </w:r>
                </w:p>
              </w:tc>
              <w:tc>
                <w:tcPr>
                  <w:tcW w:w="991" w:type="dxa"/>
                  <w:vAlign w:val="center"/>
                </w:tcPr>
                <w:p>
                  <w:pPr>
                    <w:jc w:val="center"/>
                    <w:rPr>
                      <w:rFonts w:ascii="宋体" w:hAnsi="宋体"/>
                      <w:szCs w:val="21"/>
                    </w:rPr>
                  </w:pPr>
                  <w:r>
                    <w:rPr>
                      <w:rFonts w:ascii="宋体" w:hAnsi="宋体"/>
                      <w:szCs w:val="21"/>
                    </w:rPr>
                    <w:t>0.00019</w:t>
                  </w:r>
                </w:p>
              </w:tc>
              <w:tc>
                <w:tcPr>
                  <w:tcW w:w="841" w:type="dxa"/>
                  <w:vAlign w:val="center"/>
                </w:tcPr>
                <w:p>
                  <w:pPr>
                    <w:jc w:val="center"/>
                    <w:rPr>
                      <w:rFonts w:ascii="宋体" w:hAnsi="宋体"/>
                      <w:szCs w:val="21"/>
                    </w:rPr>
                  </w:pPr>
                  <w:r>
                    <w:rPr>
                      <w:rFonts w:ascii="宋体" w:hAnsi="宋体"/>
                      <w:szCs w:val="21"/>
                    </w:rPr>
                    <w:t>kg/h</w:t>
                  </w:r>
                </w:p>
              </w:tc>
            </w:tr>
          </w:tbl>
          <w:p>
            <w:pPr>
              <w:spacing w:line="480" w:lineRule="exact"/>
              <w:ind w:firstLine="480"/>
              <w:jc w:val="left"/>
              <w:rPr>
                <w:sz w:val="24"/>
              </w:rPr>
            </w:pPr>
            <w:r>
              <w:rPr>
                <w:rFonts w:hint="eastAsia" w:ascii="宋体" w:hAnsi="宋体"/>
                <w:sz w:val="24"/>
              </w:rPr>
              <w:t>⑤</w:t>
            </w:r>
            <w:r>
              <w:rPr>
                <w:sz w:val="24"/>
              </w:rPr>
              <w:t>项目参数</w:t>
            </w:r>
          </w:p>
          <w:p>
            <w:pPr>
              <w:spacing w:line="480" w:lineRule="exact"/>
              <w:ind w:firstLine="480"/>
              <w:jc w:val="left"/>
              <w:rPr>
                <w:sz w:val="24"/>
              </w:rPr>
            </w:pPr>
            <w:r>
              <w:rPr>
                <w:sz w:val="24"/>
              </w:rPr>
              <w:t>估算模式所用参数见表。</w:t>
            </w:r>
          </w:p>
          <w:p>
            <w:pPr>
              <w:spacing w:line="480" w:lineRule="exact"/>
              <w:jc w:val="center"/>
              <w:rPr>
                <w:b/>
                <w:sz w:val="24"/>
              </w:rPr>
            </w:pPr>
            <w:r>
              <w:rPr>
                <w:b/>
                <w:sz w:val="24"/>
              </w:rPr>
              <w:t>表5-7 估算模型参数表</w:t>
            </w:r>
          </w:p>
          <w:tbl>
            <w:tblPr>
              <w:tblStyle w:val="53"/>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2820"/>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5267" w:type="dxa"/>
                  <w:gridSpan w:val="2"/>
                  <w:vAlign w:val="center"/>
                </w:tcPr>
                <w:p>
                  <w:pPr>
                    <w:adjustRightInd w:val="0"/>
                    <w:snapToGrid w:val="0"/>
                    <w:jc w:val="center"/>
                    <w:rPr>
                      <w:rFonts w:ascii="宋体" w:hAnsi="宋体"/>
                      <w:szCs w:val="21"/>
                    </w:rPr>
                  </w:pPr>
                  <w:r>
                    <w:rPr>
                      <w:rFonts w:ascii="宋体" w:hAnsi="宋体"/>
                      <w:szCs w:val="21"/>
                    </w:rPr>
                    <w:t>参数</w:t>
                  </w:r>
                </w:p>
              </w:tc>
              <w:tc>
                <w:tcPr>
                  <w:tcW w:w="3795" w:type="dxa"/>
                  <w:vAlign w:val="center"/>
                </w:tcPr>
                <w:p>
                  <w:pPr>
                    <w:adjustRightInd w:val="0"/>
                    <w:snapToGrid w:val="0"/>
                    <w:jc w:val="center"/>
                    <w:rPr>
                      <w:rFonts w:ascii="宋体" w:hAnsi="宋体"/>
                      <w:szCs w:val="21"/>
                    </w:rPr>
                  </w:pPr>
                  <w:r>
                    <w:rPr>
                      <w:rFonts w:ascii="宋体" w:hAnsi="宋体"/>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jc w:val="center"/>
              </w:trPr>
              <w:tc>
                <w:tcPr>
                  <w:tcW w:w="2447" w:type="dxa"/>
                  <w:vMerge w:val="restart"/>
                  <w:vAlign w:val="center"/>
                </w:tcPr>
                <w:p>
                  <w:pPr>
                    <w:adjustRightInd w:val="0"/>
                    <w:snapToGrid w:val="0"/>
                    <w:jc w:val="center"/>
                    <w:rPr>
                      <w:rFonts w:ascii="宋体" w:hAnsi="宋体"/>
                      <w:szCs w:val="21"/>
                    </w:rPr>
                  </w:pPr>
                  <w:r>
                    <w:rPr>
                      <w:rFonts w:ascii="宋体" w:hAnsi="宋体"/>
                      <w:szCs w:val="21"/>
                    </w:rPr>
                    <w:t>城市农村/选项</w:t>
                  </w:r>
                </w:p>
              </w:tc>
              <w:tc>
                <w:tcPr>
                  <w:tcW w:w="2820" w:type="dxa"/>
                  <w:vAlign w:val="center"/>
                </w:tcPr>
                <w:p>
                  <w:pPr>
                    <w:adjustRightInd w:val="0"/>
                    <w:snapToGrid w:val="0"/>
                    <w:jc w:val="center"/>
                    <w:rPr>
                      <w:rFonts w:ascii="宋体" w:hAnsi="宋体"/>
                      <w:szCs w:val="21"/>
                    </w:rPr>
                  </w:pPr>
                  <w:r>
                    <w:rPr>
                      <w:rFonts w:ascii="宋体" w:hAnsi="宋体"/>
                      <w:szCs w:val="21"/>
                    </w:rPr>
                    <w:t>城市/农村</w:t>
                  </w:r>
                </w:p>
              </w:tc>
              <w:tc>
                <w:tcPr>
                  <w:tcW w:w="3795" w:type="dxa"/>
                  <w:vAlign w:val="center"/>
                </w:tcPr>
                <w:p>
                  <w:pPr>
                    <w:adjustRightInd w:val="0"/>
                    <w:snapToGrid w:val="0"/>
                    <w:jc w:val="center"/>
                    <w:rPr>
                      <w:rFonts w:ascii="宋体" w:hAnsi="宋体"/>
                      <w:szCs w:val="21"/>
                    </w:rPr>
                  </w:pPr>
                  <w:r>
                    <w:rPr>
                      <w:rFonts w:ascii="宋体" w:hAnsi="宋体"/>
                      <w:szCs w:val="21"/>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2447" w:type="dxa"/>
                  <w:vMerge w:val="continue"/>
                  <w:vAlign w:val="center"/>
                </w:tcPr>
                <w:p>
                  <w:pPr>
                    <w:adjustRightInd w:val="0"/>
                    <w:snapToGrid w:val="0"/>
                    <w:jc w:val="center"/>
                    <w:rPr>
                      <w:rFonts w:ascii="宋体" w:hAnsi="宋体"/>
                      <w:szCs w:val="21"/>
                    </w:rPr>
                  </w:pPr>
                </w:p>
              </w:tc>
              <w:tc>
                <w:tcPr>
                  <w:tcW w:w="2820" w:type="dxa"/>
                  <w:vAlign w:val="center"/>
                </w:tcPr>
                <w:p>
                  <w:pPr>
                    <w:adjustRightInd w:val="0"/>
                    <w:snapToGrid w:val="0"/>
                    <w:jc w:val="center"/>
                    <w:rPr>
                      <w:rFonts w:ascii="宋体" w:hAnsi="宋体"/>
                      <w:szCs w:val="21"/>
                    </w:rPr>
                  </w:pPr>
                  <w:r>
                    <w:rPr>
                      <w:rFonts w:ascii="宋体" w:hAnsi="宋体"/>
                      <w:szCs w:val="21"/>
                    </w:rPr>
                    <w:t>人口数(城市人口数)</w:t>
                  </w:r>
                </w:p>
              </w:tc>
              <w:tc>
                <w:tcPr>
                  <w:tcW w:w="3795" w:type="dxa"/>
                  <w:vAlign w:val="center"/>
                </w:tcPr>
                <w:p>
                  <w:pPr>
                    <w:adjustRightInd w:val="0"/>
                    <w:snapToGrid w:val="0"/>
                    <w:jc w:val="center"/>
                    <w:rPr>
                      <w:rFonts w:ascii="宋体" w:hAnsi="宋体"/>
                      <w:szCs w:val="21"/>
                    </w:rPr>
                  </w:pP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5267" w:type="dxa"/>
                  <w:gridSpan w:val="2"/>
                  <w:vAlign w:val="center"/>
                </w:tcPr>
                <w:p>
                  <w:pPr>
                    <w:adjustRightInd w:val="0"/>
                    <w:snapToGrid w:val="0"/>
                    <w:jc w:val="center"/>
                    <w:rPr>
                      <w:rFonts w:ascii="宋体" w:hAnsi="宋体"/>
                      <w:szCs w:val="21"/>
                    </w:rPr>
                  </w:pPr>
                  <w:r>
                    <w:rPr>
                      <w:rFonts w:ascii="宋体" w:hAnsi="宋体"/>
                      <w:szCs w:val="21"/>
                    </w:rPr>
                    <w:t>最高环境温度</w:t>
                  </w:r>
                </w:p>
              </w:tc>
              <w:tc>
                <w:tcPr>
                  <w:tcW w:w="3795" w:type="dxa"/>
                  <w:vAlign w:val="center"/>
                </w:tcPr>
                <w:p>
                  <w:pPr>
                    <w:adjustRightInd w:val="0"/>
                    <w:snapToGrid w:val="0"/>
                    <w:jc w:val="center"/>
                    <w:rPr>
                      <w:rFonts w:ascii="宋体" w:hAnsi="宋体"/>
                      <w:szCs w:val="21"/>
                    </w:rPr>
                  </w:pPr>
                  <w:r>
                    <w:rPr>
                      <w:rFonts w:ascii="宋体" w:hAnsi="宋体"/>
                      <w:szCs w:val="21"/>
                    </w:rPr>
                    <w:t>40.0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jc w:val="center"/>
              </w:trPr>
              <w:tc>
                <w:tcPr>
                  <w:tcW w:w="5267" w:type="dxa"/>
                  <w:gridSpan w:val="2"/>
                  <w:vAlign w:val="center"/>
                </w:tcPr>
                <w:p>
                  <w:pPr>
                    <w:adjustRightInd w:val="0"/>
                    <w:snapToGrid w:val="0"/>
                    <w:jc w:val="center"/>
                    <w:rPr>
                      <w:rFonts w:ascii="宋体" w:hAnsi="宋体"/>
                      <w:szCs w:val="21"/>
                    </w:rPr>
                  </w:pPr>
                  <w:r>
                    <w:rPr>
                      <w:rFonts w:ascii="宋体" w:hAnsi="宋体"/>
                      <w:szCs w:val="21"/>
                    </w:rPr>
                    <w:t>最低环境温度</w:t>
                  </w:r>
                </w:p>
              </w:tc>
              <w:tc>
                <w:tcPr>
                  <w:tcW w:w="3795" w:type="dxa"/>
                  <w:vAlign w:val="center"/>
                </w:tcPr>
                <w:p>
                  <w:pPr>
                    <w:adjustRightInd w:val="0"/>
                    <w:snapToGrid w:val="0"/>
                    <w:jc w:val="center"/>
                    <w:rPr>
                      <w:rFonts w:ascii="宋体" w:hAnsi="宋体"/>
                      <w:szCs w:val="21"/>
                    </w:rPr>
                  </w:pPr>
                  <w:r>
                    <w:rPr>
                      <w:rFonts w:ascii="宋体" w:hAnsi="宋体"/>
                      <w:szCs w:val="21"/>
                    </w:rPr>
                    <w:t>-5.0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5267" w:type="dxa"/>
                  <w:gridSpan w:val="2"/>
                  <w:vAlign w:val="center"/>
                </w:tcPr>
                <w:p>
                  <w:pPr>
                    <w:adjustRightInd w:val="0"/>
                    <w:snapToGrid w:val="0"/>
                    <w:jc w:val="center"/>
                    <w:rPr>
                      <w:rFonts w:ascii="宋体" w:hAnsi="宋体"/>
                      <w:szCs w:val="21"/>
                    </w:rPr>
                  </w:pPr>
                  <w:r>
                    <w:rPr>
                      <w:rFonts w:ascii="宋体" w:hAnsi="宋体"/>
                      <w:szCs w:val="21"/>
                    </w:rPr>
                    <w:t>土地利用类型</w:t>
                  </w:r>
                </w:p>
              </w:tc>
              <w:tc>
                <w:tcPr>
                  <w:tcW w:w="3795" w:type="dxa"/>
                  <w:vAlign w:val="center"/>
                </w:tcPr>
                <w:p>
                  <w:pPr>
                    <w:adjustRightInd w:val="0"/>
                    <w:snapToGrid w:val="0"/>
                    <w:jc w:val="center"/>
                    <w:rPr>
                      <w:rFonts w:ascii="宋体" w:hAnsi="宋体"/>
                      <w:szCs w:val="21"/>
                    </w:rPr>
                  </w:pPr>
                  <w:r>
                    <w:rPr>
                      <w:rFonts w:ascii="宋体" w:hAnsi="宋体"/>
                      <w:szCs w:val="21"/>
                    </w:rPr>
                    <w:t>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5267" w:type="dxa"/>
                  <w:gridSpan w:val="2"/>
                  <w:vAlign w:val="center"/>
                </w:tcPr>
                <w:p>
                  <w:pPr>
                    <w:adjustRightInd w:val="0"/>
                    <w:snapToGrid w:val="0"/>
                    <w:jc w:val="center"/>
                    <w:rPr>
                      <w:rFonts w:ascii="宋体" w:hAnsi="宋体"/>
                      <w:szCs w:val="21"/>
                    </w:rPr>
                  </w:pPr>
                  <w:r>
                    <w:rPr>
                      <w:rFonts w:ascii="宋体" w:hAnsi="宋体"/>
                      <w:szCs w:val="21"/>
                    </w:rPr>
                    <w:t>区域湿度条件</w:t>
                  </w:r>
                </w:p>
              </w:tc>
              <w:tc>
                <w:tcPr>
                  <w:tcW w:w="3795" w:type="dxa"/>
                  <w:vAlign w:val="center"/>
                </w:tcPr>
                <w:p>
                  <w:pPr>
                    <w:adjustRightInd w:val="0"/>
                    <w:snapToGrid w:val="0"/>
                    <w:jc w:val="center"/>
                    <w:rPr>
                      <w:rFonts w:ascii="宋体" w:hAnsi="宋体"/>
                      <w:szCs w:val="21"/>
                    </w:rPr>
                  </w:pPr>
                  <w:r>
                    <w:rPr>
                      <w:rFonts w:ascii="宋体" w:hAnsi="宋体"/>
                      <w:szCs w:val="21"/>
                    </w:rPr>
                    <w:t>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2447" w:type="dxa"/>
                  <w:vMerge w:val="restart"/>
                  <w:vAlign w:val="center"/>
                </w:tcPr>
                <w:p>
                  <w:pPr>
                    <w:adjustRightInd w:val="0"/>
                    <w:snapToGrid w:val="0"/>
                    <w:jc w:val="center"/>
                    <w:rPr>
                      <w:rFonts w:ascii="宋体" w:hAnsi="宋体"/>
                      <w:szCs w:val="21"/>
                    </w:rPr>
                  </w:pPr>
                  <w:r>
                    <w:rPr>
                      <w:rFonts w:ascii="宋体" w:hAnsi="宋体"/>
                      <w:szCs w:val="21"/>
                    </w:rPr>
                    <w:t>是否考虑地形</w:t>
                  </w:r>
                </w:p>
              </w:tc>
              <w:tc>
                <w:tcPr>
                  <w:tcW w:w="2820" w:type="dxa"/>
                  <w:vAlign w:val="center"/>
                </w:tcPr>
                <w:p>
                  <w:pPr>
                    <w:adjustRightInd w:val="0"/>
                    <w:snapToGrid w:val="0"/>
                    <w:jc w:val="center"/>
                    <w:rPr>
                      <w:rFonts w:ascii="宋体" w:hAnsi="宋体"/>
                      <w:szCs w:val="21"/>
                    </w:rPr>
                  </w:pPr>
                  <w:r>
                    <w:rPr>
                      <w:rFonts w:ascii="宋体" w:hAnsi="宋体"/>
                      <w:szCs w:val="21"/>
                    </w:rPr>
                    <w:t>考虑地形</w:t>
                  </w:r>
                </w:p>
              </w:tc>
              <w:tc>
                <w:tcPr>
                  <w:tcW w:w="3795" w:type="dxa"/>
                  <w:vAlign w:val="center"/>
                </w:tcPr>
                <w:p>
                  <w:pPr>
                    <w:adjustRightInd w:val="0"/>
                    <w:snapToGrid w:val="0"/>
                    <w:jc w:val="center"/>
                    <w:rPr>
                      <w:rFonts w:ascii="宋体" w:hAnsi="宋体"/>
                      <w:szCs w:val="21"/>
                    </w:rPr>
                  </w:pPr>
                  <w:r>
                    <w:rPr>
                      <w:rFonts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2447" w:type="dxa"/>
                  <w:vMerge w:val="continue"/>
                  <w:vAlign w:val="center"/>
                </w:tcPr>
                <w:p>
                  <w:pPr>
                    <w:adjustRightInd w:val="0"/>
                    <w:snapToGrid w:val="0"/>
                    <w:jc w:val="center"/>
                    <w:rPr>
                      <w:rFonts w:ascii="宋体" w:hAnsi="宋体"/>
                      <w:szCs w:val="21"/>
                    </w:rPr>
                  </w:pPr>
                </w:p>
              </w:tc>
              <w:tc>
                <w:tcPr>
                  <w:tcW w:w="2820" w:type="dxa"/>
                  <w:vAlign w:val="center"/>
                </w:tcPr>
                <w:p>
                  <w:pPr>
                    <w:adjustRightInd w:val="0"/>
                    <w:snapToGrid w:val="0"/>
                    <w:jc w:val="center"/>
                    <w:rPr>
                      <w:rFonts w:ascii="宋体" w:hAnsi="宋体"/>
                      <w:szCs w:val="21"/>
                    </w:rPr>
                  </w:pPr>
                  <w:r>
                    <w:rPr>
                      <w:rFonts w:ascii="宋体" w:hAnsi="宋体"/>
                      <w:szCs w:val="21"/>
                    </w:rPr>
                    <w:t>地形数据分辨率(m)</w:t>
                  </w:r>
                </w:p>
              </w:tc>
              <w:tc>
                <w:tcPr>
                  <w:tcW w:w="3795" w:type="dxa"/>
                  <w:vAlign w:val="center"/>
                </w:tcPr>
                <w:p>
                  <w:pPr>
                    <w:adjustRightInd w:val="0"/>
                    <w:snapToGrid w:val="0"/>
                    <w:jc w:val="center"/>
                    <w:rPr>
                      <w:rFonts w:ascii="宋体" w:hAnsi="宋体"/>
                      <w:szCs w:val="21"/>
                    </w:rPr>
                  </w:pPr>
                  <w:r>
                    <w:rPr>
                      <w:rFonts w:ascii="宋体" w:hAnsi="宋体"/>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2447" w:type="dxa"/>
                  <w:vMerge w:val="restart"/>
                  <w:vAlign w:val="center"/>
                </w:tcPr>
                <w:p>
                  <w:pPr>
                    <w:adjustRightInd w:val="0"/>
                    <w:snapToGrid w:val="0"/>
                    <w:jc w:val="center"/>
                    <w:rPr>
                      <w:rFonts w:ascii="宋体" w:hAnsi="宋体"/>
                      <w:szCs w:val="21"/>
                    </w:rPr>
                  </w:pPr>
                  <w:r>
                    <w:rPr>
                      <w:rFonts w:ascii="宋体" w:hAnsi="宋体"/>
                      <w:szCs w:val="21"/>
                    </w:rPr>
                    <w:t>是否考虑海岸线熏烟</w:t>
                  </w:r>
                </w:p>
              </w:tc>
              <w:tc>
                <w:tcPr>
                  <w:tcW w:w="2820" w:type="dxa"/>
                  <w:vAlign w:val="center"/>
                </w:tcPr>
                <w:p>
                  <w:pPr>
                    <w:adjustRightInd w:val="0"/>
                    <w:snapToGrid w:val="0"/>
                    <w:jc w:val="center"/>
                    <w:rPr>
                      <w:rFonts w:ascii="宋体" w:hAnsi="宋体"/>
                      <w:szCs w:val="21"/>
                    </w:rPr>
                  </w:pPr>
                  <w:r>
                    <w:rPr>
                      <w:rFonts w:ascii="宋体" w:hAnsi="宋体"/>
                      <w:szCs w:val="21"/>
                    </w:rPr>
                    <w:t>考虑海岸线熏烟</w:t>
                  </w:r>
                </w:p>
              </w:tc>
              <w:tc>
                <w:tcPr>
                  <w:tcW w:w="3795" w:type="dxa"/>
                  <w:vAlign w:val="center"/>
                </w:tcPr>
                <w:p>
                  <w:pPr>
                    <w:adjustRightInd w:val="0"/>
                    <w:snapToGrid w:val="0"/>
                    <w:jc w:val="center"/>
                    <w:rPr>
                      <w:rFonts w:ascii="宋体" w:hAnsi="宋体"/>
                      <w:szCs w:val="21"/>
                    </w:rPr>
                  </w:pPr>
                  <w:r>
                    <w:rPr>
                      <w:rFonts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2447" w:type="dxa"/>
                  <w:vMerge w:val="continue"/>
                  <w:vAlign w:val="center"/>
                </w:tcPr>
                <w:p>
                  <w:pPr>
                    <w:adjustRightInd w:val="0"/>
                    <w:snapToGrid w:val="0"/>
                    <w:jc w:val="center"/>
                    <w:rPr>
                      <w:rFonts w:ascii="宋体" w:hAnsi="宋体"/>
                      <w:szCs w:val="21"/>
                    </w:rPr>
                  </w:pPr>
                </w:p>
              </w:tc>
              <w:tc>
                <w:tcPr>
                  <w:tcW w:w="2820" w:type="dxa"/>
                  <w:vAlign w:val="center"/>
                </w:tcPr>
                <w:p>
                  <w:pPr>
                    <w:adjustRightInd w:val="0"/>
                    <w:snapToGrid w:val="0"/>
                    <w:jc w:val="center"/>
                    <w:rPr>
                      <w:rFonts w:ascii="宋体" w:hAnsi="宋体"/>
                      <w:szCs w:val="21"/>
                    </w:rPr>
                  </w:pPr>
                  <w:r>
                    <w:rPr>
                      <w:rFonts w:ascii="宋体" w:hAnsi="宋体"/>
                      <w:szCs w:val="21"/>
                    </w:rPr>
                    <w:t>海岸线距离/km</w:t>
                  </w:r>
                </w:p>
              </w:tc>
              <w:tc>
                <w:tcPr>
                  <w:tcW w:w="3795" w:type="dxa"/>
                  <w:vAlign w:val="center"/>
                </w:tcPr>
                <w:p>
                  <w:pPr>
                    <w:adjustRightInd w:val="0"/>
                    <w:snapToGrid w:val="0"/>
                    <w:jc w:val="center"/>
                    <w:rPr>
                      <w:rFonts w:ascii="宋体" w:hAnsi="宋体"/>
                      <w:szCs w:val="21"/>
                    </w:rPr>
                  </w:pP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2447" w:type="dxa"/>
                  <w:vMerge w:val="continue"/>
                  <w:vAlign w:val="center"/>
                </w:tcPr>
                <w:p>
                  <w:pPr>
                    <w:adjustRightInd w:val="0"/>
                    <w:snapToGrid w:val="0"/>
                    <w:jc w:val="center"/>
                    <w:rPr>
                      <w:rFonts w:ascii="宋体" w:hAnsi="宋体"/>
                      <w:szCs w:val="21"/>
                    </w:rPr>
                  </w:pPr>
                </w:p>
              </w:tc>
              <w:tc>
                <w:tcPr>
                  <w:tcW w:w="2820" w:type="dxa"/>
                  <w:vAlign w:val="center"/>
                </w:tcPr>
                <w:p>
                  <w:pPr>
                    <w:adjustRightInd w:val="0"/>
                    <w:snapToGrid w:val="0"/>
                    <w:jc w:val="center"/>
                    <w:rPr>
                      <w:rFonts w:ascii="宋体" w:hAnsi="宋体"/>
                      <w:szCs w:val="21"/>
                    </w:rPr>
                  </w:pPr>
                  <w:r>
                    <w:rPr>
                      <w:rFonts w:ascii="宋体" w:hAnsi="宋体"/>
                      <w:szCs w:val="21"/>
                    </w:rPr>
                    <w:t>海岸线方向/</w:t>
                  </w:r>
                  <w:r>
                    <w:rPr>
                      <w:rFonts w:ascii="宋体" w:hAnsi="宋体"/>
                      <w:szCs w:val="21"/>
                      <w:vertAlign w:val="superscript"/>
                    </w:rPr>
                    <w:t>o</w:t>
                  </w:r>
                </w:p>
              </w:tc>
              <w:tc>
                <w:tcPr>
                  <w:tcW w:w="3795" w:type="dxa"/>
                  <w:vAlign w:val="center"/>
                </w:tcPr>
                <w:p>
                  <w:pPr>
                    <w:adjustRightInd w:val="0"/>
                    <w:snapToGrid w:val="0"/>
                    <w:jc w:val="center"/>
                    <w:rPr>
                      <w:rFonts w:ascii="宋体" w:hAnsi="宋体"/>
                      <w:szCs w:val="21"/>
                    </w:rPr>
                  </w:pPr>
                  <w:r>
                    <w:rPr>
                      <w:rFonts w:ascii="宋体" w:hAnsi="宋体"/>
                      <w:szCs w:val="21"/>
                    </w:rPr>
                    <w:t>/</w:t>
                  </w:r>
                </w:p>
              </w:tc>
            </w:tr>
          </w:tbl>
          <w:p>
            <w:pPr>
              <w:spacing w:line="480" w:lineRule="exact"/>
              <w:ind w:firstLine="480"/>
              <w:jc w:val="left"/>
              <w:rPr>
                <w:sz w:val="24"/>
              </w:rPr>
            </w:pPr>
            <w:r>
              <w:rPr>
                <w:rFonts w:hint="eastAsia" w:ascii="宋体" w:hAnsi="宋体"/>
                <w:sz w:val="24"/>
              </w:rPr>
              <w:t>⑥</w:t>
            </w:r>
            <w:r>
              <w:rPr>
                <w:sz w:val="24"/>
              </w:rPr>
              <w:t>评级工作等级确定</w:t>
            </w:r>
          </w:p>
          <w:p>
            <w:pPr>
              <w:spacing w:line="480" w:lineRule="exact"/>
              <w:jc w:val="center"/>
              <w:rPr>
                <w:b/>
                <w:sz w:val="24"/>
              </w:rPr>
            </w:pPr>
            <w:r>
              <w:rPr>
                <w:b/>
                <w:sz w:val="24"/>
              </w:rPr>
              <w:t>表5-8 最大P</w:t>
            </w:r>
            <w:r>
              <w:rPr>
                <w:b/>
                <w:sz w:val="24"/>
                <w:vertAlign w:val="subscript"/>
              </w:rPr>
              <w:t>max</w:t>
            </w:r>
            <w:r>
              <w:rPr>
                <w:b/>
                <w:sz w:val="24"/>
              </w:rPr>
              <w:t>和D</w:t>
            </w:r>
            <w:r>
              <w:rPr>
                <w:b/>
                <w:sz w:val="24"/>
                <w:vertAlign w:val="subscript"/>
              </w:rPr>
              <w:t>10%</w:t>
            </w:r>
            <w:r>
              <w:rPr>
                <w:b/>
                <w:sz w:val="24"/>
              </w:rPr>
              <w:t>预测结果表</w:t>
            </w:r>
          </w:p>
          <w:tbl>
            <w:tblPr>
              <w:tblStyle w:val="53"/>
              <w:tblW w:w="8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278"/>
              <w:gridCol w:w="1134"/>
              <w:gridCol w:w="1278"/>
              <w:gridCol w:w="1130"/>
              <w:gridCol w:w="113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136" w:type="dxa"/>
                  <w:vMerge w:val="restart"/>
                  <w:vAlign w:val="center"/>
                </w:tcPr>
                <w:p>
                  <w:pPr>
                    <w:jc w:val="center"/>
                    <w:rPr>
                      <w:rFonts w:ascii="宋体" w:hAnsi="宋体"/>
                      <w:szCs w:val="21"/>
                    </w:rPr>
                  </w:pPr>
                  <w:r>
                    <w:rPr>
                      <w:rFonts w:ascii="宋体" w:hAnsi="宋体"/>
                      <w:szCs w:val="21"/>
                    </w:rPr>
                    <w:t>下方向距离(m)</w:t>
                  </w:r>
                </w:p>
              </w:tc>
              <w:tc>
                <w:tcPr>
                  <w:tcW w:w="2412" w:type="dxa"/>
                  <w:gridSpan w:val="2"/>
                  <w:vAlign w:val="center"/>
                </w:tcPr>
                <w:p>
                  <w:pPr>
                    <w:jc w:val="center"/>
                    <w:rPr>
                      <w:rFonts w:ascii="宋体" w:hAnsi="宋体"/>
                      <w:szCs w:val="21"/>
                    </w:rPr>
                  </w:pPr>
                  <w:r>
                    <w:rPr>
                      <w:rFonts w:ascii="宋体" w:hAnsi="宋体"/>
                      <w:szCs w:val="21"/>
                    </w:rPr>
                    <w:t>有组织</w:t>
                  </w:r>
                </w:p>
              </w:tc>
              <w:tc>
                <w:tcPr>
                  <w:tcW w:w="4667" w:type="dxa"/>
                  <w:gridSpan w:val="4"/>
                </w:tcPr>
                <w:p>
                  <w:pPr>
                    <w:jc w:val="center"/>
                    <w:rPr>
                      <w:rFonts w:ascii="宋体" w:hAnsi="宋体"/>
                      <w:szCs w:val="21"/>
                    </w:rPr>
                  </w:pPr>
                  <w:r>
                    <w:rPr>
                      <w:rFonts w:ascii="宋体" w:hAnsi="宋体"/>
                      <w:szCs w:val="21"/>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136" w:type="dxa"/>
                  <w:vMerge w:val="continue"/>
                  <w:vAlign w:val="center"/>
                </w:tcPr>
                <w:p>
                  <w:pPr>
                    <w:jc w:val="center"/>
                    <w:rPr>
                      <w:rFonts w:ascii="宋体" w:hAnsi="宋体"/>
                      <w:szCs w:val="21"/>
                    </w:rPr>
                  </w:pPr>
                  <w:bookmarkStart w:id="12" w:name="_Hlk527708748"/>
                </w:p>
              </w:tc>
              <w:tc>
                <w:tcPr>
                  <w:tcW w:w="1278" w:type="dxa"/>
                  <w:vAlign w:val="center"/>
                </w:tcPr>
                <w:p>
                  <w:pPr>
                    <w:jc w:val="center"/>
                    <w:rPr>
                      <w:rFonts w:ascii="宋体" w:hAnsi="宋体"/>
                      <w:szCs w:val="21"/>
                    </w:rPr>
                  </w:pPr>
                  <w:r>
                    <w:rPr>
                      <w:rFonts w:ascii="宋体" w:hAnsi="宋体"/>
                      <w:szCs w:val="21"/>
                    </w:rPr>
                    <w:t>NH</w:t>
                  </w:r>
                  <w:r>
                    <w:rPr>
                      <w:rFonts w:ascii="宋体" w:hAnsi="宋体"/>
                      <w:szCs w:val="21"/>
                      <w:vertAlign w:val="subscript"/>
                    </w:rPr>
                    <w:t>3</w:t>
                  </w:r>
                  <w:r>
                    <w:rPr>
                      <w:rFonts w:ascii="宋体" w:hAnsi="宋体"/>
                      <w:szCs w:val="21"/>
                    </w:rPr>
                    <w:t>浓度（ug/m</w:t>
                  </w:r>
                  <w:r>
                    <w:rPr>
                      <w:rFonts w:ascii="宋体" w:hAnsi="宋体"/>
                      <w:szCs w:val="21"/>
                      <w:vertAlign w:val="superscript"/>
                    </w:rPr>
                    <w:t>3</w:t>
                  </w:r>
                  <w:r>
                    <w:rPr>
                      <w:rFonts w:ascii="宋体" w:hAnsi="宋体"/>
                      <w:szCs w:val="21"/>
                    </w:rPr>
                    <w:t>）</w:t>
                  </w:r>
                </w:p>
              </w:tc>
              <w:tc>
                <w:tcPr>
                  <w:tcW w:w="1134" w:type="dxa"/>
                  <w:vAlign w:val="center"/>
                </w:tcPr>
                <w:p>
                  <w:pPr>
                    <w:jc w:val="center"/>
                    <w:rPr>
                      <w:rFonts w:ascii="宋体" w:hAnsi="宋体"/>
                      <w:szCs w:val="21"/>
                    </w:rPr>
                  </w:pPr>
                  <w:r>
                    <w:rPr>
                      <w:rFonts w:ascii="宋体" w:hAnsi="宋体"/>
                      <w:szCs w:val="21"/>
                    </w:rPr>
                    <w:t>NH</w:t>
                  </w:r>
                  <w:r>
                    <w:rPr>
                      <w:rFonts w:ascii="宋体" w:hAnsi="宋体"/>
                      <w:szCs w:val="21"/>
                      <w:vertAlign w:val="subscript"/>
                    </w:rPr>
                    <w:t>3</w:t>
                  </w:r>
                  <w:r>
                    <w:rPr>
                      <w:rFonts w:ascii="宋体" w:hAnsi="宋体"/>
                      <w:szCs w:val="21"/>
                    </w:rPr>
                    <w:t>占标率（%）</w:t>
                  </w:r>
                </w:p>
              </w:tc>
              <w:tc>
                <w:tcPr>
                  <w:tcW w:w="1278" w:type="dxa"/>
                </w:tcPr>
                <w:p>
                  <w:pPr>
                    <w:jc w:val="center"/>
                    <w:rPr>
                      <w:rFonts w:ascii="宋体" w:hAnsi="宋体"/>
                      <w:szCs w:val="21"/>
                    </w:rPr>
                  </w:pPr>
                  <w:r>
                    <w:rPr>
                      <w:rFonts w:ascii="宋体" w:hAnsi="宋体"/>
                      <w:szCs w:val="21"/>
                    </w:rPr>
                    <w:t>NH</w:t>
                  </w:r>
                  <w:r>
                    <w:rPr>
                      <w:rFonts w:ascii="宋体" w:hAnsi="宋体"/>
                      <w:szCs w:val="21"/>
                      <w:vertAlign w:val="subscript"/>
                    </w:rPr>
                    <w:t>3</w:t>
                  </w:r>
                  <w:r>
                    <w:rPr>
                      <w:rFonts w:ascii="宋体" w:hAnsi="宋体"/>
                      <w:szCs w:val="21"/>
                    </w:rPr>
                    <w:t>浓度（ug/m</w:t>
                  </w:r>
                  <w:r>
                    <w:rPr>
                      <w:rFonts w:ascii="宋体" w:hAnsi="宋体"/>
                      <w:szCs w:val="21"/>
                      <w:vertAlign w:val="superscript"/>
                    </w:rPr>
                    <w:t>3</w:t>
                  </w:r>
                  <w:r>
                    <w:rPr>
                      <w:rFonts w:ascii="宋体" w:hAnsi="宋体"/>
                      <w:szCs w:val="21"/>
                    </w:rPr>
                    <w:t>）</w:t>
                  </w:r>
                </w:p>
              </w:tc>
              <w:tc>
                <w:tcPr>
                  <w:tcW w:w="1130" w:type="dxa"/>
                  <w:vAlign w:val="center"/>
                </w:tcPr>
                <w:p>
                  <w:pPr>
                    <w:jc w:val="center"/>
                    <w:rPr>
                      <w:rFonts w:ascii="宋体" w:hAnsi="宋体"/>
                      <w:szCs w:val="21"/>
                    </w:rPr>
                  </w:pPr>
                  <w:r>
                    <w:rPr>
                      <w:rFonts w:ascii="宋体" w:hAnsi="宋体"/>
                      <w:szCs w:val="21"/>
                    </w:rPr>
                    <w:t>NH</w:t>
                  </w:r>
                  <w:r>
                    <w:rPr>
                      <w:rFonts w:ascii="宋体" w:hAnsi="宋体"/>
                      <w:szCs w:val="21"/>
                      <w:vertAlign w:val="subscript"/>
                    </w:rPr>
                    <w:t>3</w:t>
                  </w:r>
                  <w:r>
                    <w:rPr>
                      <w:rFonts w:ascii="宋体" w:hAnsi="宋体"/>
                      <w:szCs w:val="21"/>
                    </w:rPr>
                    <w:t>占标率（%）</w:t>
                  </w:r>
                </w:p>
              </w:tc>
              <w:tc>
                <w:tcPr>
                  <w:tcW w:w="1130" w:type="dxa"/>
                </w:tcPr>
                <w:p>
                  <w:pPr>
                    <w:jc w:val="center"/>
                    <w:rPr>
                      <w:rFonts w:ascii="宋体" w:hAnsi="宋体"/>
                      <w:szCs w:val="21"/>
                    </w:rPr>
                  </w:pPr>
                  <w:r>
                    <w:rPr>
                      <w:rFonts w:ascii="宋体" w:hAnsi="宋体"/>
                      <w:szCs w:val="21"/>
                    </w:rPr>
                    <w:t>TSP浓度（ug/m</w:t>
                  </w:r>
                  <w:r>
                    <w:rPr>
                      <w:rFonts w:ascii="宋体" w:hAnsi="宋体"/>
                      <w:szCs w:val="21"/>
                      <w:vertAlign w:val="superscript"/>
                    </w:rPr>
                    <w:t>3</w:t>
                  </w:r>
                  <w:r>
                    <w:rPr>
                      <w:rFonts w:ascii="宋体" w:hAnsi="宋体"/>
                      <w:szCs w:val="21"/>
                    </w:rPr>
                    <w:t>）</w:t>
                  </w:r>
                </w:p>
              </w:tc>
              <w:tc>
                <w:tcPr>
                  <w:tcW w:w="1129" w:type="dxa"/>
                  <w:vAlign w:val="center"/>
                </w:tcPr>
                <w:p>
                  <w:pPr>
                    <w:jc w:val="center"/>
                    <w:rPr>
                      <w:rFonts w:ascii="宋体" w:hAnsi="宋体"/>
                      <w:szCs w:val="21"/>
                    </w:rPr>
                  </w:pPr>
                  <w:r>
                    <w:rPr>
                      <w:rFonts w:ascii="宋体" w:hAnsi="宋体"/>
                      <w:szCs w:val="21"/>
                    </w:rPr>
                    <w:t>TSP占标率（%）</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136" w:type="dxa"/>
                  <w:vAlign w:val="center"/>
                </w:tcPr>
                <w:p>
                  <w:pPr>
                    <w:jc w:val="center"/>
                    <w:rPr>
                      <w:rFonts w:ascii="宋体" w:hAnsi="宋体"/>
                      <w:szCs w:val="21"/>
                    </w:rPr>
                  </w:pPr>
                  <w:r>
                    <w:rPr>
                      <w:rFonts w:ascii="宋体" w:hAnsi="宋体"/>
                      <w:szCs w:val="21"/>
                    </w:rPr>
                    <w:t>1.0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2.0</w:t>
                  </w:r>
                </w:p>
              </w:tc>
              <w:tc>
                <w:tcPr>
                  <w:tcW w:w="1130"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12.0</w:t>
                  </w:r>
                </w:p>
              </w:tc>
              <w:tc>
                <w:tcPr>
                  <w:tcW w:w="1129" w:type="dxa"/>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136" w:type="dxa"/>
                  <w:vAlign w:val="center"/>
                </w:tcPr>
                <w:p>
                  <w:pPr>
                    <w:jc w:val="center"/>
                    <w:rPr>
                      <w:rFonts w:ascii="宋体" w:hAnsi="宋体"/>
                      <w:szCs w:val="21"/>
                    </w:rPr>
                  </w:pPr>
                  <w:r>
                    <w:rPr>
                      <w:rFonts w:hint="eastAsia" w:ascii="宋体" w:hAnsi="宋体"/>
                      <w:szCs w:val="21"/>
                    </w:rPr>
                    <w:t>1</w:t>
                  </w:r>
                  <w:r>
                    <w:rPr>
                      <w:rFonts w:ascii="宋体" w:hAnsi="宋体"/>
                      <w:szCs w:val="21"/>
                    </w:rPr>
                    <w:t>9.0</w:t>
                  </w:r>
                </w:p>
              </w:tc>
              <w:tc>
                <w:tcPr>
                  <w:tcW w:w="1278" w:type="dxa"/>
                  <w:vAlign w:val="center"/>
                </w:tcPr>
                <w:p>
                  <w:pPr>
                    <w:jc w:val="center"/>
                    <w:rPr>
                      <w:rFonts w:ascii="宋体" w:hAnsi="宋体"/>
                      <w:szCs w:val="21"/>
                    </w:rPr>
                  </w:pPr>
                  <w:r>
                    <w:rPr>
                      <w:rFonts w:hint="eastAsia" w:ascii="宋体" w:hAnsi="宋体"/>
                      <w:szCs w:val="21"/>
                    </w:rPr>
                    <w:t>0</w:t>
                  </w:r>
                </w:p>
              </w:tc>
              <w:tc>
                <w:tcPr>
                  <w:tcW w:w="1134" w:type="dxa"/>
                  <w:vAlign w:val="center"/>
                </w:tcPr>
                <w:p>
                  <w:pPr>
                    <w:jc w:val="center"/>
                    <w:rPr>
                      <w:rFonts w:ascii="宋体" w:hAnsi="宋体"/>
                      <w:szCs w:val="21"/>
                    </w:rPr>
                  </w:pPr>
                  <w:r>
                    <w:rPr>
                      <w:rFonts w:hint="eastAsia" w:ascii="宋体" w:hAnsi="宋体"/>
                      <w:szCs w:val="21"/>
                    </w:rPr>
                    <w:t>0</w:t>
                  </w:r>
                </w:p>
              </w:tc>
              <w:tc>
                <w:tcPr>
                  <w:tcW w:w="1278" w:type="dxa"/>
                  <w:vAlign w:val="center"/>
                </w:tcPr>
                <w:p>
                  <w:pPr>
                    <w:jc w:val="center"/>
                    <w:rPr>
                      <w:rFonts w:ascii="宋体" w:hAnsi="宋体"/>
                      <w:szCs w:val="21"/>
                    </w:rPr>
                  </w:pPr>
                  <w:r>
                    <w:rPr>
                      <w:rFonts w:ascii="宋体" w:hAnsi="宋体"/>
                      <w:szCs w:val="21"/>
                    </w:rPr>
                    <w:t>4.0</w:t>
                  </w:r>
                </w:p>
              </w:tc>
              <w:tc>
                <w:tcPr>
                  <w:tcW w:w="1130" w:type="dxa"/>
                  <w:vAlign w:val="center"/>
                </w:tcPr>
                <w:p>
                  <w:pPr>
                    <w:jc w:val="center"/>
                    <w:rPr>
                      <w:rFonts w:ascii="宋体" w:hAnsi="宋体"/>
                      <w:szCs w:val="21"/>
                    </w:rPr>
                  </w:pPr>
                  <w:r>
                    <w:rPr>
                      <w:rFonts w:ascii="宋体" w:hAnsi="宋体"/>
                      <w:szCs w:val="21"/>
                    </w:rPr>
                    <w:t>2.0</w:t>
                  </w:r>
                </w:p>
              </w:tc>
              <w:tc>
                <w:tcPr>
                  <w:tcW w:w="1130" w:type="dxa"/>
                  <w:vAlign w:val="center"/>
                </w:tcPr>
                <w:p>
                  <w:pPr>
                    <w:jc w:val="center"/>
                    <w:rPr>
                      <w:rFonts w:ascii="宋体" w:hAnsi="宋体"/>
                      <w:szCs w:val="21"/>
                    </w:rPr>
                  </w:pPr>
                  <w:r>
                    <w:rPr>
                      <w:rFonts w:ascii="宋体" w:hAnsi="宋体"/>
                      <w:szCs w:val="21"/>
                    </w:rPr>
                    <w:t>20.0</w:t>
                  </w:r>
                </w:p>
              </w:tc>
              <w:tc>
                <w:tcPr>
                  <w:tcW w:w="1129" w:type="dxa"/>
                  <w:vAlign w:val="center"/>
                </w:tcPr>
                <w:p>
                  <w:pPr>
                    <w:jc w:val="center"/>
                    <w:rPr>
                      <w:rFonts w:ascii="宋体" w:hAnsi="宋体"/>
                      <w:szCs w:val="21"/>
                    </w:rPr>
                  </w:pPr>
                  <w:r>
                    <w:rPr>
                      <w:rFonts w:hint="eastAsia" w:ascii="宋体" w:hAnsi="宋体"/>
                      <w:szCs w:val="21"/>
                    </w:rPr>
                    <w:t>2</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25.0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4.0</w:t>
                  </w:r>
                </w:p>
              </w:tc>
              <w:tc>
                <w:tcPr>
                  <w:tcW w:w="1130" w:type="dxa"/>
                  <w:vAlign w:val="center"/>
                </w:tcPr>
                <w:p>
                  <w:pPr>
                    <w:jc w:val="center"/>
                    <w:rPr>
                      <w:rFonts w:ascii="宋体" w:hAnsi="宋体"/>
                      <w:szCs w:val="21"/>
                    </w:rPr>
                  </w:pPr>
                  <w:r>
                    <w:rPr>
                      <w:rFonts w:ascii="宋体" w:hAnsi="宋体"/>
                      <w:szCs w:val="21"/>
                    </w:rPr>
                    <w:t>2.0</w:t>
                  </w:r>
                </w:p>
              </w:tc>
              <w:tc>
                <w:tcPr>
                  <w:tcW w:w="1130" w:type="dxa"/>
                  <w:vAlign w:val="center"/>
                </w:tcPr>
                <w:p>
                  <w:pPr>
                    <w:jc w:val="center"/>
                    <w:rPr>
                      <w:rFonts w:ascii="宋体" w:hAnsi="宋体"/>
                      <w:szCs w:val="21"/>
                    </w:rPr>
                  </w:pPr>
                  <w:r>
                    <w:rPr>
                      <w:rFonts w:ascii="宋体" w:hAnsi="宋体"/>
                      <w:szCs w:val="21"/>
                    </w:rPr>
                    <w:t>22.0</w:t>
                  </w:r>
                </w:p>
              </w:tc>
              <w:tc>
                <w:tcPr>
                  <w:tcW w:w="1129" w:type="dxa"/>
                  <w:vAlign w:val="center"/>
                </w:tcPr>
                <w:p>
                  <w:pPr>
                    <w:jc w:val="center"/>
                    <w:rPr>
                      <w:rFonts w:ascii="宋体" w:hAnsi="宋体"/>
                      <w:szCs w:val="21"/>
                    </w:rPr>
                  </w:pPr>
                  <w:r>
                    <w:rPr>
                      <w:rFonts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hint="eastAsia" w:ascii="宋体" w:hAnsi="宋体"/>
                      <w:szCs w:val="21"/>
                    </w:rPr>
                    <w:t>2</w:t>
                  </w:r>
                  <w:r>
                    <w:rPr>
                      <w:rFonts w:ascii="宋体" w:hAnsi="宋体"/>
                      <w:szCs w:val="21"/>
                    </w:rPr>
                    <w:t>6.0</w:t>
                  </w:r>
                </w:p>
              </w:tc>
              <w:tc>
                <w:tcPr>
                  <w:tcW w:w="1278" w:type="dxa"/>
                  <w:vAlign w:val="center"/>
                </w:tcPr>
                <w:p>
                  <w:pPr>
                    <w:jc w:val="center"/>
                    <w:rPr>
                      <w:rFonts w:ascii="宋体" w:hAnsi="宋体"/>
                      <w:szCs w:val="21"/>
                    </w:rPr>
                  </w:pPr>
                  <w:r>
                    <w:rPr>
                      <w:rFonts w:hint="eastAsia" w:ascii="宋体" w:hAnsi="宋体"/>
                      <w:szCs w:val="21"/>
                    </w:rPr>
                    <w:t>0</w:t>
                  </w:r>
                </w:p>
              </w:tc>
              <w:tc>
                <w:tcPr>
                  <w:tcW w:w="1134" w:type="dxa"/>
                  <w:vAlign w:val="center"/>
                </w:tcPr>
                <w:p>
                  <w:pPr>
                    <w:jc w:val="center"/>
                    <w:rPr>
                      <w:rFonts w:ascii="宋体" w:hAnsi="宋体"/>
                      <w:szCs w:val="21"/>
                    </w:rPr>
                  </w:pPr>
                  <w:r>
                    <w:rPr>
                      <w:rFonts w:hint="eastAsia" w:ascii="宋体" w:hAnsi="宋体"/>
                      <w:szCs w:val="21"/>
                    </w:rPr>
                    <w:t>0</w:t>
                  </w:r>
                </w:p>
              </w:tc>
              <w:tc>
                <w:tcPr>
                  <w:tcW w:w="1278" w:type="dxa"/>
                  <w:vAlign w:val="center"/>
                </w:tcPr>
                <w:p>
                  <w:pPr>
                    <w:jc w:val="center"/>
                    <w:rPr>
                      <w:rFonts w:ascii="宋体" w:hAnsi="宋体"/>
                      <w:szCs w:val="21"/>
                    </w:rPr>
                  </w:pPr>
                  <w:r>
                    <w:rPr>
                      <w:rFonts w:ascii="宋体" w:hAnsi="宋体"/>
                      <w:szCs w:val="21"/>
                    </w:rPr>
                    <w:t>4.0</w:t>
                  </w:r>
                </w:p>
              </w:tc>
              <w:tc>
                <w:tcPr>
                  <w:tcW w:w="1130" w:type="dxa"/>
                  <w:vAlign w:val="center"/>
                </w:tcPr>
                <w:p>
                  <w:pPr>
                    <w:jc w:val="center"/>
                    <w:rPr>
                      <w:rFonts w:ascii="宋体" w:hAnsi="宋体"/>
                      <w:szCs w:val="21"/>
                    </w:rPr>
                  </w:pPr>
                  <w:r>
                    <w:rPr>
                      <w:rFonts w:ascii="宋体" w:hAnsi="宋体"/>
                      <w:szCs w:val="21"/>
                    </w:rPr>
                    <w:t>2.0</w:t>
                  </w:r>
                </w:p>
              </w:tc>
              <w:tc>
                <w:tcPr>
                  <w:tcW w:w="1130" w:type="dxa"/>
                  <w:vAlign w:val="center"/>
                </w:tcPr>
                <w:p>
                  <w:pPr>
                    <w:jc w:val="center"/>
                    <w:rPr>
                      <w:rFonts w:ascii="宋体" w:hAnsi="宋体"/>
                      <w:szCs w:val="21"/>
                    </w:rPr>
                  </w:pPr>
                  <w:r>
                    <w:rPr>
                      <w:rFonts w:ascii="宋体" w:hAnsi="宋体"/>
                      <w:szCs w:val="21"/>
                    </w:rPr>
                    <w:t>22.0</w:t>
                  </w:r>
                </w:p>
              </w:tc>
              <w:tc>
                <w:tcPr>
                  <w:tcW w:w="1129" w:type="dxa"/>
                  <w:vAlign w:val="center"/>
                </w:tcPr>
                <w:p>
                  <w:pPr>
                    <w:jc w:val="center"/>
                    <w:rPr>
                      <w:rFonts w:ascii="宋体" w:hAnsi="宋体"/>
                      <w:szCs w:val="21"/>
                    </w:rPr>
                  </w:pPr>
                  <w:r>
                    <w:rPr>
                      <w:rFonts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50.0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3.0</w:t>
                  </w:r>
                </w:p>
              </w:tc>
              <w:tc>
                <w:tcPr>
                  <w:tcW w:w="1130"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21.0</w:t>
                  </w:r>
                </w:p>
              </w:tc>
              <w:tc>
                <w:tcPr>
                  <w:tcW w:w="1129" w:type="dxa"/>
                  <w:vAlign w:val="center"/>
                </w:tcPr>
                <w:p>
                  <w:pPr>
                    <w:jc w:val="center"/>
                    <w:rPr>
                      <w:rFonts w:ascii="宋体" w:hAnsi="宋体"/>
                      <w:szCs w:val="21"/>
                    </w:rPr>
                  </w:pPr>
                  <w:r>
                    <w:rPr>
                      <w:rFonts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75.0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2.0</w:t>
                  </w:r>
                </w:p>
              </w:tc>
              <w:tc>
                <w:tcPr>
                  <w:tcW w:w="1130"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18.0</w:t>
                  </w:r>
                </w:p>
              </w:tc>
              <w:tc>
                <w:tcPr>
                  <w:tcW w:w="1129" w:type="dxa"/>
                  <w:vAlign w:val="center"/>
                </w:tcPr>
                <w:p>
                  <w:pPr>
                    <w:jc w:val="center"/>
                    <w:rPr>
                      <w:rFonts w:ascii="宋体" w:hAnsi="宋体"/>
                      <w:szCs w:val="21"/>
                    </w:rPr>
                  </w:pPr>
                  <w:r>
                    <w:rPr>
                      <w:rFonts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100.0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2.0</w:t>
                  </w:r>
                </w:p>
              </w:tc>
              <w:tc>
                <w:tcPr>
                  <w:tcW w:w="1130"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16.0</w:t>
                  </w:r>
                </w:p>
              </w:tc>
              <w:tc>
                <w:tcPr>
                  <w:tcW w:w="1129" w:type="dxa"/>
                  <w:vAlign w:val="center"/>
                </w:tcPr>
                <w:p>
                  <w:pPr>
                    <w:jc w:val="center"/>
                    <w:rPr>
                      <w:rFonts w:ascii="宋体" w:hAnsi="宋体"/>
                      <w:szCs w:val="21"/>
                    </w:rPr>
                  </w:pPr>
                  <w:r>
                    <w:rPr>
                      <w:rFonts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150.0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13.0</w:t>
                  </w:r>
                </w:p>
              </w:tc>
              <w:tc>
                <w:tcPr>
                  <w:tcW w:w="1129" w:type="dxa"/>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200.0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11.0</w:t>
                  </w:r>
                </w:p>
              </w:tc>
              <w:tc>
                <w:tcPr>
                  <w:tcW w:w="1129" w:type="dxa"/>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250.0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9.0</w:t>
                  </w:r>
                </w:p>
              </w:tc>
              <w:tc>
                <w:tcPr>
                  <w:tcW w:w="1129" w:type="dxa"/>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300.0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8.0</w:t>
                  </w:r>
                </w:p>
              </w:tc>
              <w:tc>
                <w:tcPr>
                  <w:tcW w:w="1129" w:type="dxa"/>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350.0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7.0</w:t>
                  </w:r>
                </w:p>
              </w:tc>
              <w:tc>
                <w:tcPr>
                  <w:tcW w:w="1129" w:type="dxa"/>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400.0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7.0</w:t>
                  </w:r>
                </w:p>
              </w:tc>
              <w:tc>
                <w:tcPr>
                  <w:tcW w:w="1129" w:type="dxa"/>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450.0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6.0</w:t>
                  </w:r>
                </w:p>
              </w:tc>
              <w:tc>
                <w:tcPr>
                  <w:tcW w:w="1129" w:type="dxa"/>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500.0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1.0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6.0</w:t>
                  </w:r>
                </w:p>
              </w:tc>
              <w:tc>
                <w:tcPr>
                  <w:tcW w:w="1129" w:type="dxa"/>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600.0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5.0</w:t>
                  </w:r>
                </w:p>
              </w:tc>
              <w:tc>
                <w:tcPr>
                  <w:tcW w:w="1129" w:type="dxa"/>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700.0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4.0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800.0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4.0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900.0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4.0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1000.0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3.0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1100.0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3.0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1200.0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3.0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1300.0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3.0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1400.0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3.0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1500.0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2.0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1600.0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2.0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1700.0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2.0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1800.0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2.0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1900.0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2.0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2000.0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2.0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2100.0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2.0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2200.0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2.0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2300.0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2.0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2400.0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2.0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2500.0</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0.0</w:t>
                  </w:r>
                </w:p>
              </w:tc>
              <w:tc>
                <w:tcPr>
                  <w:tcW w:w="1130" w:type="dxa"/>
                  <w:vAlign w:val="center"/>
                </w:tcPr>
                <w:p>
                  <w:pPr>
                    <w:jc w:val="center"/>
                    <w:rPr>
                      <w:rFonts w:ascii="宋体" w:hAnsi="宋体"/>
                      <w:szCs w:val="21"/>
                    </w:rPr>
                  </w:pPr>
                  <w:r>
                    <w:rPr>
                      <w:rFonts w:ascii="宋体" w:hAnsi="宋体"/>
                      <w:szCs w:val="21"/>
                    </w:rPr>
                    <w:t>2.0</w:t>
                  </w:r>
                </w:p>
              </w:tc>
              <w:tc>
                <w:tcPr>
                  <w:tcW w:w="1129" w:type="dxa"/>
                  <w:vAlign w:val="center"/>
                </w:tcPr>
                <w:p>
                  <w:pPr>
                    <w:jc w:val="center"/>
                    <w:rPr>
                      <w:rFonts w:ascii="宋体" w:hAnsi="宋体"/>
                      <w:szCs w:val="21"/>
                    </w:rPr>
                  </w:pP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下风向最大浓度</w:t>
                  </w:r>
                </w:p>
              </w:tc>
              <w:tc>
                <w:tcPr>
                  <w:tcW w:w="1278" w:type="dxa"/>
                  <w:vAlign w:val="center"/>
                </w:tcPr>
                <w:p>
                  <w:pPr>
                    <w:jc w:val="center"/>
                    <w:rPr>
                      <w:rFonts w:ascii="宋体" w:hAnsi="宋体"/>
                      <w:szCs w:val="21"/>
                    </w:rPr>
                  </w:pPr>
                  <w:r>
                    <w:rPr>
                      <w:rFonts w:ascii="宋体" w:hAnsi="宋体"/>
                      <w:szCs w:val="21"/>
                    </w:rPr>
                    <w:t>0.0</w:t>
                  </w:r>
                </w:p>
              </w:tc>
              <w:tc>
                <w:tcPr>
                  <w:tcW w:w="1134" w:type="dxa"/>
                  <w:vAlign w:val="center"/>
                </w:tcPr>
                <w:p>
                  <w:pPr>
                    <w:jc w:val="center"/>
                    <w:rPr>
                      <w:rFonts w:ascii="宋体" w:hAnsi="宋体"/>
                      <w:szCs w:val="21"/>
                    </w:rPr>
                  </w:pPr>
                  <w:r>
                    <w:rPr>
                      <w:rFonts w:ascii="宋体" w:hAnsi="宋体"/>
                      <w:szCs w:val="21"/>
                    </w:rPr>
                    <w:t>0.0</w:t>
                  </w:r>
                </w:p>
              </w:tc>
              <w:tc>
                <w:tcPr>
                  <w:tcW w:w="1278" w:type="dxa"/>
                  <w:vAlign w:val="center"/>
                </w:tcPr>
                <w:p>
                  <w:pPr>
                    <w:jc w:val="center"/>
                    <w:rPr>
                      <w:rFonts w:ascii="宋体" w:hAnsi="宋体"/>
                      <w:szCs w:val="21"/>
                    </w:rPr>
                  </w:pPr>
                  <w:r>
                    <w:rPr>
                      <w:rFonts w:ascii="宋体" w:hAnsi="宋体"/>
                      <w:szCs w:val="21"/>
                    </w:rPr>
                    <w:t>4.0</w:t>
                  </w:r>
                </w:p>
              </w:tc>
              <w:tc>
                <w:tcPr>
                  <w:tcW w:w="1130" w:type="dxa"/>
                  <w:vAlign w:val="center"/>
                </w:tcPr>
                <w:p>
                  <w:pPr>
                    <w:jc w:val="center"/>
                    <w:rPr>
                      <w:rFonts w:ascii="宋体" w:hAnsi="宋体"/>
                      <w:szCs w:val="21"/>
                    </w:rPr>
                  </w:pPr>
                  <w:r>
                    <w:rPr>
                      <w:rFonts w:ascii="宋体" w:hAnsi="宋体"/>
                      <w:szCs w:val="21"/>
                    </w:rPr>
                    <w:t>2.0</w:t>
                  </w:r>
                </w:p>
              </w:tc>
              <w:tc>
                <w:tcPr>
                  <w:tcW w:w="1130" w:type="dxa"/>
                  <w:vAlign w:val="center"/>
                </w:tcPr>
                <w:p>
                  <w:pPr>
                    <w:jc w:val="center"/>
                    <w:rPr>
                      <w:rFonts w:ascii="宋体" w:hAnsi="宋体"/>
                      <w:szCs w:val="21"/>
                    </w:rPr>
                  </w:pPr>
                  <w:r>
                    <w:rPr>
                      <w:rFonts w:ascii="宋体" w:hAnsi="宋体"/>
                      <w:szCs w:val="21"/>
                    </w:rPr>
                    <w:t>22.0</w:t>
                  </w:r>
                </w:p>
              </w:tc>
              <w:tc>
                <w:tcPr>
                  <w:tcW w:w="1129" w:type="dxa"/>
                  <w:vAlign w:val="center"/>
                </w:tcPr>
                <w:p>
                  <w:pPr>
                    <w:jc w:val="center"/>
                    <w:rPr>
                      <w:rFonts w:ascii="宋体" w:hAnsi="宋体"/>
                      <w:szCs w:val="21"/>
                    </w:rPr>
                  </w:pPr>
                  <w:r>
                    <w:rPr>
                      <w:rFonts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下风向最大浓度出现距离</w:t>
                  </w:r>
                </w:p>
              </w:tc>
              <w:tc>
                <w:tcPr>
                  <w:tcW w:w="1278" w:type="dxa"/>
                  <w:vAlign w:val="center"/>
                </w:tcPr>
                <w:p>
                  <w:pPr>
                    <w:jc w:val="center"/>
                    <w:rPr>
                      <w:rFonts w:ascii="宋体" w:hAnsi="宋体"/>
                      <w:szCs w:val="21"/>
                    </w:rPr>
                  </w:pPr>
                  <w:r>
                    <w:rPr>
                      <w:rFonts w:ascii="宋体" w:hAnsi="宋体"/>
                      <w:szCs w:val="21"/>
                    </w:rPr>
                    <w:t>875.0</w:t>
                  </w:r>
                </w:p>
              </w:tc>
              <w:tc>
                <w:tcPr>
                  <w:tcW w:w="1134" w:type="dxa"/>
                  <w:vAlign w:val="center"/>
                </w:tcPr>
                <w:p>
                  <w:pPr>
                    <w:jc w:val="center"/>
                    <w:rPr>
                      <w:rFonts w:ascii="宋体" w:hAnsi="宋体"/>
                      <w:szCs w:val="21"/>
                    </w:rPr>
                  </w:pPr>
                  <w:r>
                    <w:rPr>
                      <w:rFonts w:ascii="宋体" w:hAnsi="宋体"/>
                      <w:szCs w:val="21"/>
                    </w:rPr>
                    <w:t>875.0</w:t>
                  </w:r>
                </w:p>
              </w:tc>
              <w:tc>
                <w:tcPr>
                  <w:tcW w:w="1278" w:type="dxa"/>
                  <w:vAlign w:val="center"/>
                </w:tcPr>
                <w:p>
                  <w:pPr>
                    <w:jc w:val="center"/>
                    <w:rPr>
                      <w:rFonts w:ascii="宋体" w:hAnsi="宋体"/>
                      <w:szCs w:val="21"/>
                    </w:rPr>
                  </w:pPr>
                  <w:r>
                    <w:rPr>
                      <w:rFonts w:ascii="宋体" w:hAnsi="宋体"/>
                      <w:szCs w:val="21"/>
                    </w:rPr>
                    <w:t>19.0</w:t>
                  </w:r>
                </w:p>
              </w:tc>
              <w:tc>
                <w:tcPr>
                  <w:tcW w:w="1130" w:type="dxa"/>
                  <w:vAlign w:val="center"/>
                </w:tcPr>
                <w:p>
                  <w:pPr>
                    <w:jc w:val="center"/>
                    <w:rPr>
                      <w:rFonts w:ascii="宋体" w:hAnsi="宋体"/>
                      <w:szCs w:val="21"/>
                    </w:rPr>
                  </w:pPr>
                  <w:r>
                    <w:rPr>
                      <w:rFonts w:ascii="宋体" w:hAnsi="宋体"/>
                      <w:szCs w:val="21"/>
                    </w:rPr>
                    <w:t>19.0</w:t>
                  </w:r>
                </w:p>
              </w:tc>
              <w:tc>
                <w:tcPr>
                  <w:tcW w:w="1130" w:type="dxa"/>
                  <w:vAlign w:val="center"/>
                </w:tcPr>
                <w:p>
                  <w:pPr>
                    <w:jc w:val="center"/>
                    <w:rPr>
                      <w:rFonts w:ascii="宋体" w:hAnsi="宋体"/>
                      <w:szCs w:val="21"/>
                    </w:rPr>
                  </w:pPr>
                  <w:r>
                    <w:rPr>
                      <w:rFonts w:ascii="宋体" w:hAnsi="宋体"/>
                      <w:szCs w:val="21"/>
                    </w:rPr>
                    <w:t>26.0</w:t>
                  </w:r>
                </w:p>
              </w:tc>
              <w:tc>
                <w:tcPr>
                  <w:tcW w:w="1129" w:type="dxa"/>
                  <w:vAlign w:val="center"/>
                </w:tcPr>
                <w:p>
                  <w:pPr>
                    <w:jc w:val="center"/>
                    <w:rPr>
                      <w:rFonts w:ascii="宋体" w:hAnsi="宋体"/>
                      <w:szCs w:val="21"/>
                    </w:rPr>
                  </w:pPr>
                  <w:r>
                    <w:rPr>
                      <w:rFonts w:ascii="宋体" w:hAnsi="宋体"/>
                      <w:szCs w:val="21"/>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Align w:val="center"/>
                </w:tcPr>
                <w:p>
                  <w:pPr>
                    <w:jc w:val="center"/>
                    <w:rPr>
                      <w:rFonts w:ascii="宋体" w:hAnsi="宋体"/>
                      <w:szCs w:val="21"/>
                    </w:rPr>
                  </w:pPr>
                  <w:r>
                    <w:rPr>
                      <w:rFonts w:ascii="宋体" w:hAnsi="宋体"/>
                      <w:szCs w:val="21"/>
                    </w:rPr>
                    <w:t>D10%最远距离</w:t>
                  </w:r>
                </w:p>
              </w:tc>
              <w:tc>
                <w:tcPr>
                  <w:tcW w:w="1278" w:type="dxa"/>
                  <w:vAlign w:val="center"/>
                </w:tcPr>
                <w:p>
                  <w:pPr>
                    <w:jc w:val="center"/>
                    <w:rPr>
                      <w:rFonts w:ascii="宋体" w:hAnsi="宋体"/>
                      <w:szCs w:val="21"/>
                    </w:rPr>
                  </w:pPr>
                  <w:r>
                    <w:rPr>
                      <w:rFonts w:ascii="宋体" w:hAnsi="宋体"/>
                      <w:szCs w:val="21"/>
                    </w:rPr>
                    <w:t>/</w:t>
                  </w:r>
                </w:p>
              </w:tc>
              <w:tc>
                <w:tcPr>
                  <w:tcW w:w="1134" w:type="dxa"/>
                  <w:vAlign w:val="center"/>
                </w:tcPr>
                <w:p>
                  <w:pPr>
                    <w:jc w:val="center"/>
                    <w:rPr>
                      <w:rFonts w:ascii="宋体" w:hAnsi="宋体"/>
                      <w:szCs w:val="21"/>
                    </w:rPr>
                  </w:pPr>
                  <w:r>
                    <w:rPr>
                      <w:rFonts w:ascii="宋体" w:hAnsi="宋体"/>
                      <w:szCs w:val="21"/>
                    </w:rPr>
                    <w:t>/</w:t>
                  </w:r>
                </w:p>
              </w:tc>
              <w:tc>
                <w:tcPr>
                  <w:tcW w:w="1278" w:type="dxa"/>
                  <w:vAlign w:val="center"/>
                </w:tcPr>
                <w:p>
                  <w:pPr>
                    <w:jc w:val="center"/>
                    <w:rPr>
                      <w:rFonts w:ascii="宋体" w:hAnsi="宋体"/>
                      <w:szCs w:val="21"/>
                    </w:rPr>
                  </w:pPr>
                  <w:r>
                    <w:rPr>
                      <w:rFonts w:ascii="宋体" w:hAnsi="宋体"/>
                      <w:szCs w:val="21"/>
                    </w:rPr>
                    <w:t>/</w:t>
                  </w:r>
                </w:p>
              </w:tc>
              <w:tc>
                <w:tcPr>
                  <w:tcW w:w="1130" w:type="dxa"/>
                  <w:vAlign w:val="center"/>
                </w:tcPr>
                <w:p>
                  <w:pPr>
                    <w:jc w:val="center"/>
                    <w:rPr>
                      <w:rFonts w:ascii="宋体" w:hAnsi="宋体"/>
                      <w:szCs w:val="21"/>
                    </w:rPr>
                  </w:pPr>
                  <w:r>
                    <w:rPr>
                      <w:rFonts w:ascii="宋体" w:hAnsi="宋体"/>
                      <w:szCs w:val="21"/>
                    </w:rPr>
                    <w:t>/</w:t>
                  </w:r>
                </w:p>
              </w:tc>
              <w:tc>
                <w:tcPr>
                  <w:tcW w:w="1130" w:type="dxa"/>
                  <w:vAlign w:val="center"/>
                </w:tcPr>
                <w:p>
                  <w:pPr>
                    <w:jc w:val="center"/>
                    <w:rPr>
                      <w:rFonts w:ascii="宋体" w:hAnsi="宋体"/>
                      <w:szCs w:val="21"/>
                    </w:rPr>
                  </w:pPr>
                  <w:r>
                    <w:rPr>
                      <w:rFonts w:hint="eastAsia" w:ascii="宋体" w:hAnsi="宋体"/>
                      <w:szCs w:val="21"/>
                    </w:rPr>
                    <w:t>/</w:t>
                  </w:r>
                </w:p>
              </w:tc>
              <w:tc>
                <w:tcPr>
                  <w:tcW w:w="1129" w:type="dxa"/>
                  <w:vAlign w:val="center"/>
                </w:tcPr>
                <w:p>
                  <w:pPr>
                    <w:jc w:val="center"/>
                    <w:rPr>
                      <w:rFonts w:ascii="宋体" w:hAnsi="宋体"/>
                      <w:szCs w:val="21"/>
                    </w:rPr>
                  </w:pPr>
                  <w:r>
                    <w:rPr>
                      <w:rFonts w:hint="eastAsia" w:ascii="宋体" w:hAnsi="宋体"/>
                      <w:szCs w:val="21"/>
                    </w:rPr>
                    <w:t>/</w:t>
                  </w:r>
                </w:p>
              </w:tc>
            </w:tr>
          </w:tbl>
          <w:p>
            <w:pPr>
              <w:spacing w:line="360" w:lineRule="auto"/>
              <w:ind w:firstLine="480" w:firstLineChars="200"/>
              <w:rPr>
                <w:sz w:val="24"/>
              </w:rPr>
            </w:pPr>
            <w:r>
              <w:rPr>
                <w:sz w:val="24"/>
              </w:rPr>
              <w:t>综合以上分析，本项目P</w:t>
            </w:r>
            <w:r>
              <w:rPr>
                <w:sz w:val="24"/>
                <w:vertAlign w:val="subscript"/>
              </w:rPr>
              <w:t>max</w:t>
            </w:r>
            <w:r>
              <w:rPr>
                <w:sz w:val="24"/>
              </w:rPr>
              <w:t>最大值出现为</w:t>
            </w:r>
            <w:r>
              <w:rPr>
                <w:rFonts w:hint="eastAsia"/>
                <w:sz w:val="24"/>
              </w:rPr>
              <w:t>无组织（矩形面源）</w:t>
            </w:r>
            <w:r>
              <w:rPr>
                <w:sz w:val="24"/>
              </w:rPr>
              <w:t>排放的NH</w:t>
            </w:r>
            <w:r>
              <w:rPr>
                <w:sz w:val="24"/>
                <w:vertAlign w:val="subscript"/>
              </w:rPr>
              <w:t>3</w:t>
            </w:r>
            <w:r>
              <w:rPr>
                <w:sz w:val="24"/>
              </w:rPr>
              <w:t>，P</w:t>
            </w:r>
            <w:r>
              <w:rPr>
                <w:sz w:val="24"/>
                <w:vertAlign w:val="subscript"/>
              </w:rPr>
              <w:t>max</w:t>
            </w:r>
            <w:r>
              <w:rPr>
                <w:sz w:val="24"/>
              </w:rPr>
              <w:t>值为2.0%，C</w:t>
            </w:r>
            <w:r>
              <w:rPr>
                <w:sz w:val="24"/>
                <w:vertAlign w:val="subscript"/>
              </w:rPr>
              <w:t>max</w:t>
            </w:r>
            <w:r>
              <w:rPr>
                <w:sz w:val="24"/>
              </w:rPr>
              <w:t>为4.0ug/m</w:t>
            </w:r>
            <w:r>
              <w:rPr>
                <w:sz w:val="24"/>
                <w:vertAlign w:val="superscript"/>
              </w:rPr>
              <w:t>3</w:t>
            </w:r>
            <w:r>
              <w:rPr>
                <w:sz w:val="24"/>
              </w:rPr>
              <w:t>，根据《环境影响评价技术导则 大气环境》(HJ2.2-20</w:t>
            </w:r>
            <w:r>
              <w:rPr>
                <w:rFonts w:hint="eastAsia"/>
                <w:sz w:val="24"/>
              </w:rPr>
              <w:t>1</w:t>
            </w:r>
            <w:r>
              <w:rPr>
                <w:sz w:val="24"/>
              </w:rPr>
              <w:t>8)分级判据，确定</w:t>
            </w:r>
            <w:r>
              <w:rPr>
                <w:rFonts w:hint="eastAsia"/>
                <w:sz w:val="24"/>
              </w:rPr>
              <w:t>本项目</w:t>
            </w:r>
            <w:r>
              <w:rPr>
                <w:sz w:val="24"/>
              </w:rPr>
              <w:t>大气环境影响评价工作等级为</w:t>
            </w:r>
            <w:r>
              <w:rPr>
                <w:rFonts w:hint="eastAsia"/>
                <w:sz w:val="24"/>
              </w:rPr>
              <w:t>二</w:t>
            </w:r>
            <w:r>
              <w:rPr>
                <w:sz w:val="24"/>
              </w:rPr>
              <w:t>级。</w:t>
            </w:r>
          </w:p>
          <w:p>
            <w:pPr>
              <w:spacing w:line="480" w:lineRule="exact"/>
              <w:ind w:firstLine="422" w:firstLineChars="176"/>
              <w:rPr>
                <w:sz w:val="24"/>
              </w:rPr>
            </w:pPr>
            <w:r>
              <w:rPr>
                <w:rFonts w:hint="eastAsia"/>
                <w:sz w:val="24"/>
              </w:rPr>
              <w:t>（</w:t>
            </w:r>
            <w:r>
              <w:rPr>
                <w:sz w:val="24"/>
              </w:rPr>
              <w:t>6</w:t>
            </w:r>
            <w:r>
              <w:rPr>
                <w:rFonts w:hint="eastAsia"/>
                <w:sz w:val="24"/>
              </w:rPr>
              <w:t>）污染物排放核算</w:t>
            </w:r>
          </w:p>
          <w:p>
            <w:pPr>
              <w:spacing w:line="480" w:lineRule="exact"/>
              <w:ind w:firstLine="422" w:firstLineChars="176"/>
              <w:rPr>
                <w:sz w:val="24"/>
              </w:rPr>
            </w:pPr>
            <w:r>
              <w:rPr>
                <w:sz w:val="24"/>
              </w:rPr>
              <w:t>本项目大气污染物分为有组织排放及无组织排放</w:t>
            </w:r>
            <w:r>
              <w:rPr>
                <w:rFonts w:hint="eastAsia"/>
                <w:sz w:val="24"/>
              </w:rPr>
              <w:t>，</w:t>
            </w:r>
            <w:r>
              <w:rPr>
                <w:sz w:val="24"/>
              </w:rPr>
              <w:t>其排放量核算如下</w:t>
            </w:r>
            <w:r>
              <w:rPr>
                <w:rFonts w:hint="eastAsia"/>
                <w:sz w:val="24"/>
              </w:rPr>
              <w:t>：</w:t>
            </w:r>
          </w:p>
          <w:p>
            <w:pPr>
              <w:numPr>
                <w:ilvl w:val="0"/>
                <w:numId w:val="4"/>
              </w:numPr>
              <w:spacing w:line="480" w:lineRule="exact"/>
              <w:rPr>
                <w:sz w:val="24"/>
              </w:rPr>
            </w:pPr>
            <w:r>
              <w:rPr>
                <w:sz w:val="24"/>
              </w:rPr>
              <w:t>有组织排放量核算</w:t>
            </w:r>
          </w:p>
          <w:p>
            <w:pPr>
              <w:spacing w:line="480" w:lineRule="exact"/>
              <w:jc w:val="center"/>
              <w:rPr>
                <w:b/>
                <w:sz w:val="24"/>
              </w:rPr>
            </w:pPr>
            <w:r>
              <w:rPr>
                <w:b/>
                <w:sz w:val="24"/>
              </w:rPr>
              <w:t>表</w:t>
            </w:r>
            <w:r>
              <w:rPr>
                <w:rFonts w:hint="eastAsia"/>
                <w:b/>
                <w:sz w:val="24"/>
              </w:rPr>
              <w:t>5</w:t>
            </w:r>
            <w:r>
              <w:rPr>
                <w:b/>
                <w:sz w:val="24"/>
              </w:rPr>
              <w:t>-9 大气污染物有组织排放量核算表</w:t>
            </w:r>
          </w:p>
          <w:tbl>
            <w:tblPr>
              <w:tblStyle w:val="53"/>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1134"/>
              <w:gridCol w:w="1843"/>
              <w:gridCol w:w="1842"/>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adjustRightInd w:val="0"/>
                    <w:snapToGrid w:val="0"/>
                    <w:jc w:val="center"/>
                    <w:rPr>
                      <w:szCs w:val="21"/>
                    </w:rPr>
                  </w:pPr>
                  <w:r>
                    <w:rPr>
                      <w:rFonts w:hint="eastAsia"/>
                      <w:szCs w:val="21"/>
                    </w:rPr>
                    <w:t>序号</w:t>
                  </w:r>
                </w:p>
              </w:tc>
              <w:tc>
                <w:tcPr>
                  <w:tcW w:w="1701" w:type="dxa"/>
                  <w:vAlign w:val="center"/>
                </w:tcPr>
                <w:p>
                  <w:pPr>
                    <w:adjustRightInd w:val="0"/>
                    <w:snapToGrid w:val="0"/>
                    <w:jc w:val="center"/>
                    <w:rPr>
                      <w:szCs w:val="21"/>
                    </w:rPr>
                  </w:pPr>
                  <w:r>
                    <w:rPr>
                      <w:rFonts w:hint="eastAsia"/>
                      <w:szCs w:val="21"/>
                    </w:rPr>
                    <w:t>排放口编号</w:t>
                  </w:r>
                </w:p>
              </w:tc>
              <w:tc>
                <w:tcPr>
                  <w:tcW w:w="1134" w:type="dxa"/>
                  <w:vAlign w:val="center"/>
                </w:tcPr>
                <w:p>
                  <w:pPr>
                    <w:adjustRightInd w:val="0"/>
                    <w:snapToGrid w:val="0"/>
                    <w:jc w:val="center"/>
                    <w:rPr>
                      <w:szCs w:val="21"/>
                    </w:rPr>
                  </w:pPr>
                  <w:r>
                    <w:rPr>
                      <w:rFonts w:hint="eastAsia"/>
                      <w:szCs w:val="21"/>
                    </w:rPr>
                    <w:t>污染物</w:t>
                  </w:r>
                </w:p>
              </w:tc>
              <w:tc>
                <w:tcPr>
                  <w:tcW w:w="1843" w:type="dxa"/>
                  <w:vAlign w:val="center"/>
                </w:tcPr>
                <w:p>
                  <w:pPr>
                    <w:adjustRightInd w:val="0"/>
                    <w:snapToGrid w:val="0"/>
                    <w:jc w:val="center"/>
                    <w:rPr>
                      <w:szCs w:val="21"/>
                    </w:rPr>
                  </w:pPr>
                  <w:r>
                    <w:rPr>
                      <w:rFonts w:hint="eastAsia"/>
                      <w:szCs w:val="21"/>
                    </w:rPr>
                    <w:t>核算排放浓度/</w:t>
                  </w:r>
                </w:p>
                <w:p>
                  <w:pPr>
                    <w:adjustRightInd w:val="0"/>
                    <w:snapToGrid w:val="0"/>
                    <w:jc w:val="center"/>
                    <w:rPr>
                      <w:szCs w:val="21"/>
                    </w:rPr>
                  </w:pPr>
                  <w:r>
                    <w:rPr>
                      <w:szCs w:val="21"/>
                    </w:rPr>
                    <w:t>（mg/m</w:t>
                  </w:r>
                  <w:r>
                    <w:rPr>
                      <w:szCs w:val="21"/>
                      <w:vertAlign w:val="superscript"/>
                    </w:rPr>
                    <w:t>3</w:t>
                  </w:r>
                  <w:r>
                    <w:rPr>
                      <w:szCs w:val="21"/>
                    </w:rPr>
                    <w:t>）</w:t>
                  </w:r>
                </w:p>
              </w:tc>
              <w:tc>
                <w:tcPr>
                  <w:tcW w:w="1842" w:type="dxa"/>
                  <w:vAlign w:val="center"/>
                </w:tcPr>
                <w:p>
                  <w:pPr>
                    <w:adjustRightInd w:val="0"/>
                    <w:snapToGrid w:val="0"/>
                    <w:jc w:val="center"/>
                    <w:rPr>
                      <w:szCs w:val="21"/>
                    </w:rPr>
                  </w:pPr>
                  <w:r>
                    <w:rPr>
                      <w:rFonts w:hint="eastAsia"/>
                      <w:szCs w:val="21"/>
                    </w:rPr>
                    <w:t>核算排放速率/（kg/h）</w:t>
                  </w:r>
                </w:p>
              </w:tc>
              <w:tc>
                <w:tcPr>
                  <w:tcW w:w="1691" w:type="dxa"/>
                  <w:vAlign w:val="center"/>
                </w:tcPr>
                <w:p>
                  <w:pPr>
                    <w:adjustRightInd w:val="0"/>
                    <w:snapToGrid w:val="0"/>
                    <w:jc w:val="center"/>
                    <w:rPr>
                      <w:szCs w:val="21"/>
                    </w:rPr>
                  </w:pPr>
                  <w:r>
                    <w:rPr>
                      <w:rFonts w:hint="eastAsia"/>
                      <w:szCs w:val="21"/>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57" w:type="dxa"/>
                  <w:gridSpan w:val="6"/>
                  <w:vAlign w:val="center"/>
                </w:tcPr>
                <w:p>
                  <w:pPr>
                    <w:adjustRightInd w:val="0"/>
                    <w:snapToGrid w:val="0"/>
                    <w:jc w:val="center"/>
                    <w:rPr>
                      <w:szCs w:val="21"/>
                    </w:rPr>
                  </w:pPr>
                  <w:r>
                    <w:rPr>
                      <w:rFonts w:hint="eastAsia"/>
                      <w:szCs w:val="21"/>
                    </w:rP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adjustRightInd w:val="0"/>
                    <w:snapToGrid w:val="0"/>
                    <w:jc w:val="center"/>
                    <w:rPr>
                      <w:szCs w:val="21"/>
                    </w:rPr>
                  </w:pPr>
                  <w:r>
                    <w:rPr>
                      <w:rFonts w:hint="eastAsia"/>
                      <w:szCs w:val="21"/>
                    </w:rPr>
                    <w:t>1</w:t>
                  </w:r>
                </w:p>
              </w:tc>
              <w:tc>
                <w:tcPr>
                  <w:tcW w:w="1701" w:type="dxa"/>
                  <w:vAlign w:val="center"/>
                </w:tcPr>
                <w:p>
                  <w:pPr>
                    <w:adjustRightInd w:val="0"/>
                    <w:snapToGrid w:val="0"/>
                    <w:jc w:val="center"/>
                    <w:rPr>
                      <w:szCs w:val="21"/>
                    </w:rPr>
                  </w:pPr>
                  <w:r>
                    <w:rPr>
                      <w:rFonts w:hint="eastAsia"/>
                      <w:szCs w:val="21"/>
                    </w:rPr>
                    <w:t>D</w:t>
                  </w:r>
                  <w:r>
                    <w:rPr>
                      <w:szCs w:val="21"/>
                    </w:rPr>
                    <w:t>A001</w:t>
                  </w:r>
                </w:p>
              </w:tc>
              <w:tc>
                <w:tcPr>
                  <w:tcW w:w="1134" w:type="dxa"/>
                  <w:vAlign w:val="center"/>
                </w:tcPr>
                <w:p>
                  <w:pPr>
                    <w:adjustRightInd w:val="0"/>
                    <w:snapToGrid w:val="0"/>
                    <w:jc w:val="center"/>
                    <w:rPr>
                      <w:szCs w:val="21"/>
                    </w:rPr>
                  </w:pPr>
                  <w:r>
                    <w:rPr>
                      <w:rFonts w:hint="eastAsia"/>
                      <w:szCs w:val="21"/>
                    </w:rPr>
                    <w:t>N</w:t>
                  </w:r>
                  <w:r>
                    <w:rPr>
                      <w:szCs w:val="21"/>
                    </w:rPr>
                    <w:t>H</w:t>
                  </w:r>
                  <w:r>
                    <w:rPr>
                      <w:szCs w:val="21"/>
                      <w:vertAlign w:val="subscript"/>
                    </w:rPr>
                    <w:t>3</w:t>
                  </w:r>
                </w:p>
              </w:tc>
              <w:tc>
                <w:tcPr>
                  <w:tcW w:w="1843" w:type="dxa"/>
                  <w:vAlign w:val="center"/>
                </w:tcPr>
                <w:p>
                  <w:pPr>
                    <w:adjustRightInd w:val="0"/>
                    <w:snapToGrid w:val="0"/>
                    <w:jc w:val="center"/>
                    <w:rPr>
                      <w:szCs w:val="21"/>
                    </w:rPr>
                  </w:pPr>
                  <w:r>
                    <w:rPr>
                      <w:szCs w:val="21"/>
                    </w:rPr>
                    <w:t>2</w:t>
                  </w:r>
                </w:p>
              </w:tc>
              <w:tc>
                <w:tcPr>
                  <w:tcW w:w="1842" w:type="dxa"/>
                  <w:vAlign w:val="center"/>
                </w:tcPr>
                <w:p>
                  <w:pPr>
                    <w:adjustRightInd w:val="0"/>
                    <w:snapToGrid w:val="0"/>
                    <w:jc w:val="center"/>
                    <w:rPr>
                      <w:szCs w:val="21"/>
                    </w:rPr>
                  </w:pPr>
                  <w:r>
                    <w:rPr>
                      <w:rFonts w:hint="eastAsia"/>
                      <w:szCs w:val="21"/>
                    </w:rPr>
                    <w:t>0.</w:t>
                  </w:r>
                  <w:r>
                    <w:rPr>
                      <w:szCs w:val="21"/>
                    </w:rPr>
                    <w:t>01</w:t>
                  </w:r>
                </w:p>
              </w:tc>
              <w:tc>
                <w:tcPr>
                  <w:tcW w:w="1691" w:type="dxa"/>
                  <w:vAlign w:val="center"/>
                </w:tcPr>
                <w:p>
                  <w:pPr>
                    <w:adjustRightInd w:val="0"/>
                    <w:snapToGrid w:val="0"/>
                    <w:jc w:val="center"/>
                    <w:rPr>
                      <w:szCs w:val="21"/>
                    </w:rPr>
                  </w:pPr>
                  <w:r>
                    <w:rPr>
                      <w:szCs w:val="21"/>
                    </w:rPr>
                    <w:t>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gridSpan w:val="2"/>
                  <w:vAlign w:val="center"/>
                </w:tcPr>
                <w:p>
                  <w:pPr>
                    <w:adjustRightInd w:val="0"/>
                    <w:snapToGrid w:val="0"/>
                    <w:jc w:val="center"/>
                    <w:rPr>
                      <w:szCs w:val="21"/>
                    </w:rPr>
                  </w:pPr>
                  <w:r>
                    <w:rPr>
                      <w:rFonts w:hint="eastAsia"/>
                      <w:szCs w:val="21"/>
                    </w:rPr>
                    <w:t>主要排放口合计</w:t>
                  </w:r>
                </w:p>
              </w:tc>
              <w:tc>
                <w:tcPr>
                  <w:tcW w:w="1134" w:type="dxa"/>
                  <w:vAlign w:val="center"/>
                </w:tcPr>
                <w:p>
                  <w:pPr>
                    <w:adjustRightInd w:val="0"/>
                    <w:snapToGrid w:val="0"/>
                    <w:jc w:val="center"/>
                    <w:rPr>
                      <w:szCs w:val="21"/>
                    </w:rPr>
                  </w:pPr>
                  <w:r>
                    <w:rPr>
                      <w:rFonts w:hint="eastAsia"/>
                      <w:szCs w:val="21"/>
                    </w:rPr>
                    <w:t>N</w:t>
                  </w:r>
                  <w:r>
                    <w:rPr>
                      <w:szCs w:val="21"/>
                    </w:rPr>
                    <w:t>H</w:t>
                  </w:r>
                  <w:r>
                    <w:rPr>
                      <w:szCs w:val="21"/>
                      <w:vertAlign w:val="subscript"/>
                    </w:rPr>
                    <w:t>3</w:t>
                  </w:r>
                </w:p>
              </w:tc>
              <w:tc>
                <w:tcPr>
                  <w:tcW w:w="1843" w:type="dxa"/>
                  <w:vAlign w:val="center"/>
                </w:tcPr>
                <w:p>
                  <w:pPr>
                    <w:adjustRightInd w:val="0"/>
                    <w:snapToGrid w:val="0"/>
                    <w:jc w:val="center"/>
                    <w:rPr>
                      <w:szCs w:val="21"/>
                    </w:rPr>
                  </w:pPr>
                  <w:r>
                    <w:rPr>
                      <w:szCs w:val="21"/>
                    </w:rPr>
                    <w:t>2</w:t>
                  </w:r>
                </w:p>
              </w:tc>
              <w:tc>
                <w:tcPr>
                  <w:tcW w:w="1842" w:type="dxa"/>
                  <w:vAlign w:val="center"/>
                </w:tcPr>
                <w:p>
                  <w:pPr>
                    <w:adjustRightInd w:val="0"/>
                    <w:snapToGrid w:val="0"/>
                    <w:jc w:val="center"/>
                    <w:rPr>
                      <w:szCs w:val="21"/>
                    </w:rPr>
                  </w:pPr>
                  <w:r>
                    <w:rPr>
                      <w:rFonts w:hint="eastAsia"/>
                      <w:szCs w:val="21"/>
                    </w:rPr>
                    <w:t>0.</w:t>
                  </w:r>
                  <w:r>
                    <w:rPr>
                      <w:szCs w:val="21"/>
                    </w:rPr>
                    <w:t>01</w:t>
                  </w:r>
                </w:p>
              </w:tc>
              <w:tc>
                <w:tcPr>
                  <w:tcW w:w="1691" w:type="dxa"/>
                  <w:vAlign w:val="center"/>
                </w:tcPr>
                <w:p>
                  <w:pPr>
                    <w:adjustRightInd w:val="0"/>
                    <w:snapToGrid w:val="0"/>
                    <w:jc w:val="center"/>
                    <w:rPr>
                      <w:szCs w:val="21"/>
                    </w:rPr>
                  </w:pPr>
                  <w:r>
                    <w:rPr>
                      <w:szCs w:val="21"/>
                    </w:rPr>
                    <w:t>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gridSpan w:val="2"/>
                  <w:vAlign w:val="center"/>
                </w:tcPr>
                <w:p>
                  <w:pPr>
                    <w:adjustRightInd w:val="0"/>
                    <w:snapToGrid w:val="0"/>
                    <w:jc w:val="center"/>
                    <w:rPr>
                      <w:szCs w:val="21"/>
                    </w:rPr>
                  </w:pPr>
                  <w:r>
                    <w:rPr>
                      <w:rFonts w:hint="eastAsia"/>
                      <w:szCs w:val="21"/>
                    </w:rPr>
                    <w:t>有组织排放合计</w:t>
                  </w:r>
                </w:p>
              </w:tc>
              <w:tc>
                <w:tcPr>
                  <w:tcW w:w="1134" w:type="dxa"/>
                  <w:vAlign w:val="center"/>
                </w:tcPr>
                <w:p>
                  <w:pPr>
                    <w:adjustRightInd w:val="0"/>
                    <w:snapToGrid w:val="0"/>
                    <w:jc w:val="center"/>
                    <w:rPr>
                      <w:szCs w:val="21"/>
                    </w:rPr>
                  </w:pPr>
                  <w:r>
                    <w:rPr>
                      <w:rFonts w:hint="eastAsia"/>
                      <w:szCs w:val="21"/>
                    </w:rPr>
                    <w:t>N</w:t>
                  </w:r>
                  <w:r>
                    <w:rPr>
                      <w:szCs w:val="21"/>
                    </w:rPr>
                    <w:t>H</w:t>
                  </w:r>
                  <w:r>
                    <w:rPr>
                      <w:szCs w:val="21"/>
                      <w:vertAlign w:val="subscript"/>
                    </w:rPr>
                    <w:t>3</w:t>
                  </w:r>
                </w:p>
              </w:tc>
              <w:tc>
                <w:tcPr>
                  <w:tcW w:w="1843" w:type="dxa"/>
                  <w:vAlign w:val="center"/>
                </w:tcPr>
                <w:p>
                  <w:pPr>
                    <w:adjustRightInd w:val="0"/>
                    <w:snapToGrid w:val="0"/>
                    <w:jc w:val="center"/>
                    <w:rPr>
                      <w:szCs w:val="21"/>
                    </w:rPr>
                  </w:pPr>
                  <w:r>
                    <w:rPr>
                      <w:szCs w:val="21"/>
                    </w:rPr>
                    <w:t>2</w:t>
                  </w:r>
                </w:p>
              </w:tc>
              <w:tc>
                <w:tcPr>
                  <w:tcW w:w="1842" w:type="dxa"/>
                  <w:vAlign w:val="center"/>
                </w:tcPr>
                <w:p>
                  <w:pPr>
                    <w:adjustRightInd w:val="0"/>
                    <w:snapToGrid w:val="0"/>
                    <w:jc w:val="center"/>
                    <w:rPr>
                      <w:szCs w:val="21"/>
                    </w:rPr>
                  </w:pPr>
                  <w:r>
                    <w:rPr>
                      <w:rFonts w:hint="eastAsia"/>
                      <w:szCs w:val="21"/>
                    </w:rPr>
                    <w:t>0.</w:t>
                  </w:r>
                  <w:r>
                    <w:rPr>
                      <w:szCs w:val="21"/>
                    </w:rPr>
                    <w:t>01</w:t>
                  </w:r>
                </w:p>
              </w:tc>
              <w:tc>
                <w:tcPr>
                  <w:tcW w:w="1691" w:type="dxa"/>
                  <w:vAlign w:val="center"/>
                </w:tcPr>
                <w:p>
                  <w:pPr>
                    <w:adjustRightInd w:val="0"/>
                    <w:snapToGrid w:val="0"/>
                    <w:jc w:val="center"/>
                    <w:rPr>
                      <w:szCs w:val="21"/>
                    </w:rPr>
                  </w:pPr>
                  <w:r>
                    <w:rPr>
                      <w:szCs w:val="21"/>
                    </w:rPr>
                    <w:t>0.068</w:t>
                  </w:r>
                </w:p>
              </w:tc>
            </w:tr>
          </w:tbl>
          <w:p>
            <w:pPr>
              <w:spacing w:line="480" w:lineRule="exact"/>
              <w:ind w:firstLine="422"/>
              <w:rPr>
                <w:sz w:val="24"/>
              </w:rPr>
            </w:pPr>
            <w:r>
              <w:rPr>
                <w:rFonts w:hint="eastAsia" w:ascii="宋体" w:hAnsi="宋体"/>
                <w:sz w:val="24"/>
              </w:rPr>
              <w:t>②</w:t>
            </w:r>
            <w:r>
              <w:rPr>
                <w:rFonts w:hint="eastAsia"/>
                <w:sz w:val="24"/>
              </w:rPr>
              <w:t>无组织排放量核算</w:t>
            </w:r>
          </w:p>
          <w:p>
            <w:pPr>
              <w:spacing w:line="480" w:lineRule="exact"/>
              <w:jc w:val="center"/>
              <w:rPr>
                <w:b/>
                <w:sz w:val="24"/>
              </w:rPr>
            </w:pPr>
            <w:r>
              <w:rPr>
                <w:b/>
                <w:sz w:val="24"/>
              </w:rPr>
              <w:t>表</w:t>
            </w:r>
            <w:r>
              <w:rPr>
                <w:rFonts w:hint="eastAsia"/>
                <w:b/>
                <w:sz w:val="24"/>
              </w:rPr>
              <w:t>5</w:t>
            </w:r>
            <w:r>
              <w:rPr>
                <w:b/>
                <w:sz w:val="24"/>
              </w:rPr>
              <w:t>-10 大气污染物无组织排放量核算表</w:t>
            </w:r>
          </w:p>
          <w:tbl>
            <w:tblPr>
              <w:tblStyle w:val="53"/>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50"/>
              <w:gridCol w:w="787"/>
              <w:gridCol w:w="709"/>
              <w:gridCol w:w="2938"/>
              <w:gridCol w:w="1559"/>
              <w:gridCol w:w="74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425" w:type="dxa"/>
                  <w:vAlign w:val="center"/>
                </w:tcPr>
                <w:p>
                  <w:pPr>
                    <w:adjustRightInd w:val="0"/>
                    <w:snapToGrid w:val="0"/>
                    <w:rPr>
                      <w:szCs w:val="21"/>
                    </w:rPr>
                  </w:pPr>
                  <w:r>
                    <w:rPr>
                      <w:rFonts w:hint="eastAsia"/>
                      <w:szCs w:val="21"/>
                    </w:rPr>
                    <w:t>序号</w:t>
                  </w:r>
                </w:p>
              </w:tc>
              <w:tc>
                <w:tcPr>
                  <w:tcW w:w="850" w:type="dxa"/>
                  <w:vAlign w:val="center"/>
                </w:tcPr>
                <w:p>
                  <w:pPr>
                    <w:adjustRightInd w:val="0"/>
                    <w:snapToGrid w:val="0"/>
                    <w:rPr>
                      <w:szCs w:val="21"/>
                    </w:rPr>
                  </w:pPr>
                  <w:r>
                    <w:rPr>
                      <w:rFonts w:hint="eastAsia"/>
                      <w:szCs w:val="21"/>
                    </w:rPr>
                    <w:t>排放口编号</w:t>
                  </w:r>
                </w:p>
              </w:tc>
              <w:tc>
                <w:tcPr>
                  <w:tcW w:w="787" w:type="dxa"/>
                  <w:vAlign w:val="center"/>
                </w:tcPr>
                <w:p>
                  <w:pPr>
                    <w:adjustRightInd w:val="0"/>
                    <w:snapToGrid w:val="0"/>
                    <w:rPr>
                      <w:szCs w:val="21"/>
                    </w:rPr>
                  </w:pPr>
                  <w:r>
                    <w:rPr>
                      <w:rFonts w:hint="eastAsia"/>
                      <w:szCs w:val="21"/>
                    </w:rPr>
                    <w:t>产污环节</w:t>
                  </w:r>
                </w:p>
              </w:tc>
              <w:tc>
                <w:tcPr>
                  <w:tcW w:w="709" w:type="dxa"/>
                  <w:vAlign w:val="center"/>
                </w:tcPr>
                <w:p>
                  <w:pPr>
                    <w:adjustRightInd w:val="0"/>
                    <w:snapToGrid w:val="0"/>
                    <w:rPr>
                      <w:szCs w:val="21"/>
                    </w:rPr>
                  </w:pPr>
                  <w:r>
                    <w:rPr>
                      <w:rFonts w:hint="eastAsia"/>
                      <w:szCs w:val="21"/>
                    </w:rPr>
                    <w:t>污染物</w:t>
                  </w:r>
                </w:p>
              </w:tc>
              <w:tc>
                <w:tcPr>
                  <w:tcW w:w="2938" w:type="dxa"/>
                  <w:vAlign w:val="center"/>
                </w:tcPr>
                <w:p>
                  <w:pPr>
                    <w:adjustRightInd w:val="0"/>
                    <w:snapToGrid w:val="0"/>
                    <w:rPr>
                      <w:szCs w:val="21"/>
                    </w:rPr>
                  </w:pPr>
                  <w:r>
                    <w:rPr>
                      <w:rFonts w:hint="eastAsia"/>
                      <w:szCs w:val="21"/>
                    </w:rPr>
                    <w:t>主要污染防治措施</w:t>
                  </w:r>
                </w:p>
              </w:tc>
              <w:tc>
                <w:tcPr>
                  <w:tcW w:w="1559" w:type="dxa"/>
                  <w:vAlign w:val="center"/>
                </w:tcPr>
                <w:p>
                  <w:pPr>
                    <w:adjustRightInd w:val="0"/>
                    <w:snapToGrid w:val="0"/>
                    <w:rPr>
                      <w:szCs w:val="21"/>
                    </w:rPr>
                  </w:pPr>
                  <w:r>
                    <w:rPr>
                      <w:rFonts w:hint="eastAsia"/>
                      <w:szCs w:val="21"/>
                    </w:rPr>
                    <w:t>污染物排放标准</w:t>
                  </w:r>
                </w:p>
              </w:tc>
              <w:tc>
                <w:tcPr>
                  <w:tcW w:w="748" w:type="dxa"/>
                  <w:vAlign w:val="center"/>
                </w:tcPr>
                <w:p>
                  <w:pPr>
                    <w:adjustRightInd w:val="0"/>
                    <w:snapToGrid w:val="0"/>
                    <w:rPr>
                      <w:szCs w:val="21"/>
                    </w:rPr>
                  </w:pPr>
                  <w:r>
                    <w:rPr>
                      <w:rFonts w:hint="eastAsia"/>
                      <w:szCs w:val="21"/>
                    </w:rPr>
                    <w:t>浓度限制</w:t>
                  </w:r>
                </w:p>
              </w:tc>
              <w:tc>
                <w:tcPr>
                  <w:tcW w:w="850" w:type="dxa"/>
                  <w:vAlign w:val="center"/>
                </w:tcPr>
                <w:p>
                  <w:pPr>
                    <w:adjustRightInd w:val="0"/>
                    <w:snapToGrid w:val="0"/>
                    <w:rPr>
                      <w:szCs w:val="21"/>
                    </w:rPr>
                  </w:pPr>
                  <w:r>
                    <w:rPr>
                      <w:rFonts w:hint="eastAsia"/>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425" w:type="dxa"/>
                  <w:vAlign w:val="center"/>
                </w:tcPr>
                <w:p>
                  <w:pPr>
                    <w:adjustRightInd w:val="0"/>
                    <w:snapToGrid w:val="0"/>
                    <w:rPr>
                      <w:szCs w:val="21"/>
                    </w:rPr>
                  </w:pPr>
                  <w:r>
                    <w:rPr>
                      <w:rFonts w:hint="eastAsia"/>
                      <w:szCs w:val="21"/>
                    </w:rPr>
                    <w:t>1</w:t>
                  </w:r>
                </w:p>
              </w:tc>
              <w:tc>
                <w:tcPr>
                  <w:tcW w:w="850" w:type="dxa"/>
                  <w:vAlign w:val="center"/>
                </w:tcPr>
                <w:p>
                  <w:pPr>
                    <w:adjustRightInd w:val="0"/>
                    <w:snapToGrid w:val="0"/>
                    <w:rPr>
                      <w:szCs w:val="21"/>
                    </w:rPr>
                  </w:pPr>
                  <w:r>
                    <w:rPr>
                      <w:rFonts w:hint="eastAsia"/>
                      <w:szCs w:val="21"/>
                    </w:rPr>
                    <w:t>--</w:t>
                  </w:r>
                </w:p>
              </w:tc>
              <w:tc>
                <w:tcPr>
                  <w:tcW w:w="787" w:type="dxa"/>
                  <w:vAlign w:val="center"/>
                </w:tcPr>
                <w:p>
                  <w:pPr>
                    <w:adjustRightInd w:val="0"/>
                    <w:snapToGrid w:val="0"/>
                    <w:rPr>
                      <w:szCs w:val="21"/>
                    </w:rPr>
                  </w:pPr>
                  <w:r>
                    <w:rPr>
                      <w:rFonts w:hint="eastAsia"/>
                      <w:szCs w:val="21"/>
                    </w:rPr>
                    <w:t>抛光</w:t>
                  </w:r>
                </w:p>
              </w:tc>
              <w:tc>
                <w:tcPr>
                  <w:tcW w:w="709" w:type="dxa"/>
                  <w:vAlign w:val="center"/>
                </w:tcPr>
                <w:p>
                  <w:pPr>
                    <w:adjustRightInd w:val="0"/>
                    <w:snapToGrid w:val="0"/>
                    <w:rPr>
                      <w:szCs w:val="21"/>
                    </w:rPr>
                  </w:pPr>
                  <w:r>
                    <w:rPr>
                      <w:szCs w:val="21"/>
                    </w:rPr>
                    <w:t>TSP</w:t>
                  </w:r>
                </w:p>
              </w:tc>
              <w:tc>
                <w:tcPr>
                  <w:tcW w:w="2938" w:type="dxa"/>
                  <w:vAlign w:val="center"/>
                </w:tcPr>
                <w:p>
                  <w:pPr>
                    <w:adjustRightInd w:val="0"/>
                    <w:snapToGrid w:val="0"/>
                    <w:rPr>
                      <w:szCs w:val="21"/>
                    </w:rPr>
                  </w:pPr>
                  <w:r>
                    <w:rPr>
                      <w:rFonts w:hint="eastAsia"/>
                      <w:szCs w:val="21"/>
                    </w:rPr>
                    <w:t>设置布袋除尘</w:t>
                  </w:r>
                </w:p>
              </w:tc>
              <w:tc>
                <w:tcPr>
                  <w:tcW w:w="1559" w:type="dxa"/>
                  <w:vAlign w:val="center"/>
                </w:tcPr>
                <w:p>
                  <w:pPr>
                    <w:adjustRightInd w:val="0"/>
                    <w:snapToGrid w:val="0"/>
                    <w:rPr>
                      <w:szCs w:val="21"/>
                    </w:rPr>
                  </w:pPr>
                  <w:r>
                    <w:rPr>
                      <w:rFonts w:hint="eastAsia"/>
                      <w:szCs w:val="21"/>
                    </w:rPr>
                    <w:t>大气污染物综合排放标准（G</w:t>
                  </w:r>
                  <w:r>
                    <w:rPr>
                      <w:szCs w:val="21"/>
                    </w:rPr>
                    <w:t>B16297-1996</w:t>
                  </w:r>
                  <w:r>
                    <w:rPr>
                      <w:rFonts w:hint="eastAsia"/>
                      <w:szCs w:val="21"/>
                    </w:rPr>
                    <w:t>）</w:t>
                  </w:r>
                </w:p>
              </w:tc>
              <w:tc>
                <w:tcPr>
                  <w:tcW w:w="748" w:type="dxa"/>
                  <w:vAlign w:val="center"/>
                </w:tcPr>
                <w:p>
                  <w:pPr>
                    <w:adjustRightInd w:val="0"/>
                    <w:snapToGrid w:val="0"/>
                    <w:rPr>
                      <w:szCs w:val="21"/>
                    </w:rPr>
                  </w:pPr>
                  <w:r>
                    <w:rPr>
                      <w:rFonts w:hint="eastAsia"/>
                      <w:szCs w:val="21"/>
                    </w:rPr>
                    <w:t>1</w:t>
                  </w:r>
                  <w:r>
                    <w:rPr>
                      <w:szCs w:val="21"/>
                    </w:rPr>
                    <w:t>.0mg/m</w:t>
                  </w:r>
                  <w:r>
                    <w:rPr>
                      <w:szCs w:val="21"/>
                      <w:vertAlign w:val="superscript"/>
                    </w:rPr>
                    <w:t>3</w:t>
                  </w:r>
                </w:p>
              </w:tc>
              <w:tc>
                <w:tcPr>
                  <w:tcW w:w="850" w:type="dxa"/>
                  <w:vAlign w:val="center"/>
                </w:tcPr>
                <w:p>
                  <w:pPr>
                    <w:adjustRightInd w:val="0"/>
                    <w:snapToGrid w:val="0"/>
                    <w:rPr>
                      <w:szCs w:val="21"/>
                    </w:rPr>
                  </w:pPr>
                  <w:r>
                    <w:rPr>
                      <w:rFonts w:hint="eastAsia"/>
                      <w:szCs w:val="21"/>
                    </w:rPr>
                    <w:t>0</w:t>
                  </w:r>
                  <w:r>
                    <w:rPr>
                      <w:szCs w:val="21"/>
                    </w:rPr>
                    <w:t>.0128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5" w:type="dxa"/>
                  <w:vAlign w:val="center"/>
                </w:tcPr>
                <w:p>
                  <w:pPr>
                    <w:adjustRightInd w:val="0"/>
                    <w:snapToGrid w:val="0"/>
                    <w:rPr>
                      <w:szCs w:val="21"/>
                    </w:rPr>
                  </w:pPr>
                  <w:r>
                    <w:rPr>
                      <w:szCs w:val="21"/>
                    </w:rPr>
                    <w:t>2</w:t>
                  </w:r>
                </w:p>
              </w:tc>
              <w:tc>
                <w:tcPr>
                  <w:tcW w:w="850" w:type="dxa"/>
                  <w:vAlign w:val="center"/>
                </w:tcPr>
                <w:p>
                  <w:pPr>
                    <w:adjustRightInd w:val="0"/>
                    <w:snapToGrid w:val="0"/>
                    <w:rPr>
                      <w:szCs w:val="21"/>
                    </w:rPr>
                  </w:pPr>
                  <w:r>
                    <w:rPr>
                      <w:rFonts w:hint="eastAsia"/>
                      <w:szCs w:val="21"/>
                    </w:rPr>
                    <w:t>--</w:t>
                  </w:r>
                </w:p>
              </w:tc>
              <w:tc>
                <w:tcPr>
                  <w:tcW w:w="787" w:type="dxa"/>
                  <w:vAlign w:val="center"/>
                </w:tcPr>
                <w:p>
                  <w:pPr>
                    <w:adjustRightInd w:val="0"/>
                    <w:snapToGrid w:val="0"/>
                    <w:rPr>
                      <w:szCs w:val="21"/>
                    </w:rPr>
                  </w:pPr>
                  <w:r>
                    <w:rPr>
                      <w:rFonts w:hint="eastAsia"/>
                      <w:szCs w:val="21"/>
                    </w:rPr>
                    <w:t>氮化</w:t>
                  </w:r>
                </w:p>
              </w:tc>
              <w:tc>
                <w:tcPr>
                  <w:tcW w:w="709" w:type="dxa"/>
                  <w:vAlign w:val="center"/>
                </w:tcPr>
                <w:p>
                  <w:pPr>
                    <w:adjustRightInd w:val="0"/>
                    <w:snapToGrid w:val="0"/>
                    <w:rPr>
                      <w:szCs w:val="21"/>
                    </w:rPr>
                  </w:pPr>
                  <w:r>
                    <w:rPr>
                      <w:szCs w:val="21"/>
                    </w:rPr>
                    <w:t>NH</w:t>
                  </w:r>
                  <w:r>
                    <w:rPr>
                      <w:szCs w:val="21"/>
                      <w:vertAlign w:val="subscript"/>
                    </w:rPr>
                    <w:t>3</w:t>
                  </w:r>
                </w:p>
              </w:tc>
              <w:tc>
                <w:tcPr>
                  <w:tcW w:w="2938" w:type="dxa"/>
                  <w:vAlign w:val="center"/>
                </w:tcPr>
                <w:p>
                  <w:pPr>
                    <w:adjustRightInd w:val="0"/>
                    <w:snapToGrid w:val="0"/>
                    <w:rPr>
                      <w:szCs w:val="21"/>
                    </w:rPr>
                  </w:pPr>
                  <w:r>
                    <w:rPr>
                      <w:rFonts w:hint="eastAsia"/>
                      <w:szCs w:val="21"/>
                    </w:rPr>
                    <w:t>氮化炉上方设置集气罩，且热处理工序设置在封闭厂房内且厂房设置负压抽风系统，收集的废气经两级水喷淋处理后经1</w:t>
                  </w:r>
                  <w:r>
                    <w:rPr>
                      <w:szCs w:val="21"/>
                    </w:rPr>
                    <w:t>5m高排气筒排放</w:t>
                  </w:r>
                </w:p>
              </w:tc>
              <w:tc>
                <w:tcPr>
                  <w:tcW w:w="1559" w:type="dxa"/>
                  <w:vAlign w:val="center"/>
                </w:tcPr>
                <w:p>
                  <w:pPr>
                    <w:adjustRightInd w:val="0"/>
                    <w:snapToGrid w:val="0"/>
                    <w:rPr>
                      <w:szCs w:val="21"/>
                    </w:rPr>
                  </w:pPr>
                  <w:r>
                    <w:rPr>
                      <w:rFonts w:hint="eastAsia"/>
                      <w:szCs w:val="21"/>
                    </w:rPr>
                    <w:t>《恶臭污染物排放标准》（G</w:t>
                  </w:r>
                  <w:r>
                    <w:rPr>
                      <w:szCs w:val="21"/>
                    </w:rPr>
                    <w:t>B14554-93</w:t>
                  </w:r>
                  <w:r>
                    <w:rPr>
                      <w:rFonts w:hint="eastAsia"/>
                      <w:szCs w:val="21"/>
                    </w:rPr>
                    <w:t>）</w:t>
                  </w:r>
                </w:p>
              </w:tc>
              <w:tc>
                <w:tcPr>
                  <w:tcW w:w="748" w:type="dxa"/>
                  <w:vAlign w:val="center"/>
                </w:tcPr>
                <w:p>
                  <w:pPr>
                    <w:adjustRightInd w:val="0"/>
                    <w:snapToGrid w:val="0"/>
                    <w:rPr>
                      <w:szCs w:val="21"/>
                    </w:rPr>
                  </w:pPr>
                  <w:r>
                    <w:rPr>
                      <w:rFonts w:hint="eastAsia"/>
                      <w:szCs w:val="21"/>
                    </w:rPr>
                    <w:t>1</w:t>
                  </w:r>
                  <w:r>
                    <w:rPr>
                      <w:szCs w:val="21"/>
                    </w:rPr>
                    <w:t>.5mg/m</w:t>
                  </w:r>
                  <w:r>
                    <w:rPr>
                      <w:szCs w:val="21"/>
                      <w:vertAlign w:val="superscript"/>
                    </w:rPr>
                    <w:t>3</w:t>
                  </w:r>
                </w:p>
              </w:tc>
              <w:tc>
                <w:tcPr>
                  <w:tcW w:w="850" w:type="dxa"/>
                  <w:vAlign w:val="center"/>
                </w:tcPr>
                <w:p>
                  <w:pPr>
                    <w:adjustRightInd w:val="0"/>
                    <w:snapToGrid w:val="0"/>
                    <w:rPr>
                      <w:szCs w:val="21"/>
                    </w:rPr>
                  </w:pPr>
                  <w:r>
                    <w:rPr>
                      <w:szCs w:val="21"/>
                    </w:rPr>
                    <w:t>0.0054</w:t>
                  </w:r>
                </w:p>
              </w:tc>
            </w:tr>
          </w:tbl>
          <w:p>
            <w:pPr>
              <w:spacing w:line="480" w:lineRule="exact"/>
              <w:ind w:firstLine="480" w:firstLineChars="200"/>
              <w:rPr>
                <w:sz w:val="24"/>
              </w:rPr>
            </w:pPr>
            <w:r>
              <w:rPr>
                <w:rFonts w:hint="eastAsia" w:ascii="宋体" w:hAnsi="宋体"/>
                <w:sz w:val="24"/>
              </w:rPr>
              <w:t>③</w:t>
            </w:r>
            <w:r>
              <w:rPr>
                <w:rFonts w:hint="eastAsia"/>
                <w:sz w:val="24"/>
              </w:rPr>
              <w:t>大气污染物年排放量核算</w:t>
            </w:r>
          </w:p>
          <w:p>
            <w:pPr>
              <w:spacing w:line="480" w:lineRule="exact"/>
              <w:jc w:val="center"/>
              <w:rPr>
                <w:b/>
                <w:sz w:val="24"/>
              </w:rPr>
            </w:pPr>
            <w:r>
              <w:rPr>
                <w:rFonts w:hint="eastAsia"/>
                <w:b/>
                <w:sz w:val="24"/>
              </w:rPr>
              <w:t>表5</w:t>
            </w:r>
            <w:r>
              <w:rPr>
                <w:b/>
                <w:sz w:val="24"/>
              </w:rPr>
              <w:t>-11 大气污染物年排放量核算表</w:t>
            </w:r>
          </w:p>
          <w:tbl>
            <w:tblPr>
              <w:tblStyle w:val="53"/>
              <w:tblW w:w="8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2983"/>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3" w:type="dxa"/>
                </w:tcPr>
                <w:p>
                  <w:pPr>
                    <w:adjustRightInd w:val="0"/>
                    <w:snapToGrid w:val="0"/>
                    <w:jc w:val="center"/>
                    <w:rPr>
                      <w:szCs w:val="21"/>
                    </w:rPr>
                  </w:pPr>
                  <w:r>
                    <w:rPr>
                      <w:rFonts w:hint="eastAsia"/>
                      <w:szCs w:val="21"/>
                    </w:rPr>
                    <w:t>序号</w:t>
                  </w:r>
                </w:p>
              </w:tc>
              <w:tc>
                <w:tcPr>
                  <w:tcW w:w="2983" w:type="dxa"/>
                </w:tcPr>
                <w:p>
                  <w:pPr>
                    <w:adjustRightInd w:val="0"/>
                    <w:snapToGrid w:val="0"/>
                    <w:jc w:val="center"/>
                    <w:rPr>
                      <w:szCs w:val="21"/>
                    </w:rPr>
                  </w:pPr>
                  <w:r>
                    <w:rPr>
                      <w:rFonts w:hint="eastAsia"/>
                      <w:szCs w:val="21"/>
                    </w:rPr>
                    <w:t>污染物</w:t>
                  </w:r>
                </w:p>
              </w:tc>
              <w:tc>
                <w:tcPr>
                  <w:tcW w:w="2983" w:type="dxa"/>
                </w:tcPr>
                <w:p>
                  <w:pPr>
                    <w:adjustRightInd w:val="0"/>
                    <w:snapToGrid w:val="0"/>
                    <w:jc w:val="center"/>
                    <w:rPr>
                      <w:szCs w:val="21"/>
                    </w:rPr>
                  </w:pPr>
                  <w:r>
                    <w:rPr>
                      <w:rFonts w:hint="eastAsia"/>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3" w:type="dxa"/>
                </w:tcPr>
                <w:p>
                  <w:pPr>
                    <w:adjustRightInd w:val="0"/>
                    <w:snapToGrid w:val="0"/>
                    <w:jc w:val="center"/>
                    <w:rPr>
                      <w:szCs w:val="21"/>
                    </w:rPr>
                  </w:pPr>
                  <w:r>
                    <w:rPr>
                      <w:rFonts w:hint="eastAsia"/>
                      <w:szCs w:val="21"/>
                    </w:rPr>
                    <w:t>1</w:t>
                  </w:r>
                </w:p>
              </w:tc>
              <w:tc>
                <w:tcPr>
                  <w:tcW w:w="2983" w:type="dxa"/>
                </w:tcPr>
                <w:p>
                  <w:pPr>
                    <w:adjustRightInd w:val="0"/>
                    <w:snapToGrid w:val="0"/>
                    <w:jc w:val="center"/>
                    <w:rPr>
                      <w:szCs w:val="21"/>
                    </w:rPr>
                  </w:pPr>
                  <w:r>
                    <w:rPr>
                      <w:szCs w:val="21"/>
                    </w:rPr>
                    <w:t>NH</w:t>
                  </w:r>
                  <w:r>
                    <w:rPr>
                      <w:szCs w:val="21"/>
                      <w:vertAlign w:val="subscript"/>
                    </w:rPr>
                    <w:t>3</w:t>
                  </w:r>
                </w:p>
              </w:tc>
              <w:tc>
                <w:tcPr>
                  <w:tcW w:w="2983" w:type="dxa"/>
                </w:tcPr>
                <w:p>
                  <w:pPr>
                    <w:adjustRightInd w:val="0"/>
                    <w:snapToGrid w:val="0"/>
                    <w:jc w:val="center"/>
                    <w:rPr>
                      <w:szCs w:val="21"/>
                    </w:rPr>
                  </w:pPr>
                  <w:r>
                    <w:rPr>
                      <w:szCs w:val="21"/>
                    </w:rPr>
                    <w:t>0.0734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3" w:type="dxa"/>
                </w:tcPr>
                <w:p>
                  <w:pPr>
                    <w:adjustRightInd w:val="0"/>
                    <w:snapToGrid w:val="0"/>
                    <w:jc w:val="center"/>
                    <w:rPr>
                      <w:szCs w:val="21"/>
                    </w:rPr>
                  </w:pPr>
                  <w:r>
                    <w:rPr>
                      <w:rFonts w:hint="eastAsia"/>
                      <w:szCs w:val="21"/>
                    </w:rPr>
                    <w:t>2</w:t>
                  </w:r>
                </w:p>
              </w:tc>
              <w:tc>
                <w:tcPr>
                  <w:tcW w:w="2983" w:type="dxa"/>
                </w:tcPr>
                <w:p>
                  <w:pPr>
                    <w:adjustRightInd w:val="0"/>
                    <w:snapToGrid w:val="0"/>
                    <w:jc w:val="center"/>
                    <w:rPr>
                      <w:szCs w:val="21"/>
                    </w:rPr>
                  </w:pPr>
                  <w:r>
                    <w:rPr>
                      <w:rFonts w:hint="eastAsia"/>
                      <w:szCs w:val="21"/>
                    </w:rPr>
                    <w:t>T</w:t>
                  </w:r>
                  <w:r>
                    <w:rPr>
                      <w:szCs w:val="21"/>
                    </w:rPr>
                    <w:t>SP</w:t>
                  </w:r>
                </w:p>
              </w:tc>
              <w:tc>
                <w:tcPr>
                  <w:tcW w:w="2983" w:type="dxa"/>
                </w:tcPr>
                <w:p>
                  <w:pPr>
                    <w:adjustRightInd w:val="0"/>
                    <w:snapToGrid w:val="0"/>
                    <w:jc w:val="center"/>
                    <w:rPr>
                      <w:szCs w:val="21"/>
                    </w:rPr>
                  </w:pPr>
                  <w:r>
                    <w:rPr>
                      <w:szCs w:val="21"/>
                    </w:rPr>
                    <w:t>0.0128</w:t>
                  </w:r>
                </w:p>
              </w:tc>
            </w:tr>
          </w:tbl>
          <w:p>
            <w:pPr>
              <w:spacing w:line="360" w:lineRule="auto"/>
              <w:ind w:firstLine="472" w:firstLineChars="196"/>
              <w:rPr>
                <w:b/>
                <w:sz w:val="24"/>
              </w:rPr>
            </w:pPr>
            <w:r>
              <w:rPr>
                <w:rFonts w:hint="eastAsia"/>
                <w:b/>
                <w:sz w:val="24"/>
              </w:rPr>
              <w:t>2、废水产生及治理措施</w:t>
            </w:r>
          </w:p>
          <w:p>
            <w:pPr>
              <w:spacing w:line="360" w:lineRule="auto"/>
              <w:ind w:firstLine="480" w:firstLineChars="200"/>
              <w:rPr>
                <w:sz w:val="24"/>
              </w:rPr>
            </w:pPr>
            <w:r>
              <w:rPr>
                <w:rFonts w:hint="eastAsia"/>
                <w:sz w:val="24"/>
              </w:rPr>
              <w:t>本项目建成后不新增劳动定员，因此不新增生活污水，故本项目运营过程中产生的废水主要包括生产废水。生产废水包括模具冷却废水、工件氧化清洗废水、工件抛光清洗废水、废气喷淋废水。</w:t>
            </w:r>
          </w:p>
          <w:p>
            <w:pPr>
              <w:spacing w:line="360" w:lineRule="auto"/>
              <w:ind w:firstLine="480" w:firstLineChars="200"/>
              <w:rPr>
                <w:sz w:val="24"/>
              </w:rPr>
            </w:pPr>
            <w:r>
              <w:rPr>
                <w:rFonts w:hint="eastAsia"/>
                <w:sz w:val="24"/>
              </w:rPr>
              <w:t>（1）生产废水</w:t>
            </w:r>
          </w:p>
          <w:p>
            <w:pPr>
              <w:spacing w:line="360" w:lineRule="auto"/>
              <w:ind w:firstLine="480" w:firstLineChars="200"/>
              <w:rPr>
                <w:sz w:val="24"/>
              </w:rPr>
            </w:pPr>
            <w:r>
              <w:rPr>
                <w:rFonts w:hint="eastAsia"/>
                <w:sz w:val="24"/>
              </w:rPr>
              <w:t>模具冷却废水：模具冷却用水量约为</w:t>
            </w:r>
            <w:r>
              <w:rPr>
                <w:sz w:val="24"/>
              </w:rPr>
              <w:t>2.14m</w:t>
            </w:r>
            <w:r>
              <w:rPr>
                <w:sz w:val="24"/>
                <w:vertAlign w:val="superscript"/>
              </w:rPr>
              <w:t>3</w:t>
            </w:r>
            <w:r>
              <w:rPr>
                <w:sz w:val="24"/>
              </w:rPr>
              <w:t>/d</w:t>
            </w:r>
            <w:r>
              <w:rPr>
                <w:rFonts w:hint="eastAsia"/>
                <w:sz w:val="24"/>
              </w:rPr>
              <w:t>，</w:t>
            </w:r>
            <w:r>
              <w:rPr>
                <w:sz w:val="24"/>
              </w:rPr>
              <w:t>冷却模具后变成高温水蒸气全部蒸发</w:t>
            </w:r>
            <w:r>
              <w:rPr>
                <w:rFonts w:hint="eastAsia"/>
                <w:sz w:val="24"/>
              </w:rPr>
              <w:t>，</w:t>
            </w:r>
            <w:r>
              <w:rPr>
                <w:sz w:val="24"/>
              </w:rPr>
              <w:t>因此</w:t>
            </w:r>
            <w:r>
              <w:rPr>
                <w:rFonts w:hint="eastAsia"/>
                <w:sz w:val="24"/>
              </w:rPr>
              <w:t>，此过程</w:t>
            </w:r>
            <w:r>
              <w:rPr>
                <w:sz w:val="24"/>
              </w:rPr>
              <w:t>无废水产生</w:t>
            </w:r>
            <w:r>
              <w:rPr>
                <w:rFonts w:hint="eastAsia"/>
                <w:sz w:val="24"/>
              </w:rPr>
              <w:t>。</w:t>
            </w:r>
          </w:p>
          <w:p>
            <w:pPr>
              <w:spacing w:line="360" w:lineRule="auto"/>
              <w:ind w:firstLine="480" w:firstLineChars="200"/>
              <w:rPr>
                <w:sz w:val="24"/>
              </w:rPr>
            </w:pPr>
            <w:r>
              <w:rPr>
                <w:rFonts w:hint="eastAsia"/>
                <w:sz w:val="24"/>
              </w:rPr>
              <w:t>工件</w:t>
            </w:r>
            <w:r>
              <w:rPr>
                <w:sz w:val="24"/>
              </w:rPr>
              <w:t>氮化氧化清洗废水</w:t>
            </w:r>
            <w:r>
              <w:rPr>
                <w:rFonts w:hint="eastAsia"/>
                <w:sz w:val="24"/>
              </w:rPr>
              <w:t>：工件经盐浴氧化后用水进行冷却清洗以去除工件表面的盐。拟采用五级清洗，其中第一级清洗废水中含盐量较高，经收集后采用过滤、蒸馏回收废水中的固体盐，废水经蒸馏后变成水蒸气，水蒸气经冷却收集后作为第一级清洗水补充水使用；后一级清洗废水依次作为上一级清洗水使用，不外排。工艺流程见下图。</w:t>
            </w:r>
          </w:p>
          <w:p>
            <w:pPr>
              <w:spacing w:line="360" w:lineRule="auto"/>
              <w:ind w:firstLine="240" w:firstLineChars="100"/>
              <w:rPr>
                <w:sz w:val="24"/>
              </w:rPr>
            </w:pPr>
            <w:r>
              <w:rPr>
                <w:sz w:val="24"/>
              </w:rPr>
              <w:pict>
                <v:group id="画布 1647" o:spid="_x0000_s16132" o:spt="203" style="height:257.15pt;width:453.6pt;" coordorigin="1508,1833" coordsize="9072,5143" editas="canvas">
                  <o:lock v:ext="edit"/>
                  <v:shape id="画布 1647" o:spid="_x0000_s16133" o:spt="75" type="#_x0000_t75" style="position:absolute;left:1508;top:1833;height:5143;width:9072;" filled="f" o:preferrelative="f" stroked="f" coordsize="21600,21600">
                    <v:fill on="f" focussize="0,0"/>
                    <v:stroke on="f" joinstyle="miter"/>
                    <v:imagedata o:title=""/>
                    <o:lock v:ext="edit" rotation="t" text="t" aspectratio="t"/>
                  </v:shape>
                  <v:rect id="矩形 1684" o:spid="_x0000_s16134" o:spt="1" style="position:absolute;left:3953;top:4665;height:476;width:1260;" stroked="t" coordsize="21600,21600">
                    <v:path/>
                    <v:fill focussize="0,0"/>
                    <v:stroke color="#FFFFFF"/>
                    <v:imagedata o:title=""/>
                    <o:lock v:ext="edit"/>
                    <v:textbox>
                      <w:txbxContent>
                        <w:p>
                          <w:r>
                            <w:rPr>
                              <w:rFonts w:hint="eastAsia"/>
                            </w:rPr>
                            <w:t>水蒸气</w:t>
                          </w:r>
                        </w:p>
                      </w:txbxContent>
                    </v:textbox>
                  </v:rect>
                  <v:rect id="矩形 1682" o:spid="_x0000_s16135" o:spt="1" style="position:absolute;left:2247;top:3388;height:476;width:1260;" stroked="t" coordsize="21600,21600">
                    <v:path/>
                    <v:fill focussize="0,0"/>
                    <v:stroke color="#FFFFFF"/>
                    <v:imagedata o:title=""/>
                    <o:lock v:ext="edit"/>
                    <v:textbox>
                      <w:txbxContent>
                        <w:p>
                          <w:r>
                            <w:rPr>
                              <w:rFonts w:hint="eastAsia"/>
                            </w:rPr>
                            <w:t>清洗废水</w:t>
                          </w:r>
                        </w:p>
                      </w:txbxContent>
                    </v:textbox>
                  </v:rect>
                  <v:rect id="矩形 1680" o:spid="_x0000_s16136" o:spt="1" style="position:absolute;left:3600;top:1965;height:476;width:1260;" stroked="t" coordsize="21600,21600">
                    <v:path/>
                    <v:fill focussize="0,0"/>
                    <v:stroke color="#FFFFFF"/>
                    <v:imagedata o:title=""/>
                    <o:lock v:ext="edit"/>
                    <v:textbox>
                      <w:txbxContent>
                        <w:p>
                          <w:r>
                            <w:rPr>
                              <w:rFonts w:hint="eastAsia"/>
                            </w:rPr>
                            <w:t>清洗废水</w:t>
                          </w:r>
                        </w:p>
                      </w:txbxContent>
                    </v:textbox>
                  </v:rect>
                  <v:rect id="矩形 1681" o:spid="_x0000_s16137" o:spt="1" style="position:absolute;left:5220;top:1980;height:476;width:1260;" stroked="t" coordsize="21600,21600">
                    <v:path/>
                    <v:fill focussize="0,0"/>
                    <v:stroke color="#FFFFFF"/>
                    <v:imagedata o:title=""/>
                    <o:lock v:ext="edit"/>
                    <v:textbox>
                      <w:txbxContent>
                        <w:p>
                          <w:r>
                            <w:rPr>
                              <w:rFonts w:hint="eastAsia"/>
                            </w:rPr>
                            <w:t>清洗废水</w:t>
                          </w:r>
                        </w:p>
                      </w:txbxContent>
                    </v:textbox>
                  </v:rect>
                  <v:rect id="矩形 1679" o:spid="_x0000_s16138" o:spt="1" style="position:absolute;left:6795;top:1935;height:476;width:1260;" stroked="t" coordsize="21600,21600">
                    <v:path/>
                    <v:fill focussize="0,0"/>
                    <v:stroke color="#FFFFFF"/>
                    <v:imagedata o:title=""/>
                    <o:lock v:ext="edit"/>
                    <v:textbox>
                      <w:txbxContent>
                        <w:p>
                          <w:r>
                            <w:rPr>
                              <w:rFonts w:hint="eastAsia"/>
                            </w:rPr>
                            <w:t>清洗废水</w:t>
                          </w:r>
                        </w:p>
                      </w:txbxContent>
                    </v:textbox>
                  </v:rect>
                  <v:rect id="矩形 1666" o:spid="_x0000_s16139" o:spt="1" style="position:absolute;left:8430;top:1935;height:915;width:1260;" stroked="t" coordsize="21600,21600">
                    <v:path/>
                    <v:fill focussize="0,0"/>
                    <v:stroke color="#FFFFFF"/>
                    <v:imagedata o:title=""/>
                    <o:lock v:ext="edit"/>
                    <v:textbox>
                      <w:txbxContent>
                        <w:p>
                          <w:r>
                            <w:rPr>
                              <w:rFonts w:hint="eastAsia"/>
                            </w:rPr>
                            <w:t>清洗废水</w:t>
                          </w:r>
                        </w:p>
                      </w:txbxContent>
                    </v:textbox>
                  </v:rect>
                  <v:rect id="矩形 1662" o:spid="_x0000_s16140" o:spt="1" style="position:absolute;left:1695;top:2730;height:915;width:945;" stroked="t" coordsize="21600,21600">
                    <v:path/>
                    <v:fill focussize="0,0"/>
                    <v:stroke color="#FFFFFF"/>
                    <v:imagedata o:title=""/>
                    <o:lock v:ext="edit"/>
                    <v:textbox>
                      <w:txbxContent>
                        <w:p>
                          <w:r>
                            <w:t>氮化后的工件</w:t>
                          </w:r>
                        </w:p>
                      </w:txbxContent>
                    </v:textbox>
                  </v:rect>
                  <v:rect id="矩形 1648" o:spid="_x0000_s16141" o:spt="1" style="position:absolute;left:2895;top:2700;height:675;width:1111;" coordsize="21600,21600">
                    <v:path/>
                    <v:fill focussize="0,0"/>
                    <v:stroke/>
                    <v:imagedata o:title=""/>
                    <o:lock v:ext="edit"/>
                    <v:textbox>
                      <w:txbxContent>
                        <w:p>
                          <w:pPr>
                            <w:adjustRightInd w:val="0"/>
                            <w:snapToGrid w:val="0"/>
                            <w:jc w:val="center"/>
                          </w:pPr>
                          <w:r>
                            <w:t>第一级清洗</w:t>
                          </w:r>
                        </w:p>
                      </w:txbxContent>
                    </v:textbox>
                  </v:rect>
                  <v:rect id="矩形 1653" o:spid="_x0000_s16142" o:spt="1" style="position:absolute;left:4365;top:2700;height:675;width:1110;" coordsize="21600,21600">
                    <v:path/>
                    <v:fill focussize="0,0"/>
                    <v:stroke/>
                    <v:imagedata o:title=""/>
                    <o:lock v:ext="edit"/>
                    <v:textbox>
                      <w:txbxContent>
                        <w:p>
                          <w:pPr>
                            <w:adjustRightInd w:val="0"/>
                            <w:snapToGrid w:val="0"/>
                            <w:jc w:val="center"/>
                          </w:pPr>
                          <w:r>
                            <w:t>第</w:t>
                          </w:r>
                          <w:r>
                            <w:rPr>
                              <w:rFonts w:hint="eastAsia"/>
                            </w:rPr>
                            <w:t>二</w:t>
                          </w:r>
                          <w:r>
                            <w:t>级清洗</w:t>
                          </w:r>
                        </w:p>
                      </w:txbxContent>
                    </v:textbox>
                  </v:rect>
                  <v:rect id="矩形 1654" o:spid="_x0000_s16143" o:spt="1" style="position:absolute;left:5926;top:2700;height:675;width:1110;" coordsize="21600,21600">
                    <v:path/>
                    <v:fill focussize="0,0"/>
                    <v:stroke/>
                    <v:imagedata o:title=""/>
                    <o:lock v:ext="edit"/>
                    <v:textbox>
                      <w:txbxContent>
                        <w:p>
                          <w:pPr>
                            <w:adjustRightInd w:val="0"/>
                            <w:snapToGrid w:val="0"/>
                            <w:jc w:val="center"/>
                          </w:pPr>
                          <w:r>
                            <w:t>第</w:t>
                          </w:r>
                          <w:r>
                            <w:rPr>
                              <w:rFonts w:hint="eastAsia"/>
                            </w:rPr>
                            <w:t>三</w:t>
                          </w:r>
                          <w:r>
                            <w:t>级清洗</w:t>
                          </w:r>
                        </w:p>
                      </w:txbxContent>
                    </v:textbox>
                  </v:rect>
                  <v:rect id="矩形 1655" o:spid="_x0000_s16144" o:spt="1" style="position:absolute;left:7499;top:2700;height:675;width:1112;" coordsize="21600,21600">
                    <v:path/>
                    <v:fill focussize="0,0"/>
                    <v:stroke/>
                    <v:imagedata o:title=""/>
                    <o:lock v:ext="edit"/>
                    <v:textbox>
                      <w:txbxContent>
                        <w:p>
                          <w:pPr>
                            <w:adjustRightInd w:val="0"/>
                            <w:snapToGrid w:val="0"/>
                            <w:jc w:val="center"/>
                          </w:pPr>
                          <w:r>
                            <w:t>第</w:t>
                          </w:r>
                          <w:r>
                            <w:rPr>
                              <w:rFonts w:hint="eastAsia"/>
                            </w:rPr>
                            <w:t>四</w:t>
                          </w:r>
                          <w:r>
                            <w:t>级清洗</w:t>
                          </w:r>
                        </w:p>
                      </w:txbxContent>
                    </v:textbox>
                  </v:rect>
                  <v:rect id="矩形 1656" o:spid="_x0000_s16145" o:spt="1" style="position:absolute;left:9135;top:2701;height:674;width:1111;" coordsize="21600,21600">
                    <v:path/>
                    <v:fill focussize="0,0"/>
                    <v:stroke/>
                    <v:imagedata o:title=""/>
                    <o:lock v:ext="edit"/>
                    <v:textbox>
                      <w:txbxContent>
                        <w:p>
                          <w:pPr>
                            <w:adjustRightInd w:val="0"/>
                            <w:snapToGrid w:val="0"/>
                            <w:jc w:val="center"/>
                          </w:pPr>
                          <w:r>
                            <w:t>第五级清洗</w:t>
                          </w:r>
                        </w:p>
                      </w:txbxContent>
                    </v:textbox>
                  </v:rect>
                  <v:shape id="自选图形 1657" o:spid="_x0000_s16146" o:spt="32" type="#_x0000_t32" style="position:absolute;left:4006;top:3038;height:1;width:359;" o:connectortype="straight" filled="f" coordsize="21600,21600">
                    <v:path arrowok="t"/>
                    <v:fill on="f" focussize="0,0"/>
                    <v:stroke endarrow="block"/>
                    <v:imagedata o:title=""/>
                    <o:lock v:ext="edit"/>
                  </v:shape>
                  <v:shape id="自选图形 1658" o:spid="_x0000_s16147" o:spt="32" type="#_x0000_t32" style="position:absolute;left:5475;top:3038;height:1;width:451;" o:connectortype="straight" filled="f" coordsize="21600,21600">
                    <v:path arrowok="t"/>
                    <v:fill on="f" focussize="0,0"/>
                    <v:stroke endarrow="block"/>
                    <v:imagedata o:title=""/>
                    <o:lock v:ext="edit"/>
                  </v:shape>
                  <v:shape id="自选图形 1659" o:spid="_x0000_s16148" o:spt="32" type="#_x0000_t32" style="position:absolute;left:7036;top:3038;height:1;width:463;" o:connectortype="straight" filled="f" coordsize="21600,21600">
                    <v:path arrowok="t"/>
                    <v:fill on="f" focussize="0,0"/>
                    <v:stroke endarrow="block"/>
                    <v:imagedata o:title=""/>
                    <o:lock v:ext="edit"/>
                  </v:shape>
                  <v:shape id="自选图形 1660" o:spid="_x0000_s16149" o:spt="32" type="#_x0000_t32" style="position:absolute;left:8611;top:3038;height:1;width:524;" o:connectortype="straight" filled="f" coordsize="21600,21600">
                    <v:path arrowok="t"/>
                    <v:fill on="f" focussize="0,0"/>
                    <v:stroke endarrow="block"/>
                    <v:imagedata o:title=""/>
                    <o:lock v:ext="edit"/>
                  </v:shape>
                  <v:shape id="自选图形 1661" o:spid="_x0000_s16150" o:spt="32" type="#_x0000_t32" style="position:absolute;left:1560;top:3105;height:1;width:1305;" o:connectortype="straight" filled="f" coordsize="21600,21600">
                    <v:path arrowok="t"/>
                    <v:fill on="f" focussize="0,0"/>
                    <v:stroke endarrow="block"/>
                    <v:imagedata o:title=""/>
                    <o:lock v:ext="edit"/>
                  </v:shape>
                  <v:shape id="自选图形 1665" o:spid="_x0000_s16151" o:spt="34" type="#_x0000_t34" style="position:absolute;left:9128;top:1881;flip:x;height:1636;width:1;rotation:17694720f;" o:connectortype="elbow" filled="f" coordsize="21600,21600" adj="7797600,35714,-209239200">
                    <v:path arrowok="t"/>
                    <v:fill on="f" focussize="0,0"/>
                    <v:stroke dashstyle="dash" endarrow="block"/>
                    <v:imagedata o:title=""/>
                    <o:lock v:ext="edit"/>
                  </v:shape>
                  <v:shape id="自选图形 1667" o:spid="_x0000_s16152" o:spt="34" type="#_x0000_t34" style="position:absolute;left:7430;top:1912;flip:x y;height:1574;width:1;rotation:17694720f;" o:connectortype="elbow" filled="f" coordsize="21600,21600" adj="-7776000,37121,174052800">
                    <v:path arrowok="t"/>
                    <v:fill on="f" focussize="0,0"/>
                    <v:stroke dashstyle="dash" endarrow="block"/>
                    <v:imagedata o:title=""/>
                    <o:lock v:ext="edit"/>
                  </v:shape>
                  <v:shape id="自选图形 1668" o:spid="_x0000_s16153" o:spt="34" type="#_x0000_t34" style="position:absolute;left:5758;top:1918;flip:x y;height:1561;width:1;rotation:17694720f;" o:connectortype="elbow" filled="f" coordsize="21600,21600" adj="-7776000,37430,140054400">
                    <v:path arrowok="t"/>
                    <v:fill on="f" focussize="0,0"/>
                    <v:stroke dashstyle="dash" endarrow="block"/>
                    <v:imagedata o:title=""/>
                    <o:lock v:ext="edit"/>
                  </v:shape>
                  <v:shape id="自选图形 1669" o:spid="_x0000_s16154" o:spt="34" type="#_x0000_t34" style="position:absolute;left:4183;top:1964;flip:x y;height:1469;width:1;rotation:17694720f;" o:connectortype="elbow" filled="f" coordsize="21600,21600" adj="-7776000,35186,106272000">
                    <v:path arrowok="t"/>
                    <v:fill on="f" focussize="0,0"/>
                    <v:stroke dashstyle="dash" endarrow="block"/>
                    <v:imagedata o:title=""/>
                    <o:lock v:ext="edit"/>
                  </v:shape>
                  <v:shape id="自选图形 1671" o:spid="_x0000_s16155" o:spt="32" type="#_x0000_t32" style="position:absolute;left:3300;top:3415;height:449;width:1;" o:connectortype="straight" filled="f" coordsize="21600,21600">
                    <v:path arrowok="t"/>
                    <v:fill on="f" focussize="0,0"/>
                    <v:stroke endarrow="block"/>
                    <v:imagedata o:title=""/>
                    <o:lock v:ext="edit"/>
                  </v:shape>
                  <v:rect id="矩形 1672" o:spid="_x0000_s16156" o:spt="1" style="position:absolute;left:2831;top:3895;height:480;width:1231;" coordsize="21600,21600">
                    <v:path/>
                    <v:fill focussize="0,0"/>
                    <v:stroke/>
                    <v:imagedata o:title=""/>
                    <o:lock v:ext="edit"/>
                    <v:textbox>
                      <w:txbxContent>
                        <w:p>
                          <w:pPr>
                            <w:adjustRightInd w:val="0"/>
                            <w:snapToGrid w:val="0"/>
                            <w:jc w:val="center"/>
                          </w:pPr>
                          <w:r>
                            <w:rPr>
                              <w:rFonts w:hint="eastAsia"/>
                            </w:rPr>
                            <w:t>过滤</w:t>
                          </w:r>
                        </w:p>
                      </w:txbxContent>
                    </v:textbox>
                  </v:rect>
                  <v:rect id="矩形 1673" o:spid="_x0000_s16157" o:spt="1" style="position:absolute;left:2816;top:4855;height:480;width:1231;" coordsize="21600,21600">
                    <v:path/>
                    <v:fill focussize="0,0"/>
                    <v:stroke/>
                    <v:imagedata o:title=""/>
                    <o:lock v:ext="edit"/>
                    <v:textbox>
                      <w:txbxContent>
                        <w:p>
                          <w:pPr>
                            <w:adjustRightInd w:val="0"/>
                            <w:snapToGrid w:val="0"/>
                            <w:jc w:val="center"/>
                          </w:pPr>
                          <w:r>
                            <w:rPr>
                              <w:rFonts w:hint="eastAsia"/>
                            </w:rPr>
                            <w:t>蒸发浓缩</w:t>
                          </w:r>
                        </w:p>
                      </w:txbxContent>
                    </v:textbox>
                  </v:rect>
                  <v:rect id="矩形 1674" o:spid="_x0000_s16158" o:spt="1" style="position:absolute;left:4901;top:4855;height:480;width:1025;" coordsize="21600,21600">
                    <v:path/>
                    <v:fill focussize="0,0"/>
                    <v:stroke/>
                    <v:imagedata o:title=""/>
                    <o:lock v:ext="edit"/>
                    <v:textbox>
                      <w:txbxContent>
                        <w:p>
                          <w:pPr>
                            <w:adjustRightInd w:val="0"/>
                            <w:snapToGrid w:val="0"/>
                            <w:jc w:val="center"/>
                          </w:pPr>
                          <w:r>
                            <w:rPr>
                              <w:rFonts w:hint="eastAsia"/>
                            </w:rPr>
                            <w:t>冷却</w:t>
                          </w:r>
                        </w:p>
                      </w:txbxContent>
                    </v:textbox>
                  </v:rect>
                  <v:shape id="自选图形 1675" o:spid="_x0000_s16159" o:spt="32" type="#_x0000_t32" style="position:absolute;left:3432;top:4375;flip:x;height:480;width:15;" o:connectortype="straight" filled="f" coordsize="21600,21600">
                    <v:path arrowok="t"/>
                    <v:fill on="f" focussize="0,0"/>
                    <v:stroke endarrow="block"/>
                    <v:imagedata o:title=""/>
                    <o:lock v:ext="edit"/>
                  </v:shape>
                  <v:shape id="自选图形 1676" o:spid="_x0000_s16160" o:spt="32" type="#_x0000_t32" style="position:absolute;left:4047;top:5095;height:1;width:854;" o:connectortype="straight" filled="f" coordsize="21600,21600">
                    <v:path arrowok="t"/>
                    <v:fill on="f" focussize="0,0"/>
                    <v:stroke endarrow="block"/>
                    <v:imagedata o:title=""/>
                    <o:lock v:ext="edit"/>
                  </v:shape>
                  <v:shape id="自选图形 1677" o:spid="_x0000_s16161" o:spt="34" type="#_x0000_t34" style="position:absolute;left:3691;top:3131;flip:x;height:1963;width:1480;rotation:17694720f;" o:connectortype="elbow" filled="f" coordsize="21600,21600" adj="17134,50044,-79015">
                    <v:path arrowok="t"/>
                    <v:fill on="f" focussize="0,0"/>
                    <v:stroke endarrow="block"/>
                    <v:imagedata o:title=""/>
                    <o:lock v:ext="edit"/>
                  </v:shape>
                  <v:rect id="矩形 1678" o:spid="_x0000_s16162" o:spt="1" style="position:absolute;left:2816;top:5785;height:675;width:1231;" stroked="t" coordsize="21600,21600">
                    <v:path/>
                    <v:fill focussize="0,0"/>
                    <v:stroke color="#FFFFFF"/>
                    <v:imagedata o:title=""/>
                    <o:lock v:ext="edit"/>
                    <v:textbox>
                      <w:txbxContent>
                        <w:p>
                          <w:pPr>
                            <w:adjustRightInd w:val="0"/>
                            <w:snapToGrid w:val="0"/>
                            <w:jc w:val="center"/>
                          </w:pPr>
                          <w:r>
                            <w:rPr>
                              <w:rFonts w:hint="eastAsia"/>
                            </w:rPr>
                            <w:t>作为氧化盐回用</w:t>
                          </w:r>
                        </w:p>
                      </w:txbxContent>
                    </v:textbox>
                  </v:rect>
                  <v:shape id="自选图形 1683" o:spid="_x0000_s16163" o:spt="32" type="#_x0000_t32" style="position:absolute;left:3432;top:5335;height:450;width:1;" o:connectortype="straight" filled="f" coordsize="21600,21600">
                    <v:path arrowok="t"/>
                    <v:fill on="f" focussize="0,0"/>
                    <v:stroke endarrow="block"/>
                    <v:imagedata o:title=""/>
                    <o:lock v:ext="edit"/>
                  </v:shape>
                  <v:rect id="矩形 1685" o:spid="_x0000_s16164" o:spt="1" style="position:absolute;left:4628;top:6436;height:476;width:4095;" stroked="t" coordsize="21600,21600">
                    <v:path/>
                    <v:fill focussize="0,0"/>
                    <v:stroke color="#FFFFFF"/>
                    <v:imagedata o:title=""/>
                    <o:lock v:ext="edit"/>
                    <v:textbox>
                      <w:txbxContent>
                        <w:p>
                          <w:pPr>
                            <w:rPr>
                              <w:b/>
                              <w:color w:val="FF0000"/>
                              <w:sz w:val="24"/>
                            </w:rPr>
                          </w:pPr>
                          <w:r>
                            <w:rPr>
                              <w:rFonts w:hint="eastAsia"/>
                              <w:b/>
                              <w:color w:val="FF0000"/>
                              <w:sz w:val="24"/>
                            </w:rPr>
                            <w:t>图5</w:t>
                          </w:r>
                          <w:r>
                            <w:rPr>
                              <w:b/>
                              <w:color w:val="FF0000"/>
                              <w:sz w:val="24"/>
                            </w:rPr>
                            <w:t>-3 清洗废水处理工艺流程图</w:t>
                          </w:r>
                        </w:p>
                      </w:txbxContent>
                    </v:textbox>
                  </v:rect>
                  <w10:wrap type="none"/>
                  <w10:anchorlock/>
                </v:group>
              </w:pict>
            </w:r>
          </w:p>
          <w:p>
            <w:pPr>
              <w:spacing w:line="360" w:lineRule="auto"/>
              <w:ind w:firstLine="480" w:firstLineChars="200"/>
              <w:rPr>
                <w:sz w:val="24"/>
              </w:rPr>
            </w:pPr>
            <w:r>
              <w:rPr>
                <w:rFonts w:hint="eastAsia"/>
                <w:sz w:val="24"/>
              </w:rPr>
              <w:t>工件</w:t>
            </w:r>
            <w:r>
              <w:rPr>
                <w:sz w:val="24"/>
              </w:rPr>
              <w:t>抛光清洗废水</w:t>
            </w:r>
            <w:r>
              <w:rPr>
                <w:rFonts w:hint="eastAsia"/>
                <w:sz w:val="24"/>
              </w:rPr>
              <w:t>：工件</w:t>
            </w:r>
            <w:r>
              <w:rPr>
                <w:sz w:val="24"/>
              </w:rPr>
              <w:t>经</w:t>
            </w:r>
            <w:r>
              <w:rPr>
                <w:rFonts w:hint="eastAsia"/>
                <w:sz w:val="24"/>
              </w:rPr>
              <w:t>抛光</w:t>
            </w:r>
            <w:r>
              <w:rPr>
                <w:sz w:val="24"/>
              </w:rPr>
              <w:t>后用水进行清洗</w:t>
            </w:r>
            <w:r>
              <w:rPr>
                <w:rFonts w:hint="eastAsia"/>
                <w:sz w:val="24"/>
              </w:rPr>
              <w:t>，</w:t>
            </w:r>
            <w:r>
              <w:rPr>
                <w:sz w:val="24"/>
              </w:rPr>
              <w:t>根据表一水平衡图可知</w:t>
            </w:r>
            <w:r>
              <w:rPr>
                <w:rFonts w:hint="eastAsia"/>
                <w:sz w:val="24"/>
              </w:rPr>
              <w:t>，</w:t>
            </w:r>
            <w:r>
              <w:rPr>
                <w:sz w:val="24"/>
              </w:rPr>
              <w:t>项目</w:t>
            </w:r>
            <w:r>
              <w:rPr>
                <w:rFonts w:hint="eastAsia"/>
                <w:sz w:val="24"/>
              </w:rPr>
              <w:t>抛光</w:t>
            </w:r>
            <w:r>
              <w:rPr>
                <w:sz w:val="24"/>
              </w:rPr>
              <w:t>清洗废水产生量为</w:t>
            </w:r>
            <w:r>
              <w:rPr>
                <w:rFonts w:hint="eastAsia"/>
                <w:sz w:val="24"/>
              </w:rPr>
              <w:t>0</w:t>
            </w:r>
            <w:r>
              <w:rPr>
                <w:sz w:val="24"/>
              </w:rPr>
              <w:t>.64m</w:t>
            </w:r>
            <w:r>
              <w:rPr>
                <w:sz w:val="24"/>
                <w:vertAlign w:val="superscript"/>
              </w:rPr>
              <w:t>3</w:t>
            </w:r>
            <w:r>
              <w:rPr>
                <w:sz w:val="24"/>
              </w:rPr>
              <w:t>/d</w:t>
            </w:r>
            <w:r>
              <w:rPr>
                <w:rFonts w:hint="eastAsia"/>
                <w:sz w:val="24"/>
              </w:rPr>
              <w:t>，</w:t>
            </w:r>
            <w:r>
              <w:rPr>
                <w:sz w:val="24"/>
              </w:rPr>
              <w:t>本环评要求对其进行收集后作为模具冷却水使用</w:t>
            </w:r>
            <w:r>
              <w:rPr>
                <w:rFonts w:hint="eastAsia"/>
                <w:sz w:val="24"/>
              </w:rPr>
              <w:t>，</w:t>
            </w:r>
            <w:r>
              <w:rPr>
                <w:sz w:val="24"/>
              </w:rPr>
              <w:t>不外排</w:t>
            </w:r>
            <w:r>
              <w:rPr>
                <w:rFonts w:hint="eastAsia"/>
                <w:sz w:val="24"/>
              </w:rPr>
              <w:t>。</w:t>
            </w:r>
          </w:p>
          <w:p>
            <w:pPr>
              <w:spacing w:line="360" w:lineRule="auto"/>
              <w:ind w:firstLine="480" w:firstLineChars="200"/>
              <w:rPr>
                <w:sz w:val="24"/>
              </w:rPr>
            </w:pPr>
            <w:r>
              <w:rPr>
                <w:rFonts w:hint="eastAsia"/>
                <w:sz w:val="24"/>
              </w:rPr>
              <w:t>废气喷淋废水：工件在热处理过程中产生的废气采用水喷淋处理+光氧催化+</w:t>
            </w:r>
            <w:r>
              <w:rPr>
                <w:sz w:val="24"/>
              </w:rPr>
              <w:t>15m高排气筒排放</w:t>
            </w:r>
            <w:r>
              <w:rPr>
                <w:rFonts w:hint="eastAsia"/>
                <w:sz w:val="24"/>
              </w:rPr>
              <w:t>，含氨废水产生量为0</w:t>
            </w:r>
            <w:r>
              <w:rPr>
                <w:sz w:val="24"/>
              </w:rPr>
              <w:t>.4 m</w:t>
            </w:r>
            <w:r>
              <w:rPr>
                <w:sz w:val="24"/>
                <w:vertAlign w:val="superscript"/>
              </w:rPr>
              <w:t>3</w:t>
            </w:r>
            <w:r>
              <w:rPr>
                <w:sz w:val="24"/>
              </w:rPr>
              <w:t>/d</w:t>
            </w:r>
            <w:r>
              <w:rPr>
                <w:rFonts w:hint="eastAsia"/>
                <w:sz w:val="24"/>
              </w:rPr>
              <w:t>，本评价要求含氨</w:t>
            </w:r>
            <w:r>
              <w:rPr>
                <w:sz w:val="24"/>
              </w:rPr>
              <w:t>废水经收集条</w:t>
            </w:r>
            <w:r>
              <w:rPr>
                <w:rFonts w:hint="eastAsia"/>
                <w:sz w:val="24"/>
              </w:rPr>
              <w:t>p</w:t>
            </w:r>
            <w:r>
              <w:rPr>
                <w:sz w:val="24"/>
              </w:rPr>
              <w:t>H后循环使用</w:t>
            </w:r>
            <w:r>
              <w:rPr>
                <w:rFonts w:hint="eastAsia"/>
                <w:sz w:val="24"/>
              </w:rPr>
              <w:t>，</w:t>
            </w:r>
            <w:r>
              <w:rPr>
                <w:sz w:val="24"/>
              </w:rPr>
              <w:t>不外排</w:t>
            </w:r>
            <w:r>
              <w:rPr>
                <w:rFonts w:hint="eastAsia"/>
                <w:sz w:val="24"/>
              </w:rPr>
              <w:t>。</w:t>
            </w:r>
          </w:p>
          <w:p>
            <w:pPr>
              <w:spacing w:line="360" w:lineRule="auto"/>
              <w:ind w:firstLine="360" w:firstLineChars="150"/>
              <w:rPr>
                <w:rFonts w:ascii="宋体" w:hAnsi="宋体"/>
                <w:b/>
                <w:sz w:val="24"/>
              </w:rPr>
            </w:pPr>
            <w:r>
              <w:rPr>
                <w:rFonts w:hint="eastAsia"/>
                <w:sz w:val="24"/>
              </w:rPr>
              <w:t>（3）</w:t>
            </w:r>
            <w:r>
              <w:rPr>
                <w:rFonts w:ascii="宋体" w:hAnsi="宋体"/>
                <w:b/>
                <w:sz w:val="24"/>
              </w:rPr>
              <w:t>地表水环境评价工作等级确定</w:t>
            </w:r>
          </w:p>
          <w:p>
            <w:pPr>
              <w:spacing w:line="360" w:lineRule="auto"/>
              <w:ind w:firstLine="360" w:firstLineChars="150"/>
              <w:rPr>
                <w:rFonts w:ascii="宋体" w:hAnsi="宋体"/>
                <w:sz w:val="24"/>
              </w:rPr>
            </w:pPr>
            <w:r>
              <w:rPr>
                <w:rFonts w:hint="eastAsia" w:ascii="宋体" w:hAnsi="宋体"/>
                <w:sz w:val="24"/>
              </w:rPr>
              <w:t>根据《环境影响评价技术导则 地表水环境》（H</w:t>
            </w:r>
            <w:r>
              <w:rPr>
                <w:rFonts w:ascii="宋体" w:hAnsi="宋体"/>
                <w:sz w:val="24"/>
              </w:rPr>
              <w:t>J2.3-2018</w:t>
            </w:r>
            <w:r>
              <w:rPr>
                <w:rFonts w:hint="eastAsia" w:ascii="宋体" w:hAnsi="宋体"/>
                <w:sz w:val="24"/>
              </w:rPr>
              <w:t>），建设项目地表水评价等级判定见下表。</w:t>
            </w:r>
          </w:p>
          <w:p>
            <w:pPr>
              <w:spacing w:line="360" w:lineRule="auto"/>
              <w:jc w:val="center"/>
              <w:rPr>
                <w:rFonts w:ascii="宋体" w:hAnsi="宋体"/>
                <w:b/>
                <w:sz w:val="24"/>
              </w:rPr>
            </w:pPr>
            <w:r>
              <w:rPr>
                <w:rFonts w:ascii="宋体" w:hAnsi="宋体"/>
                <w:b/>
                <w:sz w:val="24"/>
              </w:rPr>
              <w:t>表</w:t>
            </w:r>
            <w:r>
              <w:rPr>
                <w:rFonts w:hint="eastAsia" w:ascii="宋体" w:hAnsi="宋体"/>
                <w:b/>
                <w:sz w:val="24"/>
              </w:rPr>
              <w:t>5</w:t>
            </w:r>
            <w:r>
              <w:rPr>
                <w:rFonts w:ascii="宋体" w:hAnsi="宋体"/>
                <w:b/>
                <w:sz w:val="24"/>
              </w:rPr>
              <w:t>-12 建设项目地表水评价等级判定</w:t>
            </w:r>
          </w:p>
          <w:tbl>
            <w:tblPr>
              <w:tblStyle w:val="53"/>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2693"/>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4" w:type="dxa"/>
                  <w:vMerge w:val="restart"/>
                  <w:vAlign w:val="center"/>
                </w:tcPr>
                <w:p>
                  <w:pPr>
                    <w:adjustRightInd w:val="0"/>
                    <w:snapToGrid w:val="0"/>
                    <w:jc w:val="center"/>
                    <w:rPr>
                      <w:szCs w:val="21"/>
                    </w:rPr>
                  </w:pPr>
                  <w:r>
                    <w:rPr>
                      <w:szCs w:val="21"/>
                    </w:rPr>
                    <w:t>评价等级</w:t>
                  </w:r>
                </w:p>
              </w:tc>
              <w:tc>
                <w:tcPr>
                  <w:tcW w:w="6935" w:type="dxa"/>
                  <w:gridSpan w:val="2"/>
                  <w:vAlign w:val="center"/>
                </w:tcPr>
                <w:p>
                  <w:pPr>
                    <w:adjustRightInd w:val="0"/>
                    <w:snapToGrid w:val="0"/>
                    <w:jc w:val="center"/>
                    <w:rPr>
                      <w:szCs w:val="21"/>
                    </w:rPr>
                  </w:pPr>
                  <w:r>
                    <w:rPr>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4" w:type="dxa"/>
                  <w:vMerge w:val="continue"/>
                  <w:vAlign w:val="center"/>
                </w:tcPr>
                <w:p>
                  <w:pPr>
                    <w:adjustRightInd w:val="0"/>
                    <w:snapToGrid w:val="0"/>
                    <w:jc w:val="center"/>
                    <w:rPr>
                      <w:szCs w:val="21"/>
                    </w:rPr>
                  </w:pPr>
                </w:p>
              </w:tc>
              <w:tc>
                <w:tcPr>
                  <w:tcW w:w="2693" w:type="dxa"/>
                  <w:vAlign w:val="center"/>
                </w:tcPr>
                <w:p>
                  <w:pPr>
                    <w:adjustRightInd w:val="0"/>
                    <w:snapToGrid w:val="0"/>
                    <w:jc w:val="center"/>
                    <w:rPr>
                      <w:szCs w:val="21"/>
                    </w:rPr>
                  </w:pPr>
                  <w:r>
                    <w:rPr>
                      <w:szCs w:val="21"/>
                    </w:rPr>
                    <w:t>排放方式</w:t>
                  </w:r>
                </w:p>
              </w:tc>
              <w:tc>
                <w:tcPr>
                  <w:tcW w:w="4242" w:type="dxa"/>
                  <w:vAlign w:val="center"/>
                </w:tcPr>
                <w:p>
                  <w:pPr>
                    <w:adjustRightInd w:val="0"/>
                    <w:snapToGrid w:val="0"/>
                    <w:jc w:val="center"/>
                    <w:rPr>
                      <w:szCs w:val="21"/>
                    </w:rPr>
                  </w:pPr>
                  <w:r>
                    <w:rPr>
                      <w:szCs w:val="21"/>
                    </w:rPr>
                    <w:t>废水排放量</w:t>
                  </w:r>
                  <w:r>
                    <w:rPr>
                      <w:rFonts w:hint="eastAsia"/>
                      <w:szCs w:val="21"/>
                    </w:rPr>
                    <w:t>Q</w:t>
                  </w:r>
                  <w:r>
                    <w:rPr>
                      <w:szCs w:val="21"/>
                    </w:rPr>
                    <w:t>/</w:t>
                  </w:r>
                  <w:r>
                    <w:rPr>
                      <w:rFonts w:hint="eastAsia"/>
                      <w:szCs w:val="21"/>
                    </w:rPr>
                    <w:t>（</w:t>
                  </w:r>
                  <w:r>
                    <w:rPr>
                      <w:szCs w:val="21"/>
                    </w:rPr>
                    <w:t>m</w:t>
                  </w:r>
                  <w:r>
                    <w:rPr>
                      <w:szCs w:val="21"/>
                      <w:vertAlign w:val="superscript"/>
                    </w:rPr>
                    <w:t>3</w:t>
                  </w:r>
                  <w:r>
                    <w:rPr>
                      <w:szCs w:val="21"/>
                    </w:rPr>
                    <w:t>/d</w:t>
                  </w:r>
                  <w:r>
                    <w:rPr>
                      <w:rFonts w:hint="eastAsia"/>
                      <w:szCs w:val="21"/>
                    </w:rPr>
                    <w:t>）；水污染物当量数W</w:t>
                  </w:r>
                  <w:r>
                    <w:rPr>
                      <w:szCs w:val="21"/>
                    </w:rPr>
                    <w:t>/</w:t>
                  </w:r>
                  <w:r>
                    <w:rPr>
                      <w:rFonts w:hint="eastAsia"/>
                      <w:szCs w:val="21"/>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4" w:type="dxa"/>
                  <w:vAlign w:val="center"/>
                </w:tcPr>
                <w:p>
                  <w:pPr>
                    <w:adjustRightInd w:val="0"/>
                    <w:snapToGrid w:val="0"/>
                    <w:jc w:val="center"/>
                    <w:rPr>
                      <w:szCs w:val="21"/>
                    </w:rPr>
                  </w:pPr>
                  <w:r>
                    <w:rPr>
                      <w:szCs w:val="21"/>
                    </w:rPr>
                    <w:t>一级</w:t>
                  </w:r>
                </w:p>
              </w:tc>
              <w:tc>
                <w:tcPr>
                  <w:tcW w:w="2693" w:type="dxa"/>
                  <w:vAlign w:val="center"/>
                </w:tcPr>
                <w:p>
                  <w:pPr>
                    <w:adjustRightInd w:val="0"/>
                    <w:snapToGrid w:val="0"/>
                    <w:jc w:val="center"/>
                    <w:rPr>
                      <w:szCs w:val="21"/>
                    </w:rPr>
                  </w:pPr>
                  <w:r>
                    <w:rPr>
                      <w:szCs w:val="21"/>
                    </w:rPr>
                    <w:t>直接排放</w:t>
                  </w:r>
                </w:p>
              </w:tc>
              <w:tc>
                <w:tcPr>
                  <w:tcW w:w="4242" w:type="dxa"/>
                  <w:vAlign w:val="center"/>
                </w:tcPr>
                <w:p>
                  <w:pPr>
                    <w:adjustRightInd w:val="0"/>
                    <w:snapToGrid w:val="0"/>
                    <w:jc w:val="center"/>
                    <w:rPr>
                      <w:szCs w:val="21"/>
                    </w:rPr>
                  </w:pPr>
                  <w:r>
                    <w:rPr>
                      <w:rFonts w:hint="eastAsia"/>
                      <w:szCs w:val="21"/>
                    </w:rPr>
                    <w:t>Q</w:t>
                  </w:r>
                  <w:r>
                    <w:rPr>
                      <w:rFonts w:hint="eastAsia" w:ascii="宋体" w:hAnsi="宋体"/>
                      <w:szCs w:val="21"/>
                    </w:rPr>
                    <w:t>≥</w:t>
                  </w:r>
                  <w:r>
                    <w:rPr>
                      <w:szCs w:val="21"/>
                    </w:rPr>
                    <w:t>20000或</w:t>
                  </w:r>
                  <w:r>
                    <w:rPr>
                      <w:rFonts w:hint="eastAsia"/>
                      <w:szCs w:val="21"/>
                    </w:rPr>
                    <w:t>W</w:t>
                  </w:r>
                  <w:r>
                    <w:rPr>
                      <w:rFonts w:hint="eastAsia" w:ascii="宋体" w:hAnsi="宋体"/>
                      <w:szCs w:val="21"/>
                    </w:rPr>
                    <w:t>≥</w:t>
                  </w:r>
                  <w:r>
                    <w:rPr>
                      <w:szCs w:val="21"/>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4" w:type="dxa"/>
                  <w:vAlign w:val="center"/>
                </w:tcPr>
                <w:p>
                  <w:pPr>
                    <w:adjustRightInd w:val="0"/>
                    <w:snapToGrid w:val="0"/>
                    <w:jc w:val="center"/>
                    <w:rPr>
                      <w:szCs w:val="21"/>
                    </w:rPr>
                  </w:pPr>
                  <w:r>
                    <w:rPr>
                      <w:szCs w:val="21"/>
                    </w:rPr>
                    <w:t>二级</w:t>
                  </w:r>
                </w:p>
              </w:tc>
              <w:tc>
                <w:tcPr>
                  <w:tcW w:w="2693" w:type="dxa"/>
                  <w:vAlign w:val="center"/>
                </w:tcPr>
                <w:p>
                  <w:pPr>
                    <w:adjustRightInd w:val="0"/>
                    <w:snapToGrid w:val="0"/>
                    <w:jc w:val="center"/>
                    <w:rPr>
                      <w:szCs w:val="21"/>
                    </w:rPr>
                  </w:pPr>
                  <w:r>
                    <w:rPr>
                      <w:szCs w:val="21"/>
                    </w:rPr>
                    <w:t>直接排放</w:t>
                  </w:r>
                </w:p>
              </w:tc>
              <w:tc>
                <w:tcPr>
                  <w:tcW w:w="4242" w:type="dxa"/>
                  <w:vAlign w:val="center"/>
                </w:tcPr>
                <w:p>
                  <w:pPr>
                    <w:adjustRightInd w:val="0"/>
                    <w:snapToGrid w:val="0"/>
                    <w:jc w:val="center"/>
                    <w:rPr>
                      <w:szCs w:val="21"/>
                    </w:rPr>
                  </w:pPr>
                  <w:r>
                    <w:rPr>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4" w:type="dxa"/>
                  <w:vAlign w:val="center"/>
                </w:tcPr>
                <w:p>
                  <w:pPr>
                    <w:adjustRightInd w:val="0"/>
                    <w:snapToGrid w:val="0"/>
                    <w:jc w:val="center"/>
                    <w:rPr>
                      <w:szCs w:val="21"/>
                    </w:rPr>
                  </w:pPr>
                  <w:r>
                    <w:rPr>
                      <w:szCs w:val="21"/>
                    </w:rPr>
                    <w:t>三级</w:t>
                  </w:r>
                  <w:r>
                    <w:rPr>
                      <w:rFonts w:hint="eastAsia"/>
                      <w:szCs w:val="21"/>
                    </w:rPr>
                    <w:t>A</w:t>
                  </w:r>
                </w:p>
              </w:tc>
              <w:tc>
                <w:tcPr>
                  <w:tcW w:w="2693" w:type="dxa"/>
                  <w:vAlign w:val="center"/>
                </w:tcPr>
                <w:p>
                  <w:pPr>
                    <w:adjustRightInd w:val="0"/>
                    <w:snapToGrid w:val="0"/>
                    <w:jc w:val="center"/>
                    <w:rPr>
                      <w:szCs w:val="21"/>
                    </w:rPr>
                  </w:pPr>
                  <w:r>
                    <w:rPr>
                      <w:szCs w:val="21"/>
                    </w:rPr>
                    <w:t>直接排放</w:t>
                  </w:r>
                </w:p>
              </w:tc>
              <w:tc>
                <w:tcPr>
                  <w:tcW w:w="4242" w:type="dxa"/>
                  <w:vAlign w:val="center"/>
                </w:tcPr>
                <w:p>
                  <w:pPr>
                    <w:adjustRightInd w:val="0"/>
                    <w:snapToGrid w:val="0"/>
                    <w:jc w:val="center"/>
                    <w:rPr>
                      <w:szCs w:val="21"/>
                    </w:rPr>
                  </w:pPr>
                  <w:r>
                    <w:rPr>
                      <w:rFonts w:hint="eastAsia"/>
                      <w:szCs w:val="21"/>
                    </w:rPr>
                    <w:t>Q</w:t>
                  </w:r>
                  <w:r>
                    <w:rPr>
                      <w:szCs w:val="21"/>
                    </w:rPr>
                    <w:t>&lt;200且</w:t>
                  </w:r>
                  <w:r>
                    <w:rPr>
                      <w:rFonts w:hint="eastAsia"/>
                      <w:szCs w:val="21"/>
                    </w:rPr>
                    <w:t>W</w:t>
                  </w:r>
                  <w:r>
                    <w:rPr>
                      <w:szCs w:val="21"/>
                    </w:rPr>
                    <w:t>&lt;6000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4" w:type="dxa"/>
                  <w:vAlign w:val="center"/>
                </w:tcPr>
                <w:p>
                  <w:pPr>
                    <w:adjustRightInd w:val="0"/>
                    <w:snapToGrid w:val="0"/>
                    <w:jc w:val="center"/>
                    <w:rPr>
                      <w:szCs w:val="21"/>
                    </w:rPr>
                  </w:pPr>
                  <w:r>
                    <w:rPr>
                      <w:szCs w:val="21"/>
                    </w:rPr>
                    <w:t>三级</w:t>
                  </w:r>
                  <w:r>
                    <w:rPr>
                      <w:rFonts w:hint="eastAsia"/>
                      <w:szCs w:val="21"/>
                    </w:rPr>
                    <w:t>B</w:t>
                  </w:r>
                </w:p>
              </w:tc>
              <w:tc>
                <w:tcPr>
                  <w:tcW w:w="2693" w:type="dxa"/>
                  <w:vAlign w:val="center"/>
                </w:tcPr>
                <w:p>
                  <w:pPr>
                    <w:adjustRightInd w:val="0"/>
                    <w:snapToGrid w:val="0"/>
                    <w:jc w:val="center"/>
                    <w:rPr>
                      <w:szCs w:val="21"/>
                    </w:rPr>
                  </w:pPr>
                  <w:r>
                    <w:rPr>
                      <w:szCs w:val="21"/>
                    </w:rPr>
                    <w:t>间接排放</w:t>
                  </w:r>
                </w:p>
              </w:tc>
              <w:tc>
                <w:tcPr>
                  <w:tcW w:w="4242" w:type="dxa"/>
                  <w:vAlign w:val="center"/>
                </w:tcPr>
                <w:p>
                  <w:pPr>
                    <w:adjustRightInd w:val="0"/>
                    <w:snapToGrid w:val="0"/>
                    <w:jc w:val="center"/>
                    <w:rPr>
                      <w:szCs w:val="21"/>
                    </w:rPr>
                  </w:pPr>
                  <w:r>
                    <w:rPr>
                      <w:rFonts w:hint="eastAsia"/>
                      <w:szCs w:val="21"/>
                    </w:rPr>
                    <w:t>--</w:t>
                  </w:r>
                </w:p>
              </w:tc>
            </w:tr>
          </w:tbl>
          <w:p>
            <w:pPr>
              <w:spacing w:line="360" w:lineRule="auto"/>
              <w:ind w:firstLine="360" w:firstLineChars="150"/>
              <w:rPr>
                <w:rFonts w:ascii="宋体" w:hAnsi="宋体"/>
                <w:sz w:val="24"/>
              </w:rPr>
            </w:pPr>
            <w:r>
              <w:rPr>
                <w:rFonts w:hint="eastAsia" w:ascii="宋体" w:hAnsi="宋体"/>
                <w:sz w:val="24"/>
              </w:rPr>
              <w:t>根据产污情况分析，本项目建成后不新增劳动定员，故不新增生活污水，因此本项目运营过程中产生的废水主要包括生产废水，生产废水包括氮化清洗废水、抛光清洗废水以及喷淋废水。其中氮化第一级清洗废水经过滤、浓缩蒸馏、冷却后作为第一级清洗补充水回用，后一级清洗废水作为前一级清洗水使用，不外排；抛光清洗废水经收集后用于模具冷却，不外排；喷淋废水经调p</w:t>
            </w:r>
            <w:r>
              <w:rPr>
                <w:rFonts w:ascii="宋体" w:hAnsi="宋体"/>
                <w:sz w:val="24"/>
              </w:rPr>
              <w:t>H后回用</w:t>
            </w:r>
            <w:r>
              <w:rPr>
                <w:rFonts w:hint="eastAsia" w:ascii="宋体" w:hAnsi="宋体"/>
                <w:sz w:val="24"/>
              </w:rPr>
              <w:t>，</w:t>
            </w:r>
            <w:r>
              <w:rPr>
                <w:rFonts w:ascii="宋体" w:hAnsi="宋体"/>
                <w:sz w:val="24"/>
              </w:rPr>
              <w:t>不外排</w:t>
            </w:r>
            <w:r>
              <w:rPr>
                <w:rFonts w:hint="eastAsia" w:ascii="宋体" w:hAnsi="宋体"/>
                <w:sz w:val="24"/>
              </w:rPr>
              <w:t>。因此根据《环境影响评价技术导则 地表水环境》（H</w:t>
            </w:r>
            <w:r>
              <w:rPr>
                <w:rFonts w:ascii="宋体" w:hAnsi="宋体"/>
                <w:sz w:val="24"/>
              </w:rPr>
              <w:t>J2.3-2018</w:t>
            </w:r>
            <w:r>
              <w:rPr>
                <w:rFonts w:hint="eastAsia" w:ascii="宋体" w:hAnsi="宋体"/>
                <w:sz w:val="24"/>
              </w:rPr>
              <w:t>）中地表水评价等级判定标准，本项目地表水环境评价工作等级为三级B。</w:t>
            </w:r>
          </w:p>
          <w:p>
            <w:pPr>
              <w:spacing w:line="360" w:lineRule="auto"/>
              <w:ind w:firstLine="482" w:firstLineChars="200"/>
              <w:rPr>
                <w:sz w:val="24"/>
              </w:rPr>
            </w:pPr>
            <w:r>
              <w:rPr>
                <w:rFonts w:hint="eastAsia"/>
                <w:b/>
                <w:sz w:val="24"/>
              </w:rPr>
              <w:t>3、噪声污染及治理措施</w:t>
            </w:r>
          </w:p>
          <w:p>
            <w:pPr>
              <w:spacing w:line="360" w:lineRule="auto"/>
              <w:ind w:firstLine="480" w:firstLineChars="200"/>
              <w:rPr>
                <w:sz w:val="24"/>
              </w:rPr>
            </w:pPr>
            <w:r>
              <w:rPr>
                <w:sz w:val="24"/>
              </w:rPr>
              <w:t>项目噪声源主要有</w:t>
            </w:r>
            <w:r>
              <w:rPr>
                <w:rFonts w:hint="eastAsia"/>
                <w:sz w:val="24"/>
              </w:rPr>
              <w:t>电炉、磨削机等设备运行过程中产生的噪声</w:t>
            </w:r>
            <w:r>
              <w:rPr>
                <w:sz w:val="24"/>
              </w:rPr>
              <w:t>，噪声声功率级在</w:t>
            </w:r>
            <w:r>
              <w:rPr>
                <w:rFonts w:hint="eastAsia"/>
                <w:sz w:val="24"/>
              </w:rPr>
              <w:t>7</w:t>
            </w:r>
            <w:r>
              <w:rPr>
                <w:sz w:val="24"/>
              </w:rPr>
              <w:t>0～105dB(A)之间，建设项目主要噪声源声级</w:t>
            </w:r>
            <w:r>
              <w:rPr>
                <w:rFonts w:hint="eastAsia"/>
                <w:sz w:val="24"/>
              </w:rPr>
              <w:t>值及治理措施</w:t>
            </w:r>
            <w:r>
              <w:rPr>
                <w:sz w:val="24"/>
              </w:rPr>
              <w:t>见下表。</w:t>
            </w:r>
          </w:p>
          <w:p>
            <w:pPr>
              <w:spacing w:line="360" w:lineRule="auto"/>
              <w:ind w:firstLine="1542" w:firstLineChars="640"/>
              <w:rPr>
                <w:b/>
                <w:sz w:val="24"/>
              </w:rPr>
            </w:pPr>
            <w:r>
              <w:rPr>
                <w:rFonts w:hint="eastAsia"/>
                <w:b/>
                <w:sz w:val="24"/>
              </w:rPr>
              <w:t>表5-</w:t>
            </w:r>
            <w:r>
              <w:rPr>
                <w:b/>
                <w:sz w:val="24"/>
              </w:rPr>
              <w:t>1</w:t>
            </w:r>
            <w:r>
              <w:rPr>
                <w:rFonts w:hint="eastAsia"/>
                <w:b/>
                <w:sz w:val="24"/>
              </w:rPr>
              <w:t xml:space="preserve">3   </w:t>
            </w:r>
            <w:r>
              <w:rPr>
                <w:b/>
                <w:sz w:val="24"/>
              </w:rPr>
              <w:t>项目主要噪声源声功率级</w:t>
            </w:r>
            <w:r>
              <w:rPr>
                <w:rFonts w:hint="eastAsia"/>
                <w:b/>
                <w:sz w:val="24"/>
              </w:rPr>
              <w:t>及治理措施</w:t>
            </w:r>
          </w:p>
          <w:tbl>
            <w:tblPr>
              <w:tblStyle w:val="53"/>
              <w:tblW w:w="83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149"/>
              <w:gridCol w:w="950"/>
              <w:gridCol w:w="1852"/>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785" w:type="dxa"/>
                  <w:vAlign w:val="center"/>
                </w:tcPr>
                <w:p>
                  <w:pPr>
                    <w:spacing w:line="260" w:lineRule="exact"/>
                    <w:jc w:val="center"/>
                    <w:rPr>
                      <w:szCs w:val="21"/>
                    </w:rPr>
                  </w:pPr>
                  <w:r>
                    <w:rPr>
                      <w:szCs w:val="21"/>
                    </w:rPr>
                    <w:t>编号</w:t>
                  </w:r>
                </w:p>
              </w:tc>
              <w:tc>
                <w:tcPr>
                  <w:tcW w:w="2149" w:type="dxa"/>
                  <w:vAlign w:val="center"/>
                </w:tcPr>
                <w:p>
                  <w:pPr>
                    <w:spacing w:line="260" w:lineRule="exact"/>
                    <w:jc w:val="center"/>
                    <w:rPr>
                      <w:szCs w:val="21"/>
                    </w:rPr>
                  </w:pPr>
                  <w:r>
                    <w:rPr>
                      <w:szCs w:val="21"/>
                    </w:rPr>
                    <w:t>噪声源</w:t>
                  </w:r>
                </w:p>
              </w:tc>
              <w:tc>
                <w:tcPr>
                  <w:tcW w:w="950" w:type="dxa"/>
                  <w:vAlign w:val="center"/>
                </w:tcPr>
                <w:p>
                  <w:pPr>
                    <w:spacing w:line="260" w:lineRule="exact"/>
                    <w:jc w:val="center"/>
                    <w:rPr>
                      <w:szCs w:val="21"/>
                    </w:rPr>
                  </w:pPr>
                  <w:r>
                    <w:rPr>
                      <w:rFonts w:hint="eastAsia"/>
                      <w:szCs w:val="21"/>
                    </w:rPr>
                    <w:t>数量</w:t>
                  </w:r>
                </w:p>
              </w:tc>
              <w:tc>
                <w:tcPr>
                  <w:tcW w:w="1852" w:type="dxa"/>
                  <w:vAlign w:val="center"/>
                </w:tcPr>
                <w:p>
                  <w:pPr>
                    <w:spacing w:line="260" w:lineRule="exact"/>
                    <w:jc w:val="center"/>
                    <w:rPr>
                      <w:szCs w:val="21"/>
                    </w:rPr>
                  </w:pPr>
                  <w:r>
                    <w:rPr>
                      <w:szCs w:val="21"/>
                    </w:rPr>
                    <w:t>单台声</w:t>
                  </w:r>
                  <w:r>
                    <w:rPr>
                      <w:rFonts w:hint="eastAsia"/>
                      <w:szCs w:val="21"/>
                    </w:rPr>
                    <w:t>级值</w:t>
                  </w:r>
                  <w:r>
                    <w:rPr>
                      <w:szCs w:val="21"/>
                    </w:rPr>
                    <w:t>dB(A)</w:t>
                  </w:r>
                </w:p>
              </w:tc>
              <w:tc>
                <w:tcPr>
                  <w:tcW w:w="2598" w:type="dxa"/>
                  <w:vAlign w:val="center"/>
                </w:tcPr>
                <w:p>
                  <w:pPr>
                    <w:spacing w:line="260" w:lineRule="exact"/>
                    <w:jc w:val="center"/>
                    <w:rPr>
                      <w:szCs w:val="21"/>
                    </w:rPr>
                  </w:pPr>
                  <w:r>
                    <w:rPr>
                      <w:rFonts w:hint="eastAsia"/>
                      <w:szCs w:val="21"/>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785" w:type="dxa"/>
                  <w:vAlign w:val="center"/>
                </w:tcPr>
                <w:p>
                  <w:pPr>
                    <w:spacing w:line="260" w:lineRule="exact"/>
                    <w:jc w:val="center"/>
                    <w:rPr>
                      <w:szCs w:val="21"/>
                    </w:rPr>
                  </w:pPr>
                  <w:r>
                    <w:rPr>
                      <w:szCs w:val="21"/>
                    </w:rPr>
                    <w:t>1</w:t>
                  </w:r>
                </w:p>
              </w:tc>
              <w:tc>
                <w:tcPr>
                  <w:tcW w:w="2149" w:type="dxa"/>
                  <w:vAlign w:val="center"/>
                </w:tcPr>
                <w:p>
                  <w:pPr>
                    <w:spacing w:line="260" w:lineRule="exact"/>
                    <w:jc w:val="center"/>
                    <w:rPr>
                      <w:szCs w:val="21"/>
                    </w:rPr>
                  </w:pPr>
                  <w:r>
                    <w:rPr>
                      <w:rFonts w:hint="eastAsia"/>
                      <w:szCs w:val="21"/>
                    </w:rPr>
                    <w:t>中频炉</w:t>
                  </w:r>
                </w:p>
              </w:tc>
              <w:tc>
                <w:tcPr>
                  <w:tcW w:w="950" w:type="dxa"/>
                  <w:vAlign w:val="center"/>
                </w:tcPr>
                <w:p>
                  <w:pPr>
                    <w:spacing w:line="260" w:lineRule="exact"/>
                    <w:jc w:val="center"/>
                    <w:rPr>
                      <w:szCs w:val="21"/>
                    </w:rPr>
                  </w:pPr>
                  <w:r>
                    <w:rPr>
                      <w:szCs w:val="21"/>
                    </w:rPr>
                    <w:t>1</w:t>
                  </w:r>
                </w:p>
              </w:tc>
              <w:tc>
                <w:tcPr>
                  <w:tcW w:w="1852" w:type="dxa"/>
                  <w:vAlign w:val="center"/>
                </w:tcPr>
                <w:p>
                  <w:pPr>
                    <w:spacing w:line="260" w:lineRule="exact"/>
                    <w:jc w:val="center"/>
                    <w:rPr>
                      <w:szCs w:val="21"/>
                    </w:rPr>
                  </w:pPr>
                  <w:r>
                    <w:rPr>
                      <w:szCs w:val="21"/>
                    </w:rPr>
                    <w:t>70</w:t>
                  </w:r>
                  <w:r>
                    <w:rPr>
                      <w:rFonts w:hint="eastAsia"/>
                      <w:szCs w:val="21"/>
                    </w:rPr>
                    <w:t>~</w:t>
                  </w:r>
                  <w:r>
                    <w:rPr>
                      <w:szCs w:val="21"/>
                    </w:rPr>
                    <w:t>80</w:t>
                  </w:r>
                </w:p>
              </w:tc>
              <w:tc>
                <w:tcPr>
                  <w:tcW w:w="2598" w:type="dxa"/>
                  <w:vMerge w:val="restart"/>
                  <w:vAlign w:val="center"/>
                </w:tcPr>
                <w:p>
                  <w:pPr>
                    <w:jc w:val="center"/>
                    <w:rPr>
                      <w:bCs/>
                      <w:szCs w:val="21"/>
                    </w:rPr>
                  </w:pPr>
                  <w:r>
                    <w:rPr>
                      <w:rFonts w:hAnsi="宋体"/>
                      <w:bCs/>
                      <w:szCs w:val="21"/>
                    </w:rPr>
                    <w:t>合理布局</w:t>
                  </w:r>
                  <w:r>
                    <w:rPr>
                      <w:rFonts w:hint="eastAsia" w:hAnsi="宋体"/>
                      <w:bCs/>
                      <w:szCs w:val="21"/>
                    </w:rPr>
                    <w:t>、</w:t>
                  </w:r>
                  <w:r>
                    <w:rPr>
                      <w:rFonts w:hAnsi="宋体"/>
                      <w:bCs/>
                      <w:szCs w:val="21"/>
                    </w:rPr>
                    <w:t>厂房隔音</w:t>
                  </w:r>
                  <w:r>
                    <w:rPr>
                      <w:rFonts w:hint="eastAsia"/>
                      <w:bCs/>
                      <w:szCs w:val="21"/>
                    </w:rPr>
                    <w:t>、</w:t>
                  </w:r>
                  <w:r>
                    <w:rPr>
                      <w:rFonts w:hint="eastAsia" w:hAnsi="宋体"/>
                      <w:bCs/>
                      <w:szCs w:val="21"/>
                    </w:rPr>
                    <w:t>设备减振、吸声</w:t>
                  </w:r>
                  <w:r>
                    <w:rPr>
                      <w:bCs/>
                      <w:szCs w:val="21"/>
                    </w:rPr>
                    <w:t>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785" w:type="dxa"/>
                  <w:vAlign w:val="center"/>
                </w:tcPr>
                <w:p>
                  <w:pPr>
                    <w:spacing w:line="260" w:lineRule="exact"/>
                    <w:jc w:val="center"/>
                    <w:rPr>
                      <w:szCs w:val="21"/>
                    </w:rPr>
                  </w:pPr>
                  <w:r>
                    <w:rPr>
                      <w:rFonts w:hint="eastAsia"/>
                      <w:szCs w:val="21"/>
                    </w:rPr>
                    <w:t>2</w:t>
                  </w:r>
                </w:p>
              </w:tc>
              <w:tc>
                <w:tcPr>
                  <w:tcW w:w="2149" w:type="dxa"/>
                  <w:vAlign w:val="center"/>
                </w:tcPr>
                <w:p>
                  <w:pPr>
                    <w:spacing w:line="260" w:lineRule="exact"/>
                    <w:jc w:val="center"/>
                    <w:rPr>
                      <w:szCs w:val="21"/>
                    </w:rPr>
                  </w:pPr>
                  <w:r>
                    <w:rPr>
                      <w:rFonts w:hint="eastAsia"/>
                      <w:szCs w:val="21"/>
                    </w:rPr>
                    <w:t>机床</w:t>
                  </w:r>
                </w:p>
              </w:tc>
              <w:tc>
                <w:tcPr>
                  <w:tcW w:w="950" w:type="dxa"/>
                  <w:vAlign w:val="center"/>
                </w:tcPr>
                <w:p>
                  <w:pPr>
                    <w:spacing w:line="260" w:lineRule="exact"/>
                    <w:jc w:val="center"/>
                    <w:rPr>
                      <w:szCs w:val="21"/>
                    </w:rPr>
                  </w:pPr>
                  <w:r>
                    <w:rPr>
                      <w:szCs w:val="21"/>
                    </w:rPr>
                    <w:t>5</w:t>
                  </w:r>
                </w:p>
              </w:tc>
              <w:tc>
                <w:tcPr>
                  <w:tcW w:w="1852" w:type="dxa"/>
                  <w:vAlign w:val="center"/>
                </w:tcPr>
                <w:p>
                  <w:pPr>
                    <w:spacing w:line="260" w:lineRule="exact"/>
                    <w:jc w:val="center"/>
                    <w:rPr>
                      <w:szCs w:val="21"/>
                    </w:rPr>
                  </w:pPr>
                  <w:r>
                    <w:rPr>
                      <w:szCs w:val="21"/>
                    </w:rPr>
                    <w:t>95</w:t>
                  </w:r>
                  <w:r>
                    <w:rPr>
                      <w:rFonts w:hint="eastAsia"/>
                      <w:szCs w:val="21"/>
                    </w:rPr>
                    <w:t>~</w:t>
                  </w:r>
                  <w:r>
                    <w:rPr>
                      <w:szCs w:val="21"/>
                    </w:rPr>
                    <w:t>105</w:t>
                  </w:r>
                </w:p>
              </w:tc>
              <w:tc>
                <w:tcPr>
                  <w:tcW w:w="259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785" w:type="dxa"/>
                  <w:vAlign w:val="center"/>
                </w:tcPr>
                <w:p>
                  <w:pPr>
                    <w:spacing w:line="260" w:lineRule="exact"/>
                    <w:jc w:val="center"/>
                    <w:rPr>
                      <w:szCs w:val="21"/>
                    </w:rPr>
                  </w:pPr>
                  <w:r>
                    <w:rPr>
                      <w:rFonts w:hint="eastAsia"/>
                      <w:szCs w:val="21"/>
                    </w:rPr>
                    <w:t>3</w:t>
                  </w:r>
                </w:p>
              </w:tc>
              <w:tc>
                <w:tcPr>
                  <w:tcW w:w="2149" w:type="dxa"/>
                  <w:vAlign w:val="center"/>
                </w:tcPr>
                <w:p>
                  <w:pPr>
                    <w:spacing w:line="260" w:lineRule="exact"/>
                    <w:jc w:val="center"/>
                    <w:rPr>
                      <w:szCs w:val="21"/>
                    </w:rPr>
                  </w:pPr>
                  <w:r>
                    <w:rPr>
                      <w:rFonts w:hint="eastAsia"/>
                      <w:szCs w:val="21"/>
                    </w:rPr>
                    <w:t>风机</w:t>
                  </w:r>
                </w:p>
              </w:tc>
              <w:tc>
                <w:tcPr>
                  <w:tcW w:w="950" w:type="dxa"/>
                  <w:vAlign w:val="center"/>
                </w:tcPr>
                <w:p>
                  <w:pPr>
                    <w:spacing w:line="260" w:lineRule="exact"/>
                    <w:jc w:val="center"/>
                    <w:rPr>
                      <w:szCs w:val="21"/>
                    </w:rPr>
                  </w:pPr>
                  <w:r>
                    <w:rPr>
                      <w:szCs w:val="21"/>
                    </w:rPr>
                    <w:t>2</w:t>
                  </w:r>
                </w:p>
              </w:tc>
              <w:tc>
                <w:tcPr>
                  <w:tcW w:w="1852" w:type="dxa"/>
                  <w:vAlign w:val="center"/>
                </w:tcPr>
                <w:p>
                  <w:pPr>
                    <w:spacing w:line="260" w:lineRule="exact"/>
                    <w:jc w:val="center"/>
                    <w:rPr>
                      <w:szCs w:val="21"/>
                    </w:rPr>
                  </w:pPr>
                  <w:r>
                    <w:rPr>
                      <w:szCs w:val="21"/>
                    </w:rPr>
                    <w:t>80</w:t>
                  </w:r>
                  <w:r>
                    <w:rPr>
                      <w:rFonts w:hint="eastAsia"/>
                      <w:szCs w:val="21"/>
                    </w:rPr>
                    <w:t>~</w:t>
                  </w:r>
                  <w:r>
                    <w:rPr>
                      <w:szCs w:val="21"/>
                    </w:rPr>
                    <w:t>90</w:t>
                  </w:r>
                </w:p>
              </w:tc>
              <w:tc>
                <w:tcPr>
                  <w:tcW w:w="259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785" w:type="dxa"/>
                  <w:vAlign w:val="center"/>
                </w:tcPr>
                <w:p>
                  <w:pPr>
                    <w:spacing w:line="260" w:lineRule="exact"/>
                    <w:jc w:val="center"/>
                    <w:rPr>
                      <w:szCs w:val="21"/>
                    </w:rPr>
                  </w:pPr>
                  <w:r>
                    <w:rPr>
                      <w:rFonts w:hint="eastAsia"/>
                      <w:szCs w:val="21"/>
                    </w:rPr>
                    <w:t>4</w:t>
                  </w:r>
                </w:p>
              </w:tc>
              <w:tc>
                <w:tcPr>
                  <w:tcW w:w="2149" w:type="dxa"/>
                  <w:vAlign w:val="center"/>
                </w:tcPr>
                <w:p>
                  <w:pPr>
                    <w:spacing w:line="260" w:lineRule="exact"/>
                    <w:jc w:val="center"/>
                    <w:rPr>
                      <w:szCs w:val="21"/>
                    </w:rPr>
                  </w:pPr>
                  <w:r>
                    <w:rPr>
                      <w:rFonts w:hint="eastAsia"/>
                      <w:szCs w:val="21"/>
                    </w:rPr>
                    <w:t>内抛机</w:t>
                  </w:r>
                </w:p>
              </w:tc>
              <w:tc>
                <w:tcPr>
                  <w:tcW w:w="950" w:type="dxa"/>
                  <w:vAlign w:val="center"/>
                </w:tcPr>
                <w:p>
                  <w:pPr>
                    <w:spacing w:line="260" w:lineRule="exact"/>
                    <w:jc w:val="center"/>
                    <w:rPr>
                      <w:szCs w:val="21"/>
                    </w:rPr>
                  </w:pPr>
                  <w:r>
                    <w:rPr>
                      <w:szCs w:val="21"/>
                    </w:rPr>
                    <w:t>12</w:t>
                  </w:r>
                </w:p>
              </w:tc>
              <w:tc>
                <w:tcPr>
                  <w:tcW w:w="1852" w:type="dxa"/>
                  <w:vAlign w:val="center"/>
                </w:tcPr>
                <w:p>
                  <w:pPr>
                    <w:spacing w:line="260" w:lineRule="exact"/>
                    <w:jc w:val="center"/>
                    <w:rPr>
                      <w:szCs w:val="21"/>
                    </w:rPr>
                  </w:pPr>
                  <w:r>
                    <w:rPr>
                      <w:szCs w:val="21"/>
                    </w:rPr>
                    <w:t>80</w:t>
                  </w:r>
                  <w:r>
                    <w:rPr>
                      <w:rFonts w:hint="eastAsia"/>
                      <w:szCs w:val="21"/>
                    </w:rPr>
                    <w:t>~</w:t>
                  </w:r>
                  <w:r>
                    <w:rPr>
                      <w:szCs w:val="21"/>
                    </w:rPr>
                    <w:t>95</w:t>
                  </w:r>
                </w:p>
              </w:tc>
              <w:tc>
                <w:tcPr>
                  <w:tcW w:w="259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785" w:type="dxa"/>
                  <w:vAlign w:val="center"/>
                </w:tcPr>
                <w:p>
                  <w:pPr>
                    <w:spacing w:line="260" w:lineRule="exact"/>
                    <w:jc w:val="center"/>
                    <w:rPr>
                      <w:szCs w:val="21"/>
                    </w:rPr>
                  </w:pPr>
                  <w:r>
                    <w:rPr>
                      <w:rFonts w:hint="eastAsia"/>
                      <w:szCs w:val="21"/>
                    </w:rPr>
                    <w:t>5</w:t>
                  </w:r>
                </w:p>
              </w:tc>
              <w:tc>
                <w:tcPr>
                  <w:tcW w:w="2149" w:type="dxa"/>
                  <w:vAlign w:val="center"/>
                </w:tcPr>
                <w:p>
                  <w:pPr>
                    <w:spacing w:line="260" w:lineRule="exact"/>
                    <w:jc w:val="center"/>
                    <w:rPr>
                      <w:szCs w:val="21"/>
                    </w:rPr>
                  </w:pPr>
                  <w:r>
                    <w:rPr>
                      <w:rFonts w:hint="eastAsia"/>
                      <w:szCs w:val="21"/>
                    </w:rPr>
                    <w:t>铸压设备</w:t>
                  </w:r>
                </w:p>
              </w:tc>
              <w:tc>
                <w:tcPr>
                  <w:tcW w:w="950" w:type="dxa"/>
                  <w:vAlign w:val="center"/>
                </w:tcPr>
                <w:p>
                  <w:pPr>
                    <w:spacing w:line="260" w:lineRule="exact"/>
                    <w:jc w:val="center"/>
                    <w:rPr>
                      <w:szCs w:val="21"/>
                    </w:rPr>
                  </w:pPr>
                  <w:r>
                    <w:rPr>
                      <w:szCs w:val="21"/>
                    </w:rPr>
                    <w:t>3</w:t>
                  </w:r>
                </w:p>
              </w:tc>
              <w:tc>
                <w:tcPr>
                  <w:tcW w:w="1852" w:type="dxa"/>
                  <w:vAlign w:val="center"/>
                </w:tcPr>
                <w:p>
                  <w:pPr>
                    <w:spacing w:line="260" w:lineRule="exact"/>
                    <w:jc w:val="center"/>
                    <w:rPr>
                      <w:szCs w:val="21"/>
                    </w:rPr>
                  </w:pPr>
                  <w:r>
                    <w:rPr>
                      <w:rFonts w:hint="eastAsia"/>
                      <w:szCs w:val="21"/>
                    </w:rPr>
                    <w:t>8</w:t>
                  </w:r>
                  <w:r>
                    <w:rPr>
                      <w:szCs w:val="21"/>
                    </w:rPr>
                    <w:t>0</w:t>
                  </w:r>
                  <w:r>
                    <w:rPr>
                      <w:rFonts w:hint="eastAsia"/>
                      <w:szCs w:val="21"/>
                    </w:rPr>
                    <w:t>~</w:t>
                  </w:r>
                  <w:r>
                    <w:rPr>
                      <w:szCs w:val="21"/>
                    </w:rPr>
                    <w:t>95</w:t>
                  </w:r>
                </w:p>
              </w:tc>
              <w:tc>
                <w:tcPr>
                  <w:tcW w:w="2598" w:type="dxa"/>
                  <w:vMerge w:val="continue"/>
                </w:tcPr>
                <w:p>
                  <w:pPr>
                    <w:rPr>
                      <w:rFonts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785" w:type="dxa"/>
                  <w:vAlign w:val="center"/>
                </w:tcPr>
                <w:p>
                  <w:pPr>
                    <w:spacing w:line="260" w:lineRule="exact"/>
                    <w:jc w:val="center"/>
                    <w:rPr>
                      <w:szCs w:val="21"/>
                    </w:rPr>
                  </w:pPr>
                  <w:r>
                    <w:rPr>
                      <w:rFonts w:hint="eastAsia"/>
                      <w:szCs w:val="21"/>
                    </w:rPr>
                    <w:t>6</w:t>
                  </w:r>
                </w:p>
              </w:tc>
              <w:tc>
                <w:tcPr>
                  <w:tcW w:w="2149" w:type="dxa"/>
                  <w:vAlign w:val="center"/>
                </w:tcPr>
                <w:p>
                  <w:pPr>
                    <w:spacing w:line="260" w:lineRule="exact"/>
                    <w:jc w:val="center"/>
                    <w:rPr>
                      <w:szCs w:val="21"/>
                    </w:rPr>
                  </w:pPr>
                  <w:r>
                    <w:rPr>
                      <w:rFonts w:hint="eastAsia"/>
                      <w:szCs w:val="21"/>
                    </w:rPr>
                    <w:t>打孔机</w:t>
                  </w:r>
                </w:p>
              </w:tc>
              <w:tc>
                <w:tcPr>
                  <w:tcW w:w="950" w:type="dxa"/>
                  <w:vAlign w:val="center"/>
                </w:tcPr>
                <w:p>
                  <w:pPr>
                    <w:spacing w:line="260" w:lineRule="exact"/>
                    <w:jc w:val="center"/>
                    <w:rPr>
                      <w:szCs w:val="21"/>
                    </w:rPr>
                  </w:pPr>
                  <w:r>
                    <w:rPr>
                      <w:rFonts w:hint="eastAsia"/>
                      <w:szCs w:val="21"/>
                    </w:rPr>
                    <w:t>1</w:t>
                  </w:r>
                </w:p>
              </w:tc>
              <w:tc>
                <w:tcPr>
                  <w:tcW w:w="1852" w:type="dxa"/>
                  <w:vAlign w:val="center"/>
                </w:tcPr>
                <w:p>
                  <w:pPr>
                    <w:spacing w:line="260" w:lineRule="exact"/>
                    <w:jc w:val="center"/>
                    <w:rPr>
                      <w:szCs w:val="21"/>
                    </w:rPr>
                  </w:pPr>
                  <w:r>
                    <w:rPr>
                      <w:rFonts w:hint="eastAsia"/>
                      <w:szCs w:val="21"/>
                    </w:rPr>
                    <w:t>8</w:t>
                  </w:r>
                  <w:r>
                    <w:rPr>
                      <w:szCs w:val="21"/>
                    </w:rPr>
                    <w:t>0</w:t>
                  </w:r>
                  <w:r>
                    <w:rPr>
                      <w:rFonts w:hint="eastAsia"/>
                      <w:szCs w:val="21"/>
                    </w:rPr>
                    <w:t>~</w:t>
                  </w:r>
                  <w:r>
                    <w:rPr>
                      <w:szCs w:val="21"/>
                    </w:rPr>
                    <w:t>95</w:t>
                  </w:r>
                </w:p>
              </w:tc>
              <w:tc>
                <w:tcPr>
                  <w:tcW w:w="2598" w:type="dxa"/>
                  <w:vMerge w:val="continue"/>
                </w:tcPr>
                <w:p>
                  <w:pPr>
                    <w:rPr>
                      <w:rFonts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785" w:type="dxa"/>
                  <w:vAlign w:val="center"/>
                </w:tcPr>
                <w:p>
                  <w:pPr>
                    <w:spacing w:line="260" w:lineRule="exact"/>
                    <w:jc w:val="center"/>
                    <w:rPr>
                      <w:szCs w:val="21"/>
                    </w:rPr>
                  </w:pPr>
                  <w:r>
                    <w:rPr>
                      <w:rFonts w:hint="eastAsia"/>
                      <w:szCs w:val="21"/>
                    </w:rPr>
                    <w:t>7</w:t>
                  </w:r>
                </w:p>
              </w:tc>
              <w:tc>
                <w:tcPr>
                  <w:tcW w:w="2149" w:type="dxa"/>
                  <w:vAlign w:val="center"/>
                </w:tcPr>
                <w:p>
                  <w:pPr>
                    <w:spacing w:line="260" w:lineRule="exact"/>
                    <w:jc w:val="center"/>
                    <w:rPr>
                      <w:szCs w:val="21"/>
                    </w:rPr>
                  </w:pPr>
                  <w:r>
                    <w:rPr>
                      <w:rFonts w:hint="eastAsia"/>
                      <w:szCs w:val="21"/>
                    </w:rPr>
                    <w:t>打磨设备</w:t>
                  </w:r>
                </w:p>
              </w:tc>
              <w:tc>
                <w:tcPr>
                  <w:tcW w:w="950" w:type="dxa"/>
                  <w:vAlign w:val="center"/>
                </w:tcPr>
                <w:p>
                  <w:pPr>
                    <w:spacing w:line="260" w:lineRule="exact"/>
                    <w:jc w:val="center"/>
                    <w:rPr>
                      <w:szCs w:val="21"/>
                    </w:rPr>
                  </w:pPr>
                  <w:r>
                    <w:rPr>
                      <w:rFonts w:hint="eastAsia"/>
                      <w:szCs w:val="21"/>
                    </w:rPr>
                    <w:t>1</w:t>
                  </w:r>
                </w:p>
              </w:tc>
              <w:tc>
                <w:tcPr>
                  <w:tcW w:w="1852" w:type="dxa"/>
                  <w:vAlign w:val="center"/>
                </w:tcPr>
                <w:p>
                  <w:pPr>
                    <w:spacing w:line="260" w:lineRule="exact"/>
                    <w:jc w:val="center"/>
                    <w:rPr>
                      <w:szCs w:val="21"/>
                    </w:rPr>
                  </w:pPr>
                  <w:r>
                    <w:rPr>
                      <w:rFonts w:hint="eastAsia"/>
                      <w:szCs w:val="21"/>
                    </w:rPr>
                    <w:t>8</w:t>
                  </w:r>
                  <w:r>
                    <w:rPr>
                      <w:szCs w:val="21"/>
                    </w:rPr>
                    <w:t>0</w:t>
                  </w:r>
                  <w:r>
                    <w:rPr>
                      <w:rFonts w:hint="eastAsia"/>
                      <w:szCs w:val="21"/>
                    </w:rPr>
                    <w:t>~</w:t>
                  </w:r>
                  <w:r>
                    <w:rPr>
                      <w:szCs w:val="21"/>
                    </w:rPr>
                    <w:t>95</w:t>
                  </w:r>
                </w:p>
              </w:tc>
              <w:tc>
                <w:tcPr>
                  <w:tcW w:w="2598" w:type="dxa"/>
                  <w:vMerge w:val="continue"/>
                </w:tcPr>
                <w:p>
                  <w:pPr>
                    <w:rPr>
                      <w:rFonts w:hAnsi="宋体"/>
                      <w:bCs/>
                      <w:szCs w:val="21"/>
                    </w:rPr>
                  </w:pPr>
                </w:p>
              </w:tc>
            </w:tr>
          </w:tbl>
          <w:p>
            <w:pPr>
              <w:adjustRightInd w:val="0"/>
              <w:snapToGrid w:val="0"/>
              <w:spacing w:line="360" w:lineRule="auto"/>
              <w:ind w:firstLine="480" w:firstLineChars="200"/>
              <w:rPr>
                <w:b/>
                <w:sz w:val="24"/>
              </w:rPr>
            </w:pPr>
            <w:r>
              <w:rPr>
                <w:rFonts w:hint="eastAsia" w:ascii="宋体" w:hAnsi="宋体"/>
                <w:sz w:val="24"/>
              </w:rPr>
              <w:t>由上表可见，本项目噪声设备较多，且机床、风机等设备的噪声源强较大，将会对周边目标的声环境产生一定影响。已有设备通过采取合理布局、厂房隔声、设备减振及设置吸声等措施减少噪声的影响。本环评要求新增设备设置减振等措施来进一步减少噪声对周围环境的影响。</w:t>
            </w:r>
          </w:p>
          <w:p>
            <w:pPr>
              <w:spacing w:line="360" w:lineRule="auto"/>
              <w:ind w:firstLine="482" w:firstLineChars="200"/>
              <w:rPr>
                <w:b/>
                <w:sz w:val="24"/>
              </w:rPr>
            </w:pPr>
            <w:r>
              <w:rPr>
                <w:rFonts w:hint="eastAsia"/>
                <w:b/>
                <w:sz w:val="24"/>
              </w:rPr>
              <w:t>4、固废</w:t>
            </w:r>
          </w:p>
          <w:p>
            <w:pPr>
              <w:spacing w:line="360" w:lineRule="auto"/>
              <w:ind w:firstLine="480" w:firstLineChars="200"/>
              <w:rPr>
                <w:sz w:val="24"/>
              </w:rPr>
            </w:pPr>
            <w:r>
              <w:rPr>
                <w:rFonts w:hint="eastAsia"/>
                <w:sz w:val="24"/>
              </w:rPr>
              <w:t>本项目运营过程中产生的固废主要包括过滤废渣，回收固体盐、除尘设备收集粉尘，原辅料废包装袋、员工生活垃圾、检修废油等。</w:t>
            </w:r>
          </w:p>
          <w:p>
            <w:pPr>
              <w:spacing w:line="360" w:lineRule="auto"/>
              <w:ind w:firstLine="480" w:firstLineChars="200"/>
              <w:rPr>
                <w:sz w:val="24"/>
              </w:rPr>
            </w:pPr>
            <w:r>
              <w:rPr>
                <w:sz w:val="24"/>
              </w:rPr>
              <w:t>1</w:t>
            </w:r>
            <w:r>
              <w:rPr>
                <w:rFonts w:hint="eastAsia"/>
                <w:sz w:val="24"/>
              </w:rPr>
              <w:t>）除尘设备收集粉尘</w:t>
            </w:r>
          </w:p>
          <w:p>
            <w:pPr>
              <w:adjustRightInd w:val="0"/>
              <w:snapToGrid w:val="0"/>
              <w:spacing w:line="360" w:lineRule="auto"/>
              <w:ind w:firstLine="480" w:firstLineChars="200"/>
              <w:rPr>
                <w:sz w:val="24"/>
              </w:rPr>
            </w:pPr>
            <w:r>
              <w:rPr>
                <w:sz w:val="24"/>
              </w:rPr>
              <w:t>项目打磨工序产生的粉尘经布袋除尘设备收集处理后排放</w:t>
            </w:r>
            <w:r>
              <w:rPr>
                <w:rFonts w:hint="eastAsia"/>
                <w:sz w:val="24"/>
              </w:rPr>
              <w:t>，粉尘收集量为</w:t>
            </w:r>
            <w:r>
              <w:rPr>
                <w:sz w:val="24"/>
              </w:rPr>
              <w:t>1.27/a</w:t>
            </w:r>
            <w:r>
              <w:rPr>
                <w:rFonts w:hint="eastAsia"/>
                <w:sz w:val="24"/>
              </w:rPr>
              <w:t>，</w:t>
            </w:r>
            <w:r>
              <w:rPr>
                <w:sz w:val="24"/>
              </w:rPr>
              <w:t>拟收集后外卖</w:t>
            </w:r>
            <w:r>
              <w:rPr>
                <w:rFonts w:hint="eastAsia"/>
                <w:sz w:val="24"/>
              </w:rPr>
              <w:t>。</w:t>
            </w:r>
          </w:p>
          <w:p>
            <w:pPr>
              <w:adjustRightInd w:val="0"/>
              <w:snapToGrid w:val="0"/>
              <w:spacing w:line="360" w:lineRule="auto"/>
              <w:ind w:firstLine="480" w:firstLineChars="200"/>
              <w:rPr>
                <w:sz w:val="24"/>
              </w:rPr>
            </w:pPr>
            <w:r>
              <w:rPr>
                <w:sz w:val="24"/>
              </w:rPr>
              <w:t>2</w:t>
            </w:r>
            <w:r>
              <w:rPr>
                <w:rFonts w:hint="eastAsia"/>
                <w:sz w:val="24"/>
              </w:rPr>
              <w:t>）过滤废渣</w:t>
            </w:r>
          </w:p>
          <w:p>
            <w:pPr>
              <w:adjustRightInd w:val="0"/>
              <w:snapToGrid w:val="0"/>
              <w:spacing w:line="360" w:lineRule="auto"/>
              <w:ind w:firstLine="480" w:firstLineChars="200"/>
              <w:rPr>
                <w:sz w:val="24"/>
              </w:rPr>
            </w:pPr>
            <w:r>
              <w:rPr>
                <w:rFonts w:hint="eastAsia"/>
                <w:sz w:val="24"/>
              </w:rPr>
              <w:t>本项目采用五级清洗对氮化氧化的工件进行清洗，第一级清洗废水经过滤废渣后采用蒸馏方法回收固体盐，后一级清洗废水作为前一级清洗水使用。其中第一级清洗废水过滤分离出来的废渣主要成分为F</w:t>
            </w:r>
            <w:r>
              <w:rPr>
                <w:sz w:val="24"/>
              </w:rPr>
              <w:t>e</w:t>
            </w:r>
            <w:r>
              <w:rPr>
                <w:sz w:val="24"/>
                <w:vertAlign w:val="subscript"/>
              </w:rPr>
              <w:t>2</w:t>
            </w:r>
            <w:r>
              <w:rPr>
                <w:sz w:val="24"/>
              </w:rPr>
              <w:t>O</w:t>
            </w:r>
            <w:r>
              <w:rPr>
                <w:sz w:val="24"/>
                <w:vertAlign w:val="subscript"/>
              </w:rPr>
              <w:t>3</w:t>
            </w:r>
            <w:r>
              <w:rPr>
                <w:rFonts w:hint="eastAsia"/>
                <w:sz w:val="24"/>
              </w:rPr>
              <w:t>，拟收集后作为熔化原料回用，不外排。</w:t>
            </w:r>
          </w:p>
          <w:p>
            <w:pPr>
              <w:adjustRightInd w:val="0"/>
              <w:snapToGrid w:val="0"/>
              <w:spacing w:line="360" w:lineRule="auto"/>
              <w:ind w:firstLine="480" w:firstLineChars="200"/>
              <w:rPr>
                <w:sz w:val="24"/>
              </w:rPr>
            </w:pPr>
            <w:r>
              <w:rPr>
                <w:sz w:val="24"/>
              </w:rPr>
              <w:t>3</w:t>
            </w:r>
            <w:r>
              <w:rPr>
                <w:rFonts w:hint="eastAsia"/>
                <w:sz w:val="24"/>
              </w:rPr>
              <w:t>）回收固体盐</w:t>
            </w:r>
          </w:p>
          <w:p>
            <w:pPr>
              <w:adjustRightInd w:val="0"/>
              <w:snapToGrid w:val="0"/>
              <w:spacing w:line="360" w:lineRule="auto"/>
              <w:ind w:firstLine="480" w:firstLineChars="200"/>
              <w:rPr>
                <w:sz w:val="24"/>
              </w:rPr>
            </w:pPr>
            <w:r>
              <w:rPr>
                <w:rFonts w:hint="eastAsia"/>
                <w:sz w:val="24"/>
              </w:rPr>
              <w:t>本项目采用五级清洗对氮化氧化的工件进行清洗，第一级清洗废水经锅炉废渣后采用蒸馏浓缩方法回收固体盐，经收集后作为氧化盐回用，不外排。</w:t>
            </w:r>
          </w:p>
          <w:p>
            <w:pPr>
              <w:spacing w:line="360" w:lineRule="auto"/>
              <w:ind w:firstLine="480" w:firstLineChars="200"/>
              <w:rPr>
                <w:sz w:val="24"/>
              </w:rPr>
            </w:pPr>
            <w:r>
              <w:rPr>
                <w:sz w:val="24"/>
              </w:rPr>
              <w:t>4</w:t>
            </w:r>
            <w:r>
              <w:rPr>
                <w:rFonts w:hint="eastAsia"/>
                <w:sz w:val="24"/>
              </w:rPr>
              <w:t>）原辅料废包装袋</w:t>
            </w:r>
          </w:p>
          <w:p>
            <w:pPr>
              <w:spacing w:line="360" w:lineRule="auto"/>
              <w:ind w:firstLine="480" w:firstLineChars="200"/>
              <w:rPr>
                <w:rFonts w:hAnsi="宋体"/>
                <w:sz w:val="24"/>
              </w:rPr>
            </w:pPr>
            <w:r>
              <w:rPr>
                <w:rFonts w:hint="eastAsia" w:hAnsi="宋体"/>
                <w:sz w:val="24"/>
              </w:rPr>
              <w:t>项目原辅料包括氮化盐、调整盐、氧化盐，其中氧化盐（氢氧化钠、亚硝酸钠）为危险化学品，其包装袋属于危险固废，氮化盐、调整盐包装袋属于一般固废。氧化盐废包装袋产生量约为0</w:t>
            </w:r>
            <w:r>
              <w:rPr>
                <w:rFonts w:hAnsi="宋体"/>
                <w:sz w:val="24"/>
              </w:rPr>
              <w:t>.2t/a</w:t>
            </w:r>
            <w:r>
              <w:rPr>
                <w:rFonts w:hint="eastAsia" w:hAnsi="宋体"/>
                <w:sz w:val="24"/>
              </w:rPr>
              <w:t>，</w:t>
            </w:r>
            <w:r>
              <w:rPr>
                <w:rFonts w:hAnsi="宋体"/>
                <w:sz w:val="24"/>
              </w:rPr>
              <w:t>氮化盐</w:t>
            </w:r>
            <w:r>
              <w:rPr>
                <w:rFonts w:hint="eastAsia" w:hAnsi="宋体"/>
                <w:sz w:val="24"/>
              </w:rPr>
              <w:t>、</w:t>
            </w:r>
            <w:r>
              <w:rPr>
                <w:rFonts w:hAnsi="宋体"/>
                <w:sz w:val="24"/>
              </w:rPr>
              <w:t>调整盐废包装袋产生量约为</w:t>
            </w:r>
            <w:r>
              <w:rPr>
                <w:rFonts w:hint="eastAsia" w:hAnsi="宋体"/>
                <w:sz w:val="24"/>
              </w:rPr>
              <w:t>0</w:t>
            </w:r>
            <w:r>
              <w:rPr>
                <w:rFonts w:hAnsi="宋体"/>
                <w:sz w:val="24"/>
              </w:rPr>
              <w:t>.3t/a</w:t>
            </w:r>
            <w:r>
              <w:rPr>
                <w:rFonts w:hint="eastAsia" w:hAnsi="宋体"/>
                <w:sz w:val="24"/>
              </w:rPr>
              <w:t>。根据《国家危险废物名录》（2</w:t>
            </w:r>
            <w:r>
              <w:rPr>
                <w:rFonts w:hAnsi="宋体"/>
                <w:sz w:val="24"/>
              </w:rPr>
              <w:t>016版</w:t>
            </w:r>
            <w:r>
              <w:rPr>
                <w:rFonts w:hint="eastAsia" w:hAnsi="宋体"/>
                <w:sz w:val="24"/>
              </w:rPr>
              <w:t>），本项目氧化盐废包装袋属于“H</w:t>
            </w:r>
            <w:r>
              <w:rPr>
                <w:rFonts w:hAnsi="宋体"/>
                <w:sz w:val="24"/>
              </w:rPr>
              <w:t>W 49 900-041-49</w:t>
            </w:r>
            <w:r>
              <w:rPr>
                <w:rFonts w:hint="eastAsia" w:hAnsi="宋体"/>
                <w:sz w:val="24"/>
              </w:rPr>
              <w:t>”中“含有或沾染毒性、感染性危险废物的废弃包装物、容器、过滤吸附介质”。本环评要求项目按相关规范要求设置危废暂存间分类规范暂存，并交由有资质单位进行处理。氮化盐、氧化盐废包装袋收集后外卖。</w:t>
            </w:r>
          </w:p>
          <w:p>
            <w:pPr>
              <w:spacing w:line="360" w:lineRule="auto"/>
              <w:ind w:firstLine="480" w:firstLineChars="200"/>
              <w:rPr>
                <w:rFonts w:hAnsi="宋体"/>
                <w:sz w:val="24"/>
              </w:rPr>
            </w:pPr>
            <w:r>
              <w:rPr>
                <w:rFonts w:hAnsi="宋体"/>
                <w:sz w:val="24"/>
              </w:rPr>
              <w:t>5</w:t>
            </w:r>
            <w:r>
              <w:rPr>
                <w:rFonts w:hint="eastAsia" w:hAnsi="宋体"/>
                <w:sz w:val="24"/>
              </w:rPr>
              <w:t>）员工生活垃圾</w:t>
            </w:r>
          </w:p>
          <w:p>
            <w:pPr>
              <w:spacing w:line="360" w:lineRule="auto"/>
              <w:ind w:firstLine="480" w:firstLineChars="200"/>
              <w:rPr>
                <w:rFonts w:ascii="宋体" w:hAnsi="宋体"/>
                <w:sz w:val="24"/>
              </w:rPr>
            </w:pPr>
            <w:r>
              <w:rPr>
                <w:rFonts w:hint="eastAsia"/>
                <w:sz w:val="24"/>
              </w:rPr>
              <w:t>本项目不新增劳动定员，因此不新增生活垃圾</w:t>
            </w:r>
            <w:r>
              <w:rPr>
                <w:rFonts w:hint="eastAsia" w:ascii="宋体" w:hAnsi="宋体"/>
                <w:sz w:val="24"/>
              </w:rPr>
              <w:t>。</w:t>
            </w:r>
          </w:p>
          <w:p>
            <w:pPr>
              <w:spacing w:line="360" w:lineRule="auto"/>
              <w:ind w:firstLine="480"/>
              <w:rPr>
                <w:rFonts w:hAnsi="宋体"/>
                <w:sz w:val="24"/>
              </w:rPr>
            </w:pPr>
            <w:r>
              <w:rPr>
                <w:rFonts w:hAnsi="宋体"/>
                <w:sz w:val="24"/>
              </w:rPr>
              <w:t>6</w:t>
            </w:r>
            <w:r>
              <w:rPr>
                <w:rFonts w:hint="eastAsia" w:hAnsi="宋体"/>
                <w:sz w:val="24"/>
              </w:rPr>
              <w:t>）</w:t>
            </w:r>
            <w:r>
              <w:rPr>
                <w:rFonts w:hAnsi="宋体"/>
                <w:sz w:val="24"/>
              </w:rPr>
              <w:t>检修废油</w:t>
            </w:r>
          </w:p>
          <w:p>
            <w:pPr>
              <w:spacing w:line="360" w:lineRule="auto"/>
              <w:ind w:firstLine="480"/>
              <w:rPr>
                <w:rFonts w:hAnsi="宋体"/>
                <w:sz w:val="24"/>
              </w:rPr>
            </w:pPr>
            <w:r>
              <w:rPr>
                <w:rFonts w:hAnsi="宋体"/>
                <w:sz w:val="24"/>
              </w:rPr>
              <w:t>项目机床</w:t>
            </w:r>
            <w:r>
              <w:rPr>
                <w:rFonts w:hint="eastAsia" w:hAnsi="宋体"/>
                <w:sz w:val="24"/>
              </w:rPr>
              <w:t>、</w:t>
            </w:r>
            <w:r>
              <w:rPr>
                <w:rFonts w:hAnsi="宋体"/>
                <w:sz w:val="24"/>
              </w:rPr>
              <w:t>磨削设备等设备在检修过程中会产生一定量的检修废油</w:t>
            </w:r>
            <w:r>
              <w:rPr>
                <w:rFonts w:hint="eastAsia" w:hAnsi="宋体"/>
                <w:sz w:val="24"/>
              </w:rPr>
              <w:t>，</w:t>
            </w:r>
            <w:r>
              <w:rPr>
                <w:rFonts w:hAnsi="宋体"/>
                <w:sz w:val="24"/>
              </w:rPr>
              <w:t>产生量约为</w:t>
            </w:r>
            <w:r>
              <w:rPr>
                <w:rFonts w:hint="eastAsia" w:hAnsi="宋体"/>
                <w:sz w:val="24"/>
              </w:rPr>
              <w:t>0</w:t>
            </w:r>
            <w:r>
              <w:rPr>
                <w:rFonts w:hAnsi="宋体"/>
                <w:sz w:val="24"/>
              </w:rPr>
              <w:t>.06t/a</w:t>
            </w:r>
            <w:r>
              <w:rPr>
                <w:rFonts w:hint="eastAsia" w:hAnsi="宋体"/>
                <w:sz w:val="24"/>
              </w:rPr>
              <w:t>，根据《国家危险废物名录》，项目产生的检修废油属于“H</w:t>
            </w:r>
            <w:r>
              <w:rPr>
                <w:rFonts w:hAnsi="宋体"/>
                <w:sz w:val="24"/>
              </w:rPr>
              <w:t>W08 900-214-08 车辆</w:t>
            </w:r>
            <w:r>
              <w:rPr>
                <w:rFonts w:hint="eastAsia" w:hAnsi="宋体"/>
                <w:sz w:val="24"/>
              </w:rPr>
              <w:t>、</w:t>
            </w:r>
            <w:r>
              <w:rPr>
                <w:rFonts w:hAnsi="宋体"/>
                <w:sz w:val="24"/>
              </w:rPr>
              <w:t>机械维修和拆解过程中产生的废发动机油</w:t>
            </w:r>
            <w:r>
              <w:rPr>
                <w:rFonts w:hint="eastAsia" w:hAnsi="宋体"/>
                <w:sz w:val="24"/>
              </w:rPr>
              <w:t>、</w:t>
            </w:r>
            <w:r>
              <w:rPr>
                <w:rFonts w:hAnsi="宋体"/>
                <w:sz w:val="24"/>
              </w:rPr>
              <w:t>制动器油</w:t>
            </w:r>
            <w:r>
              <w:rPr>
                <w:rFonts w:hint="eastAsia" w:hAnsi="宋体"/>
                <w:sz w:val="24"/>
              </w:rPr>
              <w:t>、</w:t>
            </w:r>
            <w:r>
              <w:rPr>
                <w:rFonts w:hAnsi="宋体"/>
                <w:sz w:val="24"/>
              </w:rPr>
              <w:t>自动变速器油</w:t>
            </w:r>
            <w:r>
              <w:rPr>
                <w:rFonts w:hint="eastAsia" w:hAnsi="宋体"/>
                <w:sz w:val="24"/>
              </w:rPr>
              <w:t>、</w:t>
            </w:r>
            <w:r>
              <w:rPr>
                <w:rFonts w:hAnsi="宋体"/>
                <w:sz w:val="24"/>
              </w:rPr>
              <w:t>齿轮油等废润滑油</w:t>
            </w:r>
            <w:r>
              <w:rPr>
                <w:rFonts w:hint="eastAsia" w:hAnsi="宋体"/>
                <w:sz w:val="24"/>
              </w:rPr>
              <w:t>”。本环评要求项目按相关规范要求设置危废暂存间分类收集，并委托有资质单位进行处理。</w:t>
            </w:r>
          </w:p>
          <w:p>
            <w:pPr>
              <w:pStyle w:val="21"/>
              <w:ind w:firstLine="482"/>
              <w:rPr>
                <w:b/>
              </w:rPr>
            </w:pPr>
            <w:r>
              <w:rPr>
                <w:rFonts w:hint="eastAsia"/>
                <w:b/>
              </w:rPr>
              <w:t>危险废物收集、贮存措施：</w:t>
            </w:r>
          </w:p>
          <w:p>
            <w:pPr>
              <w:pStyle w:val="21"/>
              <w:ind w:firstLine="480"/>
            </w:pPr>
            <w:r>
              <w:t>建设单位应</w:t>
            </w:r>
            <w:r>
              <w:rPr>
                <w:rFonts w:hint="eastAsia"/>
              </w:rPr>
              <w:t>严格</w:t>
            </w:r>
            <w:r>
              <w:t>按照GB18597-2001《危险废物贮存污染控制标准》的相关规定，对项目产生的危险废物进行妥善管理和处置。</w:t>
            </w:r>
          </w:p>
          <w:p>
            <w:pPr>
              <w:pStyle w:val="21"/>
              <w:ind w:firstLine="480"/>
            </w:pPr>
            <w:r>
              <w:t>根据《中华人民共和国固体废物污染环境防治法》中《第四章 危险废物污染环境防治的特别规定》，该项目应执行以下规定：对危险废物的容器和包装以及收集、贮存、处置危险废物的设施、场所，必须设置危险废物识别标志；必须按照国家有关规定申报登记；必须按照国家有关规定处置，不处置的，由所在地县级以上人民政府环境保护行政主管部门责令限期改正，逾期不处置或者处置不符合国家有关规定的，由所在地县级以上地方人民政府环境保护行政主管部门指定单位按照国家有关规定代为处置，处置费用由产生危险废物的单位承担。</w:t>
            </w:r>
          </w:p>
          <w:p>
            <w:pPr>
              <w:pStyle w:val="21"/>
              <w:ind w:firstLine="480"/>
            </w:pPr>
            <w:r>
              <w:t>对危险废物的收集、暂存按国家标准有如下要求：</w:t>
            </w:r>
          </w:p>
          <w:p>
            <w:pPr>
              <w:pStyle w:val="21"/>
              <w:ind w:firstLine="480"/>
            </w:pPr>
            <w:r>
              <w:fldChar w:fldCharType="begin"/>
            </w:r>
            <w:r>
              <w:instrText xml:space="preserve"> = 1 \* GB3 </w:instrText>
            </w:r>
            <w:r>
              <w:fldChar w:fldCharType="separate"/>
            </w:r>
            <w:r>
              <w:rPr>
                <w:rFonts w:hint="eastAsia"/>
              </w:rPr>
              <w:t>①</w:t>
            </w:r>
            <w:r>
              <w:rPr>
                <w:rFonts w:hint="eastAsia"/>
              </w:rPr>
              <w:fldChar w:fldCharType="end"/>
            </w:r>
            <w:r>
              <w:t>危险废物的收集包装</w:t>
            </w:r>
          </w:p>
          <w:p>
            <w:pPr>
              <w:pStyle w:val="21"/>
              <w:ind w:firstLine="480"/>
            </w:pPr>
            <w:r>
              <w:t>a．有符合要求的包装容器、收集人员的个人防护设备；</w:t>
            </w:r>
          </w:p>
          <w:p>
            <w:pPr>
              <w:pStyle w:val="21"/>
              <w:ind w:firstLine="480"/>
            </w:pPr>
            <w:r>
              <w:t>b．危险废物的收集容器应在醒目位置贴有危险废物标签，在收集场所醒目的地方设置危险废物警告标识。所有收集容器必须密闭。</w:t>
            </w:r>
          </w:p>
          <w:p>
            <w:pPr>
              <w:pStyle w:val="21"/>
              <w:ind w:firstLine="480"/>
            </w:pPr>
            <w:r>
              <w:t>c．危险废物标签应标明以下信息：主要化学成分或危险废物名称、数量、物理形态、危险类别、安全措施以及危险废物产生单位名称、地址、联系人及电话。</w:t>
            </w:r>
          </w:p>
          <w:p>
            <w:pPr>
              <w:pStyle w:val="21"/>
              <w:ind w:firstLine="480"/>
            </w:pPr>
            <w:r>
              <w:fldChar w:fldCharType="begin"/>
            </w:r>
            <w:r>
              <w:instrText xml:space="preserve"> = 2 \* GB3 </w:instrText>
            </w:r>
            <w:r>
              <w:fldChar w:fldCharType="separate"/>
            </w:r>
            <w:r>
              <w:rPr>
                <w:rFonts w:hint="eastAsia"/>
              </w:rPr>
              <w:t>②</w:t>
            </w:r>
            <w:r>
              <w:rPr>
                <w:rFonts w:hint="eastAsia"/>
              </w:rPr>
              <w:fldChar w:fldCharType="end"/>
            </w:r>
            <w:r>
              <w:t>危险废物的暂存要求</w:t>
            </w:r>
          </w:p>
          <w:p>
            <w:pPr>
              <w:pStyle w:val="21"/>
              <w:ind w:firstLine="480"/>
            </w:pPr>
            <w:r>
              <w:t>危险废物堆放场应满足GB18597-2001《危险废物贮存污染控制标准》有关规定：</w:t>
            </w:r>
          </w:p>
          <w:p>
            <w:pPr>
              <w:pStyle w:val="21"/>
              <w:ind w:firstLine="480"/>
            </w:pPr>
            <w:r>
              <w:t>a．按GB15562.2《环境保护图形标识－－固体废物贮存（处置）场》设置警示标志。</w:t>
            </w:r>
          </w:p>
          <w:p>
            <w:pPr>
              <w:pStyle w:val="21"/>
              <w:ind w:firstLine="480"/>
            </w:pPr>
            <w:r>
              <w:t>b．必须有耐腐蚀的硬化地面和基础防渗层，地面无裂隙；设施底部必须高于地下水最高水位。</w:t>
            </w:r>
          </w:p>
          <w:p>
            <w:pPr>
              <w:pStyle w:val="21"/>
              <w:ind w:firstLine="480"/>
            </w:pPr>
            <w:r>
              <w:t>c．要求必要的防风、防雨、防晒措施。</w:t>
            </w:r>
          </w:p>
          <w:p>
            <w:pPr>
              <w:pStyle w:val="21"/>
              <w:adjustRightInd w:val="0"/>
              <w:snapToGrid w:val="0"/>
              <w:ind w:firstLine="480"/>
            </w:pPr>
            <w:r>
              <w:t>d．要有隔离设施或其它防护栅栏。</w:t>
            </w:r>
          </w:p>
          <w:p>
            <w:pPr>
              <w:adjustRightInd w:val="0"/>
              <w:snapToGrid w:val="0"/>
              <w:spacing w:line="360" w:lineRule="auto"/>
              <w:ind w:firstLine="482"/>
              <w:rPr>
                <w:sz w:val="24"/>
              </w:rPr>
            </w:pPr>
            <w:r>
              <w:rPr>
                <w:sz w:val="24"/>
              </w:rPr>
              <w:t>e．应配备通讯设备、照明设施、安全防护服装及共聚，并设有报警装置和应急防护设施。</w:t>
            </w:r>
          </w:p>
          <w:p>
            <w:pPr>
              <w:adjustRightInd w:val="0"/>
              <w:snapToGrid w:val="0"/>
              <w:spacing w:line="360" w:lineRule="auto"/>
              <w:ind w:firstLine="472" w:firstLineChars="196"/>
              <w:rPr>
                <w:b/>
                <w:sz w:val="24"/>
              </w:rPr>
            </w:pPr>
            <w:r>
              <w:rPr>
                <w:rFonts w:hint="eastAsia"/>
                <w:b/>
                <w:sz w:val="24"/>
              </w:rPr>
              <w:t>5、技改后“三本帐”的计算</w:t>
            </w:r>
          </w:p>
          <w:p>
            <w:pPr>
              <w:adjustRightInd w:val="0"/>
              <w:snapToGrid w:val="0"/>
              <w:spacing w:line="360" w:lineRule="auto"/>
              <w:ind w:firstLine="480" w:firstLineChars="200"/>
              <w:rPr>
                <w:sz w:val="24"/>
              </w:rPr>
            </w:pPr>
            <w:r>
              <w:rPr>
                <w:sz w:val="24"/>
              </w:rPr>
              <w:t>本项目改建前采用特选特供</w:t>
            </w:r>
            <w:r>
              <w:rPr>
                <w:rFonts w:hint="eastAsia"/>
                <w:sz w:val="24"/>
              </w:rPr>
              <w:t>2</w:t>
            </w:r>
            <w:r>
              <w:rPr>
                <w:sz w:val="24"/>
              </w:rPr>
              <w:t>2号优质原生铁</w:t>
            </w:r>
            <w:r>
              <w:rPr>
                <w:rFonts w:hint="eastAsia"/>
                <w:sz w:val="24"/>
              </w:rPr>
              <w:t>经电炉熔化后压铸成型，然后对毛坯进行打磨抛光，再对部分产品进行高温氧化处理（不适用化学表面处理），年产2</w:t>
            </w:r>
            <w:r>
              <w:rPr>
                <w:sz w:val="24"/>
              </w:rPr>
              <w:t>20万口铸铁锅</w:t>
            </w:r>
            <w:r>
              <w:rPr>
                <w:rFonts w:hint="eastAsia"/>
                <w:sz w:val="24"/>
              </w:rPr>
              <w:t>（其中2</w:t>
            </w:r>
            <w:r>
              <w:rPr>
                <w:sz w:val="24"/>
              </w:rPr>
              <w:t>0万口未</w:t>
            </w:r>
            <w:r>
              <w:rPr>
                <w:rFonts w:hint="eastAsia"/>
                <w:sz w:val="24"/>
              </w:rPr>
              <w:t>经</w:t>
            </w:r>
            <w:r>
              <w:rPr>
                <w:sz w:val="24"/>
              </w:rPr>
              <w:t>表面氧化处理</w:t>
            </w:r>
            <w:r>
              <w:rPr>
                <w:rFonts w:hint="eastAsia"/>
                <w:sz w:val="24"/>
              </w:rPr>
              <w:t>），最后对成品锅具进行包装。产生废气包括模具浇注产生的烟尘、锅具磨削粉尘以及食堂油烟。其中磨具浇筑产生的烟尘由于粒径相对较大在厂房内沉降后排放量极少，磨削粉尘在封闭箱体内沉降后排放量为0</w:t>
            </w:r>
            <w:r>
              <w:rPr>
                <w:sz w:val="24"/>
              </w:rPr>
              <w:t>.051t/a</w:t>
            </w:r>
            <w:r>
              <w:rPr>
                <w:rFonts w:hint="eastAsia"/>
                <w:sz w:val="24"/>
              </w:rPr>
              <w:t>，0</w:t>
            </w:r>
            <w:r>
              <w:rPr>
                <w:sz w:val="24"/>
              </w:rPr>
              <w:t>.008kg/h</w:t>
            </w:r>
            <w:r>
              <w:rPr>
                <w:rFonts w:hint="eastAsia"/>
                <w:sz w:val="24"/>
              </w:rPr>
              <w:t>，</w:t>
            </w:r>
            <w:r>
              <w:rPr>
                <w:sz w:val="24"/>
              </w:rPr>
              <w:t>食堂油烟经</w:t>
            </w:r>
            <w:r>
              <w:rPr>
                <w:rFonts w:hint="eastAsia"/>
                <w:sz w:val="24"/>
              </w:rPr>
              <w:t>油烟净化器</w:t>
            </w:r>
            <w:r>
              <w:rPr>
                <w:sz w:val="24"/>
              </w:rPr>
              <w:t>处理后排放量为</w:t>
            </w:r>
            <w:r>
              <w:rPr>
                <w:rFonts w:hint="eastAsia"/>
                <w:sz w:val="24"/>
              </w:rPr>
              <w:t>0</w:t>
            </w:r>
            <w:r>
              <w:rPr>
                <w:sz w:val="24"/>
              </w:rPr>
              <w:t>.047t/a</w:t>
            </w:r>
            <w:r>
              <w:rPr>
                <w:rFonts w:hint="eastAsia"/>
                <w:sz w:val="24"/>
              </w:rPr>
              <w:t>，</w:t>
            </w:r>
            <w:r>
              <w:rPr>
                <w:sz w:val="24"/>
              </w:rPr>
              <w:t>外排废水主要包括生活污水</w:t>
            </w:r>
            <w:r>
              <w:rPr>
                <w:rFonts w:hint="eastAsia"/>
                <w:sz w:val="24"/>
              </w:rPr>
              <w:t>，生活污水排放量为3</w:t>
            </w:r>
            <w:r>
              <w:rPr>
                <w:sz w:val="24"/>
              </w:rPr>
              <w:t>1.05 m</w:t>
            </w:r>
            <w:r>
              <w:rPr>
                <w:sz w:val="24"/>
                <w:vertAlign w:val="superscript"/>
              </w:rPr>
              <w:t>3</w:t>
            </w:r>
            <w:r>
              <w:rPr>
                <w:sz w:val="24"/>
              </w:rPr>
              <w:t>/d</w:t>
            </w:r>
            <w:r>
              <w:rPr>
                <w:rFonts w:hint="eastAsia"/>
                <w:sz w:val="24"/>
              </w:rPr>
              <w:t>。</w:t>
            </w:r>
          </w:p>
          <w:p>
            <w:pPr>
              <w:adjustRightInd w:val="0"/>
              <w:snapToGrid w:val="0"/>
              <w:spacing w:line="360" w:lineRule="auto"/>
              <w:ind w:firstLine="480" w:firstLineChars="200"/>
              <w:rPr>
                <w:sz w:val="24"/>
              </w:rPr>
            </w:pPr>
            <w:r>
              <w:rPr>
                <w:sz w:val="24"/>
              </w:rPr>
              <w:t>项目改建后</w:t>
            </w:r>
            <w:r>
              <w:rPr>
                <w:rFonts w:hint="eastAsia"/>
                <w:sz w:val="24"/>
              </w:rPr>
              <w:t>，</w:t>
            </w:r>
            <w:r>
              <w:rPr>
                <w:sz w:val="24"/>
              </w:rPr>
              <w:t>采用特选特供</w:t>
            </w:r>
            <w:r>
              <w:rPr>
                <w:rFonts w:hint="eastAsia"/>
                <w:sz w:val="24"/>
              </w:rPr>
              <w:t>2</w:t>
            </w:r>
            <w:r>
              <w:rPr>
                <w:sz w:val="24"/>
              </w:rPr>
              <w:t>2号优质原生铁</w:t>
            </w:r>
            <w:r>
              <w:rPr>
                <w:rFonts w:hint="eastAsia"/>
                <w:sz w:val="24"/>
              </w:rPr>
              <w:t>经电炉熔化后压铸成型，然后对毛坯进行打磨抛光，再对部分产品进行Q</w:t>
            </w:r>
            <w:r>
              <w:rPr>
                <w:sz w:val="24"/>
              </w:rPr>
              <w:t>PQ盐浴复合热处理</w:t>
            </w:r>
            <w:r>
              <w:rPr>
                <w:rFonts w:hint="eastAsia"/>
                <w:sz w:val="24"/>
              </w:rPr>
              <w:t>，年产2</w:t>
            </w:r>
            <w:r>
              <w:rPr>
                <w:sz w:val="24"/>
              </w:rPr>
              <w:t>00万口铸铁锅</w:t>
            </w:r>
            <w:r>
              <w:rPr>
                <w:rFonts w:hint="eastAsia"/>
                <w:sz w:val="24"/>
              </w:rPr>
              <w:t>，最后对成品锅具进行包装。本项目建成后。项目废气主要包括抛光粉尘、盐浴氮化过程产生的含氨废气。其中抛光粉尘经布袋除尘处理后排放，排放量为0</w:t>
            </w:r>
            <w:r>
              <w:rPr>
                <w:sz w:val="24"/>
              </w:rPr>
              <w:t>.0128t/a</w:t>
            </w:r>
            <w:r>
              <w:rPr>
                <w:rFonts w:hint="eastAsia"/>
                <w:sz w:val="24"/>
              </w:rPr>
              <w:t>，</w:t>
            </w:r>
            <w:r>
              <w:rPr>
                <w:sz w:val="24"/>
              </w:rPr>
              <w:t>含氨废气采用</w:t>
            </w:r>
            <w:r>
              <w:rPr>
                <w:rFonts w:hint="eastAsia"/>
                <w:sz w:val="24"/>
              </w:rPr>
              <w:t>“集气罩+负压抽风+水喷淋+</w:t>
            </w:r>
            <w:r>
              <w:rPr>
                <w:sz w:val="24"/>
              </w:rPr>
              <w:t>光氧催化</w:t>
            </w:r>
            <w:r>
              <w:rPr>
                <w:rFonts w:hint="eastAsia"/>
                <w:sz w:val="24"/>
              </w:rPr>
              <w:t>+</w:t>
            </w:r>
            <w:r>
              <w:rPr>
                <w:sz w:val="24"/>
              </w:rPr>
              <w:t>15m排气筒排放</w:t>
            </w:r>
            <w:r>
              <w:rPr>
                <w:rFonts w:hint="eastAsia"/>
                <w:sz w:val="24"/>
              </w:rPr>
              <w:t>”，含氨废气排放量为</w:t>
            </w:r>
            <w:r>
              <w:rPr>
                <w:sz w:val="24"/>
              </w:rPr>
              <w:t>0.068t/a</w:t>
            </w:r>
            <w:r>
              <w:rPr>
                <w:rFonts w:hint="eastAsia"/>
                <w:sz w:val="24"/>
              </w:rPr>
              <w:t>。项目外排废水主要为生活污水，由于本项目改建不新增劳动定员，故无新增外排废水。项目改扩建</w:t>
            </w:r>
            <w:r>
              <w:rPr>
                <w:sz w:val="24"/>
              </w:rPr>
              <w:t>前后“三本帐”见下表所示：</w:t>
            </w:r>
          </w:p>
          <w:p>
            <w:pPr>
              <w:adjustRightInd w:val="0"/>
              <w:snapToGrid w:val="0"/>
              <w:spacing w:line="360" w:lineRule="auto"/>
              <w:ind w:firstLine="480" w:firstLineChars="200"/>
              <w:rPr>
                <w:sz w:val="24"/>
              </w:rPr>
            </w:pPr>
            <w:r>
              <w:rPr>
                <w:sz w:val="24"/>
              </w:rPr>
              <w:t>三本帐算法：技改前排放量-“以新带老”削减量+技改项目排放量=技改完成后总排放量</w:t>
            </w:r>
            <w:r>
              <w:rPr>
                <w:rFonts w:hint="eastAsia"/>
                <w:sz w:val="24"/>
              </w:rPr>
              <w:t>。</w:t>
            </w:r>
          </w:p>
          <w:p>
            <w:pPr>
              <w:adjustRightInd w:val="0"/>
              <w:snapToGrid w:val="0"/>
              <w:spacing w:line="360" w:lineRule="auto"/>
              <w:ind w:firstLine="482"/>
              <w:jc w:val="center"/>
              <w:rPr>
                <w:rFonts w:ascii="宋体" w:hAnsi="宋体" w:cs="宋体"/>
                <w:b/>
                <w:sz w:val="24"/>
              </w:rPr>
            </w:pPr>
            <w:r>
              <w:rPr>
                <w:rFonts w:hint="eastAsia" w:ascii="宋体" w:hAnsi="宋体" w:cs="宋体"/>
                <w:b/>
                <w:sz w:val="24"/>
              </w:rPr>
              <w:t>表5-</w:t>
            </w:r>
            <w:r>
              <w:rPr>
                <w:rFonts w:ascii="宋体" w:hAnsi="宋体" w:cs="宋体"/>
                <w:b/>
                <w:sz w:val="24"/>
              </w:rPr>
              <w:t>14</w:t>
            </w:r>
            <w:r>
              <w:rPr>
                <w:rFonts w:hint="eastAsia" w:ascii="宋体" w:hAnsi="宋体" w:cs="宋体"/>
                <w:b/>
                <w:sz w:val="24"/>
              </w:rPr>
              <w:t xml:space="preserve">    项目三本帐统计表</w:t>
            </w:r>
          </w:p>
          <w:tbl>
            <w:tblPr>
              <w:tblStyle w:val="53"/>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1276"/>
              <w:gridCol w:w="1275"/>
              <w:gridCol w:w="1297"/>
              <w:gridCol w:w="1209"/>
              <w:gridCol w:w="127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704" w:type="dxa"/>
                  <w:vAlign w:val="center"/>
                </w:tcPr>
                <w:p>
                  <w:pPr>
                    <w:jc w:val="center"/>
                    <w:rPr>
                      <w:szCs w:val="21"/>
                    </w:rPr>
                  </w:pPr>
                  <w:r>
                    <w:rPr>
                      <w:szCs w:val="21"/>
                    </w:rPr>
                    <w:t>污染源</w:t>
                  </w:r>
                </w:p>
              </w:tc>
              <w:tc>
                <w:tcPr>
                  <w:tcW w:w="2127" w:type="dxa"/>
                  <w:gridSpan w:val="2"/>
                  <w:vAlign w:val="center"/>
                </w:tcPr>
                <w:p>
                  <w:pPr>
                    <w:jc w:val="center"/>
                    <w:rPr>
                      <w:szCs w:val="21"/>
                    </w:rPr>
                  </w:pPr>
                  <w:r>
                    <w:rPr>
                      <w:szCs w:val="21"/>
                    </w:rPr>
                    <w:t>污染物</w:t>
                  </w:r>
                </w:p>
              </w:tc>
              <w:tc>
                <w:tcPr>
                  <w:tcW w:w="1275" w:type="dxa"/>
                  <w:vAlign w:val="center"/>
                </w:tcPr>
                <w:p>
                  <w:pPr>
                    <w:jc w:val="center"/>
                    <w:rPr>
                      <w:szCs w:val="21"/>
                    </w:rPr>
                  </w:pPr>
                  <w:r>
                    <w:rPr>
                      <w:szCs w:val="21"/>
                    </w:rPr>
                    <w:t>技改前排放（t/a）</w:t>
                  </w:r>
                </w:p>
              </w:tc>
              <w:tc>
                <w:tcPr>
                  <w:tcW w:w="1297" w:type="dxa"/>
                  <w:vAlign w:val="center"/>
                </w:tcPr>
                <w:p>
                  <w:pPr>
                    <w:jc w:val="center"/>
                    <w:rPr>
                      <w:szCs w:val="21"/>
                    </w:rPr>
                  </w:pPr>
                  <w:r>
                    <w:rPr>
                      <w:szCs w:val="21"/>
                    </w:rPr>
                    <w:t>技改部分排放量（t/a）</w:t>
                  </w:r>
                </w:p>
              </w:tc>
              <w:tc>
                <w:tcPr>
                  <w:tcW w:w="1209" w:type="dxa"/>
                  <w:vAlign w:val="center"/>
                </w:tcPr>
                <w:p>
                  <w:pPr>
                    <w:jc w:val="center"/>
                    <w:rPr>
                      <w:szCs w:val="21"/>
                    </w:rPr>
                  </w:pPr>
                  <w:r>
                    <w:rPr>
                      <w:szCs w:val="21"/>
                    </w:rPr>
                    <w:t>“以新带老”消减量</w:t>
                  </w:r>
                </w:p>
              </w:tc>
              <w:tc>
                <w:tcPr>
                  <w:tcW w:w="1276" w:type="dxa"/>
                  <w:vAlign w:val="center"/>
                </w:tcPr>
                <w:p>
                  <w:pPr>
                    <w:jc w:val="center"/>
                    <w:rPr>
                      <w:szCs w:val="21"/>
                    </w:rPr>
                  </w:pPr>
                  <w:r>
                    <w:rPr>
                      <w:szCs w:val="21"/>
                    </w:rPr>
                    <w:t>技改完成后总排放量</w:t>
                  </w:r>
                </w:p>
              </w:tc>
              <w:tc>
                <w:tcPr>
                  <w:tcW w:w="1168" w:type="dxa"/>
                  <w:vAlign w:val="center"/>
                </w:tcPr>
                <w:p>
                  <w:pPr>
                    <w:jc w:val="center"/>
                    <w:rPr>
                      <w:szCs w:val="21"/>
                    </w:rPr>
                  </w:pPr>
                  <w:r>
                    <w:rPr>
                      <w:szCs w:val="21"/>
                    </w:rPr>
                    <w:t>增减量变化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704" w:type="dxa"/>
                  <w:vMerge w:val="restart"/>
                  <w:vAlign w:val="center"/>
                </w:tcPr>
                <w:p>
                  <w:pPr>
                    <w:jc w:val="center"/>
                    <w:rPr>
                      <w:szCs w:val="21"/>
                    </w:rPr>
                  </w:pPr>
                  <w:r>
                    <w:rPr>
                      <w:szCs w:val="21"/>
                    </w:rPr>
                    <w:t>废气</w:t>
                  </w:r>
                </w:p>
              </w:tc>
              <w:tc>
                <w:tcPr>
                  <w:tcW w:w="851" w:type="dxa"/>
                  <w:vAlign w:val="center"/>
                </w:tcPr>
                <w:p>
                  <w:pPr>
                    <w:jc w:val="center"/>
                    <w:rPr>
                      <w:szCs w:val="21"/>
                    </w:rPr>
                  </w:pPr>
                  <w:r>
                    <w:rPr>
                      <w:rFonts w:hint="eastAsia"/>
                      <w:szCs w:val="21"/>
                    </w:rPr>
                    <w:t>有组织排放</w:t>
                  </w:r>
                </w:p>
              </w:tc>
              <w:tc>
                <w:tcPr>
                  <w:tcW w:w="1276" w:type="dxa"/>
                  <w:vAlign w:val="center"/>
                </w:tcPr>
                <w:p>
                  <w:pPr>
                    <w:jc w:val="center"/>
                    <w:rPr>
                      <w:szCs w:val="21"/>
                    </w:rPr>
                  </w:pPr>
                  <w:r>
                    <w:rPr>
                      <w:rFonts w:hint="eastAsia"/>
                      <w:szCs w:val="21"/>
                    </w:rPr>
                    <w:t>含氨废气</w:t>
                  </w:r>
                </w:p>
              </w:tc>
              <w:tc>
                <w:tcPr>
                  <w:tcW w:w="1275" w:type="dxa"/>
                  <w:vAlign w:val="center"/>
                </w:tcPr>
                <w:p>
                  <w:pPr>
                    <w:jc w:val="center"/>
                    <w:rPr>
                      <w:szCs w:val="21"/>
                    </w:rPr>
                  </w:pPr>
                  <w:r>
                    <w:rPr>
                      <w:szCs w:val="21"/>
                    </w:rPr>
                    <w:t>0</w:t>
                  </w:r>
                </w:p>
              </w:tc>
              <w:tc>
                <w:tcPr>
                  <w:tcW w:w="1297" w:type="dxa"/>
                  <w:vAlign w:val="center"/>
                </w:tcPr>
                <w:p>
                  <w:pPr>
                    <w:jc w:val="center"/>
                    <w:rPr>
                      <w:szCs w:val="21"/>
                    </w:rPr>
                  </w:pPr>
                  <w:r>
                    <w:rPr>
                      <w:szCs w:val="21"/>
                    </w:rPr>
                    <w:t>0.068</w:t>
                  </w:r>
                </w:p>
              </w:tc>
              <w:tc>
                <w:tcPr>
                  <w:tcW w:w="1209" w:type="dxa"/>
                  <w:vAlign w:val="center"/>
                </w:tcPr>
                <w:p>
                  <w:pPr>
                    <w:jc w:val="center"/>
                    <w:rPr>
                      <w:szCs w:val="21"/>
                    </w:rPr>
                  </w:pPr>
                  <w:r>
                    <w:rPr>
                      <w:szCs w:val="21"/>
                    </w:rPr>
                    <w:t>0</w:t>
                  </w:r>
                </w:p>
              </w:tc>
              <w:tc>
                <w:tcPr>
                  <w:tcW w:w="1276" w:type="dxa"/>
                  <w:vAlign w:val="center"/>
                </w:tcPr>
                <w:p>
                  <w:pPr>
                    <w:jc w:val="center"/>
                    <w:rPr>
                      <w:szCs w:val="21"/>
                    </w:rPr>
                  </w:pPr>
                  <w:r>
                    <w:rPr>
                      <w:szCs w:val="21"/>
                    </w:rPr>
                    <w:t>0.0067</w:t>
                  </w:r>
                </w:p>
              </w:tc>
              <w:tc>
                <w:tcPr>
                  <w:tcW w:w="1168" w:type="dxa"/>
                  <w:vAlign w:val="center"/>
                </w:tcPr>
                <w:p>
                  <w:pPr>
                    <w:jc w:val="center"/>
                    <w:rPr>
                      <w:szCs w:val="21"/>
                    </w:rPr>
                  </w:pPr>
                  <w:r>
                    <w:rPr>
                      <w:szCs w:val="21"/>
                    </w:rPr>
                    <w:t>+0.068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04" w:type="dxa"/>
                  <w:vMerge w:val="continue"/>
                  <w:vAlign w:val="center"/>
                </w:tcPr>
                <w:p>
                  <w:pPr>
                    <w:jc w:val="center"/>
                    <w:rPr>
                      <w:szCs w:val="21"/>
                    </w:rPr>
                  </w:pPr>
                </w:p>
              </w:tc>
              <w:tc>
                <w:tcPr>
                  <w:tcW w:w="851" w:type="dxa"/>
                  <w:vMerge w:val="restart"/>
                  <w:vAlign w:val="center"/>
                </w:tcPr>
                <w:p>
                  <w:pPr>
                    <w:jc w:val="center"/>
                    <w:rPr>
                      <w:szCs w:val="21"/>
                    </w:rPr>
                  </w:pPr>
                  <w:r>
                    <w:rPr>
                      <w:rFonts w:hint="eastAsia"/>
                      <w:szCs w:val="21"/>
                    </w:rPr>
                    <w:t>无组织排放</w:t>
                  </w:r>
                </w:p>
              </w:tc>
              <w:tc>
                <w:tcPr>
                  <w:tcW w:w="1276" w:type="dxa"/>
                  <w:vAlign w:val="center"/>
                </w:tcPr>
                <w:p>
                  <w:pPr>
                    <w:jc w:val="center"/>
                    <w:rPr>
                      <w:szCs w:val="21"/>
                    </w:rPr>
                  </w:pPr>
                  <w:r>
                    <w:rPr>
                      <w:rFonts w:hint="eastAsia"/>
                      <w:szCs w:val="21"/>
                    </w:rPr>
                    <w:t>含氨废气</w:t>
                  </w:r>
                </w:p>
              </w:tc>
              <w:tc>
                <w:tcPr>
                  <w:tcW w:w="1275" w:type="dxa"/>
                  <w:vAlign w:val="center"/>
                </w:tcPr>
                <w:p>
                  <w:pPr>
                    <w:jc w:val="center"/>
                  </w:pPr>
                  <w:r>
                    <w:rPr>
                      <w:szCs w:val="21"/>
                    </w:rPr>
                    <w:t>0</w:t>
                  </w:r>
                </w:p>
              </w:tc>
              <w:tc>
                <w:tcPr>
                  <w:tcW w:w="1297" w:type="dxa"/>
                  <w:vAlign w:val="center"/>
                </w:tcPr>
                <w:p>
                  <w:pPr>
                    <w:jc w:val="center"/>
                  </w:pPr>
                  <w:r>
                    <w:rPr>
                      <w:szCs w:val="21"/>
                    </w:rPr>
                    <w:t>0.0054</w:t>
                  </w:r>
                </w:p>
              </w:tc>
              <w:tc>
                <w:tcPr>
                  <w:tcW w:w="1209" w:type="dxa"/>
                  <w:vAlign w:val="center"/>
                </w:tcPr>
                <w:p>
                  <w:pPr>
                    <w:jc w:val="center"/>
                  </w:pPr>
                  <w:r>
                    <w:rPr>
                      <w:szCs w:val="21"/>
                    </w:rPr>
                    <w:t>0</w:t>
                  </w:r>
                </w:p>
              </w:tc>
              <w:tc>
                <w:tcPr>
                  <w:tcW w:w="1276" w:type="dxa"/>
                  <w:vAlign w:val="center"/>
                </w:tcPr>
                <w:p>
                  <w:pPr>
                    <w:jc w:val="center"/>
                  </w:pPr>
                  <w:r>
                    <w:rPr>
                      <w:szCs w:val="21"/>
                    </w:rPr>
                    <w:t>0.0054</w:t>
                  </w:r>
                </w:p>
              </w:tc>
              <w:tc>
                <w:tcPr>
                  <w:tcW w:w="1168" w:type="dxa"/>
                  <w:vAlign w:val="center"/>
                </w:tcPr>
                <w:p>
                  <w:pPr>
                    <w:jc w:val="center"/>
                    <w:rPr>
                      <w:szCs w:val="21"/>
                    </w:rPr>
                  </w:pPr>
                  <w:r>
                    <w:rPr>
                      <w:szCs w:val="21"/>
                    </w:rPr>
                    <w:t>+0.0054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04" w:type="dxa"/>
                  <w:vMerge w:val="continue"/>
                  <w:vAlign w:val="center"/>
                </w:tcPr>
                <w:p>
                  <w:pPr>
                    <w:jc w:val="center"/>
                    <w:rPr>
                      <w:szCs w:val="21"/>
                    </w:rPr>
                  </w:pPr>
                </w:p>
              </w:tc>
              <w:tc>
                <w:tcPr>
                  <w:tcW w:w="851" w:type="dxa"/>
                  <w:vMerge w:val="continue"/>
                  <w:vAlign w:val="center"/>
                </w:tcPr>
                <w:p>
                  <w:pPr>
                    <w:jc w:val="center"/>
                    <w:rPr>
                      <w:szCs w:val="21"/>
                    </w:rPr>
                  </w:pPr>
                </w:p>
              </w:tc>
              <w:tc>
                <w:tcPr>
                  <w:tcW w:w="1276" w:type="dxa"/>
                  <w:vAlign w:val="center"/>
                </w:tcPr>
                <w:p>
                  <w:pPr>
                    <w:jc w:val="center"/>
                    <w:rPr>
                      <w:szCs w:val="21"/>
                    </w:rPr>
                  </w:pPr>
                  <w:r>
                    <w:rPr>
                      <w:rFonts w:hint="eastAsia"/>
                      <w:szCs w:val="21"/>
                    </w:rPr>
                    <w:t>粉尘</w:t>
                  </w:r>
                </w:p>
              </w:tc>
              <w:tc>
                <w:tcPr>
                  <w:tcW w:w="1275" w:type="dxa"/>
                  <w:vAlign w:val="center"/>
                </w:tcPr>
                <w:p>
                  <w:pPr>
                    <w:jc w:val="center"/>
                    <w:rPr>
                      <w:szCs w:val="21"/>
                    </w:rPr>
                  </w:pPr>
                  <w:r>
                    <w:rPr>
                      <w:rFonts w:hint="eastAsia"/>
                      <w:szCs w:val="21"/>
                    </w:rPr>
                    <w:t>0</w:t>
                  </w:r>
                  <w:r>
                    <w:rPr>
                      <w:szCs w:val="21"/>
                    </w:rPr>
                    <w:t>.051</w:t>
                  </w:r>
                </w:p>
              </w:tc>
              <w:tc>
                <w:tcPr>
                  <w:tcW w:w="1297" w:type="dxa"/>
                  <w:vAlign w:val="center"/>
                </w:tcPr>
                <w:p>
                  <w:pPr>
                    <w:jc w:val="center"/>
                    <w:rPr>
                      <w:szCs w:val="21"/>
                    </w:rPr>
                  </w:pPr>
                  <w:r>
                    <w:rPr>
                      <w:szCs w:val="21"/>
                    </w:rPr>
                    <w:t>0.0128</w:t>
                  </w:r>
                </w:p>
              </w:tc>
              <w:tc>
                <w:tcPr>
                  <w:tcW w:w="1209" w:type="dxa"/>
                  <w:vAlign w:val="center"/>
                </w:tcPr>
                <w:p>
                  <w:pPr>
                    <w:jc w:val="center"/>
                    <w:rPr>
                      <w:szCs w:val="21"/>
                    </w:rPr>
                  </w:pPr>
                  <w:r>
                    <w:rPr>
                      <w:szCs w:val="21"/>
                    </w:rPr>
                    <w:t>0</w:t>
                  </w:r>
                </w:p>
              </w:tc>
              <w:tc>
                <w:tcPr>
                  <w:tcW w:w="1276" w:type="dxa"/>
                  <w:vAlign w:val="center"/>
                </w:tcPr>
                <w:p>
                  <w:pPr>
                    <w:jc w:val="center"/>
                    <w:rPr>
                      <w:szCs w:val="21"/>
                    </w:rPr>
                  </w:pPr>
                  <w:r>
                    <w:rPr>
                      <w:rFonts w:hint="eastAsia"/>
                      <w:szCs w:val="21"/>
                    </w:rPr>
                    <w:t>0</w:t>
                  </w:r>
                  <w:r>
                    <w:rPr>
                      <w:szCs w:val="21"/>
                    </w:rPr>
                    <w:t>.0638</w:t>
                  </w:r>
                </w:p>
              </w:tc>
              <w:tc>
                <w:tcPr>
                  <w:tcW w:w="1168" w:type="dxa"/>
                  <w:vAlign w:val="center"/>
                </w:tcPr>
                <w:p>
                  <w:pPr>
                    <w:jc w:val="center"/>
                    <w:rPr>
                      <w:szCs w:val="21"/>
                    </w:rPr>
                  </w:pPr>
                  <w:r>
                    <w:rPr>
                      <w:rFonts w:hint="eastAsia"/>
                      <w:szCs w:val="21"/>
                    </w:rPr>
                    <w:t>+</w:t>
                  </w:r>
                  <w:r>
                    <w:rPr>
                      <w:szCs w:val="21"/>
                    </w:rPr>
                    <w:t>0.0128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704" w:type="dxa"/>
                  <w:vMerge w:val="restart"/>
                  <w:vAlign w:val="center"/>
                </w:tcPr>
                <w:p>
                  <w:pPr>
                    <w:jc w:val="center"/>
                    <w:rPr>
                      <w:szCs w:val="21"/>
                    </w:rPr>
                  </w:pPr>
                  <w:r>
                    <w:rPr>
                      <w:szCs w:val="21"/>
                    </w:rPr>
                    <w:t>废水</w:t>
                  </w:r>
                </w:p>
              </w:tc>
              <w:tc>
                <w:tcPr>
                  <w:tcW w:w="851" w:type="dxa"/>
                  <w:vMerge w:val="restart"/>
                  <w:vAlign w:val="center"/>
                </w:tcPr>
                <w:p>
                  <w:pPr>
                    <w:jc w:val="center"/>
                    <w:rPr>
                      <w:szCs w:val="21"/>
                    </w:rPr>
                  </w:pPr>
                  <w:r>
                    <w:rPr>
                      <w:szCs w:val="21"/>
                    </w:rPr>
                    <w:t>生活污水</w:t>
                  </w:r>
                </w:p>
              </w:tc>
              <w:tc>
                <w:tcPr>
                  <w:tcW w:w="1276" w:type="dxa"/>
                  <w:vAlign w:val="center"/>
                </w:tcPr>
                <w:p>
                  <w:pPr>
                    <w:jc w:val="center"/>
                    <w:rPr>
                      <w:szCs w:val="21"/>
                    </w:rPr>
                  </w:pPr>
                  <w:r>
                    <w:rPr>
                      <w:rFonts w:hint="eastAsia"/>
                      <w:szCs w:val="21"/>
                    </w:rPr>
                    <w:t>生活废水</w:t>
                  </w:r>
                </w:p>
              </w:tc>
              <w:tc>
                <w:tcPr>
                  <w:tcW w:w="1275" w:type="dxa"/>
                  <w:vAlign w:val="center"/>
                </w:tcPr>
                <w:p>
                  <w:pPr>
                    <w:jc w:val="center"/>
                    <w:rPr>
                      <w:szCs w:val="21"/>
                    </w:rPr>
                  </w:pPr>
                  <w:r>
                    <w:rPr>
                      <w:rFonts w:hint="eastAsia"/>
                      <w:szCs w:val="21"/>
                    </w:rPr>
                    <w:t>869</w:t>
                  </w:r>
                  <w:r>
                    <w:rPr>
                      <w:szCs w:val="21"/>
                    </w:rPr>
                    <w:t>4</w:t>
                  </w:r>
                </w:p>
              </w:tc>
              <w:tc>
                <w:tcPr>
                  <w:tcW w:w="1297" w:type="dxa"/>
                  <w:vAlign w:val="center"/>
                </w:tcPr>
                <w:p>
                  <w:pPr>
                    <w:jc w:val="center"/>
                    <w:rPr>
                      <w:szCs w:val="21"/>
                    </w:rPr>
                  </w:pPr>
                  <w:r>
                    <w:rPr>
                      <w:szCs w:val="21"/>
                    </w:rPr>
                    <w:t>0</w:t>
                  </w:r>
                </w:p>
              </w:tc>
              <w:tc>
                <w:tcPr>
                  <w:tcW w:w="1209" w:type="dxa"/>
                  <w:vAlign w:val="center"/>
                </w:tcPr>
                <w:p>
                  <w:pPr>
                    <w:jc w:val="center"/>
                    <w:rPr>
                      <w:szCs w:val="21"/>
                    </w:rPr>
                  </w:pPr>
                  <w:r>
                    <w:rPr>
                      <w:szCs w:val="21"/>
                    </w:rPr>
                    <w:t>0</w:t>
                  </w:r>
                </w:p>
              </w:tc>
              <w:tc>
                <w:tcPr>
                  <w:tcW w:w="1276" w:type="dxa"/>
                  <w:vAlign w:val="center"/>
                </w:tcPr>
                <w:p>
                  <w:pPr>
                    <w:jc w:val="center"/>
                    <w:rPr>
                      <w:szCs w:val="21"/>
                    </w:rPr>
                  </w:pPr>
                  <w:r>
                    <w:rPr>
                      <w:rFonts w:hint="eastAsia"/>
                      <w:szCs w:val="21"/>
                    </w:rPr>
                    <w:t>8</w:t>
                  </w:r>
                  <w:r>
                    <w:rPr>
                      <w:szCs w:val="21"/>
                    </w:rPr>
                    <w:t>694</w:t>
                  </w:r>
                </w:p>
              </w:tc>
              <w:tc>
                <w:tcPr>
                  <w:tcW w:w="1168"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704" w:type="dxa"/>
                  <w:vMerge w:val="continue"/>
                  <w:vAlign w:val="center"/>
                </w:tcPr>
                <w:p>
                  <w:pPr>
                    <w:jc w:val="center"/>
                    <w:rPr>
                      <w:szCs w:val="21"/>
                    </w:rPr>
                  </w:pPr>
                </w:p>
              </w:tc>
              <w:tc>
                <w:tcPr>
                  <w:tcW w:w="851" w:type="dxa"/>
                  <w:vMerge w:val="continue"/>
                  <w:vAlign w:val="center"/>
                </w:tcPr>
                <w:p>
                  <w:pPr>
                    <w:jc w:val="center"/>
                    <w:rPr>
                      <w:szCs w:val="21"/>
                    </w:rPr>
                  </w:pPr>
                </w:p>
              </w:tc>
              <w:tc>
                <w:tcPr>
                  <w:tcW w:w="1276" w:type="dxa"/>
                  <w:vAlign w:val="center"/>
                </w:tcPr>
                <w:p>
                  <w:pPr>
                    <w:jc w:val="center"/>
                    <w:rPr>
                      <w:szCs w:val="21"/>
                    </w:rPr>
                  </w:pPr>
                  <w:r>
                    <w:rPr>
                      <w:szCs w:val="21"/>
                    </w:rPr>
                    <w:t>COD</w:t>
                  </w:r>
                </w:p>
              </w:tc>
              <w:tc>
                <w:tcPr>
                  <w:tcW w:w="1275" w:type="dxa"/>
                  <w:vAlign w:val="center"/>
                </w:tcPr>
                <w:p>
                  <w:pPr>
                    <w:jc w:val="center"/>
                  </w:pPr>
                  <w:r>
                    <w:rPr>
                      <w:szCs w:val="21"/>
                    </w:rPr>
                    <w:t>0.43</w:t>
                  </w:r>
                </w:p>
              </w:tc>
              <w:tc>
                <w:tcPr>
                  <w:tcW w:w="1297" w:type="dxa"/>
                  <w:vAlign w:val="center"/>
                </w:tcPr>
                <w:p>
                  <w:pPr>
                    <w:jc w:val="center"/>
                    <w:rPr>
                      <w:szCs w:val="21"/>
                    </w:rPr>
                  </w:pPr>
                  <w:r>
                    <w:rPr>
                      <w:szCs w:val="21"/>
                    </w:rPr>
                    <w:t>0</w:t>
                  </w:r>
                </w:p>
              </w:tc>
              <w:tc>
                <w:tcPr>
                  <w:tcW w:w="1209" w:type="dxa"/>
                  <w:vAlign w:val="center"/>
                </w:tcPr>
                <w:p>
                  <w:pPr>
                    <w:jc w:val="center"/>
                  </w:pPr>
                  <w:r>
                    <w:rPr>
                      <w:szCs w:val="21"/>
                    </w:rPr>
                    <w:t>0</w:t>
                  </w:r>
                </w:p>
              </w:tc>
              <w:tc>
                <w:tcPr>
                  <w:tcW w:w="1276" w:type="dxa"/>
                  <w:vAlign w:val="center"/>
                </w:tcPr>
                <w:p>
                  <w:pPr>
                    <w:jc w:val="center"/>
                    <w:rPr>
                      <w:szCs w:val="21"/>
                    </w:rPr>
                  </w:pPr>
                  <w:r>
                    <w:rPr>
                      <w:szCs w:val="21"/>
                    </w:rPr>
                    <w:t>0.43</w:t>
                  </w:r>
                </w:p>
              </w:tc>
              <w:tc>
                <w:tcPr>
                  <w:tcW w:w="1168"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704" w:type="dxa"/>
                  <w:vMerge w:val="continue"/>
                  <w:vAlign w:val="center"/>
                </w:tcPr>
                <w:p>
                  <w:pPr>
                    <w:jc w:val="center"/>
                    <w:rPr>
                      <w:szCs w:val="21"/>
                    </w:rPr>
                  </w:pPr>
                </w:p>
              </w:tc>
              <w:tc>
                <w:tcPr>
                  <w:tcW w:w="851" w:type="dxa"/>
                  <w:vMerge w:val="continue"/>
                  <w:vAlign w:val="center"/>
                </w:tcPr>
                <w:p>
                  <w:pPr>
                    <w:jc w:val="center"/>
                    <w:rPr>
                      <w:szCs w:val="21"/>
                    </w:rPr>
                  </w:pPr>
                </w:p>
              </w:tc>
              <w:tc>
                <w:tcPr>
                  <w:tcW w:w="1276" w:type="dxa"/>
                  <w:vAlign w:val="center"/>
                </w:tcPr>
                <w:p>
                  <w:pPr>
                    <w:spacing w:line="360" w:lineRule="exact"/>
                    <w:jc w:val="center"/>
                    <w:rPr>
                      <w:szCs w:val="21"/>
                    </w:rPr>
                  </w:pPr>
                  <w:r>
                    <w:rPr>
                      <w:szCs w:val="21"/>
                    </w:rPr>
                    <w:t>NH</w:t>
                  </w:r>
                  <w:r>
                    <w:rPr>
                      <w:szCs w:val="21"/>
                      <w:vertAlign w:val="subscript"/>
                    </w:rPr>
                    <w:t>3</w:t>
                  </w:r>
                  <w:r>
                    <w:rPr>
                      <w:szCs w:val="21"/>
                    </w:rPr>
                    <w:t>-N</w:t>
                  </w:r>
                </w:p>
              </w:tc>
              <w:tc>
                <w:tcPr>
                  <w:tcW w:w="1275" w:type="dxa"/>
                  <w:vAlign w:val="center"/>
                </w:tcPr>
                <w:p>
                  <w:pPr>
                    <w:jc w:val="center"/>
                  </w:pPr>
                  <w:r>
                    <w:rPr>
                      <w:szCs w:val="21"/>
                    </w:rPr>
                    <w:t>0.043</w:t>
                  </w:r>
                </w:p>
              </w:tc>
              <w:tc>
                <w:tcPr>
                  <w:tcW w:w="1297" w:type="dxa"/>
                  <w:vAlign w:val="center"/>
                </w:tcPr>
                <w:p>
                  <w:pPr>
                    <w:jc w:val="center"/>
                    <w:rPr>
                      <w:szCs w:val="21"/>
                    </w:rPr>
                  </w:pPr>
                  <w:r>
                    <w:rPr>
                      <w:szCs w:val="21"/>
                    </w:rPr>
                    <w:t>0</w:t>
                  </w:r>
                </w:p>
              </w:tc>
              <w:tc>
                <w:tcPr>
                  <w:tcW w:w="1209" w:type="dxa"/>
                  <w:vAlign w:val="center"/>
                </w:tcPr>
                <w:p>
                  <w:pPr>
                    <w:jc w:val="center"/>
                  </w:pPr>
                  <w:r>
                    <w:rPr>
                      <w:szCs w:val="21"/>
                    </w:rPr>
                    <w:t>0</w:t>
                  </w:r>
                </w:p>
              </w:tc>
              <w:tc>
                <w:tcPr>
                  <w:tcW w:w="1276" w:type="dxa"/>
                  <w:vAlign w:val="center"/>
                </w:tcPr>
                <w:p>
                  <w:pPr>
                    <w:jc w:val="center"/>
                    <w:rPr>
                      <w:szCs w:val="21"/>
                    </w:rPr>
                  </w:pPr>
                  <w:r>
                    <w:rPr>
                      <w:szCs w:val="21"/>
                    </w:rPr>
                    <w:t>0.043</w:t>
                  </w:r>
                </w:p>
              </w:tc>
              <w:tc>
                <w:tcPr>
                  <w:tcW w:w="1168"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704" w:type="dxa"/>
                  <w:vMerge w:val="restart"/>
                  <w:vAlign w:val="center"/>
                </w:tcPr>
                <w:p>
                  <w:pPr>
                    <w:jc w:val="center"/>
                    <w:rPr>
                      <w:szCs w:val="21"/>
                    </w:rPr>
                  </w:pPr>
                  <w:r>
                    <w:rPr>
                      <w:szCs w:val="21"/>
                    </w:rPr>
                    <w:t>固体</w:t>
                  </w:r>
                </w:p>
                <w:p>
                  <w:pPr>
                    <w:jc w:val="center"/>
                    <w:rPr>
                      <w:szCs w:val="21"/>
                    </w:rPr>
                  </w:pPr>
                  <w:r>
                    <w:rPr>
                      <w:szCs w:val="21"/>
                    </w:rPr>
                    <w:t>废物</w:t>
                  </w:r>
                </w:p>
              </w:tc>
              <w:tc>
                <w:tcPr>
                  <w:tcW w:w="2127" w:type="dxa"/>
                  <w:gridSpan w:val="2"/>
                  <w:vAlign w:val="center"/>
                </w:tcPr>
                <w:p>
                  <w:pPr>
                    <w:jc w:val="center"/>
                    <w:rPr>
                      <w:szCs w:val="21"/>
                    </w:rPr>
                  </w:pPr>
                  <w:r>
                    <w:rPr>
                      <w:rFonts w:hint="eastAsia"/>
                      <w:szCs w:val="21"/>
                    </w:rPr>
                    <w:t>工业固废</w:t>
                  </w:r>
                </w:p>
              </w:tc>
              <w:tc>
                <w:tcPr>
                  <w:tcW w:w="1275" w:type="dxa"/>
                  <w:vAlign w:val="center"/>
                </w:tcPr>
                <w:p>
                  <w:pPr>
                    <w:jc w:val="center"/>
                    <w:rPr>
                      <w:szCs w:val="21"/>
                    </w:rPr>
                  </w:pPr>
                  <w:r>
                    <w:rPr>
                      <w:szCs w:val="21"/>
                    </w:rPr>
                    <w:t>0</w:t>
                  </w:r>
                </w:p>
              </w:tc>
              <w:tc>
                <w:tcPr>
                  <w:tcW w:w="1297" w:type="dxa"/>
                  <w:vAlign w:val="center"/>
                </w:tcPr>
                <w:p>
                  <w:pPr>
                    <w:jc w:val="center"/>
                    <w:rPr>
                      <w:szCs w:val="21"/>
                    </w:rPr>
                  </w:pPr>
                  <w:r>
                    <w:rPr>
                      <w:szCs w:val="21"/>
                    </w:rPr>
                    <w:t>0</w:t>
                  </w:r>
                </w:p>
              </w:tc>
              <w:tc>
                <w:tcPr>
                  <w:tcW w:w="1209" w:type="dxa"/>
                  <w:vAlign w:val="center"/>
                </w:tcPr>
                <w:p>
                  <w:pPr>
                    <w:jc w:val="center"/>
                    <w:rPr>
                      <w:szCs w:val="21"/>
                    </w:rPr>
                  </w:pPr>
                  <w:r>
                    <w:rPr>
                      <w:szCs w:val="21"/>
                    </w:rPr>
                    <w:t>0</w:t>
                  </w:r>
                </w:p>
              </w:tc>
              <w:tc>
                <w:tcPr>
                  <w:tcW w:w="1276" w:type="dxa"/>
                  <w:vAlign w:val="center"/>
                </w:tcPr>
                <w:p>
                  <w:pPr>
                    <w:jc w:val="center"/>
                    <w:rPr>
                      <w:szCs w:val="21"/>
                    </w:rPr>
                  </w:pPr>
                  <w:r>
                    <w:rPr>
                      <w:szCs w:val="21"/>
                    </w:rPr>
                    <w:t>0</w:t>
                  </w:r>
                </w:p>
              </w:tc>
              <w:tc>
                <w:tcPr>
                  <w:tcW w:w="1168"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704" w:type="dxa"/>
                  <w:vMerge w:val="continue"/>
                  <w:vAlign w:val="center"/>
                </w:tcPr>
                <w:p>
                  <w:pPr>
                    <w:jc w:val="center"/>
                    <w:rPr>
                      <w:szCs w:val="21"/>
                    </w:rPr>
                  </w:pPr>
                </w:p>
              </w:tc>
              <w:tc>
                <w:tcPr>
                  <w:tcW w:w="2127" w:type="dxa"/>
                  <w:gridSpan w:val="2"/>
                  <w:vAlign w:val="center"/>
                </w:tcPr>
                <w:p>
                  <w:pPr>
                    <w:jc w:val="center"/>
                    <w:rPr>
                      <w:szCs w:val="21"/>
                    </w:rPr>
                  </w:pPr>
                  <w:r>
                    <w:rPr>
                      <w:rFonts w:hint="eastAsia"/>
                      <w:szCs w:val="21"/>
                    </w:rPr>
                    <w:t>危险废物</w:t>
                  </w:r>
                </w:p>
              </w:tc>
              <w:tc>
                <w:tcPr>
                  <w:tcW w:w="1275" w:type="dxa"/>
                  <w:vAlign w:val="center"/>
                </w:tcPr>
                <w:p>
                  <w:pPr>
                    <w:jc w:val="center"/>
                    <w:rPr>
                      <w:szCs w:val="21"/>
                    </w:rPr>
                  </w:pPr>
                  <w:r>
                    <w:rPr>
                      <w:szCs w:val="21"/>
                    </w:rPr>
                    <w:t>0</w:t>
                  </w:r>
                </w:p>
              </w:tc>
              <w:tc>
                <w:tcPr>
                  <w:tcW w:w="1297" w:type="dxa"/>
                  <w:vAlign w:val="center"/>
                </w:tcPr>
                <w:p>
                  <w:pPr>
                    <w:jc w:val="center"/>
                    <w:rPr>
                      <w:szCs w:val="21"/>
                    </w:rPr>
                  </w:pPr>
                  <w:r>
                    <w:rPr>
                      <w:szCs w:val="21"/>
                    </w:rPr>
                    <w:t>0</w:t>
                  </w:r>
                </w:p>
              </w:tc>
              <w:tc>
                <w:tcPr>
                  <w:tcW w:w="1209" w:type="dxa"/>
                  <w:vAlign w:val="center"/>
                </w:tcPr>
                <w:p>
                  <w:pPr>
                    <w:jc w:val="center"/>
                    <w:rPr>
                      <w:szCs w:val="21"/>
                    </w:rPr>
                  </w:pPr>
                  <w:r>
                    <w:rPr>
                      <w:szCs w:val="21"/>
                    </w:rPr>
                    <w:t>0</w:t>
                  </w:r>
                </w:p>
              </w:tc>
              <w:tc>
                <w:tcPr>
                  <w:tcW w:w="1276" w:type="dxa"/>
                  <w:vAlign w:val="center"/>
                </w:tcPr>
                <w:p>
                  <w:pPr>
                    <w:jc w:val="center"/>
                    <w:rPr>
                      <w:szCs w:val="21"/>
                    </w:rPr>
                  </w:pPr>
                  <w:r>
                    <w:rPr>
                      <w:szCs w:val="21"/>
                    </w:rPr>
                    <w:t>0</w:t>
                  </w:r>
                </w:p>
              </w:tc>
              <w:tc>
                <w:tcPr>
                  <w:tcW w:w="1168"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704" w:type="dxa"/>
                  <w:vMerge w:val="continue"/>
                  <w:vAlign w:val="center"/>
                </w:tcPr>
                <w:p>
                  <w:pPr>
                    <w:jc w:val="center"/>
                    <w:rPr>
                      <w:szCs w:val="21"/>
                    </w:rPr>
                  </w:pPr>
                </w:p>
              </w:tc>
              <w:tc>
                <w:tcPr>
                  <w:tcW w:w="2127" w:type="dxa"/>
                  <w:gridSpan w:val="2"/>
                  <w:vAlign w:val="center"/>
                </w:tcPr>
                <w:p>
                  <w:pPr>
                    <w:jc w:val="center"/>
                    <w:rPr>
                      <w:szCs w:val="21"/>
                    </w:rPr>
                  </w:pPr>
                  <w:r>
                    <w:rPr>
                      <w:rFonts w:hint="eastAsia"/>
                      <w:szCs w:val="21"/>
                    </w:rPr>
                    <w:t>生活垃圾</w:t>
                  </w:r>
                </w:p>
              </w:tc>
              <w:tc>
                <w:tcPr>
                  <w:tcW w:w="1275" w:type="dxa"/>
                  <w:vAlign w:val="center"/>
                </w:tcPr>
                <w:p>
                  <w:pPr>
                    <w:jc w:val="center"/>
                    <w:rPr>
                      <w:szCs w:val="21"/>
                    </w:rPr>
                  </w:pPr>
                  <w:r>
                    <w:rPr>
                      <w:szCs w:val="21"/>
                    </w:rPr>
                    <w:t>0</w:t>
                  </w:r>
                </w:p>
              </w:tc>
              <w:tc>
                <w:tcPr>
                  <w:tcW w:w="1297" w:type="dxa"/>
                  <w:vAlign w:val="center"/>
                </w:tcPr>
                <w:p>
                  <w:pPr>
                    <w:jc w:val="center"/>
                    <w:rPr>
                      <w:szCs w:val="21"/>
                    </w:rPr>
                  </w:pPr>
                  <w:r>
                    <w:rPr>
                      <w:szCs w:val="21"/>
                    </w:rPr>
                    <w:t>0</w:t>
                  </w:r>
                </w:p>
              </w:tc>
              <w:tc>
                <w:tcPr>
                  <w:tcW w:w="1209" w:type="dxa"/>
                  <w:vAlign w:val="center"/>
                </w:tcPr>
                <w:p>
                  <w:pPr>
                    <w:jc w:val="center"/>
                    <w:rPr>
                      <w:szCs w:val="21"/>
                    </w:rPr>
                  </w:pPr>
                  <w:r>
                    <w:rPr>
                      <w:szCs w:val="21"/>
                    </w:rPr>
                    <w:t>0</w:t>
                  </w:r>
                </w:p>
              </w:tc>
              <w:tc>
                <w:tcPr>
                  <w:tcW w:w="1276" w:type="dxa"/>
                  <w:vAlign w:val="center"/>
                </w:tcPr>
                <w:p>
                  <w:pPr>
                    <w:jc w:val="center"/>
                    <w:rPr>
                      <w:szCs w:val="21"/>
                    </w:rPr>
                  </w:pPr>
                  <w:r>
                    <w:rPr>
                      <w:szCs w:val="21"/>
                    </w:rPr>
                    <w:t>0</w:t>
                  </w:r>
                </w:p>
              </w:tc>
              <w:tc>
                <w:tcPr>
                  <w:tcW w:w="1168" w:type="dxa"/>
                  <w:vAlign w:val="center"/>
                </w:tcPr>
                <w:p>
                  <w:pPr>
                    <w:jc w:val="center"/>
                    <w:rPr>
                      <w:szCs w:val="21"/>
                    </w:rPr>
                  </w:pPr>
                  <w:r>
                    <w:rPr>
                      <w:szCs w:val="21"/>
                    </w:rPr>
                    <w:t>0</w:t>
                  </w:r>
                </w:p>
              </w:tc>
            </w:tr>
          </w:tbl>
          <w:p>
            <w:pPr>
              <w:spacing w:line="360" w:lineRule="auto"/>
              <w:ind w:firstLine="480" w:firstLineChars="200"/>
              <w:rPr>
                <w:sz w:val="24"/>
              </w:rPr>
            </w:pPr>
            <w:r>
              <w:rPr>
                <w:rFonts w:hint="eastAsia"/>
                <w:sz w:val="24"/>
              </w:rPr>
              <w:t>由上表可知，本项目不新增劳动定员，改建前后，生产规模不变，劳动定员也不变，因此，项目生活污水排放量不增加，但改建后，降低了电量消耗（降低约3</w:t>
            </w:r>
            <w:r>
              <w:rPr>
                <w:sz w:val="24"/>
              </w:rPr>
              <w:t>0</w:t>
            </w:r>
            <w:r>
              <w:rPr>
                <w:rFonts w:hint="eastAsia"/>
                <w:sz w:val="24"/>
              </w:rPr>
              <w:t>%），提高了生产废水回用率。同时新增Q</w:t>
            </w:r>
            <w:r>
              <w:rPr>
                <w:sz w:val="24"/>
              </w:rPr>
              <w:t>PQ盐浴复合处理</w:t>
            </w:r>
            <w:r>
              <w:rPr>
                <w:rFonts w:hint="eastAsia"/>
                <w:sz w:val="24"/>
              </w:rPr>
              <w:t>及抛光工序，因此大气污染物浓度及排放量有所增加，但是经过相应治理措施处理后其排放满足《恶臭污染物排放标准》及《大气污染物综合排放标准》中标准要求的。</w:t>
            </w:r>
          </w:p>
          <w:p>
            <w:pPr>
              <w:spacing w:line="360" w:lineRule="auto"/>
              <w:ind w:firstLine="480" w:firstLineChars="200"/>
              <w:rPr>
                <w:rFonts w:ascii="宋体" w:hAnsi="宋体"/>
                <w:sz w:val="24"/>
              </w:rPr>
            </w:pPr>
            <w:r>
              <w:rPr>
                <w:rFonts w:hint="eastAsia"/>
                <w:sz w:val="24"/>
              </w:rPr>
              <w:t>综上所示，乐山豪森锅具有限公司排放的污染物均能得到有效控制，对区域内环境的影响较小，且废水、固体废弃物得到合理处置，对周围环境影响较小。</w:t>
            </w:r>
          </w:p>
        </w:tc>
      </w:tr>
    </w:tbl>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pStyle w:val="3"/>
        <w:jc w:val="both"/>
        <w:rPr>
          <w:rFonts w:ascii="宋体" w:hAnsi="宋体" w:cs="宋体"/>
          <w:b/>
          <w:bCs/>
          <w:sz w:val="30"/>
          <w:szCs w:val="30"/>
        </w:rPr>
      </w:pPr>
      <w:r>
        <w:rPr>
          <w:rFonts w:hint="eastAsia" w:ascii="宋体" w:hAnsi="宋体" w:cs="宋体"/>
          <w:b/>
          <w:bCs/>
          <w:sz w:val="30"/>
          <w:szCs w:val="30"/>
        </w:rPr>
        <w:t>表六、项目主要污染物产生及预计排放情况</w:t>
      </w:r>
    </w:p>
    <w:tbl>
      <w:tblPr>
        <w:tblStyle w:val="53"/>
        <w:tblW w:w="94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9"/>
        <w:gridCol w:w="636"/>
        <w:gridCol w:w="1165"/>
        <w:gridCol w:w="2268"/>
        <w:gridCol w:w="2268"/>
        <w:gridCol w:w="22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jc w:val="center"/>
        </w:trPr>
        <w:tc>
          <w:tcPr>
            <w:tcW w:w="859" w:type="dxa"/>
            <w:tcBorders>
              <w:tl2br w:val="single" w:color="auto" w:sz="6" w:space="0"/>
            </w:tcBorders>
            <w:vAlign w:val="center"/>
          </w:tcPr>
          <w:p>
            <w:pPr>
              <w:adjustRightInd w:val="0"/>
              <w:snapToGrid w:val="0"/>
              <w:jc w:val="center"/>
              <w:rPr>
                <w:szCs w:val="21"/>
              </w:rPr>
            </w:pPr>
            <w:r>
              <w:rPr>
                <w:szCs w:val="21"/>
              </w:rPr>
              <w:t>内容</w:t>
            </w:r>
          </w:p>
          <w:p>
            <w:pPr>
              <w:adjustRightInd w:val="0"/>
              <w:snapToGrid w:val="0"/>
              <w:jc w:val="center"/>
              <w:rPr>
                <w:szCs w:val="21"/>
              </w:rPr>
            </w:pPr>
            <w:r>
              <w:rPr>
                <w:szCs w:val="21"/>
              </w:rPr>
              <w:t>类型</w:t>
            </w:r>
          </w:p>
        </w:tc>
        <w:tc>
          <w:tcPr>
            <w:tcW w:w="1801" w:type="dxa"/>
            <w:gridSpan w:val="2"/>
            <w:tcBorders>
              <w:bottom w:val="single" w:color="auto" w:sz="4" w:space="0"/>
            </w:tcBorders>
            <w:vAlign w:val="center"/>
          </w:tcPr>
          <w:p>
            <w:pPr>
              <w:adjustRightInd w:val="0"/>
              <w:snapToGrid w:val="0"/>
              <w:jc w:val="center"/>
              <w:rPr>
                <w:szCs w:val="21"/>
              </w:rPr>
            </w:pPr>
            <w:r>
              <w:rPr>
                <w:szCs w:val="21"/>
              </w:rPr>
              <w:t>排放源</w:t>
            </w:r>
          </w:p>
          <w:p>
            <w:pPr>
              <w:adjustRightInd w:val="0"/>
              <w:snapToGrid w:val="0"/>
              <w:jc w:val="center"/>
              <w:rPr>
                <w:szCs w:val="21"/>
              </w:rPr>
            </w:pPr>
            <w:r>
              <w:rPr>
                <w:szCs w:val="21"/>
              </w:rPr>
              <w:t>(编号)</w:t>
            </w:r>
          </w:p>
        </w:tc>
        <w:tc>
          <w:tcPr>
            <w:tcW w:w="2268" w:type="dxa"/>
            <w:tcBorders>
              <w:bottom w:val="single" w:color="auto" w:sz="4" w:space="0"/>
            </w:tcBorders>
            <w:vAlign w:val="center"/>
          </w:tcPr>
          <w:p>
            <w:pPr>
              <w:adjustRightInd w:val="0"/>
              <w:snapToGrid w:val="0"/>
              <w:jc w:val="center"/>
              <w:rPr>
                <w:szCs w:val="21"/>
              </w:rPr>
            </w:pPr>
            <w:r>
              <w:rPr>
                <w:szCs w:val="21"/>
              </w:rPr>
              <w:t>污染物名称</w:t>
            </w:r>
          </w:p>
        </w:tc>
        <w:tc>
          <w:tcPr>
            <w:tcW w:w="2268" w:type="dxa"/>
            <w:tcBorders>
              <w:right w:val="single" w:color="auto" w:sz="4" w:space="0"/>
            </w:tcBorders>
            <w:vAlign w:val="center"/>
          </w:tcPr>
          <w:p>
            <w:pPr>
              <w:adjustRightInd w:val="0"/>
              <w:snapToGrid w:val="0"/>
              <w:jc w:val="center"/>
              <w:rPr>
                <w:szCs w:val="21"/>
              </w:rPr>
            </w:pPr>
            <w:r>
              <w:rPr>
                <w:szCs w:val="21"/>
              </w:rPr>
              <w:t>处理前产生浓度及产生量(单位)</w:t>
            </w:r>
          </w:p>
        </w:tc>
        <w:tc>
          <w:tcPr>
            <w:tcW w:w="2232" w:type="dxa"/>
            <w:tcBorders>
              <w:left w:val="single" w:color="auto" w:sz="4" w:space="0"/>
              <w:right w:val="single" w:color="auto" w:sz="4" w:space="0"/>
            </w:tcBorders>
            <w:vAlign w:val="center"/>
          </w:tcPr>
          <w:p>
            <w:pPr>
              <w:adjustRightInd w:val="0"/>
              <w:snapToGrid w:val="0"/>
              <w:jc w:val="center"/>
              <w:rPr>
                <w:szCs w:val="21"/>
              </w:rPr>
            </w:pPr>
            <w:r>
              <w:rPr>
                <w:szCs w:val="21"/>
              </w:rPr>
              <w:t>排放浓度及排放量(单位)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859" w:type="dxa"/>
            <w:vMerge w:val="restart"/>
            <w:vAlign w:val="center"/>
          </w:tcPr>
          <w:p>
            <w:pPr>
              <w:tabs>
                <w:tab w:val="left" w:pos="180"/>
                <w:tab w:val="center" w:pos="322"/>
              </w:tabs>
              <w:adjustRightInd w:val="0"/>
              <w:snapToGrid w:val="0"/>
              <w:jc w:val="center"/>
              <w:rPr>
                <w:szCs w:val="21"/>
              </w:rPr>
            </w:pPr>
            <w:r>
              <w:rPr>
                <w:szCs w:val="21"/>
              </w:rPr>
              <w:t>大</w:t>
            </w:r>
          </w:p>
          <w:p>
            <w:pPr>
              <w:tabs>
                <w:tab w:val="left" w:pos="180"/>
                <w:tab w:val="center" w:pos="322"/>
              </w:tabs>
              <w:adjustRightInd w:val="0"/>
              <w:snapToGrid w:val="0"/>
              <w:jc w:val="center"/>
              <w:rPr>
                <w:szCs w:val="21"/>
              </w:rPr>
            </w:pPr>
            <w:r>
              <w:rPr>
                <w:szCs w:val="21"/>
              </w:rPr>
              <w:t>气</w:t>
            </w:r>
          </w:p>
          <w:p>
            <w:pPr>
              <w:adjustRightInd w:val="0"/>
              <w:snapToGrid w:val="0"/>
              <w:jc w:val="center"/>
              <w:rPr>
                <w:szCs w:val="21"/>
              </w:rPr>
            </w:pPr>
            <w:r>
              <w:rPr>
                <w:szCs w:val="21"/>
              </w:rPr>
              <w:t>污</w:t>
            </w:r>
          </w:p>
          <w:p>
            <w:pPr>
              <w:adjustRightInd w:val="0"/>
              <w:snapToGrid w:val="0"/>
              <w:jc w:val="center"/>
              <w:rPr>
                <w:szCs w:val="21"/>
              </w:rPr>
            </w:pPr>
            <w:r>
              <w:rPr>
                <w:szCs w:val="21"/>
              </w:rPr>
              <w:t>染</w:t>
            </w:r>
          </w:p>
          <w:p>
            <w:pPr>
              <w:adjustRightInd w:val="0"/>
              <w:snapToGrid w:val="0"/>
              <w:jc w:val="center"/>
              <w:rPr>
                <w:szCs w:val="21"/>
              </w:rPr>
            </w:pPr>
            <w:r>
              <w:rPr>
                <w:szCs w:val="21"/>
              </w:rPr>
              <w:t>物</w:t>
            </w:r>
          </w:p>
        </w:tc>
        <w:tc>
          <w:tcPr>
            <w:tcW w:w="636" w:type="dxa"/>
            <w:tcBorders>
              <w:right w:val="single" w:color="auto" w:sz="4" w:space="0"/>
            </w:tcBorders>
            <w:vAlign w:val="center"/>
          </w:tcPr>
          <w:p>
            <w:pPr>
              <w:adjustRightInd w:val="0"/>
              <w:snapToGrid w:val="0"/>
              <w:jc w:val="center"/>
              <w:rPr>
                <w:szCs w:val="21"/>
              </w:rPr>
            </w:pPr>
            <w:r>
              <w:rPr>
                <w:rFonts w:hint="eastAsia"/>
                <w:szCs w:val="21"/>
              </w:rPr>
              <w:t>有组织</w:t>
            </w:r>
          </w:p>
        </w:tc>
        <w:tc>
          <w:tcPr>
            <w:tcW w:w="1165" w:type="dxa"/>
            <w:tcBorders>
              <w:left w:val="single" w:color="auto" w:sz="4" w:space="0"/>
            </w:tcBorders>
            <w:vAlign w:val="center"/>
          </w:tcPr>
          <w:p>
            <w:pPr>
              <w:adjustRightInd w:val="0"/>
              <w:snapToGrid w:val="0"/>
              <w:jc w:val="center"/>
              <w:rPr>
                <w:szCs w:val="21"/>
              </w:rPr>
            </w:pPr>
            <w:r>
              <w:rPr>
                <w:rFonts w:hint="eastAsia"/>
                <w:szCs w:val="21"/>
              </w:rPr>
              <w:t>盐浴氮化</w:t>
            </w:r>
          </w:p>
        </w:tc>
        <w:tc>
          <w:tcPr>
            <w:tcW w:w="2268" w:type="dxa"/>
            <w:tcBorders>
              <w:bottom w:val="single" w:color="auto" w:sz="4" w:space="0"/>
            </w:tcBorders>
            <w:vAlign w:val="center"/>
          </w:tcPr>
          <w:p>
            <w:pPr>
              <w:jc w:val="center"/>
            </w:pPr>
            <w:r>
              <w:rPr>
                <w:rFonts w:hint="eastAsia"/>
                <w:szCs w:val="21"/>
              </w:rPr>
              <w:t>氨气</w:t>
            </w:r>
          </w:p>
        </w:tc>
        <w:tc>
          <w:tcPr>
            <w:tcW w:w="2268" w:type="dxa"/>
            <w:vMerge w:val="restart"/>
            <w:tcBorders>
              <w:right w:val="single" w:color="auto" w:sz="4" w:space="0"/>
            </w:tcBorders>
            <w:vAlign w:val="center"/>
          </w:tcPr>
          <w:p>
            <w:pPr>
              <w:adjustRightInd w:val="0"/>
              <w:snapToGrid w:val="0"/>
              <w:jc w:val="center"/>
              <w:rPr>
                <w:szCs w:val="21"/>
              </w:rPr>
            </w:pPr>
            <w:r>
              <w:rPr>
                <w:rFonts w:hint="eastAsia"/>
                <w:szCs w:val="21"/>
              </w:rPr>
              <w:t>5</w:t>
            </w:r>
            <w:r>
              <w:rPr>
                <w:szCs w:val="21"/>
              </w:rPr>
              <w:t>.4t/a</w:t>
            </w:r>
          </w:p>
        </w:tc>
        <w:tc>
          <w:tcPr>
            <w:tcW w:w="2232" w:type="dxa"/>
            <w:tcBorders>
              <w:left w:val="single" w:color="auto" w:sz="4" w:space="0"/>
              <w:right w:val="single" w:color="auto" w:sz="4" w:space="0"/>
            </w:tcBorders>
            <w:vAlign w:val="center"/>
          </w:tcPr>
          <w:p>
            <w:pPr>
              <w:adjustRightInd w:val="0"/>
              <w:snapToGrid w:val="0"/>
              <w:jc w:val="center"/>
              <w:rPr>
                <w:szCs w:val="21"/>
              </w:rPr>
            </w:pPr>
            <w:r>
              <w:rPr>
                <w:szCs w:val="21"/>
              </w:rPr>
              <w:t>0.068t/a</w:t>
            </w:r>
            <w:r>
              <w:rPr>
                <w:rFonts w:hint="eastAsia"/>
                <w:szCs w:val="21"/>
              </w:rPr>
              <w:t>，</w:t>
            </w:r>
            <w:r>
              <w:rPr>
                <w:szCs w:val="21"/>
              </w:rPr>
              <w:t>2</w:t>
            </w:r>
            <w:r>
              <w:rPr>
                <w:rFonts w:hint="eastAsia"/>
                <w:szCs w:val="21"/>
              </w:rPr>
              <w:t>mg/m</w:t>
            </w:r>
            <w:r>
              <w:rPr>
                <w:rFonts w:hint="eastAsia"/>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59" w:type="dxa"/>
            <w:vMerge w:val="continue"/>
            <w:vAlign w:val="center"/>
          </w:tcPr>
          <w:p>
            <w:pPr>
              <w:adjustRightInd w:val="0"/>
              <w:snapToGrid w:val="0"/>
              <w:jc w:val="center"/>
              <w:rPr>
                <w:szCs w:val="21"/>
              </w:rPr>
            </w:pPr>
          </w:p>
        </w:tc>
        <w:tc>
          <w:tcPr>
            <w:tcW w:w="636" w:type="dxa"/>
            <w:vMerge w:val="restart"/>
            <w:tcBorders>
              <w:right w:val="single" w:color="auto" w:sz="4" w:space="0"/>
            </w:tcBorders>
            <w:vAlign w:val="center"/>
          </w:tcPr>
          <w:p>
            <w:pPr>
              <w:adjustRightInd w:val="0"/>
              <w:snapToGrid w:val="0"/>
              <w:jc w:val="center"/>
              <w:rPr>
                <w:szCs w:val="21"/>
              </w:rPr>
            </w:pPr>
            <w:r>
              <w:rPr>
                <w:rFonts w:hint="eastAsia"/>
                <w:szCs w:val="21"/>
              </w:rPr>
              <w:t>无组织</w:t>
            </w:r>
          </w:p>
        </w:tc>
        <w:tc>
          <w:tcPr>
            <w:tcW w:w="1165" w:type="dxa"/>
            <w:tcBorders>
              <w:left w:val="single" w:color="auto" w:sz="4" w:space="0"/>
            </w:tcBorders>
            <w:vAlign w:val="center"/>
          </w:tcPr>
          <w:p>
            <w:pPr>
              <w:adjustRightInd w:val="0"/>
              <w:snapToGrid w:val="0"/>
              <w:jc w:val="center"/>
              <w:rPr>
                <w:szCs w:val="21"/>
              </w:rPr>
            </w:pPr>
            <w:r>
              <w:rPr>
                <w:rFonts w:hint="eastAsia"/>
                <w:szCs w:val="21"/>
              </w:rPr>
              <w:t>盐浴氮化</w:t>
            </w:r>
          </w:p>
        </w:tc>
        <w:tc>
          <w:tcPr>
            <w:tcW w:w="2268" w:type="dxa"/>
            <w:tcBorders>
              <w:bottom w:val="single" w:color="auto" w:sz="4" w:space="0"/>
            </w:tcBorders>
            <w:vAlign w:val="center"/>
          </w:tcPr>
          <w:p>
            <w:pPr>
              <w:adjustRightInd w:val="0"/>
              <w:snapToGrid w:val="0"/>
              <w:jc w:val="center"/>
              <w:rPr>
                <w:szCs w:val="21"/>
              </w:rPr>
            </w:pPr>
            <w:r>
              <w:rPr>
                <w:rFonts w:hint="eastAsia"/>
                <w:szCs w:val="21"/>
              </w:rPr>
              <w:t>氨气</w:t>
            </w:r>
          </w:p>
        </w:tc>
        <w:tc>
          <w:tcPr>
            <w:tcW w:w="2268" w:type="dxa"/>
            <w:vMerge w:val="continue"/>
            <w:tcBorders>
              <w:bottom w:val="single" w:color="auto" w:sz="4" w:space="0"/>
              <w:right w:val="single" w:color="auto" w:sz="4" w:space="0"/>
            </w:tcBorders>
            <w:vAlign w:val="center"/>
          </w:tcPr>
          <w:p>
            <w:pPr>
              <w:adjustRightInd w:val="0"/>
              <w:snapToGrid w:val="0"/>
              <w:jc w:val="center"/>
              <w:rPr>
                <w:szCs w:val="21"/>
              </w:rPr>
            </w:pPr>
          </w:p>
        </w:tc>
        <w:tc>
          <w:tcPr>
            <w:tcW w:w="2232" w:type="dxa"/>
            <w:tcBorders>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5.4kg</w:t>
            </w:r>
            <w:r>
              <w:rPr>
                <w:rFonts w:hint="eastAsia"/>
                <w:szCs w:val="21"/>
              </w:rPr>
              <w:t>/a，</w:t>
            </w:r>
            <w:r>
              <w:rPr>
                <w:szCs w:val="21"/>
              </w:rPr>
              <w:t>0.0008</w:t>
            </w:r>
            <w:r>
              <w:rPr>
                <w:rFonts w:hint="eastAsia"/>
                <w:szCs w:val="21"/>
              </w:rPr>
              <w:t>kg/h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59" w:type="dxa"/>
            <w:vMerge w:val="continue"/>
            <w:vAlign w:val="center"/>
          </w:tcPr>
          <w:p>
            <w:pPr>
              <w:adjustRightInd w:val="0"/>
              <w:snapToGrid w:val="0"/>
              <w:jc w:val="center"/>
              <w:rPr>
                <w:szCs w:val="21"/>
              </w:rPr>
            </w:pPr>
          </w:p>
        </w:tc>
        <w:tc>
          <w:tcPr>
            <w:tcW w:w="636" w:type="dxa"/>
            <w:vMerge w:val="continue"/>
            <w:tcBorders>
              <w:right w:val="single" w:color="auto" w:sz="4" w:space="0"/>
            </w:tcBorders>
            <w:vAlign w:val="center"/>
          </w:tcPr>
          <w:p>
            <w:pPr>
              <w:adjustRightInd w:val="0"/>
              <w:snapToGrid w:val="0"/>
              <w:jc w:val="center"/>
              <w:rPr>
                <w:szCs w:val="21"/>
              </w:rPr>
            </w:pPr>
          </w:p>
        </w:tc>
        <w:tc>
          <w:tcPr>
            <w:tcW w:w="1165" w:type="dxa"/>
            <w:tcBorders>
              <w:left w:val="single" w:color="auto" w:sz="4" w:space="0"/>
            </w:tcBorders>
            <w:vAlign w:val="center"/>
          </w:tcPr>
          <w:p>
            <w:pPr>
              <w:adjustRightInd w:val="0"/>
              <w:snapToGrid w:val="0"/>
              <w:jc w:val="center"/>
              <w:rPr>
                <w:szCs w:val="21"/>
              </w:rPr>
            </w:pPr>
            <w:r>
              <w:rPr>
                <w:rFonts w:hint="eastAsia"/>
                <w:szCs w:val="21"/>
              </w:rPr>
              <w:t>磨削</w:t>
            </w:r>
          </w:p>
        </w:tc>
        <w:tc>
          <w:tcPr>
            <w:tcW w:w="2268" w:type="dxa"/>
            <w:tcBorders>
              <w:bottom w:val="single" w:color="auto" w:sz="4" w:space="0"/>
            </w:tcBorders>
            <w:vAlign w:val="center"/>
          </w:tcPr>
          <w:p>
            <w:pPr>
              <w:adjustRightInd w:val="0"/>
              <w:snapToGrid w:val="0"/>
              <w:jc w:val="center"/>
              <w:rPr>
                <w:szCs w:val="21"/>
              </w:rPr>
            </w:pPr>
            <w:r>
              <w:rPr>
                <w:rFonts w:hint="eastAsia"/>
                <w:szCs w:val="21"/>
              </w:rPr>
              <w:t>粉尘</w:t>
            </w:r>
          </w:p>
        </w:tc>
        <w:tc>
          <w:tcPr>
            <w:tcW w:w="2268" w:type="dxa"/>
            <w:tcBorders>
              <w:bottom w:val="single" w:color="auto" w:sz="4" w:space="0"/>
              <w:right w:val="single" w:color="auto" w:sz="4" w:space="0"/>
            </w:tcBorders>
            <w:vAlign w:val="center"/>
          </w:tcPr>
          <w:p>
            <w:pPr>
              <w:adjustRightInd w:val="0"/>
              <w:snapToGrid w:val="0"/>
              <w:jc w:val="center"/>
              <w:rPr>
                <w:szCs w:val="21"/>
              </w:rPr>
            </w:pPr>
            <w:r>
              <w:rPr>
                <w:rFonts w:hint="eastAsia"/>
                <w:szCs w:val="21"/>
              </w:rPr>
              <w:t>2</w:t>
            </w:r>
            <w:r>
              <w:rPr>
                <w:szCs w:val="21"/>
              </w:rPr>
              <w:t>.56t/a</w:t>
            </w:r>
          </w:p>
        </w:tc>
        <w:tc>
          <w:tcPr>
            <w:tcW w:w="2232" w:type="dxa"/>
            <w:tcBorders>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0</w:t>
            </w:r>
            <w:r>
              <w:rPr>
                <w:szCs w:val="21"/>
              </w:rPr>
              <w:t>.051t/a</w:t>
            </w:r>
            <w:r>
              <w:rPr>
                <w:rFonts w:hint="eastAsia"/>
                <w:szCs w:val="21"/>
              </w:rPr>
              <w:t>，0</w:t>
            </w:r>
            <w:r>
              <w:rPr>
                <w:szCs w:val="21"/>
              </w:rPr>
              <w:t>.008kg/h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59" w:type="dxa"/>
            <w:vMerge w:val="continue"/>
            <w:vAlign w:val="center"/>
          </w:tcPr>
          <w:p>
            <w:pPr>
              <w:adjustRightInd w:val="0"/>
              <w:snapToGrid w:val="0"/>
              <w:jc w:val="center"/>
              <w:rPr>
                <w:szCs w:val="21"/>
              </w:rPr>
            </w:pPr>
          </w:p>
        </w:tc>
        <w:tc>
          <w:tcPr>
            <w:tcW w:w="636" w:type="dxa"/>
            <w:vMerge w:val="continue"/>
            <w:tcBorders>
              <w:right w:val="single" w:color="auto" w:sz="4" w:space="0"/>
            </w:tcBorders>
            <w:vAlign w:val="center"/>
          </w:tcPr>
          <w:p>
            <w:pPr>
              <w:adjustRightInd w:val="0"/>
              <w:snapToGrid w:val="0"/>
              <w:jc w:val="center"/>
              <w:rPr>
                <w:szCs w:val="21"/>
              </w:rPr>
            </w:pPr>
          </w:p>
        </w:tc>
        <w:tc>
          <w:tcPr>
            <w:tcW w:w="1165" w:type="dxa"/>
            <w:tcBorders>
              <w:left w:val="single" w:color="auto" w:sz="4" w:space="0"/>
            </w:tcBorders>
            <w:vAlign w:val="center"/>
          </w:tcPr>
          <w:p>
            <w:pPr>
              <w:adjustRightInd w:val="0"/>
              <w:snapToGrid w:val="0"/>
              <w:jc w:val="center"/>
              <w:rPr>
                <w:szCs w:val="21"/>
              </w:rPr>
            </w:pPr>
            <w:r>
              <w:rPr>
                <w:rFonts w:hint="eastAsia"/>
                <w:szCs w:val="21"/>
              </w:rPr>
              <w:t>抛光</w:t>
            </w:r>
          </w:p>
        </w:tc>
        <w:tc>
          <w:tcPr>
            <w:tcW w:w="2268" w:type="dxa"/>
            <w:tcBorders>
              <w:bottom w:val="single" w:color="auto" w:sz="4" w:space="0"/>
            </w:tcBorders>
            <w:vAlign w:val="center"/>
          </w:tcPr>
          <w:p>
            <w:pPr>
              <w:adjustRightInd w:val="0"/>
              <w:snapToGrid w:val="0"/>
              <w:jc w:val="center"/>
              <w:rPr>
                <w:szCs w:val="21"/>
              </w:rPr>
            </w:pPr>
            <w:r>
              <w:rPr>
                <w:rFonts w:hint="eastAsia"/>
                <w:szCs w:val="21"/>
              </w:rPr>
              <w:t>粉尘</w:t>
            </w:r>
          </w:p>
        </w:tc>
        <w:tc>
          <w:tcPr>
            <w:tcW w:w="2268" w:type="dxa"/>
            <w:tcBorders>
              <w:bottom w:val="single" w:color="auto" w:sz="4" w:space="0"/>
              <w:right w:val="single" w:color="auto" w:sz="4" w:space="0"/>
            </w:tcBorders>
            <w:vAlign w:val="center"/>
          </w:tcPr>
          <w:p>
            <w:pPr>
              <w:adjustRightInd w:val="0"/>
              <w:snapToGrid w:val="0"/>
              <w:jc w:val="center"/>
              <w:rPr>
                <w:szCs w:val="21"/>
              </w:rPr>
            </w:pPr>
            <w:r>
              <w:rPr>
                <w:rFonts w:hint="eastAsia"/>
                <w:szCs w:val="21"/>
              </w:rPr>
              <w:t>1</w:t>
            </w:r>
            <w:r>
              <w:rPr>
                <w:szCs w:val="21"/>
              </w:rPr>
              <w:t>.28t/a</w:t>
            </w:r>
          </w:p>
        </w:tc>
        <w:tc>
          <w:tcPr>
            <w:tcW w:w="2232" w:type="dxa"/>
            <w:tcBorders>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0</w:t>
            </w:r>
            <w:r>
              <w:rPr>
                <w:szCs w:val="21"/>
              </w:rPr>
              <w:t>.0128t/a</w:t>
            </w:r>
            <w:r>
              <w:rPr>
                <w:rFonts w:hint="eastAsia"/>
                <w:szCs w:val="21"/>
              </w:rPr>
              <w:t>，0</w:t>
            </w:r>
            <w:r>
              <w:rPr>
                <w:szCs w:val="21"/>
              </w:rPr>
              <w:t>.000019kg/h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7" w:hRule="atLeast"/>
          <w:jc w:val="center"/>
        </w:trPr>
        <w:tc>
          <w:tcPr>
            <w:tcW w:w="859" w:type="dxa"/>
            <w:vMerge w:val="restart"/>
            <w:vAlign w:val="center"/>
          </w:tcPr>
          <w:p>
            <w:pPr>
              <w:adjustRightInd w:val="0"/>
              <w:snapToGrid w:val="0"/>
              <w:jc w:val="center"/>
              <w:rPr>
                <w:szCs w:val="21"/>
              </w:rPr>
            </w:pPr>
            <w:r>
              <w:rPr>
                <w:szCs w:val="21"/>
              </w:rPr>
              <w:t>水</w:t>
            </w:r>
          </w:p>
          <w:p>
            <w:pPr>
              <w:adjustRightInd w:val="0"/>
              <w:snapToGrid w:val="0"/>
              <w:jc w:val="center"/>
              <w:rPr>
                <w:szCs w:val="21"/>
              </w:rPr>
            </w:pPr>
            <w:r>
              <w:rPr>
                <w:szCs w:val="21"/>
              </w:rPr>
              <w:t>污</w:t>
            </w:r>
          </w:p>
          <w:p>
            <w:pPr>
              <w:adjustRightInd w:val="0"/>
              <w:snapToGrid w:val="0"/>
              <w:jc w:val="center"/>
              <w:rPr>
                <w:szCs w:val="21"/>
              </w:rPr>
            </w:pPr>
            <w:r>
              <w:rPr>
                <w:szCs w:val="21"/>
              </w:rPr>
              <w:t>染</w:t>
            </w:r>
          </w:p>
        </w:tc>
        <w:tc>
          <w:tcPr>
            <w:tcW w:w="1801" w:type="dxa"/>
            <w:gridSpan w:val="2"/>
            <w:vAlign w:val="center"/>
          </w:tcPr>
          <w:p>
            <w:pPr>
              <w:adjustRightInd w:val="0"/>
              <w:snapToGrid w:val="0"/>
              <w:jc w:val="center"/>
              <w:rPr>
                <w:szCs w:val="21"/>
              </w:rPr>
            </w:pPr>
            <w:r>
              <w:rPr>
                <w:szCs w:val="21"/>
              </w:rPr>
              <w:t>生活设施</w:t>
            </w:r>
          </w:p>
        </w:tc>
        <w:tc>
          <w:tcPr>
            <w:tcW w:w="2268" w:type="dxa"/>
            <w:tcBorders>
              <w:right w:val="single" w:color="auto" w:sz="4" w:space="0"/>
            </w:tcBorders>
            <w:vAlign w:val="center"/>
          </w:tcPr>
          <w:p>
            <w:pPr>
              <w:adjustRightInd w:val="0"/>
              <w:snapToGrid w:val="0"/>
              <w:jc w:val="center"/>
              <w:rPr>
                <w:szCs w:val="21"/>
              </w:rPr>
            </w:pPr>
            <w:r>
              <w:rPr>
                <w:szCs w:val="21"/>
              </w:rPr>
              <w:t>生活</w:t>
            </w:r>
            <w:r>
              <w:rPr>
                <w:rFonts w:hint="eastAsia"/>
                <w:szCs w:val="21"/>
              </w:rPr>
              <w:t>废</w:t>
            </w:r>
            <w:r>
              <w:rPr>
                <w:szCs w:val="21"/>
              </w:rPr>
              <w:t>水</w:t>
            </w:r>
          </w:p>
        </w:tc>
        <w:tc>
          <w:tcPr>
            <w:tcW w:w="2268" w:type="dxa"/>
            <w:tcBorders>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本项目</w:t>
            </w:r>
            <w:r>
              <w:rPr>
                <w:szCs w:val="21"/>
              </w:rPr>
              <w:t>不新增生活污水</w:t>
            </w:r>
          </w:p>
        </w:tc>
        <w:tc>
          <w:tcPr>
            <w:tcW w:w="2232" w:type="dxa"/>
            <w:tcBorders>
              <w:left w:val="single" w:color="auto" w:sz="4" w:space="0"/>
              <w:right w:val="single" w:color="auto" w:sz="4" w:space="0"/>
            </w:tcBorders>
            <w:vAlign w:val="center"/>
          </w:tcPr>
          <w:p>
            <w:pPr>
              <w:adjustRightInd w:val="0"/>
              <w:snapToGrid w:val="0"/>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7" w:hRule="atLeast"/>
          <w:jc w:val="center"/>
        </w:trPr>
        <w:tc>
          <w:tcPr>
            <w:tcW w:w="859" w:type="dxa"/>
            <w:vMerge w:val="continue"/>
            <w:vAlign w:val="center"/>
          </w:tcPr>
          <w:p>
            <w:pPr>
              <w:adjustRightInd w:val="0"/>
              <w:snapToGrid w:val="0"/>
              <w:jc w:val="center"/>
              <w:rPr>
                <w:szCs w:val="21"/>
              </w:rPr>
            </w:pPr>
          </w:p>
        </w:tc>
        <w:tc>
          <w:tcPr>
            <w:tcW w:w="1801" w:type="dxa"/>
            <w:gridSpan w:val="2"/>
            <w:vAlign w:val="center"/>
          </w:tcPr>
          <w:p>
            <w:pPr>
              <w:adjustRightInd w:val="0"/>
              <w:snapToGrid w:val="0"/>
              <w:jc w:val="center"/>
              <w:rPr>
                <w:szCs w:val="21"/>
              </w:rPr>
            </w:pPr>
            <w:r>
              <w:rPr>
                <w:szCs w:val="21"/>
              </w:rPr>
              <w:t>产生车间</w:t>
            </w:r>
          </w:p>
        </w:tc>
        <w:tc>
          <w:tcPr>
            <w:tcW w:w="2268" w:type="dxa"/>
            <w:tcBorders>
              <w:right w:val="single" w:color="auto" w:sz="4" w:space="0"/>
            </w:tcBorders>
            <w:vAlign w:val="center"/>
          </w:tcPr>
          <w:p>
            <w:pPr>
              <w:adjustRightInd w:val="0"/>
              <w:snapToGrid w:val="0"/>
              <w:jc w:val="center"/>
              <w:rPr>
                <w:szCs w:val="21"/>
              </w:rPr>
            </w:pPr>
            <w:r>
              <w:rPr>
                <w:szCs w:val="21"/>
              </w:rPr>
              <w:t>氧化清洗废水</w:t>
            </w:r>
          </w:p>
        </w:tc>
        <w:tc>
          <w:tcPr>
            <w:tcW w:w="2268" w:type="dxa"/>
            <w:tcBorders>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1</w:t>
            </w:r>
            <w:r>
              <w:rPr>
                <w:szCs w:val="21"/>
              </w:rPr>
              <w:t>.6m</w:t>
            </w:r>
            <w:r>
              <w:rPr>
                <w:szCs w:val="21"/>
                <w:vertAlign w:val="superscript"/>
              </w:rPr>
              <w:t>3</w:t>
            </w:r>
            <w:r>
              <w:rPr>
                <w:szCs w:val="21"/>
              </w:rPr>
              <w:t>/d</w:t>
            </w:r>
          </w:p>
        </w:tc>
        <w:tc>
          <w:tcPr>
            <w:tcW w:w="2232" w:type="dxa"/>
            <w:tcBorders>
              <w:left w:val="single" w:color="auto" w:sz="4" w:space="0"/>
              <w:right w:val="single" w:color="auto" w:sz="4" w:space="0"/>
            </w:tcBorders>
            <w:vAlign w:val="center"/>
          </w:tcPr>
          <w:p>
            <w:pPr>
              <w:adjustRightInd w:val="0"/>
              <w:snapToGrid w:val="0"/>
              <w:jc w:val="center"/>
              <w:rPr>
                <w:szCs w:val="21"/>
              </w:rPr>
            </w:pPr>
            <w:r>
              <w:rPr>
                <w:rFonts w:hint="eastAsia"/>
                <w:szCs w:val="21"/>
              </w:rPr>
              <w:t>处理后作为第一级清洗补充水回用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7" w:hRule="atLeast"/>
          <w:jc w:val="center"/>
        </w:trPr>
        <w:tc>
          <w:tcPr>
            <w:tcW w:w="859" w:type="dxa"/>
            <w:vMerge w:val="continue"/>
            <w:vAlign w:val="center"/>
          </w:tcPr>
          <w:p>
            <w:pPr>
              <w:adjustRightInd w:val="0"/>
              <w:snapToGrid w:val="0"/>
              <w:jc w:val="center"/>
              <w:rPr>
                <w:szCs w:val="21"/>
              </w:rPr>
            </w:pPr>
          </w:p>
        </w:tc>
        <w:tc>
          <w:tcPr>
            <w:tcW w:w="1801" w:type="dxa"/>
            <w:gridSpan w:val="2"/>
            <w:vAlign w:val="center"/>
          </w:tcPr>
          <w:p>
            <w:pPr>
              <w:adjustRightInd w:val="0"/>
              <w:snapToGrid w:val="0"/>
              <w:jc w:val="center"/>
              <w:rPr>
                <w:szCs w:val="21"/>
              </w:rPr>
            </w:pPr>
            <w:r>
              <w:rPr>
                <w:szCs w:val="21"/>
              </w:rPr>
              <w:t>生产车间</w:t>
            </w:r>
          </w:p>
        </w:tc>
        <w:tc>
          <w:tcPr>
            <w:tcW w:w="2268" w:type="dxa"/>
            <w:tcBorders>
              <w:right w:val="single" w:color="auto" w:sz="4" w:space="0"/>
            </w:tcBorders>
            <w:vAlign w:val="center"/>
          </w:tcPr>
          <w:p>
            <w:pPr>
              <w:adjustRightInd w:val="0"/>
              <w:snapToGrid w:val="0"/>
              <w:jc w:val="center"/>
              <w:rPr>
                <w:szCs w:val="21"/>
              </w:rPr>
            </w:pPr>
            <w:r>
              <w:rPr>
                <w:szCs w:val="21"/>
              </w:rPr>
              <w:t>抛光清洗废水</w:t>
            </w:r>
          </w:p>
        </w:tc>
        <w:tc>
          <w:tcPr>
            <w:tcW w:w="2268" w:type="dxa"/>
            <w:tcBorders>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0</w:t>
            </w:r>
            <w:r>
              <w:rPr>
                <w:szCs w:val="21"/>
              </w:rPr>
              <w:t>.64 m</w:t>
            </w:r>
            <w:r>
              <w:rPr>
                <w:szCs w:val="21"/>
                <w:vertAlign w:val="superscript"/>
              </w:rPr>
              <w:t>3</w:t>
            </w:r>
            <w:r>
              <w:rPr>
                <w:szCs w:val="21"/>
              </w:rPr>
              <w:t>/d</w:t>
            </w:r>
          </w:p>
        </w:tc>
        <w:tc>
          <w:tcPr>
            <w:tcW w:w="2232" w:type="dxa"/>
            <w:tcBorders>
              <w:left w:val="single" w:color="auto" w:sz="4" w:space="0"/>
              <w:right w:val="single" w:color="auto" w:sz="4" w:space="0"/>
            </w:tcBorders>
            <w:vAlign w:val="center"/>
          </w:tcPr>
          <w:p>
            <w:pPr>
              <w:adjustRightInd w:val="0"/>
              <w:snapToGrid w:val="0"/>
              <w:jc w:val="center"/>
              <w:rPr>
                <w:szCs w:val="21"/>
              </w:rPr>
            </w:pPr>
            <w:r>
              <w:rPr>
                <w:rFonts w:hint="eastAsia"/>
                <w:szCs w:val="21"/>
              </w:rPr>
              <w:t>收集后用于模具冷却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7" w:hRule="atLeast"/>
          <w:jc w:val="center"/>
        </w:trPr>
        <w:tc>
          <w:tcPr>
            <w:tcW w:w="859" w:type="dxa"/>
            <w:vMerge w:val="continue"/>
            <w:vAlign w:val="center"/>
          </w:tcPr>
          <w:p>
            <w:pPr>
              <w:adjustRightInd w:val="0"/>
              <w:snapToGrid w:val="0"/>
              <w:jc w:val="center"/>
              <w:rPr>
                <w:szCs w:val="21"/>
              </w:rPr>
            </w:pPr>
          </w:p>
        </w:tc>
        <w:tc>
          <w:tcPr>
            <w:tcW w:w="1801" w:type="dxa"/>
            <w:gridSpan w:val="2"/>
            <w:vAlign w:val="center"/>
          </w:tcPr>
          <w:p>
            <w:pPr>
              <w:adjustRightInd w:val="0"/>
              <w:snapToGrid w:val="0"/>
              <w:jc w:val="center"/>
              <w:rPr>
                <w:szCs w:val="21"/>
              </w:rPr>
            </w:pPr>
            <w:r>
              <w:rPr>
                <w:szCs w:val="21"/>
              </w:rPr>
              <w:t>生产车间</w:t>
            </w:r>
          </w:p>
        </w:tc>
        <w:tc>
          <w:tcPr>
            <w:tcW w:w="2268" w:type="dxa"/>
            <w:tcBorders>
              <w:right w:val="single" w:color="auto" w:sz="4" w:space="0"/>
            </w:tcBorders>
            <w:vAlign w:val="center"/>
          </w:tcPr>
          <w:p>
            <w:pPr>
              <w:adjustRightInd w:val="0"/>
              <w:snapToGrid w:val="0"/>
              <w:jc w:val="center"/>
              <w:rPr>
                <w:szCs w:val="21"/>
              </w:rPr>
            </w:pPr>
            <w:r>
              <w:rPr>
                <w:rFonts w:hint="eastAsia"/>
                <w:szCs w:val="21"/>
              </w:rPr>
              <w:t>喷淋废水</w:t>
            </w:r>
          </w:p>
        </w:tc>
        <w:tc>
          <w:tcPr>
            <w:tcW w:w="2268" w:type="dxa"/>
            <w:tcBorders>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0</w:t>
            </w:r>
            <w:r>
              <w:rPr>
                <w:szCs w:val="21"/>
              </w:rPr>
              <w:t>.4</w:t>
            </w:r>
          </w:p>
        </w:tc>
        <w:tc>
          <w:tcPr>
            <w:tcW w:w="2232" w:type="dxa"/>
            <w:tcBorders>
              <w:left w:val="single" w:color="auto" w:sz="4" w:space="0"/>
              <w:right w:val="single" w:color="auto" w:sz="4" w:space="0"/>
            </w:tcBorders>
            <w:vAlign w:val="center"/>
          </w:tcPr>
          <w:p>
            <w:pPr>
              <w:adjustRightInd w:val="0"/>
              <w:snapToGrid w:val="0"/>
              <w:jc w:val="center"/>
              <w:rPr>
                <w:szCs w:val="21"/>
              </w:rPr>
            </w:pPr>
            <w:r>
              <w:rPr>
                <w:rFonts w:hint="eastAsia"/>
                <w:szCs w:val="21"/>
              </w:rPr>
              <w:t>调p</w:t>
            </w:r>
            <w:r>
              <w:rPr>
                <w:szCs w:val="21"/>
              </w:rPr>
              <w:t>H后循环使用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859" w:type="dxa"/>
            <w:vMerge w:val="restart"/>
            <w:vAlign w:val="center"/>
          </w:tcPr>
          <w:p>
            <w:pPr>
              <w:adjustRightInd w:val="0"/>
              <w:snapToGrid w:val="0"/>
              <w:jc w:val="center"/>
              <w:rPr>
                <w:szCs w:val="21"/>
              </w:rPr>
            </w:pPr>
            <w:r>
              <w:rPr>
                <w:szCs w:val="21"/>
              </w:rPr>
              <w:t>固</w:t>
            </w:r>
          </w:p>
          <w:p>
            <w:pPr>
              <w:adjustRightInd w:val="0"/>
              <w:snapToGrid w:val="0"/>
              <w:jc w:val="center"/>
              <w:rPr>
                <w:szCs w:val="21"/>
              </w:rPr>
            </w:pPr>
            <w:r>
              <w:rPr>
                <w:szCs w:val="21"/>
              </w:rPr>
              <w:t>体</w:t>
            </w:r>
          </w:p>
          <w:p>
            <w:pPr>
              <w:adjustRightInd w:val="0"/>
              <w:snapToGrid w:val="0"/>
              <w:jc w:val="center"/>
              <w:rPr>
                <w:szCs w:val="21"/>
              </w:rPr>
            </w:pPr>
            <w:r>
              <w:rPr>
                <w:szCs w:val="21"/>
              </w:rPr>
              <w:t>废</w:t>
            </w:r>
          </w:p>
          <w:p>
            <w:pPr>
              <w:adjustRightInd w:val="0"/>
              <w:snapToGrid w:val="0"/>
              <w:jc w:val="center"/>
              <w:rPr>
                <w:szCs w:val="21"/>
              </w:rPr>
            </w:pPr>
            <w:r>
              <w:rPr>
                <w:szCs w:val="21"/>
              </w:rPr>
              <w:t>物</w:t>
            </w:r>
          </w:p>
        </w:tc>
        <w:tc>
          <w:tcPr>
            <w:tcW w:w="1801" w:type="dxa"/>
            <w:gridSpan w:val="2"/>
            <w:tcBorders>
              <w:top w:val="single" w:color="auto" w:sz="4" w:space="0"/>
              <w:bottom w:val="single" w:color="auto" w:sz="6" w:space="0"/>
            </w:tcBorders>
            <w:vAlign w:val="center"/>
          </w:tcPr>
          <w:p>
            <w:pPr>
              <w:adjustRightInd w:val="0"/>
              <w:snapToGrid w:val="0"/>
              <w:jc w:val="center"/>
              <w:rPr>
                <w:szCs w:val="21"/>
              </w:rPr>
            </w:pPr>
            <w:r>
              <w:rPr>
                <w:szCs w:val="21"/>
              </w:rPr>
              <w:t>生产车间</w:t>
            </w:r>
          </w:p>
        </w:tc>
        <w:tc>
          <w:tcPr>
            <w:tcW w:w="2268" w:type="dxa"/>
            <w:tcBorders>
              <w:bottom w:val="single" w:color="auto" w:sz="6" w:space="0"/>
            </w:tcBorders>
            <w:vAlign w:val="center"/>
          </w:tcPr>
          <w:p>
            <w:pPr>
              <w:adjustRightInd w:val="0"/>
              <w:snapToGrid w:val="0"/>
              <w:jc w:val="center"/>
              <w:rPr>
                <w:szCs w:val="21"/>
              </w:rPr>
            </w:pPr>
            <w:r>
              <w:rPr>
                <w:rFonts w:hint="eastAsia"/>
                <w:szCs w:val="21"/>
              </w:rPr>
              <w:t>铁屑</w:t>
            </w:r>
          </w:p>
        </w:tc>
        <w:tc>
          <w:tcPr>
            <w:tcW w:w="2268" w:type="dxa"/>
            <w:tcBorders>
              <w:bottom w:val="single" w:color="auto" w:sz="6" w:space="0"/>
            </w:tcBorders>
            <w:vAlign w:val="center"/>
          </w:tcPr>
          <w:p>
            <w:pPr>
              <w:adjustRightInd w:val="0"/>
              <w:snapToGrid w:val="0"/>
              <w:jc w:val="center"/>
              <w:rPr>
                <w:szCs w:val="21"/>
              </w:rPr>
            </w:pPr>
            <w:r>
              <w:rPr>
                <w:szCs w:val="21"/>
              </w:rPr>
              <w:t>2.51t/a</w:t>
            </w:r>
          </w:p>
        </w:tc>
        <w:tc>
          <w:tcPr>
            <w:tcW w:w="2232" w:type="dxa"/>
            <w:tcBorders>
              <w:bottom w:val="single" w:color="auto" w:sz="4" w:space="0"/>
            </w:tcBorders>
            <w:vAlign w:val="center"/>
          </w:tcPr>
          <w:p>
            <w:pPr>
              <w:adjustRightInd w:val="0"/>
              <w:snapToGrid w:val="0"/>
              <w:jc w:val="center"/>
              <w:rPr>
                <w:szCs w:val="21"/>
              </w:rPr>
            </w:pPr>
            <w:r>
              <w:rPr>
                <w:rFonts w:hint="eastAsia"/>
                <w:szCs w:val="21"/>
              </w:rPr>
              <w:t>统一收集后外卖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859" w:type="dxa"/>
            <w:vMerge w:val="continue"/>
            <w:vAlign w:val="center"/>
          </w:tcPr>
          <w:p>
            <w:pPr>
              <w:adjustRightInd w:val="0"/>
              <w:snapToGrid w:val="0"/>
              <w:jc w:val="center"/>
              <w:rPr>
                <w:szCs w:val="21"/>
              </w:rPr>
            </w:pPr>
          </w:p>
        </w:tc>
        <w:tc>
          <w:tcPr>
            <w:tcW w:w="1801" w:type="dxa"/>
            <w:gridSpan w:val="2"/>
            <w:tcBorders>
              <w:top w:val="single" w:color="auto" w:sz="4" w:space="0"/>
              <w:bottom w:val="single" w:color="auto" w:sz="6" w:space="0"/>
            </w:tcBorders>
            <w:vAlign w:val="center"/>
          </w:tcPr>
          <w:p>
            <w:pPr>
              <w:adjustRightInd w:val="0"/>
              <w:snapToGrid w:val="0"/>
              <w:jc w:val="center"/>
              <w:rPr>
                <w:szCs w:val="21"/>
              </w:rPr>
            </w:pPr>
            <w:r>
              <w:rPr>
                <w:rFonts w:hint="eastAsia"/>
                <w:szCs w:val="21"/>
              </w:rPr>
              <w:t>生产车间</w:t>
            </w:r>
          </w:p>
        </w:tc>
        <w:tc>
          <w:tcPr>
            <w:tcW w:w="2268" w:type="dxa"/>
            <w:tcBorders>
              <w:bottom w:val="single" w:color="auto" w:sz="6" w:space="0"/>
            </w:tcBorders>
            <w:vAlign w:val="center"/>
          </w:tcPr>
          <w:p>
            <w:pPr>
              <w:adjustRightInd w:val="0"/>
              <w:snapToGrid w:val="0"/>
              <w:jc w:val="center"/>
              <w:rPr>
                <w:szCs w:val="21"/>
              </w:rPr>
            </w:pPr>
            <w:r>
              <w:rPr>
                <w:rFonts w:hint="eastAsia"/>
                <w:szCs w:val="21"/>
              </w:rPr>
              <w:t>除尘设备收集粉尘</w:t>
            </w:r>
          </w:p>
        </w:tc>
        <w:tc>
          <w:tcPr>
            <w:tcW w:w="2268" w:type="dxa"/>
            <w:tcBorders>
              <w:bottom w:val="single" w:color="auto" w:sz="6" w:space="0"/>
            </w:tcBorders>
            <w:vAlign w:val="center"/>
          </w:tcPr>
          <w:p>
            <w:pPr>
              <w:adjustRightInd w:val="0"/>
              <w:snapToGrid w:val="0"/>
              <w:jc w:val="center"/>
              <w:rPr>
                <w:szCs w:val="21"/>
              </w:rPr>
            </w:pPr>
            <w:r>
              <w:rPr>
                <w:szCs w:val="21"/>
              </w:rPr>
              <w:t>1.27t/a</w:t>
            </w:r>
          </w:p>
        </w:tc>
        <w:tc>
          <w:tcPr>
            <w:tcW w:w="2232" w:type="dxa"/>
            <w:vAlign w:val="center"/>
          </w:tcPr>
          <w:p>
            <w:pPr>
              <w:adjustRightInd w:val="0"/>
              <w:snapToGrid w:val="0"/>
              <w:jc w:val="center"/>
              <w:rPr>
                <w:szCs w:val="21"/>
              </w:rPr>
            </w:pPr>
            <w:r>
              <w:rPr>
                <w:rFonts w:hint="eastAsia"/>
                <w:szCs w:val="21"/>
              </w:rPr>
              <w:t>交由有资质单位进行处理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859" w:type="dxa"/>
            <w:vMerge w:val="continue"/>
            <w:vAlign w:val="center"/>
          </w:tcPr>
          <w:p>
            <w:pPr>
              <w:adjustRightInd w:val="0"/>
              <w:snapToGrid w:val="0"/>
              <w:jc w:val="center"/>
              <w:rPr>
                <w:szCs w:val="21"/>
              </w:rPr>
            </w:pPr>
          </w:p>
        </w:tc>
        <w:tc>
          <w:tcPr>
            <w:tcW w:w="1801" w:type="dxa"/>
            <w:gridSpan w:val="2"/>
            <w:tcBorders>
              <w:top w:val="single" w:color="auto" w:sz="4" w:space="0"/>
              <w:bottom w:val="single" w:color="auto" w:sz="6" w:space="0"/>
            </w:tcBorders>
            <w:vAlign w:val="center"/>
          </w:tcPr>
          <w:p>
            <w:pPr>
              <w:adjustRightInd w:val="0"/>
              <w:snapToGrid w:val="0"/>
              <w:jc w:val="center"/>
              <w:rPr>
                <w:szCs w:val="21"/>
              </w:rPr>
            </w:pPr>
            <w:r>
              <w:rPr>
                <w:rFonts w:hint="eastAsia"/>
                <w:szCs w:val="21"/>
              </w:rPr>
              <w:t>生产车间</w:t>
            </w:r>
          </w:p>
        </w:tc>
        <w:tc>
          <w:tcPr>
            <w:tcW w:w="2268" w:type="dxa"/>
            <w:tcBorders>
              <w:bottom w:val="single" w:color="auto" w:sz="6" w:space="0"/>
            </w:tcBorders>
            <w:vAlign w:val="center"/>
          </w:tcPr>
          <w:p>
            <w:pPr>
              <w:adjustRightInd w:val="0"/>
              <w:snapToGrid w:val="0"/>
              <w:jc w:val="center"/>
              <w:rPr>
                <w:szCs w:val="21"/>
              </w:rPr>
            </w:pPr>
            <w:r>
              <w:rPr>
                <w:rFonts w:hint="eastAsia"/>
                <w:szCs w:val="21"/>
              </w:rPr>
              <w:t>过滤废渣</w:t>
            </w:r>
          </w:p>
        </w:tc>
        <w:tc>
          <w:tcPr>
            <w:tcW w:w="2268" w:type="dxa"/>
            <w:tcBorders>
              <w:bottom w:val="single" w:color="auto" w:sz="6" w:space="0"/>
            </w:tcBorders>
            <w:vAlign w:val="center"/>
          </w:tcPr>
          <w:p>
            <w:pPr>
              <w:adjustRightInd w:val="0"/>
              <w:snapToGrid w:val="0"/>
              <w:jc w:val="center"/>
              <w:rPr>
                <w:szCs w:val="21"/>
              </w:rPr>
            </w:pPr>
            <w:r>
              <w:rPr>
                <w:rFonts w:hint="eastAsia"/>
                <w:szCs w:val="21"/>
              </w:rPr>
              <w:t>3t/a</w:t>
            </w:r>
          </w:p>
        </w:tc>
        <w:tc>
          <w:tcPr>
            <w:tcW w:w="2232" w:type="dxa"/>
            <w:vAlign w:val="center"/>
          </w:tcPr>
          <w:p>
            <w:pPr>
              <w:adjustRightInd w:val="0"/>
              <w:snapToGrid w:val="0"/>
              <w:jc w:val="center"/>
              <w:rPr>
                <w:szCs w:val="21"/>
              </w:rPr>
            </w:pPr>
            <w:r>
              <w:rPr>
                <w:rFonts w:hint="eastAsia"/>
                <w:szCs w:val="21"/>
              </w:rPr>
              <w:t>收集后作为原料回用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859" w:type="dxa"/>
            <w:vMerge w:val="continue"/>
            <w:vAlign w:val="center"/>
          </w:tcPr>
          <w:p>
            <w:pPr>
              <w:adjustRightInd w:val="0"/>
              <w:snapToGrid w:val="0"/>
              <w:jc w:val="center"/>
              <w:rPr>
                <w:szCs w:val="21"/>
              </w:rPr>
            </w:pPr>
          </w:p>
        </w:tc>
        <w:tc>
          <w:tcPr>
            <w:tcW w:w="1801" w:type="dxa"/>
            <w:gridSpan w:val="2"/>
            <w:tcBorders>
              <w:top w:val="single" w:color="auto" w:sz="4" w:space="0"/>
              <w:bottom w:val="single" w:color="auto" w:sz="6" w:space="0"/>
            </w:tcBorders>
            <w:vAlign w:val="center"/>
          </w:tcPr>
          <w:p>
            <w:pPr>
              <w:adjustRightInd w:val="0"/>
              <w:snapToGrid w:val="0"/>
              <w:jc w:val="center"/>
              <w:rPr>
                <w:szCs w:val="21"/>
              </w:rPr>
            </w:pPr>
            <w:r>
              <w:rPr>
                <w:rFonts w:hint="eastAsia"/>
                <w:szCs w:val="21"/>
              </w:rPr>
              <w:t>生产车间</w:t>
            </w:r>
          </w:p>
        </w:tc>
        <w:tc>
          <w:tcPr>
            <w:tcW w:w="2268" w:type="dxa"/>
            <w:tcBorders>
              <w:bottom w:val="single" w:color="auto" w:sz="6" w:space="0"/>
            </w:tcBorders>
            <w:vAlign w:val="center"/>
          </w:tcPr>
          <w:p>
            <w:pPr>
              <w:adjustRightInd w:val="0"/>
              <w:snapToGrid w:val="0"/>
              <w:jc w:val="center"/>
              <w:rPr>
                <w:szCs w:val="21"/>
              </w:rPr>
            </w:pPr>
            <w:r>
              <w:rPr>
                <w:rFonts w:hint="eastAsia"/>
                <w:szCs w:val="21"/>
              </w:rPr>
              <w:t>氧化盐废包装袋</w:t>
            </w:r>
          </w:p>
        </w:tc>
        <w:tc>
          <w:tcPr>
            <w:tcW w:w="2268" w:type="dxa"/>
            <w:tcBorders>
              <w:bottom w:val="single" w:color="auto" w:sz="6" w:space="0"/>
            </w:tcBorders>
            <w:vAlign w:val="center"/>
          </w:tcPr>
          <w:p>
            <w:pPr>
              <w:adjustRightInd w:val="0"/>
              <w:snapToGrid w:val="0"/>
              <w:jc w:val="center"/>
              <w:rPr>
                <w:szCs w:val="21"/>
              </w:rPr>
            </w:pPr>
            <w:r>
              <w:rPr>
                <w:szCs w:val="21"/>
              </w:rPr>
              <w:t>0.2t/a</w:t>
            </w:r>
          </w:p>
        </w:tc>
        <w:tc>
          <w:tcPr>
            <w:tcW w:w="2232" w:type="dxa"/>
            <w:vAlign w:val="center"/>
          </w:tcPr>
          <w:p>
            <w:pPr>
              <w:adjustRightInd w:val="0"/>
              <w:snapToGrid w:val="0"/>
              <w:jc w:val="center"/>
              <w:rPr>
                <w:szCs w:val="21"/>
              </w:rPr>
            </w:pPr>
            <w:r>
              <w:rPr>
                <w:rFonts w:hint="eastAsia"/>
                <w:szCs w:val="21"/>
              </w:rPr>
              <w:t>规范收集暂存后交由有资质单位处理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859" w:type="dxa"/>
            <w:vMerge w:val="continue"/>
            <w:vAlign w:val="center"/>
          </w:tcPr>
          <w:p>
            <w:pPr>
              <w:adjustRightInd w:val="0"/>
              <w:snapToGrid w:val="0"/>
              <w:jc w:val="center"/>
              <w:rPr>
                <w:szCs w:val="21"/>
              </w:rPr>
            </w:pPr>
          </w:p>
        </w:tc>
        <w:tc>
          <w:tcPr>
            <w:tcW w:w="1801" w:type="dxa"/>
            <w:gridSpan w:val="2"/>
            <w:tcBorders>
              <w:top w:val="single" w:color="auto" w:sz="4" w:space="0"/>
              <w:bottom w:val="single" w:color="auto" w:sz="6" w:space="0"/>
            </w:tcBorders>
            <w:vAlign w:val="center"/>
          </w:tcPr>
          <w:p>
            <w:pPr>
              <w:adjustRightInd w:val="0"/>
              <w:snapToGrid w:val="0"/>
              <w:jc w:val="center"/>
              <w:rPr>
                <w:szCs w:val="21"/>
              </w:rPr>
            </w:pPr>
            <w:r>
              <w:rPr>
                <w:rFonts w:hint="eastAsia"/>
                <w:szCs w:val="21"/>
              </w:rPr>
              <w:t>生产车间</w:t>
            </w:r>
          </w:p>
        </w:tc>
        <w:tc>
          <w:tcPr>
            <w:tcW w:w="2268" w:type="dxa"/>
            <w:tcBorders>
              <w:bottom w:val="single" w:color="auto" w:sz="6" w:space="0"/>
            </w:tcBorders>
            <w:vAlign w:val="center"/>
          </w:tcPr>
          <w:p>
            <w:pPr>
              <w:adjustRightInd w:val="0"/>
              <w:snapToGrid w:val="0"/>
              <w:jc w:val="center"/>
              <w:rPr>
                <w:szCs w:val="21"/>
              </w:rPr>
            </w:pPr>
            <w:r>
              <w:rPr>
                <w:rFonts w:hint="eastAsia"/>
                <w:szCs w:val="21"/>
              </w:rPr>
              <w:t>氮化盐、调整盐废包装袋</w:t>
            </w:r>
          </w:p>
        </w:tc>
        <w:tc>
          <w:tcPr>
            <w:tcW w:w="2268" w:type="dxa"/>
            <w:tcBorders>
              <w:bottom w:val="single" w:color="auto" w:sz="6" w:space="0"/>
            </w:tcBorders>
            <w:vAlign w:val="center"/>
          </w:tcPr>
          <w:p>
            <w:pPr>
              <w:adjustRightInd w:val="0"/>
              <w:snapToGrid w:val="0"/>
              <w:jc w:val="center"/>
              <w:rPr>
                <w:szCs w:val="21"/>
              </w:rPr>
            </w:pPr>
            <w:r>
              <w:rPr>
                <w:rFonts w:hint="eastAsia"/>
                <w:szCs w:val="21"/>
              </w:rPr>
              <w:t>0</w:t>
            </w:r>
            <w:r>
              <w:rPr>
                <w:szCs w:val="21"/>
              </w:rPr>
              <w:t>.3t/a</w:t>
            </w:r>
          </w:p>
        </w:tc>
        <w:tc>
          <w:tcPr>
            <w:tcW w:w="2232" w:type="dxa"/>
            <w:vAlign w:val="center"/>
          </w:tcPr>
          <w:p>
            <w:pPr>
              <w:adjustRightInd w:val="0"/>
              <w:snapToGrid w:val="0"/>
              <w:jc w:val="center"/>
              <w:rPr>
                <w:szCs w:val="21"/>
              </w:rPr>
            </w:pPr>
            <w:r>
              <w:rPr>
                <w:rFonts w:hint="eastAsia"/>
                <w:szCs w:val="21"/>
              </w:rPr>
              <w:t>收集后外卖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859" w:type="dxa"/>
            <w:vMerge w:val="continue"/>
            <w:vAlign w:val="center"/>
          </w:tcPr>
          <w:p>
            <w:pPr>
              <w:adjustRightInd w:val="0"/>
              <w:snapToGrid w:val="0"/>
              <w:ind w:firstLine="210" w:firstLineChars="100"/>
              <w:jc w:val="center"/>
              <w:rPr>
                <w:szCs w:val="21"/>
              </w:rPr>
            </w:pPr>
          </w:p>
        </w:tc>
        <w:tc>
          <w:tcPr>
            <w:tcW w:w="1801" w:type="dxa"/>
            <w:gridSpan w:val="2"/>
            <w:tcBorders>
              <w:top w:val="single" w:color="auto" w:sz="4" w:space="0"/>
            </w:tcBorders>
            <w:vAlign w:val="center"/>
          </w:tcPr>
          <w:p>
            <w:pPr>
              <w:adjustRightInd w:val="0"/>
              <w:snapToGrid w:val="0"/>
              <w:jc w:val="center"/>
              <w:rPr>
                <w:szCs w:val="21"/>
              </w:rPr>
            </w:pPr>
            <w:r>
              <w:rPr>
                <w:rFonts w:hint="eastAsia"/>
                <w:szCs w:val="21"/>
              </w:rPr>
              <w:t>生产车间</w:t>
            </w:r>
          </w:p>
        </w:tc>
        <w:tc>
          <w:tcPr>
            <w:tcW w:w="2268" w:type="dxa"/>
            <w:tcBorders>
              <w:top w:val="single" w:color="auto" w:sz="4" w:space="0"/>
              <w:bottom w:val="single" w:color="auto" w:sz="4" w:space="0"/>
            </w:tcBorders>
            <w:vAlign w:val="center"/>
          </w:tcPr>
          <w:p>
            <w:pPr>
              <w:adjustRightInd w:val="0"/>
              <w:snapToGrid w:val="0"/>
              <w:jc w:val="center"/>
              <w:rPr>
                <w:szCs w:val="21"/>
              </w:rPr>
            </w:pPr>
            <w:r>
              <w:rPr>
                <w:rFonts w:hint="eastAsia"/>
                <w:szCs w:val="21"/>
              </w:rPr>
              <w:t>生活垃圾</w:t>
            </w:r>
          </w:p>
        </w:tc>
        <w:tc>
          <w:tcPr>
            <w:tcW w:w="2268" w:type="dxa"/>
            <w:tcBorders>
              <w:top w:val="single" w:color="auto" w:sz="4" w:space="0"/>
              <w:bottom w:val="single" w:color="auto" w:sz="4" w:space="0"/>
            </w:tcBorders>
            <w:vAlign w:val="center"/>
          </w:tcPr>
          <w:p>
            <w:pPr>
              <w:adjustRightInd w:val="0"/>
              <w:snapToGrid w:val="0"/>
              <w:jc w:val="center"/>
              <w:rPr>
                <w:szCs w:val="21"/>
              </w:rPr>
            </w:pPr>
            <w:r>
              <w:rPr>
                <w:rFonts w:hint="eastAsia"/>
                <w:szCs w:val="21"/>
              </w:rPr>
              <w:t>本项目</w:t>
            </w:r>
            <w:r>
              <w:rPr>
                <w:szCs w:val="21"/>
              </w:rPr>
              <w:t>不新增生活垃圾</w:t>
            </w:r>
          </w:p>
        </w:tc>
        <w:tc>
          <w:tcPr>
            <w:tcW w:w="2232" w:type="dxa"/>
            <w:tcBorders>
              <w:top w:val="single" w:color="auto" w:sz="4" w:space="0"/>
            </w:tcBorders>
            <w:vAlign w:val="center"/>
          </w:tcPr>
          <w:p>
            <w:pPr>
              <w:adjustRightInd w:val="0"/>
              <w:snapToGrid w:val="0"/>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859" w:type="dxa"/>
            <w:vMerge w:val="continue"/>
            <w:vAlign w:val="center"/>
          </w:tcPr>
          <w:p>
            <w:pPr>
              <w:adjustRightInd w:val="0"/>
              <w:snapToGrid w:val="0"/>
              <w:ind w:firstLine="210" w:firstLineChars="100"/>
              <w:jc w:val="center"/>
              <w:rPr>
                <w:szCs w:val="21"/>
              </w:rPr>
            </w:pPr>
          </w:p>
        </w:tc>
        <w:tc>
          <w:tcPr>
            <w:tcW w:w="1801" w:type="dxa"/>
            <w:gridSpan w:val="2"/>
            <w:tcBorders>
              <w:top w:val="single" w:color="auto" w:sz="4" w:space="0"/>
            </w:tcBorders>
            <w:vAlign w:val="center"/>
          </w:tcPr>
          <w:p>
            <w:pPr>
              <w:adjustRightInd w:val="0"/>
              <w:snapToGrid w:val="0"/>
              <w:jc w:val="center"/>
              <w:rPr>
                <w:szCs w:val="21"/>
              </w:rPr>
            </w:pPr>
            <w:r>
              <w:rPr>
                <w:rFonts w:hint="eastAsia"/>
                <w:szCs w:val="21"/>
              </w:rPr>
              <w:t>检修</w:t>
            </w:r>
          </w:p>
        </w:tc>
        <w:tc>
          <w:tcPr>
            <w:tcW w:w="2268" w:type="dxa"/>
            <w:tcBorders>
              <w:top w:val="single" w:color="auto" w:sz="4" w:space="0"/>
              <w:bottom w:val="single" w:color="auto" w:sz="4" w:space="0"/>
            </w:tcBorders>
            <w:vAlign w:val="center"/>
          </w:tcPr>
          <w:p>
            <w:pPr>
              <w:adjustRightInd w:val="0"/>
              <w:snapToGrid w:val="0"/>
              <w:jc w:val="center"/>
              <w:rPr>
                <w:szCs w:val="21"/>
              </w:rPr>
            </w:pPr>
            <w:r>
              <w:rPr>
                <w:rFonts w:hint="eastAsia"/>
                <w:szCs w:val="21"/>
              </w:rPr>
              <w:t>检修废油</w:t>
            </w:r>
          </w:p>
        </w:tc>
        <w:tc>
          <w:tcPr>
            <w:tcW w:w="2268" w:type="dxa"/>
            <w:tcBorders>
              <w:top w:val="single" w:color="auto" w:sz="4" w:space="0"/>
              <w:bottom w:val="single" w:color="auto" w:sz="4" w:space="0"/>
            </w:tcBorders>
            <w:vAlign w:val="center"/>
          </w:tcPr>
          <w:p>
            <w:pPr>
              <w:adjustRightInd w:val="0"/>
              <w:snapToGrid w:val="0"/>
              <w:jc w:val="center"/>
              <w:rPr>
                <w:szCs w:val="21"/>
              </w:rPr>
            </w:pPr>
            <w:r>
              <w:rPr>
                <w:rFonts w:hint="eastAsia"/>
                <w:szCs w:val="21"/>
              </w:rPr>
              <w:t>0</w:t>
            </w:r>
            <w:r>
              <w:rPr>
                <w:szCs w:val="21"/>
              </w:rPr>
              <w:t>.06t/a</w:t>
            </w:r>
          </w:p>
        </w:tc>
        <w:tc>
          <w:tcPr>
            <w:tcW w:w="2232" w:type="dxa"/>
            <w:tcBorders>
              <w:top w:val="single" w:color="auto" w:sz="4" w:space="0"/>
            </w:tcBorders>
            <w:vAlign w:val="center"/>
          </w:tcPr>
          <w:p>
            <w:pPr>
              <w:adjustRightInd w:val="0"/>
              <w:snapToGrid w:val="0"/>
              <w:jc w:val="center"/>
              <w:rPr>
                <w:szCs w:val="21"/>
              </w:rPr>
            </w:pPr>
            <w:r>
              <w:rPr>
                <w:rFonts w:hint="eastAsia"/>
                <w:szCs w:val="21"/>
              </w:rPr>
              <w:t>收集后交由有资质单位进行处理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6" w:hRule="atLeast"/>
          <w:jc w:val="center"/>
        </w:trPr>
        <w:tc>
          <w:tcPr>
            <w:tcW w:w="859" w:type="dxa"/>
            <w:vAlign w:val="center"/>
          </w:tcPr>
          <w:p>
            <w:pPr>
              <w:adjustRightInd w:val="0"/>
              <w:snapToGrid w:val="0"/>
              <w:jc w:val="center"/>
              <w:rPr>
                <w:szCs w:val="21"/>
              </w:rPr>
            </w:pPr>
            <w:r>
              <w:rPr>
                <w:szCs w:val="21"/>
              </w:rPr>
              <w:t>噪</w:t>
            </w:r>
          </w:p>
          <w:p>
            <w:pPr>
              <w:adjustRightInd w:val="0"/>
              <w:snapToGrid w:val="0"/>
              <w:jc w:val="center"/>
              <w:rPr>
                <w:szCs w:val="21"/>
              </w:rPr>
            </w:pPr>
            <w:r>
              <w:rPr>
                <w:szCs w:val="21"/>
              </w:rPr>
              <w:t>声</w:t>
            </w:r>
          </w:p>
        </w:tc>
        <w:tc>
          <w:tcPr>
            <w:tcW w:w="8569" w:type="dxa"/>
            <w:gridSpan w:val="5"/>
            <w:vAlign w:val="center"/>
          </w:tcPr>
          <w:p>
            <w:pPr>
              <w:adjustRightInd w:val="0"/>
              <w:snapToGrid w:val="0"/>
              <w:jc w:val="center"/>
              <w:rPr>
                <w:szCs w:val="21"/>
              </w:rPr>
            </w:pPr>
            <w:r>
              <w:rPr>
                <w:szCs w:val="21"/>
              </w:rPr>
              <w:t>厂区内各种机械设备噪声</w:t>
            </w:r>
            <w:r>
              <w:rPr>
                <w:rFonts w:hint="eastAsia"/>
                <w:szCs w:val="21"/>
              </w:rPr>
              <w:t>&lt;</w:t>
            </w:r>
            <w:r>
              <w:rPr>
                <w:szCs w:val="21"/>
              </w:rPr>
              <w:t>6</w:t>
            </w:r>
            <w:r>
              <w:rPr>
                <w:rFonts w:hint="eastAsia"/>
                <w:szCs w:val="21"/>
              </w:rPr>
              <w:t>5</w:t>
            </w:r>
            <w:r>
              <w:rPr>
                <w:szCs w:val="21"/>
              </w:rPr>
              <w:t>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30" w:hRule="atLeast"/>
          <w:jc w:val="center"/>
        </w:trPr>
        <w:tc>
          <w:tcPr>
            <w:tcW w:w="9428" w:type="dxa"/>
            <w:gridSpan w:val="6"/>
            <w:tcBorders>
              <w:left w:val="single" w:color="auto" w:sz="12" w:space="0"/>
              <w:right w:val="single" w:color="auto" w:sz="12" w:space="0"/>
            </w:tcBorders>
            <w:vAlign w:val="center"/>
          </w:tcPr>
          <w:p>
            <w:pPr>
              <w:adjustRightInd w:val="0"/>
              <w:snapToGrid w:val="0"/>
              <w:spacing w:line="360" w:lineRule="auto"/>
              <w:rPr>
                <w:rFonts w:ascii="宋体" w:hAnsi="宋体"/>
                <w:b/>
                <w:sz w:val="24"/>
              </w:rPr>
            </w:pPr>
            <w:r>
              <w:rPr>
                <w:rFonts w:ascii="宋体" w:hAnsi="宋体"/>
                <w:b/>
                <w:sz w:val="24"/>
              </w:rPr>
              <w:t>主要生态影响：</w:t>
            </w:r>
          </w:p>
          <w:p>
            <w:pPr>
              <w:adjustRightInd w:val="0"/>
              <w:snapToGrid w:val="0"/>
              <w:spacing w:line="360" w:lineRule="auto"/>
              <w:ind w:firstLine="480" w:firstLineChars="200"/>
              <w:rPr>
                <w:rFonts w:ascii="宋体" w:hAnsi="宋体"/>
                <w:sz w:val="24"/>
              </w:rPr>
            </w:pPr>
            <w:r>
              <w:rPr>
                <w:rFonts w:ascii="宋体" w:hAnsi="宋体"/>
                <w:sz w:val="24"/>
              </w:rPr>
              <w:t>本项目占地面积550</w:t>
            </w:r>
            <w:r>
              <w:rPr>
                <w:rFonts w:hint="eastAsia" w:ascii="宋体" w:hAnsi="宋体"/>
                <w:sz w:val="24"/>
              </w:rPr>
              <w:t>m</w:t>
            </w:r>
            <w:r>
              <w:rPr>
                <w:rFonts w:hint="eastAsia" w:ascii="宋体" w:hAnsi="宋体"/>
                <w:sz w:val="24"/>
                <w:vertAlign w:val="superscript"/>
              </w:rPr>
              <w:t>2</w:t>
            </w:r>
            <w:r>
              <w:rPr>
                <w:rFonts w:ascii="宋体" w:hAnsi="宋体"/>
                <w:sz w:val="24"/>
              </w:rPr>
              <w:t>，</w:t>
            </w:r>
            <w:r>
              <w:rPr>
                <w:rFonts w:hint="eastAsia" w:ascii="宋体" w:hAnsi="宋体"/>
                <w:sz w:val="24"/>
              </w:rPr>
              <w:t>在原有厂房内进行改建，安装新设备，故</w:t>
            </w:r>
            <w:r>
              <w:rPr>
                <w:rFonts w:ascii="宋体" w:hAnsi="宋体"/>
                <w:sz w:val="24"/>
              </w:rPr>
              <w:t>项目的</w:t>
            </w:r>
            <w:r>
              <w:rPr>
                <w:rFonts w:hint="eastAsia" w:ascii="宋体" w:hAnsi="宋体"/>
                <w:sz w:val="24"/>
              </w:rPr>
              <w:t>建设对</w:t>
            </w:r>
            <w:r>
              <w:rPr>
                <w:rFonts w:ascii="宋体" w:hAnsi="宋体"/>
                <w:sz w:val="24"/>
              </w:rPr>
              <w:t>周围</w:t>
            </w:r>
            <w:r>
              <w:rPr>
                <w:rFonts w:hint="eastAsia" w:ascii="宋体" w:hAnsi="宋体"/>
                <w:sz w:val="24"/>
              </w:rPr>
              <w:t>生态</w:t>
            </w:r>
            <w:r>
              <w:rPr>
                <w:rFonts w:ascii="宋体" w:hAnsi="宋体"/>
                <w:sz w:val="24"/>
              </w:rPr>
              <w:t>环境影响甚微。</w:t>
            </w:r>
          </w:p>
        </w:tc>
      </w:tr>
    </w:tbl>
    <w:p/>
    <w:p>
      <w:pPr>
        <w:spacing w:line="360" w:lineRule="auto"/>
        <w:rPr>
          <w:rFonts w:ascii="宋体" w:hAnsi="宋体"/>
          <w:b/>
          <w:sz w:val="30"/>
        </w:rPr>
      </w:pPr>
    </w:p>
    <w:p>
      <w:pPr>
        <w:pStyle w:val="3"/>
        <w:jc w:val="both"/>
        <w:rPr>
          <w:rFonts w:ascii="宋体" w:hAnsi="宋体" w:cs="宋体"/>
          <w:b/>
          <w:bCs/>
          <w:sz w:val="30"/>
          <w:szCs w:val="30"/>
          <w:highlight w:val="red"/>
        </w:rPr>
      </w:pPr>
      <w:r>
        <w:rPr>
          <w:rFonts w:ascii="宋体" w:hAnsi="宋体"/>
          <w:b/>
          <w:sz w:val="30"/>
        </w:rPr>
        <w:br w:type="page"/>
      </w:r>
      <w:r>
        <w:rPr>
          <w:rFonts w:hint="eastAsia" w:ascii="宋体" w:hAnsi="宋体" w:cs="宋体"/>
          <w:b/>
          <w:bCs/>
          <w:sz w:val="30"/>
          <w:szCs w:val="30"/>
        </w:rPr>
        <w:t>表七、环境影响分析</w:t>
      </w:r>
    </w:p>
    <w:tbl>
      <w:tblPr>
        <w:tblStyle w:val="53"/>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94" w:hRule="atLeast"/>
        </w:trPr>
        <w:tc>
          <w:tcPr>
            <w:tcW w:w="9648" w:type="dxa"/>
          </w:tcPr>
          <w:p>
            <w:pPr>
              <w:spacing w:line="360" w:lineRule="auto"/>
              <w:rPr>
                <w:b/>
                <w:sz w:val="24"/>
              </w:rPr>
            </w:pPr>
            <w:r>
              <w:rPr>
                <w:rFonts w:hint="eastAsia"/>
                <w:b/>
                <w:sz w:val="24"/>
              </w:rPr>
              <w:t>一、施工期环境影响简要分析</w:t>
            </w:r>
          </w:p>
          <w:p>
            <w:pPr>
              <w:adjustRightInd w:val="0"/>
              <w:snapToGrid w:val="0"/>
              <w:spacing w:line="360" w:lineRule="auto"/>
              <w:ind w:firstLine="480" w:firstLineChars="200"/>
              <w:jc w:val="left"/>
              <w:rPr>
                <w:sz w:val="24"/>
              </w:rPr>
            </w:pPr>
            <w:r>
              <w:rPr>
                <w:rFonts w:hint="eastAsia"/>
                <w:sz w:val="24"/>
              </w:rPr>
              <w:t>本项目为改建项目，在原有厂房内进行改建。因此，项目施工包括本项目涉及生产设备及环保设备的安装，项目建设不涉及平场、土建工程等施工建设。简要分析如下：</w:t>
            </w:r>
          </w:p>
          <w:p>
            <w:pPr>
              <w:adjustRightInd w:val="0"/>
              <w:snapToGrid w:val="0"/>
              <w:spacing w:line="360" w:lineRule="auto"/>
              <w:ind w:firstLine="480" w:firstLineChars="200"/>
              <w:jc w:val="left"/>
              <w:rPr>
                <w:sz w:val="24"/>
              </w:rPr>
            </w:pPr>
            <w:r>
              <w:rPr>
                <w:rFonts w:hint="eastAsia"/>
                <w:sz w:val="24"/>
              </w:rPr>
              <w:t>项目设备包括氮化炉、氧化炉、清洗槽等，安装于生产厂房内，在设备安装过程中会产生噪声及一定量的粉尘，且项目打扫卫生、粉刷装修将有一定量粉尘产生，由于设备安装、打扫卫生、粉刷装修持续时间较短，其产生的粉尘将随设备安装、打扫卫生、粉刷装修的结束而结束，不会对环境造成大的影响。</w:t>
            </w:r>
          </w:p>
          <w:p>
            <w:pPr>
              <w:adjustRightInd w:val="0"/>
              <w:snapToGrid w:val="0"/>
              <w:spacing w:line="360" w:lineRule="auto"/>
              <w:rPr>
                <w:rFonts w:ascii="宋体" w:hAnsi="宋体" w:cs="宋体"/>
                <w:b/>
                <w:bCs/>
                <w:sz w:val="24"/>
              </w:rPr>
            </w:pPr>
            <w:r>
              <w:rPr>
                <w:rFonts w:hint="eastAsia" w:ascii="宋体" w:hAnsi="宋体" w:cs="宋体"/>
                <w:b/>
                <w:bCs/>
                <w:sz w:val="24"/>
              </w:rPr>
              <w:t>二、运营期环境影响简要分析</w:t>
            </w:r>
          </w:p>
          <w:p>
            <w:pPr>
              <w:adjustRightInd w:val="0"/>
              <w:snapToGrid w:val="0"/>
              <w:spacing w:line="360" w:lineRule="auto"/>
              <w:ind w:firstLine="470" w:firstLineChars="196"/>
              <w:rPr>
                <w:rFonts w:ascii="宋体" w:hAnsi="宋体" w:cs="宋体"/>
                <w:sz w:val="24"/>
              </w:rPr>
            </w:pPr>
            <w:r>
              <w:rPr>
                <w:rFonts w:hint="eastAsia" w:ascii="宋体" w:hAnsi="宋体" w:cs="宋体"/>
                <w:sz w:val="24"/>
              </w:rPr>
              <w:t>营运期项目对周围环境的影响主要是废水、废气、噪声和固体废物。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1、水环境影响分析</w:t>
            </w:r>
          </w:p>
          <w:p>
            <w:pPr>
              <w:spacing w:line="360" w:lineRule="auto"/>
              <w:ind w:firstLine="480" w:firstLineChars="200"/>
              <w:rPr>
                <w:sz w:val="24"/>
              </w:rPr>
            </w:pPr>
            <w:r>
              <w:rPr>
                <w:rFonts w:hint="eastAsia"/>
                <w:sz w:val="24"/>
              </w:rPr>
              <w:t>本项目建成后不新增劳动定员，故本项目不新增生活污水，因此本项目运营过程中产生的废水主要包括生产废水。生产废水包括模具冷却废水、工件氧化清洗废水、工件抛光清洗废水、废气喷淋废水。</w:t>
            </w:r>
          </w:p>
          <w:p>
            <w:pPr>
              <w:spacing w:line="360" w:lineRule="auto"/>
              <w:ind w:firstLine="480" w:firstLineChars="200"/>
              <w:rPr>
                <w:sz w:val="24"/>
              </w:rPr>
            </w:pPr>
            <w:r>
              <w:rPr>
                <w:sz w:val="24"/>
              </w:rPr>
              <w:t>磨具冷却废水</w:t>
            </w:r>
            <w:r>
              <w:rPr>
                <w:rFonts w:hint="eastAsia"/>
                <w:sz w:val="24"/>
              </w:rPr>
              <w:t>：磨具冷却水</w:t>
            </w:r>
            <w:r>
              <w:rPr>
                <w:sz w:val="24"/>
              </w:rPr>
              <w:t>冷却磨具后变成水蒸气全部蒸发</w:t>
            </w:r>
            <w:r>
              <w:rPr>
                <w:rFonts w:hint="eastAsia"/>
                <w:sz w:val="24"/>
              </w:rPr>
              <w:t>，</w:t>
            </w:r>
            <w:r>
              <w:rPr>
                <w:sz w:val="24"/>
              </w:rPr>
              <w:t>因此无废水产生</w:t>
            </w:r>
            <w:r>
              <w:rPr>
                <w:rFonts w:hint="eastAsia"/>
                <w:sz w:val="24"/>
              </w:rPr>
              <w:t>。</w:t>
            </w:r>
          </w:p>
          <w:p>
            <w:pPr>
              <w:spacing w:line="360" w:lineRule="auto"/>
              <w:ind w:firstLine="480" w:firstLineChars="200"/>
              <w:rPr>
                <w:sz w:val="24"/>
              </w:rPr>
            </w:pPr>
            <w:r>
              <w:rPr>
                <w:sz w:val="24"/>
              </w:rPr>
              <w:t>工件氧化清洗废水</w:t>
            </w:r>
            <w:r>
              <w:rPr>
                <w:rFonts w:hint="eastAsia"/>
                <w:sz w:val="24"/>
              </w:rPr>
              <w:t>：工件经盐浴氧化后用水进行冷却清洗以去除工件表面的盐。拟采用五级清洗，其中第一级清洗废水中含盐量较高，经收集后采用过滤、蒸馏浓缩回收废水中的固体盐，废水经蒸馏后变成水蒸气，水蒸气经冷却收集后作为第一级清洗水补充水使用；后一级清洗废水依次作为上一级清洗水使用，不外排。</w:t>
            </w:r>
          </w:p>
          <w:p>
            <w:pPr>
              <w:spacing w:line="360" w:lineRule="auto"/>
              <w:ind w:firstLine="480" w:firstLineChars="200"/>
              <w:rPr>
                <w:sz w:val="24"/>
              </w:rPr>
            </w:pPr>
            <w:r>
              <w:rPr>
                <w:rFonts w:hint="eastAsia"/>
                <w:sz w:val="24"/>
              </w:rPr>
              <w:t>工件</w:t>
            </w:r>
            <w:r>
              <w:rPr>
                <w:sz w:val="24"/>
              </w:rPr>
              <w:t>抛光清洗废水</w:t>
            </w:r>
            <w:r>
              <w:rPr>
                <w:rFonts w:hint="eastAsia"/>
                <w:sz w:val="24"/>
              </w:rPr>
              <w:t>：工件</w:t>
            </w:r>
            <w:r>
              <w:rPr>
                <w:sz w:val="24"/>
              </w:rPr>
              <w:t>经</w:t>
            </w:r>
            <w:r>
              <w:rPr>
                <w:rFonts w:hint="eastAsia"/>
                <w:sz w:val="24"/>
              </w:rPr>
              <w:t>抛光</w:t>
            </w:r>
            <w:r>
              <w:rPr>
                <w:sz w:val="24"/>
              </w:rPr>
              <w:t>后用水进行清洗</w:t>
            </w:r>
            <w:r>
              <w:rPr>
                <w:rFonts w:hint="eastAsia"/>
                <w:sz w:val="24"/>
              </w:rPr>
              <w:t>，清洗废水</w:t>
            </w:r>
            <w:r>
              <w:rPr>
                <w:sz w:val="24"/>
              </w:rPr>
              <w:t>进行收集后作为模具冷却水使用</w:t>
            </w:r>
            <w:r>
              <w:rPr>
                <w:rFonts w:hint="eastAsia"/>
                <w:sz w:val="24"/>
              </w:rPr>
              <w:t>，</w:t>
            </w:r>
            <w:r>
              <w:rPr>
                <w:sz w:val="24"/>
              </w:rPr>
              <w:t>不外排</w:t>
            </w:r>
            <w:r>
              <w:rPr>
                <w:rFonts w:hint="eastAsia"/>
                <w:sz w:val="24"/>
              </w:rPr>
              <w:t>。</w:t>
            </w:r>
          </w:p>
          <w:p>
            <w:pPr>
              <w:spacing w:line="360" w:lineRule="auto"/>
              <w:ind w:firstLine="480" w:firstLineChars="200"/>
              <w:rPr>
                <w:sz w:val="24"/>
              </w:rPr>
            </w:pPr>
            <w:r>
              <w:rPr>
                <w:rFonts w:hint="eastAsia"/>
                <w:sz w:val="24"/>
              </w:rPr>
              <w:t>废气喷淋废水：工件在热处理过程中产生的废气采用水喷淋处理（除氨）+光氧催化+</w:t>
            </w:r>
            <w:r>
              <w:rPr>
                <w:sz w:val="24"/>
              </w:rPr>
              <w:t>15m高排气筒排放</w:t>
            </w:r>
            <w:r>
              <w:rPr>
                <w:rFonts w:hint="eastAsia"/>
                <w:sz w:val="24"/>
              </w:rPr>
              <w:t>，含氨废水产生量为0</w:t>
            </w:r>
            <w:r>
              <w:rPr>
                <w:sz w:val="24"/>
              </w:rPr>
              <w:t>.4 m</w:t>
            </w:r>
            <w:r>
              <w:rPr>
                <w:sz w:val="24"/>
                <w:vertAlign w:val="superscript"/>
              </w:rPr>
              <w:t>3</w:t>
            </w:r>
            <w:r>
              <w:rPr>
                <w:sz w:val="24"/>
              </w:rPr>
              <w:t>/d</w:t>
            </w:r>
            <w:r>
              <w:rPr>
                <w:rFonts w:hint="eastAsia"/>
                <w:sz w:val="24"/>
              </w:rPr>
              <w:t>，本评价要求含氨</w:t>
            </w:r>
            <w:r>
              <w:rPr>
                <w:sz w:val="24"/>
              </w:rPr>
              <w:t>废水经收集调</w:t>
            </w:r>
            <w:r>
              <w:rPr>
                <w:rFonts w:hint="eastAsia"/>
                <w:sz w:val="24"/>
              </w:rPr>
              <w:t>p</w:t>
            </w:r>
            <w:r>
              <w:rPr>
                <w:sz w:val="24"/>
              </w:rPr>
              <w:t>H后循环使用</w:t>
            </w:r>
            <w:r>
              <w:rPr>
                <w:rFonts w:hint="eastAsia"/>
                <w:sz w:val="24"/>
              </w:rPr>
              <w:t>，</w:t>
            </w:r>
            <w:r>
              <w:rPr>
                <w:sz w:val="24"/>
              </w:rPr>
              <w:t>不外排</w:t>
            </w:r>
            <w:r>
              <w:rPr>
                <w:rFonts w:hint="eastAsia"/>
                <w:sz w:val="24"/>
              </w:rPr>
              <w:t>。</w:t>
            </w:r>
          </w:p>
          <w:p>
            <w:pPr>
              <w:spacing w:line="360" w:lineRule="auto"/>
              <w:ind w:firstLine="482"/>
              <w:jc w:val="left"/>
              <w:rPr>
                <w:rFonts w:ascii="宋体" w:hAnsi="宋体" w:cs="宋体"/>
                <w:sz w:val="24"/>
              </w:rPr>
            </w:pPr>
            <w:r>
              <w:rPr>
                <w:rFonts w:hint="eastAsia" w:ascii="宋体" w:hAnsi="宋体" w:cs="宋体"/>
                <w:sz w:val="24"/>
              </w:rPr>
              <w:t>因此本项目产生的废水得到合理处置，对项目所在区域地表水环境影响可接受。</w:t>
            </w:r>
          </w:p>
          <w:p>
            <w:pPr>
              <w:adjustRightInd w:val="0"/>
              <w:snapToGrid w:val="0"/>
              <w:spacing w:line="360" w:lineRule="auto"/>
              <w:ind w:firstLine="200"/>
              <w:rPr>
                <w:rFonts w:ascii="宋体" w:hAnsi="宋体" w:cs="宋体"/>
                <w:sz w:val="24"/>
              </w:rPr>
            </w:pPr>
            <w:r>
              <w:rPr>
                <w:rFonts w:hint="eastAsia" w:ascii="宋体" w:hAnsi="宋体" w:cs="宋体"/>
                <w:sz w:val="24"/>
              </w:rPr>
              <w:t>2、大气环境影响分析</w:t>
            </w:r>
          </w:p>
          <w:p>
            <w:pPr>
              <w:spacing w:line="360" w:lineRule="auto"/>
              <w:ind w:firstLine="480" w:firstLineChars="200"/>
              <w:rPr>
                <w:sz w:val="24"/>
              </w:rPr>
            </w:pPr>
            <w:r>
              <w:rPr>
                <w:rFonts w:hint="eastAsia"/>
                <w:sz w:val="24"/>
              </w:rPr>
              <w:t>本项目运营期产生废气主要为工件抛光粉尘、工件盐浴氮化过程产生的废气等。</w:t>
            </w:r>
          </w:p>
          <w:p>
            <w:pPr>
              <w:spacing w:line="360" w:lineRule="auto"/>
              <w:ind w:firstLine="480" w:firstLineChars="200"/>
              <w:rPr>
                <w:sz w:val="24"/>
              </w:rPr>
            </w:pPr>
            <w:r>
              <w:rPr>
                <w:rFonts w:hint="eastAsia"/>
                <w:sz w:val="24"/>
              </w:rPr>
              <w:t>抛光粉尘：</w:t>
            </w:r>
            <w:r>
              <w:rPr>
                <w:sz w:val="24"/>
              </w:rPr>
              <w:t>抛光工序粉尘产生量为</w:t>
            </w:r>
            <w:r>
              <w:rPr>
                <w:rFonts w:hint="eastAsia"/>
                <w:sz w:val="24"/>
              </w:rPr>
              <w:t>1</w:t>
            </w:r>
            <w:r>
              <w:rPr>
                <w:sz w:val="24"/>
              </w:rPr>
              <w:t>.28t/a</w:t>
            </w:r>
            <w:r>
              <w:rPr>
                <w:rFonts w:hint="eastAsia"/>
                <w:sz w:val="24"/>
              </w:rPr>
              <w:t>，</w:t>
            </w:r>
            <w:r>
              <w:rPr>
                <w:sz w:val="24"/>
              </w:rPr>
              <w:t>经布袋除尘处理后排放量为</w:t>
            </w:r>
            <w:r>
              <w:rPr>
                <w:rFonts w:hint="eastAsia"/>
                <w:sz w:val="24"/>
              </w:rPr>
              <w:t>0</w:t>
            </w:r>
            <w:r>
              <w:rPr>
                <w:sz w:val="24"/>
              </w:rPr>
              <w:t>.0128t/a</w:t>
            </w:r>
            <w:r>
              <w:rPr>
                <w:rFonts w:hint="eastAsia"/>
                <w:sz w:val="24"/>
              </w:rPr>
              <w:t>，0</w:t>
            </w:r>
            <w:r>
              <w:rPr>
                <w:sz w:val="24"/>
              </w:rPr>
              <w:t>.00019kg/h</w:t>
            </w:r>
            <w:r>
              <w:rPr>
                <w:rFonts w:hint="eastAsia"/>
                <w:sz w:val="24"/>
              </w:rPr>
              <w:t>。</w:t>
            </w:r>
          </w:p>
          <w:p>
            <w:pPr>
              <w:spacing w:line="360" w:lineRule="auto"/>
              <w:ind w:firstLine="480" w:firstLineChars="200"/>
              <w:rPr>
                <w:sz w:val="24"/>
              </w:rPr>
            </w:pPr>
            <w:r>
              <w:rPr>
                <w:rFonts w:hint="eastAsia"/>
                <w:sz w:val="24"/>
              </w:rPr>
              <w:t>氮化过程产生废气：工件氮化过程产生含氨废气，氨气产生量为5</w:t>
            </w:r>
            <w:r>
              <w:rPr>
                <w:sz w:val="24"/>
              </w:rPr>
              <w:t>.4t/a</w:t>
            </w:r>
            <w:r>
              <w:rPr>
                <w:rFonts w:hint="eastAsia"/>
                <w:sz w:val="24"/>
              </w:rPr>
              <w:t>，</w:t>
            </w:r>
            <w:r>
              <w:rPr>
                <w:sz w:val="24"/>
              </w:rPr>
              <w:t>经集气罩</w:t>
            </w:r>
            <w:r>
              <w:rPr>
                <w:rFonts w:hint="eastAsia"/>
                <w:sz w:val="24"/>
              </w:rPr>
              <w:t>+负压抽风+水喷淋+</w:t>
            </w:r>
            <w:r>
              <w:rPr>
                <w:sz w:val="24"/>
              </w:rPr>
              <w:t>光氧催化处理后经15m高排气筒排放</w:t>
            </w:r>
            <w:r>
              <w:rPr>
                <w:rFonts w:hint="eastAsia"/>
                <w:sz w:val="24"/>
              </w:rPr>
              <w:t>，</w:t>
            </w:r>
            <w:r>
              <w:rPr>
                <w:sz w:val="24"/>
              </w:rPr>
              <w:t>氨气的排放量为0.68t/a</w:t>
            </w:r>
            <w:r>
              <w:rPr>
                <w:rFonts w:hint="eastAsia"/>
                <w:sz w:val="24"/>
              </w:rPr>
              <w:t>，</w:t>
            </w:r>
            <w:r>
              <w:rPr>
                <w:sz w:val="24"/>
              </w:rPr>
              <w:t>2.0mg/m</w:t>
            </w:r>
            <w:r>
              <w:rPr>
                <w:sz w:val="24"/>
                <w:vertAlign w:val="superscript"/>
              </w:rPr>
              <w:t>3</w:t>
            </w:r>
            <w:r>
              <w:rPr>
                <w:rFonts w:hint="eastAsia"/>
                <w:sz w:val="24"/>
              </w:rPr>
              <w:t>。</w:t>
            </w:r>
          </w:p>
          <w:p>
            <w:pPr>
              <w:spacing w:line="360" w:lineRule="auto"/>
              <w:ind w:firstLine="482" w:firstLineChars="200"/>
              <w:rPr>
                <w:rFonts w:ascii="宋体" w:hAnsi="宋体"/>
                <w:b/>
                <w:sz w:val="24"/>
              </w:rPr>
            </w:pPr>
            <w:r>
              <w:rPr>
                <w:rFonts w:hint="eastAsia" w:ascii="宋体" w:hAnsi="宋体"/>
                <w:b/>
                <w:sz w:val="24"/>
              </w:rPr>
              <w:t>大气环境影响评价结论</w:t>
            </w:r>
          </w:p>
          <w:p>
            <w:pPr>
              <w:spacing w:line="360" w:lineRule="auto"/>
              <w:ind w:firstLine="482" w:firstLineChars="200"/>
              <w:rPr>
                <w:rFonts w:ascii="宋体" w:hAnsi="宋体"/>
                <w:b/>
                <w:sz w:val="24"/>
              </w:rPr>
            </w:pPr>
            <w:r>
              <w:rPr>
                <w:rFonts w:ascii="宋体" w:hAnsi="宋体"/>
                <w:b/>
                <w:sz w:val="24"/>
              </w:rPr>
              <w:t>综上所述</w:t>
            </w:r>
            <w:r>
              <w:rPr>
                <w:rFonts w:hint="eastAsia" w:ascii="宋体" w:hAnsi="宋体"/>
                <w:b/>
                <w:sz w:val="24"/>
              </w:rPr>
              <w:t>，</w:t>
            </w:r>
            <w:r>
              <w:rPr>
                <w:rFonts w:ascii="宋体" w:hAnsi="宋体"/>
                <w:b/>
                <w:sz w:val="24"/>
              </w:rPr>
              <w:t>项目建成后各污染物能做到达标排放</w:t>
            </w:r>
            <w:r>
              <w:rPr>
                <w:rFonts w:hint="eastAsia" w:ascii="宋体" w:hAnsi="宋体"/>
                <w:b/>
                <w:sz w:val="24"/>
              </w:rPr>
              <w:t>，</w:t>
            </w:r>
            <w:r>
              <w:rPr>
                <w:rFonts w:ascii="宋体" w:hAnsi="宋体"/>
                <w:b/>
                <w:sz w:val="24"/>
              </w:rPr>
              <w:t>通过预测</w:t>
            </w:r>
            <w:r>
              <w:rPr>
                <w:rFonts w:hint="eastAsia" w:ascii="宋体" w:hAnsi="宋体"/>
                <w:b/>
                <w:sz w:val="24"/>
              </w:rPr>
              <w:t>，</w:t>
            </w:r>
            <w:r>
              <w:rPr>
                <w:rFonts w:ascii="宋体" w:hAnsi="宋体"/>
                <w:b/>
                <w:sz w:val="24"/>
              </w:rPr>
              <w:t>项目各污染物中最大占标率为2.0</w:t>
            </w:r>
            <w:r>
              <w:rPr>
                <w:rFonts w:hint="eastAsia" w:ascii="宋体" w:hAnsi="宋体"/>
                <w:b/>
                <w:sz w:val="24"/>
              </w:rPr>
              <w:t>%（&lt;</w:t>
            </w:r>
            <w:r>
              <w:rPr>
                <w:rFonts w:ascii="宋体" w:hAnsi="宋体"/>
                <w:b/>
                <w:sz w:val="24"/>
              </w:rPr>
              <w:t>10</w:t>
            </w:r>
            <w:r>
              <w:rPr>
                <w:rFonts w:hint="eastAsia" w:ascii="宋体" w:hAnsi="宋体"/>
                <w:b/>
                <w:sz w:val="24"/>
              </w:rPr>
              <w:t>%），项目大气环境影响评价等级为二级，项目对所在区域大气环境影响可接受。</w:t>
            </w:r>
          </w:p>
          <w:p>
            <w:pPr>
              <w:spacing w:line="360" w:lineRule="auto"/>
              <w:ind w:firstLine="480"/>
              <w:rPr>
                <w:rFonts w:ascii="宋体" w:hAnsi="宋体" w:cs="宋体"/>
                <w:sz w:val="24"/>
              </w:rPr>
            </w:pPr>
            <w:r>
              <w:rPr>
                <w:rFonts w:hint="eastAsia" w:ascii="宋体" w:hAnsi="宋体" w:cs="宋体"/>
                <w:sz w:val="24"/>
              </w:rPr>
              <w:t>3、声学环境影响分析</w:t>
            </w:r>
          </w:p>
          <w:p>
            <w:pPr>
              <w:spacing w:line="360" w:lineRule="auto"/>
              <w:ind w:firstLine="600" w:firstLineChars="250"/>
              <w:rPr>
                <w:rFonts w:ascii="宋体" w:hAnsi="宋体" w:cs="宋体"/>
                <w:sz w:val="24"/>
              </w:rPr>
            </w:pPr>
            <w:r>
              <w:rPr>
                <w:rFonts w:hint="eastAsia" w:ascii="宋体" w:hAnsi="宋体" w:cs="宋体"/>
                <w:sz w:val="24"/>
              </w:rPr>
              <w:t>本项目噪声主要为厂区电炉、磨削机、风机等设备运行时产生的噪声。</w:t>
            </w:r>
          </w:p>
          <w:p>
            <w:pPr>
              <w:spacing w:line="360" w:lineRule="auto"/>
              <w:ind w:firstLine="570"/>
              <w:rPr>
                <w:rFonts w:ascii="宋体" w:hAnsi="宋体" w:cs="宋体"/>
                <w:sz w:val="24"/>
              </w:rPr>
            </w:pPr>
            <w:r>
              <w:rPr>
                <w:rFonts w:hint="eastAsia" w:ascii="宋体" w:hAnsi="宋体" w:cs="宋体"/>
                <w:sz w:val="24"/>
              </w:rPr>
              <w:t>计算某个声源在预测点的声压级</w:t>
            </w:r>
          </w:p>
          <w:p>
            <w:pPr>
              <w:spacing w:line="560" w:lineRule="exact"/>
              <w:ind w:firstLine="570"/>
              <w:rPr>
                <w:rFonts w:ascii="宋体" w:hAnsi="宋体" w:cs="宋体"/>
                <w:sz w:val="24"/>
              </w:rPr>
            </w:pPr>
            <w:r>
              <w:rPr>
                <w:rFonts w:hint="eastAsia" w:ascii="宋体" w:hAnsi="宋体" w:cs="宋体"/>
                <w:sz w:val="24"/>
              </w:rPr>
              <w:drawing>
                <wp:anchor distT="0" distB="0" distL="114300" distR="114300" simplePos="0" relativeHeight="251664384" behindDoc="0" locked="0" layoutInCell="1" allowOverlap="1">
                  <wp:simplePos x="0" y="0"/>
                  <wp:positionH relativeFrom="column">
                    <wp:posOffset>455295</wp:posOffset>
                  </wp:positionH>
                  <wp:positionV relativeFrom="paragraph">
                    <wp:posOffset>140335</wp:posOffset>
                  </wp:positionV>
                  <wp:extent cx="2059940" cy="501015"/>
                  <wp:effectExtent l="0" t="0" r="0" b="0"/>
                  <wp:wrapNone/>
                  <wp:docPr id="1833" name="图片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 name="图片 958"/>
                          <pic:cNvPicPr>
                            <a:picLocks noChangeAspect="1" noChangeArrowheads="1"/>
                          </pic:cNvPicPr>
                        </pic:nvPicPr>
                        <pic:blipFill>
                          <a:blip r:embed="rId19"/>
                          <a:srcRect/>
                          <a:stretch>
                            <a:fillRect/>
                          </a:stretch>
                        </pic:blipFill>
                        <pic:spPr>
                          <a:xfrm>
                            <a:off x="0" y="0"/>
                            <a:ext cx="2059940" cy="501015"/>
                          </a:xfrm>
                          <a:prstGeom prst="rect">
                            <a:avLst/>
                          </a:prstGeom>
                          <a:noFill/>
                          <a:ln w="9525">
                            <a:noFill/>
                            <a:miter lim="800000"/>
                            <a:headEnd/>
                            <a:tailEnd/>
                          </a:ln>
                        </pic:spPr>
                      </pic:pic>
                    </a:graphicData>
                  </a:graphic>
                </wp:anchor>
              </w:drawing>
            </w:r>
          </w:p>
          <w:p>
            <w:pPr>
              <w:spacing w:line="560" w:lineRule="exact"/>
              <w:ind w:firstLine="570"/>
              <w:rPr>
                <w:rFonts w:ascii="宋体" w:hAnsi="宋体" w:cs="宋体"/>
                <w:sz w:val="24"/>
              </w:rPr>
            </w:pPr>
          </w:p>
          <w:p>
            <w:pPr>
              <w:spacing w:line="360" w:lineRule="auto"/>
              <w:ind w:firstLine="570"/>
              <w:rPr>
                <w:rFonts w:ascii="宋体" w:hAnsi="宋体" w:cs="宋体"/>
                <w:sz w:val="24"/>
              </w:rPr>
            </w:pPr>
            <w:r>
              <w:rPr>
                <w:rFonts w:hint="eastAsia" w:ascii="宋体" w:hAnsi="宋体" w:cs="宋体"/>
                <w:sz w:val="24"/>
              </w:rPr>
              <w:t>式中：Lp(r)--点声源在预测点产生的声压级；</w:t>
            </w:r>
          </w:p>
          <w:p>
            <w:pPr>
              <w:spacing w:line="360" w:lineRule="auto"/>
              <w:ind w:firstLine="1204" w:firstLineChars="502"/>
              <w:rPr>
                <w:rFonts w:ascii="宋体" w:hAnsi="宋体" w:cs="宋体"/>
                <w:sz w:val="24"/>
              </w:rPr>
            </w:pPr>
            <w:r>
              <w:rPr>
                <w:rFonts w:hint="eastAsia" w:ascii="宋体" w:hAnsi="宋体" w:cs="宋体"/>
                <w:sz w:val="24"/>
              </w:rPr>
              <w:t>Lp(r</w:t>
            </w:r>
            <w:r>
              <w:rPr>
                <w:rFonts w:hint="eastAsia" w:ascii="宋体" w:hAnsi="宋体" w:cs="宋体"/>
                <w:sz w:val="24"/>
                <w:vertAlign w:val="subscript"/>
              </w:rPr>
              <w:t>0</w:t>
            </w:r>
            <w:r>
              <w:rPr>
                <w:rFonts w:hint="eastAsia" w:ascii="宋体" w:hAnsi="宋体" w:cs="宋体"/>
                <w:sz w:val="24"/>
              </w:rPr>
              <w:t>)--参考位置r</w:t>
            </w:r>
            <w:r>
              <w:rPr>
                <w:rFonts w:hint="eastAsia" w:ascii="宋体" w:hAnsi="宋体" w:cs="宋体"/>
                <w:sz w:val="24"/>
                <w:vertAlign w:val="subscript"/>
              </w:rPr>
              <w:t>0</w:t>
            </w:r>
            <w:r>
              <w:rPr>
                <w:rFonts w:hint="eastAsia" w:ascii="宋体" w:hAnsi="宋体" w:cs="宋体"/>
                <w:sz w:val="24"/>
              </w:rPr>
              <w:t>处的声压级；</w:t>
            </w:r>
          </w:p>
          <w:p>
            <w:pPr>
              <w:spacing w:line="360" w:lineRule="auto"/>
              <w:ind w:firstLine="1204" w:firstLineChars="502"/>
              <w:rPr>
                <w:rFonts w:ascii="宋体" w:hAnsi="宋体" w:cs="宋体"/>
                <w:sz w:val="24"/>
              </w:rPr>
            </w:pPr>
            <w:r>
              <w:rPr>
                <w:rFonts w:hint="eastAsia" w:ascii="宋体" w:hAnsi="宋体" w:cs="宋体"/>
                <w:sz w:val="24"/>
              </w:rPr>
              <w:t>r--预测点距声源的距离，m；</w:t>
            </w:r>
          </w:p>
          <w:p>
            <w:pPr>
              <w:spacing w:line="360" w:lineRule="auto"/>
              <w:ind w:firstLine="1204" w:firstLineChars="502"/>
              <w:rPr>
                <w:rFonts w:ascii="宋体" w:hAnsi="宋体" w:cs="宋体"/>
                <w:sz w:val="24"/>
              </w:rPr>
            </w:pPr>
            <w:r>
              <w:rPr>
                <w:rFonts w:hint="eastAsia" w:ascii="宋体" w:hAnsi="宋体" w:cs="宋体"/>
                <w:sz w:val="24"/>
              </w:rPr>
              <w:t>r</w:t>
            </w:r>
            <w:r>
              <w:rPr>
                <w:rFonts w:hint="eastAsia" w:ascii="宋体" w:hAnsi="宋体" w:cs="宋体"/>
                <w:sz w:val="24"/>
                <w:vertAlign w:val="subscript"/>
              </w:rPr>
              <w:t>0</w:t>
            </w:r>
            <w:r>
              <w:rPr>
                <w:rFonts w:hint="eastAsia" w:ascii="宋体" w:hAnsi="宋体" w:cs="宋体"/>
                <w:sz w:val="24"/>
              </w:rPr>
              <w:t>--参考位置距声源的距离，m；</w:t>
            </w:r>
          </w:p>
          <w:p>
            <w:pPr>
              <w:spacing w:line="360" w:lineRule="auto"/>
              <w:ind w:firstLine="1084" w:firstLineChars="452"/>
              <w:rPr>
                <w:rFonts w:ascii="宋体" w:hAnsi="宋体" w:cs="宋体"/>
                <w:sz w:val="24"/>
              </w:rPr>
            </w:pPr>
            <w:r>
              <w:rPr>
                <w:rFonts w:hint="eastAsia" w:ascii="宋体" w:hAnsi="宋体" w:cs="宋体"/>
                <w:sz w:val="24"/>
              </w:rPr>
              <w:t>ΔLp--各种因素引起的衰减量（包括声屏障、遮挡物、空气吸收、地面效应等引起的衰减量）。</w:t>
            </w:r>
          </w:p>
          <w:p>
            <w:pPr>
              <w:spacing w:line="360" w:lineRule="auto"/>
              <w:ind w:firstLine="570"/>
              <w:rPr>
                <w:rFonts w:ascii="宋体" w:hAnsi="宋体" w:cs="宋体"/>
                <w:sz w:val="24"/>
              </w:rPr>
            </w:pPr>
            <w:r>
              <w:rPr>
                <w:rFonts w:hint="eastAsia" w:ascii="宋体" w:hAnsi="宋体" w:cs="宋体"/>
                <w:sz w:val="24"/>
              </w:rPr>
              <w:t>关于</w:t>
            </w:r>
            <w:r>
              <w:rPr>
                <w:rFonts w:hint="eastAsia" w:ascii="宋体" w:hAnsi="宋体" w:cs="宋体"/>
                <w:sz w:val="24"/>
              </w:rPr>
              <w:sym w:font="Symbol" w:char="F044"/>
            </w:r>
            <w:r>
              <w:rPr>
                <w:rFonts w:hint="eastAsia" w:ascii="宋体" w:hAnsi="宋体" w:cs="宋体"/>
                <w:sz w:val="24"/>
              </w:rPr>
              <w:t>L取值，其影响因素很多，根据工程特点忽略天气、温度及地面状况等因素，主要考虑厂房隔声、建筑放射等，一般厂房隔声：</w:t>
            </w:r>
            <w:r>
              <w:rPr>
                <w:rFonts w:hint="eastAsia" w:ascii="宋体" w:hAnsi="宋体" w:cs="宋体"/>
                <w:sz w:val="24"/>
              </w:rPr>
              <w:sym w:font="Symbol" w:char="F044"/>
            </w:r>
            <w:r>
              <w:rPr>
                <w:rFonts w:hint="eastAsia" w:ascii="宋体" w:hAnsi="宋体" w:cs="宋体"/>
                <w:sz w:val="24"/>
              </w:rPr>
              <w:t>L≈10dB(A)，隔声处理厂房</w:t>
            </w:r>
            <w:r>
              <w:rPr>
                <w:rFonts w:hint="eastAsia" w:ascii="宋体" w:hAnsi="宋体" w:cs="宋体"/>
                <w:sz w:val="24"/>
              </w:rPr>
              <w:sym w:font="Symbol" w:char="F044"/>
            </w:r>
            <w:r>
              <w:rPr>
                <w:rFonts w:hint="eastAsia" w:ascii="宋体" w:hAnsi="宋体" w:cs="宋体"/>
                <w:sz w:val="24"/>
              </w:rPr>
              <w:t>L≈15dB(A)。</w:t>
            </w:r>
          </w:p>
          <w:p>
            <w:pPr>
              <w:spacing w:line="360" w:lineRule="auto"/>
              <w:ind w:firstLine="570"/>
              <w:rPr>
                <w:rFonts w:ascii="宋体" w:hAnsi="宋体" w:cs="宋体"/>
                <w:sz w:val="28"/>
                <w:szCs w:val="28"/>
              </w:rPr>
            </w:pPr>
            <w:r>
              <w:rPr>
                <w:rFonts w:hint="eastAsia" w:ascii="宋体" w:hAnsi="宋体" w:cs="宋体"/>
                <w:sz w:val="24"/>
              </w:rPr>
              <w:t>噪声叠加公式：</w:t>
            </w:r>
          </w:p>
          <w:p>
            <w:pPr>
              <w:spacing w:line="560" w:lineRule="exact"/>
              <w:ind w:firstLine="570"/>
              <w:rPr>
                <w:rFonts w:ascii="宋体" w:hAnsi="宋体" w:cs="宋体"/>
                <w:sz w:val="28"/>
                <w:szCs w:val="28"/>
              </w:rPr>
            </w:pPr>
            <w:r>
              <w:rPr>
                <w:rFonts w:hint="eastAsia" w:ascii="宋体" w:hAnsi="宋体" w:cs="宋体"/>
                <w:sz w:val="28"/>
                <w:szCs w:val="28"/>
              </w:rPr>
              <w:drawing>
                <wp:anchor distT="0" distB="0" distL="114300" distR="114300" simplePos="0" relativeHeight="251663360" behindDoc="0" locked="0" layoutInCell="1" allowOverlap="1">
                  <wp:simplePos x="0" y="0"/>
                  <wp:positionH relativeFrom="column">
                    <wp:posOffset>340995</wp:posOffset>
                  </wp:positionH>
                  <wp:positionV relativeFrom="paragraph">
                    <wp:posOffset>57785</wp:posOffset>
                  </wp:positionV>
                  <wp:extent cx="1979930" cy="499745"/>
                  <wp:effectExtent l="0" t="0" r="0" b="0"/>
                  <wp:wrapNone/>
                  <wp:docPr id="1832" name="图片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 name="图片 785"/>
                          <pic:cNvPicPr>
                            <a:picLocks noChangeAspect="1" noChangeArrowheads="1"/>
                          </pic:cNvPicPr>
                        </pic:nvPicPr>
                        <pic:blipFill>
                          <a:blip r:embed="rId20"/>
                          <a:srcRect/>
                          <a:stretch>
                            <a:fillRect/>
                          </a:stretch>
                        </pic:blipFill>
                        <pic:spPr>
                          <a:xfrm>
                            <a:off x="0" y="0"/>
                            <a:ext cx="1979930" cy="499745"/>
                          </a:xfrm>
                          <a:prstGeom prst="rect">
                            <a:avLst/>
                          </a:prstGeom>
                          <a:noFill/>
                          <a:ln w="9525">
                            <a:noFill/>
                            <a:miter lim="800000"/>
                            <a:headEnd/>
                            <a:tailEnd/>
                          </a:ln>
                        </pic:spPr>
                      </pic:pic>
                    </a:graphicData>
                  </a:graphic>
                </wp:anchor>
              </w:drawing>
            </w:r>
          </w:p>
          <w:p>
            <w:pPr>
              <w:spacing w:line="560" w:lineRule="exact"/>
              <w:ind w:firstLine="570"/>
              <w:rPr>
                <w:rFonts w:ascii="宋体" w:hAnsi="宋体" w:cs="宋体"/>
                <w:sz w:val="28"/>
                <w:szCs w:val="28"/>
              </w:rPr>
            </w:pPr>
          </w:p>
          <w:p>
            <w:pPr>
              <w:spacing w:line="360" w:lineRule="auto"/>
              <w:ind w:firstLine="570"/>
              <w:rPr>
                <w:rFonts w:ascii="宋体" w:hAnsi="宋体" w:cs="宋体"/>
                <w:sz w:val="24"/>
              </w:rPr>
            </w:pPr>
            <w:r>
              <w:rPr>
                <w:rFonts w:hint="eastAsia" w:ascii="宋体" w:hAnsi="宋体" w:cs="宋体"/>
                <w:sz w:val="24"/>
              </w:rPr>
              <w:t>式中：L——某点噪声总叠加值，dB(A)；</w:t>
            </w:r>
          </w:p>
          <w:p>
            <w:pPr>
              <w:spacing w:line="360" w:lineRule="auto"/>
              <w:ind w:firstLine="570"/>
              <w:rPr>
                <w:rFonts w:ascii="宋体" w:hAnsi="宋体" w:cs="宋体"/>
                <w:sz w:val="24"/>
              </w:rPr>
            </w:pPr>
            <w:r>
              <w:rPr>
                <w:rFonts w:hint="eastAsia" w:ascii="宋体" w:hAnsi="宋体" w:cs="宋体"/>
                <w:sz w:val="24"/>
              </w:rPr>
              <w:t xml:space="preserve">      </w:t>
            </w:r>
            <w:bookmarkStart w:id="13" w:name="_Toc172591854"/>
            <w:bookmarkStart w:id="14" w:name="_Toc172592185"/>
            <w:r>
              <w:rPr>
                <w:rFonts w:hint="eastAsia" w:ascii="宋体" w:hAnsi="宋体" w:cs="宋体"/>
                <w:sz w:val="24"/>
              </w:rPr>
              <w:t>Li — 第i个声源的噪声值，dB(A)；</w:t>
            </w:r>
            <w:bookmarkEnd w:id="13"/>
            <w:bookmarkEnd w:id="14"/>
          </w:p>
          <w:p>
            <w:pPr>
              <w:spacing w:line="360" w:lineRule="auto"/>
              <w:ind w:firstLine="570"/>
              <w:rPr>
                <w:rFonts w:ascii="宋体" w:hAnsi="宋体" w:cs="宋体"/>
                <w:sz w:val="24"/>
              </w:rPr>
            </w:pPr>
            <w:r>
              <w:rPr>
                <w:rFonts w:hint="eastAsia" w:ascii="宋体" w:hAnsi="宋体" w:cs="宋体"/>
                <w:sz w:val="24"/>
              </w:rPr>
              <w:t xml:space="preserve">      n — 噪声源个数。</w:t>
            </w:r>
          </w:p>
          <w:p>
            <w:pPr>
              <w:spacing w:line="360" w:lineRule="auto"/>
              <w:ind w:firstLine="570"/>
              <w:rPr>
                <w:rFonts w:ascii="宋体" w:hAnsi="宋体" w:cs="宋体"/>
                <w:sz w:val="24"/>
              </w:rPr>
            </w:pPr>
            <w:r>
              <w:rPr>
                <w:rFonts w:hint="eastAsia" w:ascii="宋体" w:hAnsi="宋体" w:cs="宋体"/>
                <w:sz w:val="24"/>
              </w:rPr>
              <w:t>本项目主要噪声源集中在生产车间，本评价提出的降噪措施及降噪后厂区所产生的噪声值如下表所示：</w:t>
            </w:r>
          </w:p>
          <w:p>
            <w:pPr>
              <w:spacing w:line="360" w:lineRule="auto"/>
              <w:jc w:val="center"/>
              <w:rPr>
                <w:rFonts w:ascii="宋体" w:hAnsi="宋体" w:cs="宋体"/>
                <w:b/>
                <w:sz w:val="24"/>
              </w:rPr>
            </w:pPr>
            <w:r>
              <w:rPr>
                <w:rFonts w:hint="eastAsia" w:ascii="宋体" w:hAnsi="宋体" w:cs="宋体"/>
                <w:b/>
                <w:sz w:val="24"/>
              </w:rPr>
              <w:t>表7-8 项目噪声源强及降噪措施一览表</w:t>
            </w:r>
          </w:p>
          <w:tbl>
            <w:tblPr>
              <w:tblStyle w:val="53"/>
              <w:tblW w:w="90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11"/>
              <w:gridCol w:w="695"/>
              <w:gridCol w:w="1932"/>
              <w:gridCol w:w="1344"/>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483" w:type="dxa"/>
                  <w:vAlign w:val="center"/>
                </w:tcPr>
                <w:p>
                  <w:pPr>
                    <w:spacing w:line="260" w:lineRule="exact"/>
                    <w:jc w:val="center"/>
                    <w:rPr>
                      <w:szCs w:val="21"/>
                    </w:rPr>
                  </w:pPr>
                  <w:r>
                    <w:rPr>
                      <w:rFonts w:hint="eastAsia"/>
                      <w:szCs w:val="21"/>
                    </w:rPr>
                    <w:t>序号</w:t>
                  </w:r>
                </w:p>
              </w:tc>
              <w:tc>
                <w:tcPr>
                  <w:tcW w:w="1711" w:type="dxa"/>
                  <w:vAlign w:val="center"/>
                </w:tcPr>
                <w:p>
                  <w:pPr>
                    <w:spacing w:line="260" w:lineRule="exact"/>
                    <w:jc w:val="center"/>
                    <w:rPr>
                      <w:szCs w:val="21"/>
                    </w:rPr>
                  </w:pPr>
                  <w:r>
                    <w:rPr>
                      <w:szCs w:val="21"/>
                    </w:rPr>
                    <w:t>噪声源</w:t>
                  </w:r>
                </w:p>
              </w:tc>
              <w:tc>
                <w:tcPr>
                  <w:tcW w:w="695" w:type="dxa"/>
                  <w:vAlign w:val="center"/>
                </w:tcPr>
                <w:p>
                  <w:pPr>
                    <w:spacing w:line="260" w:lineRule="exact"/>
                    <w:jc w:val="center"/>
                    <w:rPr>
                      <w:szCs w:val="21"/>
                    </w:rPr>
                  </w:pPr>
                  <w:r>
                    <w:rPr>
                      <w:rFonts w:hint="eastAsia"/>
                      <w:szCs w:val="21"/>
                    </w:rPr>
                    <w:t>数量</w:t>
                  </w:r>
                </w:p>
              </w:tc>
              <w:tc>
                <w:tcPr>
                  <w:tcW w:w="1932" w:type="dxa"/>
                  <w:vAlign w:val="center"/>
                </w:tcPr>
                <w:p>
                  <w:pPr>
                    <w:spacing w:line="260" w:lineRule="exact"/>
                    <w:jc w:val="center"/>
                    <w:rPr>
                      <w:szCs w:val="21"/>
                    </w:rPr>
                  </w:pPr>
                  <w:r>
                    <w:rPr>
                      <w:szCs w:val="21"/>
                    </w:rPr>
                    <w:t>单台声</w:t>
                  </w:r>
                  <w:r>
                    <w:rPr>
                      <w:rFonts w:hint="eastAsia"/>
                      <w:szCs w:val="21"/>
                    </w:rPr>
                    <w:t>级值</w:t>
                  </w:r>
                  <w:r>
                    <w:rPr>
                      <w:szCs w:val="21"/>
                    </w:rPr>
                    <w:t>dB(A)</w:t>
                  </w:r>
                </w:p>
              </w:tc>
              <w:tc>
                <w:tcPr>
                  <w:tcW w:w="1344" w:type="dxa"/>
                  <w:vAlign w:val="center"/>
                </w:tcPr>
                <w:p>
                  <w:pPr>
                    <w:spacing w:line="260" w:lineRule="exact"/>
                    <w:jc w:val="center"/>
                    <w:rPr>
                      <w:szCs w:val="21"/>
                    </w:rPr>
                  </w:pPr>
                  <w:r>
                    <w:rPr>
                      <w:rFonts w:hint="eastAsia"/>
                      <w:szCs w:val="21"/>
                    </w:rPr>
                    <w:t>治理措施</w:t>
                  </w:r>
                </w:p>
              </w:tc>
              <w:tc>
                <w:tcPr>
                  <w:tcW w:w="2919" w:type="dxa"/>
                  <w:vAlign w:val="center"/>
                </w:tcPr>
                <w:p>
                  <w:pPr>
                    <w:spacing w:line="260" w:lineRule="exact"/>
                    <w:jc w:val="center"/>
                    <w:rPr>
                      <w:szCs w:val="21"/>
                    </w:rPr>
                  </w:pPr>
                  <w:r>
                    <w:rPr>
                      <w:rFonts w:hint="eastAsia"/>
                      <w:szCs w:val="21"/>
                    </w:rPr>
                    <w:t>治理后厂房外噪声值</w:t>
                  </w:r>
                  <w:r>
                    <w:rPr>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483" w:type="dxa"/>
                  <w:vAlign w:val="center"/>
                </w:tcPr>
                <w:p>
                  <w:pPr>
                    <w:spacing w:line="260" w:lineRule="exact"/>
                    <w:jc w:val="center"/>
                    <w:rPr>
                      <w:szCs w:val="21"/>
                    </w:rPr>
                  </w:pPr>
                  <w:r>
                    <w:rPr>
                      <w:szCs w:val="21"/>
                    </w:rPr>
                    <w:t>1</w:t>
                  </w:r>
                </w:p>
              </w:tc>
              <w:tc>
                <w:tcPr>
                  <w:tcW w:w="1711" w:type="dxa"/>
                  <w:vAlign w:val="center"/>
                </w:tcPr>
                <w:p>
                  <w:pPr>
                    <w:spacing w:line="260" w:lineRule="exact"/>
                    <w:jc w:val="center"/>
                    <w:rPr>
                      <w:szCs w:val="21"/>
                    </w:rPr>
                  </w:pPr>
                  <w:r>
                    <w:rPr>
                      <w:rFonts w:hint="eastAsia"/>
                      <w:szCs w:val="21"/>
                    </w:rPr>
                    <w:t>中频炉</w:t>
                  </w:r>
                </w:p>
              </w:tc>
              <w:tc>
                <w:tcPr>
                  <w:tcW w:w="695" w:type="dxa"/>
                  <w:vAlign w:val="center"/>
                </w:tcPr>
                <w:p>
                  <w:pPr>
                    <w:spacing w:line="260" w:lineRule="exact"/>
                    <w:jc w:val="center"/>
                    <w:rPr>
                      <w:szCs w:val="21"/>
                    </w:rPr>
                  </w:pPr>
                  <w:r>
                    <w:rPr>
                      <w:szCs w:val="21"/>
                    </w:rPr>
                    <w:t>1</w:t>
                  </w:r>
                </w:p>
              </w:tc>
              <w:tc>
                <w:tcPr>
                  <w:tcW w:w="1932" w:type="dxa"/>
                  <w:vAlign w:val="center"/>
                </w:tcPr>
                <w:p>
                  <w:pPr>
                    <w:spacing w:line="260" w:lineRule="exact"/>
                    <w:jc w:val="center"/>
                    <w:rPr>
                      <w:szCs w:val="21"/>
                    </w:rPr>
                  </w:pPr>
                  <w:r>
                    <w:rPr>
                      <w:szCs w:val="21"/>
                    </w:rPr>
                    <w:t>70</w:t>
                  </w:r>
                  <w:r>
                    <w:rPr>
                      <w:rFonts w:hint="eastAsia"/>
                      <w:szCs w:val="21"/>
                    </w:rPr>
                    <w:t>~</w:t>
                  </w:r>
                  <w:r>
                    <w:rPr>
                      <w:szCs w:val="21"/>
                    </w:rPr>
                    <w:t>80</w:t>
                  </w:r>
                </w:p>
              </w:tc>
              <w:tc>
                <w:tcPr>
                  <w:tcW w:w="1344" w:type="dxa"/>
                  <w:vMerge w:val="restart"/>
                  <w:vAlign w:val="center"/>
                </w:tcPr>
                <w:p>
                  <w:pPr>
                    <w:rPr>
                      <w:bCs/>
                      <w:szCs w:val="21"/>
                    </w:rPr>
                  </w:pPr>
                  <w:r>
                    <w:rPr>
                      <w:rFonts w:hint="eastAsia" w:hAnsi="宋体"/>
                      <w:bCs/>
                      <w:szCs w:val="21"/>
                    </w:rPr>
                    <w:t>选用低噪声设备、</w:t>
                  </w:r>
                  <w:r>
                    <w:rPr>
                      <w:rFonts w:hAnsi="宋体"/>
                      <w:bCs/>
                      <w:szCs w:val="21"/>
                    </w:rPr>
                    <w:t>厂房隔音</w:t>
                  </w:r>
                  <w:r>
                    <w:rPr>
                      <w:rFonts w:hint="eastAsia"/>
                      <w:bCs/>
                      <w:szCs w:val="21"/>
                    </w:rPr>
                    <w:t>、</w:t>
                  </w:r>
                  <w:r>
                    <w:rPr>
                      <w:rFonts w:hint="eastAsia" w:hAnsi="宋体"/>
                      <w:bCs/>
                      <w:szCs w:val="21"/>
                    </w:rPr>
                    <w:t>设备减振</w:t>
                  </w:r>
                </w:p>
              </w:tc>
              <w:tc>
                <w:tcPr>
                  <w:tcW w:w="2919" w:type="dxa"/>
                  <w:vAlign w:val="center"/>
                </w:tcPr>
                <w:p>
                  <w:pPr>
                    <w:jc w:val="center"/>
                    <w:rPr>
                      <w:rFonts w:hAnsi="宋体"/>
                      <w:bCs/>
                      <w:szCs w:val="21"/>
                    </w:rPr>
                  </w:pPr>
                  <w:r>
                    <w:rPr>
                      <w:rFonts w:hint="eastAsia" w:hAnsi="宋体"/>
                      <w:bCs/>
                      <w:szCs w:val="21"/>
                    </w:rPr>
                    <w:t>5</w:t>
                  </w:r>
                  <w:r>
                    <w:rPr>
                      <w:rFonts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483" w:type="dxa"/>
                  <w:vAlign w:val="center"/>
                </w:tcPr>
                <w:p>
                  <w:pPr>
                    <w:spacing w:line="260" w:lineRule="exact"/>
                    <w:jc w:val="center"/>
                    <w:rPr>
                      <w:szCs w:val="21"/>
                    </w:rPr>
                  </w:pPr>
                  <w:r>
                    <w:rPr>
                      <w:rFonts w:hint="eastAsia"/>
                      <w:szCs w:val="21"/>
                    </w:rPr>
                    <w:t>2</w:t>
                  </w:r>
                </w:p>
              </w:tc>
              <w:tc>
                <w:tcPr>
                  <w:tcW w:w="1711" w:type="dxa"/>
                  <w:vAlign w:val="center"/>
                </w:tcPr>
                <w:p>
                  <w:pPr>
                    <w:spacing w:line="260" w:lineRule="exact"/>
                    <w:jc w:val="center"/>
                    <w:rPr>
                      <w:szCs w:val="21"/>
                    </w:rPr>
                  </w:pPr>
                  <w:r>
                    <w:rPr>
                      <w:rFonts w:hint="eastAsia"/>
                      <w:szCs w:val="21"/>
                    </w:rPr>
                    <w:t>机床</w:t>
                  </w:r>
                </w:p>
              </w:tc>
              <w:tc>
                <w:tcPr>
                  <w:tcW w:w="695" w:type="dxa"/>
                  <w:vAlign w:val="center"/>
                </w:tcPr>
                <w:p>
                  <w:pPr>
                    <w:spacing w:line="260" w:lineRule="exact"/>
                    <w:jc w:val="center"/>
                    <w:rPr>
                      <w:szCs w:val="21"/>
                    </w:rPr>
                  </w:pPr>
                  <w:r>
                    <w:rPr>
                      <w:szCs w:val="21"/>
                    </w:rPr>
                    <w:t>5</w:t>
                  </w:r>
                </w:p>
              </w:tc>
              <w:tc>
                <w:tcPr>
                  <w:tcW w:w="1932" w:type="dxa"/>
                  <w:vAlign w:val="center"/>
                </w:tcPr>
                <w:p>
                  <w:pPr>
                    <w:spacing w:line="260" w:lineRule="exact"/>
                    <w:jc w:val="center"/>
                    <w:rPr>
                      <w:szCs w:val="21"/>
                    </w:rPr>
                  </w:pPr>
                  <w:r>
                    <w:rPr>
                      <w:szCs w:val="21"/>
                    </w:rPr>
                    <w:t>95</w:t>
                  </w:r>
                  <w:r>
                    <w:rPr>
                      <w:rFonts w:hint="eastAsia"/>
                      <w:szCs w:val="21"/>
                    </w:rPr>
                    <w:t>~</w:t>
                  </w:r>
                  <w:r>
                    <w:rPr>
                      <w:szCs w:val="21"/>
                    </w:rPr>
                    <w:t>105</w:t>
                  </w:r>
                </w:p>
              </w:tc>
              <w:tc>
                <w:tcPr>
                  <w:tcW w:w="1344" w:type="dxa"/>
                  <w:vMerge w:val="continue"/>
                  <w:vAlign w:val="center"/>
                </w:tcPr>
                <w:p>
                  <w:pPr>
                    <w:jc w:val="center"/>
                  </w:pPr>
                </w:p>
              </w:tc>
              <w:tc>
                <w:tcPr>
                  <w:tcW w:w="2919" w:type="dxa"/>
                  <w:vAlign w:val="center"/>
                </w:tcPr>
                <w:p>
                  <w:pPr>
                    <w:jc w:val="center"/>
                    <w:rPr>
                      <w:rFonts w:hAnsi="宋体"/>
                      <w:bCs/>
                      <w:szCs w:val="21"/>
                    </w:rPr>
                  </w:pPr>
                  <w:r>
                    <w:rPr>
                      <w:rFonts w:hint="eastAsia" w:hAnsi="宋体"/>
                      <w:bCs/>
                      <w:szCs w:val="21"/>
                    </w:rPr>
                    <w:t>7</w:t>
                  </w:r>
                  <w:r>
                    <w:rPr>
                      <w:rFonts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483" w:type="dxa"/>
                  <w:vAlign w:val="center"/>
                </w:tcPr>
                <w:p>
                  <w:pPr>
                    <w:spacing w:line="260" w:lineRule="exact"/>
                    <w:jc w:val="center"/>
                    <w:rPr>
                      <w:szCs w:val="21"/>
                    </w:rPr>
                  </w:pPr>
                  <w:r>
                    <w:rPr>
                      <w:rFonts w:hint="eastAsia"/>
                      <w:szCs w:val="21"/>
                    </w:rPr>
                    <w:t>3</w:t>
                  </w:r>
                </w:p>
              </w:tc>
              <w:tc>
                <w:tcPr>
                  <w:tcW w:w="1711" w:type="dxa"/>
                  <w:vAlign w:val="center"/>
                </w:tcPr>
                <w:p>
                  <w:pPr>
                    <w:spacing w:line="260" w:lineRule="exact"/>
                    <w:jc w:val="center"/>
                    <w:rPr>
                      <w:szCs w:val="21"/>
                    </w:rPr>
                  </w:pPr>
                  <w:r>
                    <w:rPr>
                      <w:rFonts w:hint="eastAsia"/>
                      <w:szCs w:val="21"/>
                    </w:rPr>
                    <w:t>风机</w:t>
                  </w:r>
                </w:p>
              </w:tc>
              <w:tc>
                <w:tcPr>
                  <w:tcW w:w="695" w:type="dxa"/>
                  <w:vAlign w:val="center"/>
                </w:tcPr>
                <w:p>
                  <w:pPr>
                    <w:spacing w:line="260" w:lineRule="exact"/>
                    <w:jc w:val="center"/>
                    <w:rPr>
                      <w:szCs w:val="21"/>
                    </w:rPr>
                  </w:pPr>
                  <w:r>
                    <w:rPr>
                      <w:szCs w:val="21"/>
                    </w:rPr>
                    <w:t>2</w:t>
                  </w:r>
                </w:p>
              </w:tc>
              <w:tc>
                <w:tcPr>
                  <w:tcW w:w="1932" w:type="dxa"/>
                  <w:vAlign w:val="center"/>
                </w:tcPr>
                <w:p>
                  <w:pPr>
                    <w:spacing w:line="260" w:lineRule="exact"/>
                    <w:jc w:val="center"/>
                    <w:rPr>
                      <w:szCs w:val="21"/>
                    </w:rPr>
                  </w:pPr>
                  <w:r>
                    <w:rPr>
                      <w:szCs w:val="21"/>
                    </w:rPr>
                    <w:t>80</w:t>
                  </w:r>
                  <w:r>
                    <w:rPr>
                      <w:rFonts w:hint="eastAsia"/>
                      <w:szCs w:val="21"/>
                    </w:rPr>
                    <w:t>~</w:t>
                  </w:r>
                  <w:r>
                    <w:rPr>
                      <w:szCs w:val="21"/>
                    </w:rPr>
                    <w:t>90</w:t>
                  </w:r>
                </w:p>
              </w:tc>
              <w:tc>
                <w:tcPr>
                  <w:tcW w:w="1344" w:type="dxa"/>
                  <w:vMerge w:val="continue"/>
                  <w:vAlign w:val="center"/>
                </w:tcPr>
                <w:p>
                  <w:pPr>
                    <w:jc w:val="center"/>
                  </w:pPr>
                </w:p>
              </w:tc>
              <w:tc>
                <w:tcPr>
                  <w:tcW w:w="2919" w:type="dxa"/>
                  <w:vAlign w:val="center"/>
                </w:tcPr>
                <w:p>
                  <w:pPr>
                    <w:jc w:val="center"/>
                    <w:rPr>
                      <w:rFonts w:hAnsi="宋体"/>
                      <w:bCs/>
                      <w:szCs w:val="21"/>
                    </w:rPr>
                  </w:pPr>
                  <w:r>
                    <w:rPr>
                      <w:rFonts w:hint="eastAsia" w:hAnsi="宋体"/>
                      <w:bCs/>
                      <w:szCs w:val="21"/>
                    </w:rPr>
                    <w:t>6</w:t>
                  </w:r>
                  <w:r>
                    <w:rPr>
                      <w:rFonts w:hAnsi="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483" w:type="dxa"/>
                  <w:vAlign w:val="center"/>
                </w:tcPr>
                <w:p>
                  <w:pPr>
                    <w:spacing w:line="260" w:lineRule="exact"/>
                    <w:jc w:val="center"/>
                    <w:rPr>
                      <w:szCs w:val="21"/>
                    </w:rPr>
                  </w:pPr>
                  <w:r>
                    <w:rPr>
                      <w:rFonts w:hint="eastAsia"/>
                      <w:szCs w:val="21"/>
                    </w:rPr>
                    <w:t>4</w:t>
                  </w:r>
                </w:p>
              </w:tc>
              <w:tc>
                <w:tcPr>
                  <w:tcW w:w="1711" w:type="dxa"/>
                  <w:vAlign w:val="center"/>
                </w:tcPr>
                <w:p>
                  <w:pPr>
                    <w:spacing w:line="260" w:lineRule="exact"/>
                    <w:jc w:val="center"/>
                    <w:rPr>
                      <w:szCs w:val="21"/>
                    </w:rPr>
                  </w:pPr>
                  <w:r>
                    <w:rPr>
                      <w:rFonts w:hint="eastAsia"/>
                      <w:szCs w:val="21"/>
                    </w:rPr>
                    <w:t>内抛机</w:t>
                  </w:r>
                </w:p>
              </w:tc>
              <w:tc>
                <w:tcPr>
                  <w:tcW w:w="695" w:type="dxa"/>
                  <w:vAlign w:val="center"/>
                </w:tcPr>
                <w:p>
                  <w:pPr>
                    <w:spacing w:line="260" w:lineRule="exact"/>
                    <w:jc w:val="center"/>
                    <w:rPr>
                      <w:szCs w:val="21"/>
                    </w:rPr>
                  </w:pPr>
                  <w:r>
                    <w:rPr>
                      <w:szCs w:val="21"/>
                    </w:rPr>
                    <w:t>12</w:t>
                  </w:r>
                </w:p>
              </w:tc>
              <w:tc>
                <w:tcPr>
                  <w:tcW w:w="1932" w:type="dxa"/>
                  <w:vAlign w:val="center"/>
                </w:tcPr>
                <w:p>
                  <w:pPr>
                    <w:spacing w:line="260" w:lineRule="exact"/>
                    <w:jc w:val="center"/>
                    <w:rPr>
                      <w:szCs w:val="21"/>
                    </w:rPr>
                  </w:pPr>
                  <w:r>
                    <w:rPr>
                      <w:szCs w:val="21"/>
                    </w:rPr>
                    <w:t>80</w:t>
                  </w:r>
                  <w:r>
                    <w:rPr>
                      <w:rFonts w:hint="eastAsia"/>
                      <w:szCs w:val="21"/>
                    </w:rPr>
                    <w:t>~</w:t>
                  </w:r>
                  <w:r>
                    <w:rPr>
                      <w:szCs w:val="21"/>
                    </w:rPr>
                    <w:t>95</w:t>
                  </w:r>
                </w:p>
              </w:tc>
              <w:tc>
                <w:tcPr>
                  <w:tcW w:w="1344" w:type="dxa"/>
                  <w:vMerge w:val="continue"/>
                  <w:vAlign w:val="center"/>
                </w:tcPr>
                <w:p>
                  <w:pPr>
                    <w:jc w:val="center"/>
                  </w:pPr>
                </w:p>
              </w:tc>
              <w:tc>
                <w:tcPr>
                  <w:tcW w:w="2919" w:type="dxa"/>
                  <w:vAlign w:val="center"/>
                </w:tcPr>
                <w:p>
                  <w:pPr>
                    <w:jc w:val="center"/>
                    <w:rPr>
                      <w:rFonts w:hAnsi="宋体"/>
                      <w:bCs/>
                      <w:szCs w:val="21"/>
                    </w:rPr>
                  </w:pPr>
                  <w:r>
                    <w:rPr>
                      <w:rFonts w:hint="eastAsia" w:hAnsi="宋体"/>
                      <w:bCs/>
                      <w:szCs w:val="21"/>
                    </w:rPr>
                    <w:t>6</w:t>
                  </w:r>
                  <w:r>
                    <w:rPr>
                      <w:rFonts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483" w:type="dxa"/>
                  <w:vAlign w:val="center"/>
                </w:tcPr>
                <w:p>
                  <w:pPr>
                    <w:spacing w:line="260" w:lineRule="exact"/>
                    <w:jc w:val="center"/>
                    <w:rPr>
                      <w:szCs w:val="21"/>
                    </w:rPr>
                  </w:pPr>
                  <w:r>
                    <w:rPr>
                      <w:rFonts w:hint="eastAsia"/>
                      <w:szCs w:val="21"/>
                    </w:rPr>
                    <w:t>5</w:t>
                  </w:r>
                </w:p>
              </w:tc>
              <w:tc>
                <w:tcPr>
                  <w:tcW w:w="1711" w:type="dxa"/>
                  <w:vAlign w:val="center"/>
                </w:tcPr>
                <w:p>
                  <w:pPr>
                    <w:spacing w:line="260" w:lineRule="exact"/>
                    <w:jc w:val="center"/>
                    <w:rPr>
                      <w:szCs w:val="21"/>
                    </w:rPr>
                  </w:pPr>
                  <w:r>
                    <w:rPr>
                      <w:rFonts w:hint="eastAsia"/>
                      <w:szCs w:val="21"/>
                    </w:rPr>
                    <w:t>铸压设备</w:t>
                  </w:r>
                </w:p>
              </w:tc>
              <w:tc>
                <w:tcPr>
                  <w:tcW w:w="695" w:type="dxa"/>
                  <w:vAlign w:val="center"/>
                </w:tcPr>
                <w:p>
                  <w:pPr>
                    <w:spacing w:line="260" w:lineRule="exact"/>
                    <w:jc w:val="center"/>
                    <w:rPr>
                      <w:szCs w:val="21"/>
                    </w:rPr>
                  </w:pPr>
                  <w:r>
                    <w:rPr>
                      <w:szCs w:val="21"/>
                    </w:rPr>
                    <w:t>3</w:t>
                  </w:r>
                </w:p>
              </w:tc>
              <w:tc>
                <w:tcPr>
                  <w:tcW w:w="1932" w:type="dxa"/>
                  <w:vAlign w:val="center"/>
                </w:tcPr>
                <w:p>
                  <w:pPr>
                    <w:spacing w:line="260" w:lineRule="exact"/>
                    <w:jc w:val="center"/>
                    <w:rPr>
                      <w:szCs w:val="21"/>
                    </w:rPr>
                  </w:pPr>
                  <w:r>
                    <w:rPr>
                      <w:rFonts w:hint="eastAsia"/>
                      <w:szCs w:val="21"/>
                    </w:rPr>
                    <w:t>8</w:t>
                  </w:r>
                  <w:r>
                    <w:rPr>
                      <w:szCs w:val="21"/>
                    </w:rPr>
                    <w:t>0</w:t>
                  </w:r>
                  <w:r>
                    <w:rPr>
                      <w:rFonts w:hint="eastAsia"/>
                      <w:szCs w:val="21"/>
                    </w:rPr>
                    <w:t>~</w:t>
                  </w:r>
                  <w:r>
                    <w:rPr>
                      <w:szCs w:val="21"/>
                    </w:rPr>
                    <w:t>95</w:t>
                  </w:r>
                </w:p>
              </w:tc>
              <w:tc>
                <w:tcPr>
                  <w:tcW w:w="1344" w:type="dxa"/>
                  <w:vMerge w:val="continue"/>
                  <w:vAlign w:val="center"/>
                </w:tcPr>
                <w:p>
                  <w:pPr>
                    <w:jc w:val="center"/>
                  </w:pPr>
                </w:p>
              </w:tc>
              <w:tc>
                <w:tcPr>
                  <w:tcW w:w="2919" w:type="dxa"/>
                  <w:vAlign w:val="center"/>
                </w:tcPr>
                <w:p>
                  <w:pPr>
                    <w:jc w:val="center"/>
                    <w:rPr>
                      <w:rFonts w:hAnsi="宋体"/>
                      <w:bCs/>
                      <w:szCs w:val="21"/>
                    </w:rPr>
                  </w:pPr>
                  <w:r>
                    <w:rPr>
                      <w:rFonts w:hint="eastAsia" w:hAnsi="宋体"/>
                      <w:bCs/>
                      <w:szCs w:val="21"/>
                    </w:rPr>
                    <w:t>6</w:t>
                  </w:r>
                  <w:r>
                    <w:rPr>
                      <w:rFonts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483" w:type="dxa"/>
                  <w:vAlign w:val="center"/>
                </w:tcPr>
                <w:p>
                  <w:pPr>
                    <w:spacing w:line="260" w:lineRule="exact"/>
                    <w:jc w:val="center"/>
                    <w:rPr>
                      <w:szCs w:val="21"/>
                    </w:rPr>
                  </w:pPr>
                  <w:r>
                    <w:rPr>
                      <w:rFonts w:hint="eastAsia"/>
                      <w:szCs w:val="21"/>
                    </w:rPr>
                    <w:t>6</w:t>
                  </w:r>
                </w:p>
              </w:tc>
              <w:tc>
                <w:tcPr>
                  <w:tcW w:w="1711" w:type="dxa"/>
                  <w:vAlign w:val="center"/>
                </w:tcPr>
                <w:p>
                  <w:pPr>
                    <w:spacing w:line="260" w:lineRule="exact"/>
                    <w:jc w:val="center"/>
                    <w:rPr>
                      <w:szCs w:val="21"/>
                    </w:rPr>
                  </w:pPr>
                  <w:r>
                    <w:rPr>
                      <w:rFonts w:hint="eastAsia"/>
                      <w:szCs w:val="21"/>
                    </w:rPr>
                    <w:t>打孔机</w:t>
                  </w:r>
                </w:p>
              </w:tc>
              <w:tc>
                <w:tcPr>
                  <w:tcW w:w="695" w:type="dxa"/>
                  <w:vAlign w:val="center"/>
                </w:tcPr>
                <w:p>
                  <w:pPr>
                    <w:spacing w:line="260" w:lineRule="exact"/>
                    <w:jc w:val="center"/>
                    <w:rPr>
                      <w:szCs w:val="21"/>
                    </w:rPr>
                  </w:pPr>
                  <w:r>
                    <w:rPr>
                      <w:rFonts w:hint="eastAsia"/>
                      <w:szCs w:val="21"/>
                    </w:rPr>
                    <w:t>1</w:t>
                  </w:r>
                </w:p>
              </w:tc>
              <w:tc>
                <w:tcPr>
                  <w:tcW w:w="1932" w:type="dxa"/>
                  <w:vAlign w:val="center"/>
                </w:tcPr>
                <w:p>
                  <w:pPr>
                    <w:spacing w:line="260" w:lineRule="exact"/>
                    <w:jc w:val="center"/>
                    <w:rPr>
                      <w:szCs w:val="21"/>
                    </w:rPr>
                  </w:pPr>
                  <w:r>
                    <w:rPr>
                      <w:rFonts w:hint="eastAsia"/>
                      <w:szCs w:val="21"/>
                    </w:rPr>
                    <w:t>8</w:t>
                  </w:r>
                  <w:r>
                    <w:rPr>
                      <w:szCs w:val="21"/>
                    </w:rPr>
                    <w:t>0</w:t>
                  </w:r>
                  <w:r>
                    <w:rPr>
                      <w:rFonts w:hint="eastAsia"/>
                      <w:szCs w:val="21"/>
                    </w:rPr>
                    <w:t>~</w:t>
                  </w:r>
                  <w:r>
                    <w:rPr>
                      <w:szCs w:val="21"/>
                    </w:rPr>
                    <w:t>95</w:t>
                  </w:r>
                </w:p>
              </w:tc>
              <w:tc>
                <w:tcPr>
                  <w:tcW w:w="1344" w:type="dxa"/>
                  <w:vMerge w:val="continue"/>
                  <w:vAlign w:val="center"/>
                </w:tcPr>
                <w:p>
                  <w:pPr>
                    <w:jc w:val="center"/>
                  </w:pPr>
                </w:p>
              </w:tc>
              <w:tc>
                <w:tcPr>
                  <w:tcW w:w="2919" w:type="dxa"/>
                  <w:vAlign w:val="center"/>
                </w:tcPr>
                <w:p>
                  <w:pPr>
                    <w:jc w:val="center"/>
                    <w:rPr>
                      <w:rFonts w:hAnsi="宋体"/>
                      <w:bCs/>
                      <w:szCs w:val="21"/>
                    </w:rPr>
                  </w:pPr>
                  <w:r>
                    <w:rPr>
                      <w:rFonts w:hint="eastAsia" w:hAnsi="宋体"/>
                      <w:bCs/>
                      <w:szCs w:val="21"/>
                    </w:rPr>
                    <w:t>6</w:t>
                  </w:r>
                  <w:r>
                    <w:rPr>
                      <w:rFonts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483" w:type="dxa"/>
                  <w:vAlign w:val="center"/>
                </w:tcPr>
                <w:p>
                  <w:pPr>
                    <w:spacing w:line="260" w:lineRule="exact"/>
                    <w:jc w:val="center"/>
                    <w:rPr>
                      <w:szCs w:val="21"/>
                    </w:rPr>
                  </w:pPr>
                  <w:r>
                    <w:rPr>
                      <w:rFonts w:hint="eastAsia"/>
                      <w:szCs w:val="21"/>
                    </w:rPr>
                    <w:t>7</w:t>
                  </w:r>
                </w:p>
              </w:tc>
              <w:tc>
                <w:tcPr>
                  <w:tcW w:w="1711" w:type="dxa"/>
                  <w:vAlign w:val="center"/>
                </w:tcPr>
                <w:p>
                  <w:pPr>
                    <w:spacing w:line="260" w:lineRule="exact"/>
                    <w:jc w:val="center"/>
                    <w:rPr>
                      <w:szCs w:val="21"/>
                    </w:rPr>
                  </w:pPr>
                  <w:r>
                    <w:rPr>
                      <w:rFonts w:hint="eastAsia"/>
                      <w:szCs w:val="21"/>
                    </w:rPr>
                    <w:t>打磨设备</w:t>
                  </w:r>
                </w:p>
              </w:tc>
              <w:tc>
                <w:tcPr>
                  <w:tcW w:w="695" w:type="dxa"/>
                  <w:vAlign w:val="center"/>
                </w:tcPr>
                <w:p>
                  <w:pPr>
                    <w:spacing w:line="260" w:lineRule="exact"/>
                    <w:jc w:val="center"/>
                    <w:rPr>
                      <w:szCs w:val="21"/>
                    </w:rPr>
                  </w:pPr>
                  <w:r>
                    <w:rPr>
                      <w:rFonts w:hint="eastAsia"/>
                      <w:szCs w:val="21"/>
                    </w:rPr>
                    <w:t>1</w:t>
                  </w:r>
                </w:p>
              </w:tc>
              <w:tc>
                <w:tcPr>
                  <w:tcW w:w="1932" w:type="dxa"/>
                  <w:vAlign w:val="center"/>
                </w:tcPr>
                <w:p>
                  <w:pPr>
                    <w:spacing w:line="260" w:lineRule="exact"/>
                    <w:jc w:val="center"/>
                    <w:rPr>
                      <w:szCs w:val="21"/>
                    </w:rPr>
                  </w:pPr>
                  <w:r>
                    <w:rPr>
                      <w:rFonts w:hint="eastAsia"/>
                      <w:szCs w:val="21"/>
                    </w:rPr>
                    <w:t>8</w:t>
                  </w:r>
                  <w:r>
                    <w:rPr>
                      <w:szCs w:val="21"/>
                    </w:rPr>
                    <w:t>0</w:t>
                  </w:r>
                  <w:r>
                    <w:rPr>
                      <w:rFonts w:hint="eastAsia"/>
                      <w:szCs w:val="21"/>
                    </w:rPr>
                    <w:t>~</w:t>
                  </w:r>
                  <w:r>
                    <w:rPr>
                      <w:szCs w:val="21"/>
                    </w:rPr>
                    <w:t>95</w:t>
                  </w:r>
                </w:p>
              </w:tc>
              <w:tc>
                <w:tcPr>
                  <w:tcW w:w="1344" w:type="dxa"/>
                  <w:vMerge w:val="continue"/>
                  <w:vAlign w:val="center"/>
                </w:tcPr>
                <w:p>
                  <w:pPr>
                    <w:jc w:val="center"/>
                  </w:pPr>
                </w:p>
              </w:tc>
              <w:tc>
                <w:tcPr>
                  <w:tcW w:w="2919" w:type="dxa"/>
                  <w:vAlign w:val="center"/>
                </w:tcPr>
                <w:p>
                  <w:pPr>
                    <w:jc w:val="center"/>
                    <w:rPr>
                      <w:rFonts w:hAnsi="宋体"/>
                      <w:bCs/>
                      <w:szCs w:val="21"/>
                    </w:rPr>
                  </w:pPr>
                  <w:r>
                    <w:rPr>
                      <w:rFonts w:hint="eastAsia" w:hAnsi="宋体"/>
                      <w:bCs/>
                      <w:szCs w:val="21"/>
                    </w:rPr>
                    <w:t>6</w:t>
                  </w:r>
                  <w:r>
                    <w:rPr>
                      <w:rFonts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6165" w:type="dxa"/>
                  <w:gridSpan w:val="5"/>
                  <w:vAlign w:val="center"/>
                </w:tcPr>
                <w:p>
                  <w:pPr>
                    <w:jc w:val="center"/>
                    <w:rPr>
                      <w:rFonts w:hAnsi="宋体"/>
                      <w:bCs/>
                      <w:szCs w:val="21"/>
                    </w:rPr>
                  </w:pPr>
                  <w:r>
                    <w:rPr>
                      <w:rFonts w:hint="eastAsia" w:hAnsi="宋体"/>
                      <w:bCs/>
                      <w:szCs w:val="21"/>
                    </w:rPr>
                    <w:t>厂房外排放值</w:t>
                  </w:r>
                </w:p>
              </w:tc>
              <w:tc>
                <w:tcPr>
                  <w:tcW w:w="2919" w:type="dxa"/>
                  <w:vAlign w:val="center"/>
                </w:tcPr>
                <w:p>
                  <w:pPr>
                    <w:jc w:val="center"/>
                    <w:rPr>
                      <w:rFonts w:hAnsi="宋体"/>
                      <w:bCs/>
                      <w:szCs w:val="21"/>
                    </w:rPr>
                  </w:pPr>
                  <w:r>
                    <w:rPr>
                      <w:rFonts w:hint="eastAsia" w:hAnsi="宋体"/>
                      <w:bCs/>
                      <w:szCs w:val="21"/>
                    </w:rPr>
                    <w:t>8</w:t>
                  </w:r>
                  <w:r>
                    <w:rPr>
                      <w:rFonts w:hAnsi="宋体"/>
                      <w:bCs/>
                      <w:szCs w:val="21"/>
                    </w:rPr>
                    <w:t>3.36</w:t>
                  </w:r>
                </w:p>
              </w:tc>
            </w:tr>
          </w:tbl>
          <w:p>
            <w:pPr>
              <w:spacing w:line="360" w:lineRule="auto"/>
              <w:ind w:firstLine="570"/>
              <w:rPr>
                <w:rFonts w:ascii="宋体" w:hAnsi="宋体" w:cs="宋体"/>
                <w:sz w:val="24"/>
              </w:rPr>
            </w:pPr>
            <w:r>
              <w:rPr>
                <w:rFonts w:hint="eastAsia" w:ascii="宋体" w:hAnsi="宋体" w:cs="宋体"/>
                <w:sz w:val="24"/>
              </w:rPr>
              <w:t>由上表可知，本项目主要产噪设备在经过本评价提出的减噪措施后合成厂房边缘源强为</w:t>
            </w:r>
            <w:r>
              <w:rPr>
                <w:rFonts w:ascii="宋体" w:hAnsi="宋体" w:cs="宋体"/>
                <w:sz w:val="24"/>
              </w:rPr>
              <w:t>83.36</w:t>
            </w:r>
            <w:r>
              <w:rPr>
                <w:rFonts w:hint="eastAsia" w:ascii="宋体" w:hAnsi="宋体" w:cs="宋体"/>
                <w:sz w:val="24"/>
              </w:rPr>
              <w:t>dB（A）。最终在经过距离衰减，降低噪声对厂界的贡献值。本评价对项目厂界和敏感点处的噪声进行预测，厂界噪声排放情况见下表：</w:t>
            </w:r>
          </w:p>
          <w:p>
            <w:pPr>
              <w:spacing w:line="360" w:lineRule="auto"/>
              <w:ind w:firstLine="1084" w:firstLineChars="450"/>
              <w:jc w:val="center"/>
              <w:rPr>
                <w:rFonts w:ascii="宋体" w:hAnsi="宋体" w:cs="宋体"/>
                <w:b/>
                <w:bCs/>
                <w:sz w:val="24"/>
              </w:rPr>
            </w:pPr>
            <w:r>
              <w:rPr>
                <w:rFonts w:hint="eastAsia" w:ascii="宋体" w:hAnsi="宋体" w:cs="宋体"/>
                <w:b/>
                <w:bCs/>
                <w:sz w:val="24"/>
              </w:rPr>
              <w:t>表7-9   厂界噪声排放值预测结果表（单位dB（A））</w:t>
            </w:r>
          </w:p>
          <w:tbl>
            <w:tblPr>
              <w:tblStyle w:val="53"/>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1581"/>
              <w:gridCol w:w="1331"/>
              <w:gridCol w:w="151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jc w:val="center"/>
              </w:trPr>
              <w:tc>
                <w:tcPr>
                  <w:tcW w:w="2817" w:type="dxa"/>
                  <w:vAlign w:val="center"/>
                </w:tcPr>
                <w:p>
                  <w:pPr>
                    <w:jc w:val="center"/>
                    <w:rPr>
                      <w:rFonts w:ascii="宋体" w:hAnsi="宋体" w:cs="宋体"/>
                      <w:spacing w:val="-2"/>
                      <w:szCs w:val="21"/>
                    </w:rPr>
                  </w:pPr>
                  <w:r>
                    <w:rPr>
                      <w:rFonts w:hint="eastAsia" w:ascii="宋体" w:hAnsi="宋体" w:cs="宋体"/>
                      <w:spacing w:val="-2"/>
                      <w:szCs w:val="21"/>
                    </w:rPr>
                    <w:t>预测点</w:t>
                  </w:r>
                </w:p>
              </w:tc>
              <w:tc>
                <w:tcPr>
                  <w:tcW w:w="1581" w:type="dxa"/>
                  <w:vAlign w:val="center"/>
                </w:tcPr>
                <w:p>
                  <w:pPr>
                    <w:jc w:val="center"/>
                    <w:rPr>
                      <w:rFonts w:ascii="宋体" w:hAnsi="宋体" w:cs="宋体"/>
                      <w:spacing w:val="-2"/>
                      <w:szCs w:val="21"/>
                    </w:rPr>
                  </w:pPr>
                  <w:r>
                    <w:rPr>
                      <w:rFonts w:hint="eastAsia" w:ascii="宋体" w:hAnsi="宋体" w:cs="宋体"/>
                      <w:spacing w:val="-2"/>
                      <w:szCs w:val="21"/>
                    </w:rPr>
                    <w:t>1#</w:t>
                  </w:r>
                </w:p>
              </w:tc>
              <w:tc>
                <w:tcPr>
                  <w:tcW w:w="1331" w:type="dxa"/>
                  <w:vAlign w:val="center"/>
                </w:tcPr>
                <w:p>
                  <w:pPr>
                    <w:jc w:val="center"/>
                    <w:rPr>
                      <w:rFonts w:ascii="宋体" w:hAnsi="宋体" w:cs="宋体"/>
                      <w:spacing w:val="-2"/>
                      <w:szCs w:val="21"/>
                    </w:rPr>
                  </w:pPr>
                  <w:r>
                    <w:rPr>
                      <w:rFonts w:hint="eastAsia" w:ascii="宋体" w:hAnsi="宋体" w:cs="宋体"/>
                      <w:spacing w:val="-2"/>
                      <w:szCs w:val="21"/>
                    </w:rPr>
                    <w:t>2#</w:t>
                  </w:r>
                </w:p>
              </w:tc>
              <w:tc>
                <w:tcPr>
                  <w:tcW w:w="1510" w:type="dxa"/>
                  <w:vAlign w:val="center"/>
                </w:tcPr>
                <w:p>
                  <w:pPr>
                    <w:jc w:val="center"/>
                    <w:rPr>
                      <w:rFonts w:ascii="宋体" w:hAnsi="宋体" w:cs="宋体"/>
                      <w:spacing w:val="-2"/>
                      <w:szCs w:val="21"/>
                    </w:rPr>
                  </w:pPr>
                  <w:r>
                    <w:rPr>
                      <w:rFonts w:hint="eastAsia" w:ascii="宋体" w:hAnsi="宋体" w:cs="宋体"/>
                      <w:spacing w:val="-2"/>
                      <w:szCs w:val="21"/>
                    </w:rPr>
                    <w:t>3#</w:t>
                  </w:r>
                </w:p>
              </w:tc>
              <w:tc>
                <w:tcPr>
                  <w:tcW w:w="1823" w:type="dxa"/>
                  <w:vAlign w:val="center"/>
                </w:tcPr>
                <w:p>
                  <w:pPr>
                    <w:jc w:val="center"/>
                    <w:rPr>
                      <w:rFonts w:ascii="宋体" w:hAnsi="宋体" w:cs="宋体"/>
                      <w:spacing w:val="-2"/>
                      <w:szCs w:val="21"/>
                    </w:rPr>
                  </w:pPr>
                  <w:r>
                    <w:rPr>
                      <w:rFonts w:hint="eastAsia" w:ascii="宋体" w:hAnsi="宋体" w:cs="宋体"/>
                      <w:spacing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exact"/>
                <w:jc w:val="center"/>
              </w:trPr>
              <w:tc>
                <w:tcPr>
                  <w:tcW w:w="2817" w:type="dxa"/>
                  <w:vAlign w:val="center"/>
                </w:tcPr>
                <w:p>
                  <w:pPr>
                    <w:jc w:val="center"/>
                    <w:rPr>
                      <w:rFonts w:ascii="宋体" w:hAnsi="宋体" w:cs="宋体"/>
                      <w:spacing w:val="-2"/>
                      <w:szCs w:val="21"/>
                    </w:rPr>
                  </w:pPr>
                  <w:r>
                    <w:rPr>
                      <w:rFonts w:hint="eastAsia" w:ascii="宋体" w:hAnsi="宋体" w:cs="宋体"/>
                      <w:spacing w:val="-2"/>
                      <w:szCs w:val="21"/>
                    </w:rPr>
                    <w:t>预测点名称</w:t>
                  </w:r>
                </w:p>
              </w:tc>
              <w:tc>
                <w:tcPr>
                  <w:tcW w:w="1581" w:type="dxa"/>
                  <w:vAlign w:val="center"/>
                </w:tcPr>
                <w:p>
                  <w:pPr>
                    <w:jc w:val="center"/>
                    <w:rPr>
                      <w:rFonts w:ascii="宋体" w:hAnsi="宋体" w:cs="宋体"/>
                      <w:spacing w:val="-2"/>
                      <w:szCs w:val="21"/>
                    </w:rPr>
                  </w:pPr>
                  <w:r>
                    <w:rPr>
                      <w:rFonts w:hint="eastAsia" w:ascii="宋体" w:hAnsi="宋体" w:cs="宋体"/>
                      <w:spacing w:val="-2"/>
                      <w:szCs w:val="21"/>
                    </w:rPr>
                    <w:t>东北侧厂界</w:t>
                  </w:r>
                </w:p>
              </w:tc>
              <w:tc>
                <w:tcPr>
                  <w:tcW w:w="1331" w:type="dxa"/>
                  <w:vAlign w:val="center"/>
                </w:tcPr>
                <w:p>
                  <w:pPr>
                    <w:jc w:val="center"/>
                    <w:rPr>
                      <w:rFonts w:ascii="宋体" w:hAnsi="宋体" w:cs="宋体"/>
                      <w:spacing w:val="-2"/>
                      <w:szCs w:val="21"/>
                    </w:rPr>
                  </w:pPr>
                  <w:r>
                    <w:rPr>
                      <w:rFonts w:hint="eastAsia" w:ascii="宋体" w:hAnsi="宋体" w:cs="宋体"/>
                      <w:spacing w:val="-2"/>
                      <w:szCs w:val="21"/>
                    </w:rPr>
                    <w:t>东南侧厂界</w:t>
                  </w:r>
                </w:p>
              </w:tc>
              <w:tc>
                <w:tcPr>
                  <w:tcW w:w="1510" w:type="dxa"/>
                  <w:vAlign w:val="center"/>
                </w:tcPr>
                <w:p>
                  <w:pPr>
                    <w:jc w:val="center"/>
                    <w:rPr>
                      <w:rFonts w:ascii="宋体" w:hAnsi="宋体" w:cs="宋体"/>
                      <w:spacing w:val="-2"/>
                      <w:szCs w:val="21"/>
                    </w:rPr>
                  </w:pPr>
                  <w:r>
                    <w:rPr>
                      <w:rFonts w:hint="eastAsia" w:ascii="宋体" w:hAnsi="宋体" w:cs="宋体"/>
                      <w:spacing w:val="-2"/>
                      <w:szCs w:val="21"/>
                    </w:rPr>
                    <w:t>西南侧厂界</w:t>
                  </w:r>
                </w:p>
              </w:tc>
              <w:tc>
                <w:tcPr>
                  <w:tcW w:w="1823" w:type="dxa"/>
                  <w:vAlign w:val="center"/>
                </w:tcPr>
                <w:p>
                  <w:pPr>
                    <w:jc w:val="center"/>
                    <w:rPr>
                      <w:rFonts w:ascii="宋体" w:hAnsi="宋体" w:cs="宋体"/>
                      <w:spacing w:val="-2"/>
                      <w:szCs w:val="21"/>
                    </w:rPr>
                  </w:pPr>
                  <w:r>
                    <w:rPr>
                      <w:rFonts w:hint="eastAsia" w:ascii="宋体" w:hAnsi="宋体" w:cs="宋体"/>
                      <w:spacing w:val="-2"/>
                      <w:szCs w:val="21"/>
                    </w:rPr>
                    <w:t>西北侧厂界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jc w:val="center"/>
              </w:trPr>
              <w:tc>
                <w:tcPr>
                  <w:tcW w:w="2817" w:type="dxa"/>
                  <w:vAlign w:val="center"/>
                </w:tcPr>
                <w:p>
                  <w:pPr>
                    <w:jc w:val="center"/>
                    <w:rPr>
                      <w:rFonts w:ascii="宋体" w:hAnsi="宋体" w:cs="宋体"/>
                      <w:spacing w:val="-2"/>
                      <w:szCs w:val="21"/>
                    </w:rPr>
                  </w:pPr>
                  <w:r>
                    <w:rPr>
                      <w:rFonts w:hint="eastAsia" w:ascii="宋体" w:hAnsi="宋体" w:cs="宋体"/>
                      <w:spacing w:val="-2"/>
                      <w:szCs w:val="21"/>
                    </w:rPr>
                    <w:t>噪声源强</w:t>
                  </w:r>
                </w:p>
              </w:tc>
              <w:tc>
                <w:tcPr>
                  <w:tcW w:w="6245" w:type="dxa"/>
                  <w:gridSpan w:val="4"/>
                  <w:vAlign w:val="center"/>
                </w:tcPr>
                <w:p>
                  <w:pPr>
                    <w:jc w:val="center"/>
                    <w:rPr>
                      <w:rFonts w:ascii="宋体" w:hAnsi="宋体" w:cs="宋体"/>
                      <w:spacing w:val="-2"/>
                      <w:szCs w:val="21"/>
                    </w:rPr>
                  </w:pPr>
                  <w:r>
                    <w:rPr>
                      <w:rFonts w:hint="eastAsia" w:ascii="宋体" w:hAnsi="宋体" w:cs="宋体"/>
                      <w:spacing w:val="-2"/>
                      <w:szCs w:val="21"/>
                    </w:rPr>
                    <w:t>厂房外噪声值</w:t>
                  </w:r>
                  <w:r>
                    <w:rPr>
                      <w:rFonts w:ascii="宋体" w:hAnsi="宋体" w:cs="宋体"/>
                      <w:spacing w:val="-2"/>
                      <w:szCs w:val="21"/>
                    </w:rPr>
                    <w:t>83.36</w:t>
                  </w:r>
                  <w:r>
                    <w:rPr>
                      <w:rFonts w:hint="eastAsia" w:ascii="宋体" w:hAnsi="宋体" w:cs="宋体"/>
                      <w:spacing w:val="-2"/>
                      <w:szCs w:val="21"/>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exact"/>
                <w:jc w:val="center"/>
              </w:trPr>
              <w:tc>
                <w:tcPr>
                  <w:tcW w:w="2817" w:type="dxa"/>
                  <w:vAlign w:val="center"/>
                </w:tcPr>
                <w:p>
                  <w:pPr>
                    <w:jc w:val="center"/>
                    <w:rPr>
                      <w:rFonts w:ascii="宋体" w:hAnsi="宋体" w:cs="宋体"/>
                      <w:spacing w:val="-2"/>
                      <w:szCs w:val="21"/>
                    </w:rPr>
                  </w:pPr>
                  <w:r>
                    <w:rPr>
                      <w:rFonts w:hint="eastAsia" w:ascii="宋体" w:hAnsi="宋体" w:cs="宋体"/>
                      <w:spacing w:val="-2"/>
                      <w:szCs w:val="21"/>
                    </w:rPr>
                    <w:t>与声源距离</w:t>
                  </w:r>
                </w:p>
                <w:p>
                  <w:pPr>
                    <w:jc w:val="center"/>
                    <w:rPr>
                      <w:rFonts w:ascii="宋体" w:hAnsi="宋体" w:cs="宋体"/>
                      <w:spacing w:val="-2"/>
                      <w:szCs w:val="21"/>
                    </w:rPr>
                  </w:pPr>
                </w:p>
              </w:tc>
              <w:tc>
                <w:tcPr>
                  <w:tcW w:w="1581" w:type="dxa"/>
                  <w:vAlign w:val="center"/>
                </w:tcPr>
                <w:p>
                  <w:pPr>
                    <w:jc w:val="center"/>
                    <w:rPr>
                      <w:rFonts w:ascii="宋体" w:hAnsi="宋体" w:cs="宋体"/>
                      <w:spacing w:val="-2"/>
                      <w:szCs w:val="21"/>
                    </w:rPr>
                  </w:pPr>
                  <w:r>
                    <w:rPr>
                      <w:rFonts w:ascii="宋体" w:hAnsi="宋体" w:cs="宋体"/>
                      <w:spacing w:val="-2"/>
                      <w:szCs w:val="21"/>
                    </w:rPr>
                    <w:t>130</w:t>
                  </w:r>
                  <w:r>
                    <w:rPr>
                      <w:rFonts w:hint="eastAsia" w:ascii="宋体" w:hAnsi="宋体" w:cs="宋体"/>
                      <w:spacing w:val="-2"/>
                      <w:szCs w:val="21"/>
                    </w:rPr>
                    <w:t>m</w:t>
                  </w:r>
                  <w:r>
                    <w:rPr>
                      <w:rFonts w:ascii="宋体" w:hAnsi="宋体" w:cs="宋体"/>
                      <w:spacing w:val="-2"/>
                      <w:szCs w:val="21"/>
                    </w:rPr>
                    <w:t xml:space="preserve"> </w:t>
                  </w:r>
                </w:p>
              </w:tc>
              <w:tc>
                <w:tcPr>
                  <w:tcW w:w="1331" w:type="dxa"/>
                  <w:vAlign w:val="center"/>
                </w:tcPr>
                <w:p>
                  <w:pPr>
                    <w:jc w:val="center"/>
                    <w:rPr>
                      <w:rFonts w:ascii="宋体" w:hAnsi="宋体" w:cs="宋体"/>
                      <w:spacing w:val="-2"/>
                      <w:szCs w:val="21"/>
                    </w:rPr>
                  </w:pPr>
                  <w:r>
                    <w:rPr>
                      <w:rFonts w:ascii="宋体" w:hAnsi="宋体" w:cs="宋体"/>
                      <w:spacing w:val="-2"/>
                      <w:szCs w:val="21"/>
                    </w:rPr>
                    <w:t>35</w:t>
                  </w:r>
                  <w:r>
                    <w:rPr>
                      <w:rFonts w:hint="eastAsia" w:ascii="宋体" w:hAnsi="宋体" w:cs="宋体"/>
                      <w:spacing w:val="-2"/>
                      <w:szCs w:val="21"/>
                    </w:rPr>
                    <w:t>m</w:t>
                  </w:r>
                </w:p>
              </w:tc>
              <w:tc>
                <w:tcPr>
                  <w:tcW w:w="1510" w:type="dxa"/>
                  <w:vAlign w:val="center"/>
                </w:tcPr>
                <w:p>
                  <w:pPr>
                    <w:jc w:val="center"/>
                    <w:rPr>
                      <w:rFonts w:ascii="宋体" w:hAnsi="宋体" w:cs="宋体"/>
                      <w:spacing w:val="-2"/>
                      <w:szCs w:val="21"/>
                    </w:rPr>
                  </w:pPr>
                  <w:r>
                    <w:rPr>
                      <w:rFonts w:ascii="宋体" w:hAnsi="宋体" w:cs="宋体"/>
                      <w:spacing w:val="-2"/>
                      <w:szCs w:val="21"/>
                    </w:rPr>
                    <w:t>32</w:t>
                  </w:r>
                  <w:r>
                    <w:rPr>
                      <w:rFonts w:hint="eastAsia" w:ascii="宋体" w:hAnsi="宋体" w:cs="宋体"/>
                      <w:spacing w:val="-2"/>
                      <w:szCs w:val="21"/>
                    </w:rPr>
                    <w:t>m</w:t>
                  </w:r>
                </w:p>
              </w:tc>
              <w:tc>
                <w:tcPr>
                  <w:tcW w:w="1823" w:type="dxa"/>
                  <w:vAlign w:val="center"/>
                </w:tcPr>
                <w:p>
                  <w:pPr>
                    <w:jc w:val="center"/>
                    <w:rPr>
                      <w:rFonts w:ascii="宋体" w:hAnsi="宋体" w:cs="宋体"/>
                      <w:spacing w:val="-2"/>
                      <w:szCs w:val="21"/>
                    </w:rPr>
                  </w:pPr>
                  <w:r>
                    <w:rPr>
                      <w:rFonts w:ascii="宋体" w:hAnsi="宋体" w:cs="宋体"/>
                      <w:spacing w:val="-2"/>
                      <w:szCs w:val="21"/>
                    </w:rPr>
                    <w:t>103</w:t>
                  </w:r>
                  <w:r>
                    <w:rPr>
                      <w:rFonts w:hint="eastAsia" w:ascii="宋体" w:hAnsi="宋体" w:cs="宋体"/>
                      <w:spacing w:val="-2"/>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2817" w:type="dxa"/>
                  <w:vAlign w:val="center"/>
                </w:tcPr>
                <w:p>
                  <w:pPr>
                    <w:jc w:val="center"/>
                    <w:rPr>
                      <w:rFonts w:ascii="宋体" w:hAnsi="宋体" w:cs="宋体"/>
                      <w:spacing w:val="-2"/>
                      <w:szCs w:val="21"/>
                    </w:rPr>
                  </w:pPr>
                  <w:r>
                    <w:rPr>
                      <w:rFonts w:hint="eastAsia" w:ascii="宋体" w:hAnsi="宋体" w:cs="宋体"/>
                      <w:spacing w:val="-2"/>
                      <w:szCs w:val="21"/>
                    </w:rPr>
                    <w:t>排放值dB（A）</w:t>
                  </w:r>
                </w:p>
              </w:tc>
              <w:tc>
                <w:tcPr>
                  <w:tcW w:w="1581" w:type="dxa"/>
                  <w:vAlign w:val="center"/>
                </w:tcPr>
                <w:p>
                  <w:pPr>
                    <w:jc w:val="center"/>
                    <w:rPr>
                      <w:rFonts w:ascii="宋体" w:hAnsi="宋体" w:cs="宋体"/>
                      <w:spacing w:val="-2"/>
                      <w:szCs w:val="21"/>
                    </w:rPr>
                  </w:pPr>
                  <w:r>
                    <w:rPr>
                      <w:rFonts w:ascii="宋体" w:hAnsi="宋体" w:cs="宋体"/>
                      <w:spacing w:val="-2"/>
                      <w:szCs w:val="21"/>
                    </w:rPr>
                    <w:t>41.08</w:t>
                  </w:r>
                </w:p>
              </w:tc>
              <w:tc>
                <w:tcPr>
                  <w:tcW w:w="1331" w:type="dxa"/>
                  <w:vAlign w:val="center"/>
                </w:tcPr>
                <w:p>
                  <w:pPr>
                    <w:jc w:val="center"/>
                    <w:rPr>
                      <w:rFonts w:ascii="宋体" w:hAnsi="宋体" w:cs="宋体"/>
                      <w:spacing w:val="-2"/>
                      <w:szCs w:val="21"/>
                    </w:rPr>
                  </w:pPr>
                  <w:r>
                    <w:rPr>
                      <w:rFonts w:ascii="宋体" w:hAnsi="宋体" w:cs="宋体"/>
                      <w:spacing w:val="-2"/>
                      <w:szCs w:val="21"/>
                    </w:rPr>
                    <w:t>52.48</w:t>
                  </w:r>
                </w:p>
              </w:tc>
              <w:tc>
                <w:tcPr>
                  <w:tcW w:w="1510" w:type="dxa"/>
                  <w:vAlign w:val="center"/>
                </w:tcPr>
                <w:p>
                  <w:pPr>
                    <w:jc w:val="center"/>
                    <w:rPr>
                      <w:rFonts w:ascii="宋体" w:hAnsi="宋体" w:cs="宋体"/>
                      <w:spacing w:val="-2"/>
                      <w:szCs w:val="21"/>
                    </w:rPr>
                  </w:pPr>
                  <w:r>
                    <w:rPr>
                      <w:rFonts w:ascii="宋体" w:hAnsi="宋体" w:cs="宋体"/>
                      <w:spacing w:val="-2"/>
                      <w:szCs w:val="21"/>
                    </w:rPr>
                    <w:t>53.26</w:t>
                  </w:r>
                </w:p>
              </w:tc>
              <w:tc>
                <w:tcPr>
                  <w:tcW w:w="1823" w:type="dxa"/>
                  <w:vAlign w:val="center"/>
                </w:tcPr>
                <w:p>
                  <w:pPr>
                    <w:jc w:val="center"/>
                    <w:rPr>
                      <w:rFonts w:ascii="宋体" w:hAnsi="宋体" w:cs="宋体"/>
                      <w:spacing w:val="-2"/>
                      <w:szCs w:val="21"/>
                    </w:rPr>
                  </w:pPr>
                  <w:r>
                    <w:rPr>
                      <w:rFonts w:ascii="宋体" w:hAnsi="宋体" w:cs="宋体"/>
                      <w:spacing w:val="-2"/>
                      <w:szCs w:val="21"/>
                    </w:rPr>
                    <w:t>43.10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exact"/>
                <w:jc w:val="center"/>
              </w:trPr>
              <w:tc>
                <w:tcPr>
                  <w:tcW w:w="2817" w:type="dxa"/>
                  <w:vAlign w:val="center"/>
                </w:tcPr>
                <w:p>
                  <w:pPr>
                    <w:jc w:val="center"/>
                    <w:rPr>
                      <w:rFonts w:ascii="宋体" w:hAnsi="宋体" w:cs="宋体"/>
                      <w:spacing w:val="-2"/>
                      <w:szCs w:val="21"/>
                    </w:rPr>
                  </w:pPr>
                  <w:r>
                    <w:rPr>
                      <w:rFonts w:hint="eastAsia" w:ascii="宋体" w:hAnsi="宋体" w:cs="宋体"/>
                      <w:spacing w:val="-2"/>
                      <w:szCs w:val="21"/>
                    </w:rPr>
                    <w:t>执行标准</w:t>
                  </w:r>
                </w:p>
              </w:tc>
              <w:tc>
                <w:tcPr>
                  <w:tcW w:w="6245" w:type="dxa"/>
                  <w:gridSpan w:val="4"/>
                  <w:vAlign w:val="center"/>
                </w:tcPr>
                <w:p>
                  <w:pPr>
                    <w:jc w:val="center"/>
                    <w:rPr>
                      <w:rFonts w:ascii="宋体" w:hAnsi="宋体" w:cs="宋体"/>
                      <w:spacing w:val="-2"/>
                      <w:szCs w:val="21"/>
                    </w:rPr>
                  </w:pPr>
                  <w:r>
                    <w:rPr>
                      <w:rFonts w:hint="eastAsia" w:ascii="宋体" w:hAnsi="宋体" w:cs="宋体"/>
                      <w:spacing w:val="-2"/>
                      <w:szCs w:val="21"/>
                    </w:rPr>
                    <w:t xml:space="preserve"> 昼间≤65，夜间≤</w:t>
                  </w:r>
                  <w:r>
                    <w:rPr>
                      <w:rFonts w:ascii="宋体" w:hAnsi="宋体" w:cs="宋体"/>
                      <w:spacing w:val="-2"/>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exact"/>
                <w:jc w:val="center"/>
              </w:trPr>
              <w:tc>
                <w:tcPr>
                  <w:tcW w:w="2817" w:type="dxa"/>
                  <w:vAlign w:val="center"/>
                </w:tcPr>
                <w:p>
                  <w:pPr>
                    <w:jc w:val="center"/>
                    <w:rPr>
                      <w:rFonts w:ascii="宋体" w:hAnsi="宋体" w:cs="宋体"/>
                      <w:spacing w:val="-2"/>
                      <w:szCs w:val="21"/>
                    </w:rPr>
                  </w:pPr>
                  <w:r>
                    <w:rPr>
                      <w:rFonts w:hint="eastAsia" w:ascii="宋体" w:hAnsi="宋体" w:cs="宋体"/>
                      <w:spacing w:val="-2"/>
                      <w:szCs w:val="21"/>
                    </w:rPr>
                    <w:t>达标情况</w:t>
                  </w:r>
                </w:p>
              </w:tc>
              <w:tc>
                <w:tcPr>
                  <w:tcW w:w="1581" w:type="dxa"/>
                  <w:vAlign w:val="center"/>
                </w:tcPr>
                <w:p>
                  <w:pPr>
                    <w:jc w:val="center"/>
                    <w:rPr>
                      <w:rFonts w:ascii="宋体" w:hAnsi="宋体" w:cs="宋体"/>
                      <w:spacing w:val="-2"/>
                      <w:szCs w:val="21"/>
                    </w:rPr>
                  </w:pPr>
                  <w:r>
                    <w:rPr>
                      <w:rFonts w:hint="eastAsia" w:ascii="宋体" w:hAnsi="宋体" w:cs="宋体"/>
                      <w:spacing w:val="-2"/>
                      <w:szCs w:val="21"/>
                    </w:rPr>
                    <w:t>达标</w:t>
                  </w:r>
                </w:p>
              </w:tc>
              <w:tc>
                <w:tcPr>
                  <w:tcW w:w="1331" w:type="dxa"/>
                  <w:vAlign w:val="center"/>
                </w:tcPr>
                <w:p>
                  <w:pPr>
                    <w:jc w:val="center"/>
                    <w:rPr>
                      <w:rFonts w:ascii="宋体" w:hAnsi="宋体" w:cs="宋体"/>
                      <w:spacing w:val="-2"/>
                      <w:szCs w:val="21"/>
                    </w:rPr>
                  </w:pPr>
                  <w:r>
                    <w:rPr>
                      <w:rFonts w:hint="eastAsia" w:ascii="宋体" w:hAnsi="宋体" w:cs="宋体"/>
                      <w:spacing w:val="-2"/>
                      <w:szCs w:val="21"/>
                    </w:rPr>
                    <w:t>达标</w:t>
                  </w:r>
                </w:p>
              </w:tc>
              <w:tc>
                <w:tcPr>
                  <w:tcW w:w="1510" w:type="dxa"/>
                  <w:vAlign w:val="center"/>
                </w:tcPr>
                <w:p>
                  <w:pPr>
                    <w:jc w:val="center"/>
                    <w:rPr>
                      <w:rFonts w:ascii="宋体" w:hAnsi="宋体" w:cs="宋体"/>
                      <w:spacing w:val="-2"/>
                      <w:szCs w:val="21"/>
                    </w:rPr>
                  </w:pPr>
                  <w:r>
                    <w:rPr>
                      <w:rFonts w:hint="eastAsia" w:ascii="宋体" w:hAnsi="宋体" w:cs="宋体"/>
                      <w:spacing w:val="-2"/>
                      <w:szCs w:val="21"/>
                    </w:rPr>
                    <w:t>达标</w:t>
                  </w:r>
                </w:p>
              </w:tc>
              <w:tc>
                <w:tcPr>
                  <w:tcW w:w="1823" w:type="dxa"/>
                  <w:vAlign w:val="center"/>
                </w:tcPr>
                <w:p>
                  <w:pPr>
                    <w:jc w:val="center"/>
                    <w:rPr>
                      <w:rFonts w:ascii="宋体" w:hAnsi="宋体" w:cs="宋体"/>
                      <w:spacing w:val="-2"/>
                      <w:szCs w:val="21"/>
                    </w:rPr>
                  </w:pPr>
                  <w:r>
                    <w:rPr>
                      <w:rFonts w:hint="eastAsia" w:ascii="宋体" w:hAnsi="宋体" w:cs="宋体"/>
                      <w:spacing w:val="-2"/>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exact"/>
                <w:jc w:val="center"/>
              </w:trPr>
              <w:tc>
                <w:tcPr>
                  <w:tcW w:w="9062" w:type="dxa"/>
                  <w:gridSpan w:val="5"/>
                  <w:vAlign w:val="center"/>
                </w:tcPr>
                <w:p>
                  <w:pPr>
                    <w:rPr>
                      <w:rFonts w:ascii="宋体" w:hAnsi="宋体" w:cs="宋体"/>
                      <w:spacing w:val="-2"/>
                      <w:szCs w:val="21"/>
                    </w:rPr>
                  </w:pPr>
                  <w:r>
                    <w:rPr>
                      <w:rFonts w:hint="eastAsia" w:ascii="宋体" w:hAnsi="宋体"/>
                      <w:spacing w:val="-2"/>
                      <w:szCs w:val="21"/>
                    </w:rPr>
                    <w:t>备注：</w:t>
                  </w:r>
                  <w:r>
                    <w:rPr>
                      <w:rFonts w:hint="eastAsia" w:ascii="宋体" w:hAnsi="宋体"/>
                      <w:szCs w:val="21"/>
                    </w:rPr>
                    <w:t>建设项目产生的噪声在场界处均满足《工业企业厂界环境噪声排放标准》（GB22337—2008）中3类标准。</w:t>
                  </w:r>
                </w:p>
              </w:tc>
            </w:tr>
          </w:tbl>
          <w:p>
            <w:pPr>
              <w:spacing w:line="360" w:lineRule="auto"/>
              <w:ind w:firstLine="480" w:firstLineChars="200"/>
              <w:rPr>
                <w:rFonts w:ascii="宋体" w:hAnsi="宋体" w:cs="宋体"/>
                <w:sz w:val="24"/>
              </w:rPr>
            </w:pPr>
            <w:r>
              <w:rPr>
                <w:rFonts w:hint="eastAsia" w:ascii="宋体" w:hAnsi="宋体" w:cs="宋体"/>
                <w:sz w:val="24"/>
              </w:rPr>
              <w:t>由上表可知，项目建成后，企业厂界昼间、夜间的噪声满足《工业企业厂界环境噪声排放标准》中3类标准要求，因此，本项目对周边声环境影响较小。</w:t>
            </w:r>
          </w:p>
          <w:p>
            <w:pPr>
              <w:spacing w:line="360" w:lineRule="auto"/>
              <w:ind w:firstLine="480" w:firstLineChars="200"/>
              <w:rPr>
                <w:rFonts w:ascii="宋体" w:hAnsi="宋体" w:cs="宋体"/>
                <w:sz w:val="24"/>
              </w:rPr>
            </w:pPr>
            <w:r>
              <w:rPr>
                <w:rFonts w:hint="eastAsia" w:ascii="宋体" w:hAnsi="宋体" w:cs="宋体"/>
                <w:sz w:val="24"/>
              </w:rPr>
              <w:t>4、固体废弃物</w:t>
            </w:r>
          </w:p>
          <w:p>
            <w:pPr>
              <w:spacing w:line="360" w:lineRule="auto"/>
              <w:ind w:firstLine="480" w:firstLineChars="200"/>
              <w:rPr>
                <w:rFonts w:ascii="宋体" w:hAnsi="宋体" w:cs="宋体"/>
                <w:sz w:val="24"/>
              </w:rPr>
            </w:pPr>
            <w:r>
              <w:rPr>
                <w:rFonts w:hint="eastAsia" w:ascii="宋体" w:hAnsi="宋体" w:cs="宋体"/>
                <w:sz w:val="24"/>
              </w:rPr>
              <w:t>本项目运营过程中产生的固废主要包括过滤废渣，回收固体盐，除尘设备收集粉尘，原辅料废包装袋、员工生活垃圾、检修废油等。</w:t>
            </w:r>
          </w:p>
          <w:p>
            <w:pPr>
              <w:spacing w:line="360" w:lineRule="auto"/>
              <w:ind w:firstLine="480" w:firstLineChars="200"/>
              <w:rPr>
                <w:sz w:val="24"/>
              </w:rPr>
            </w:pPr>
            <w:r>
              <w:rPr>
                <w:rFonts w:hint="eastAsia"/>
                <w:sz w:val="24"/>
              </w:rPr>
              <w:t>1）除尘设备收集粉尘</w:t>
            </w:r>
          </w:p>
          <w:p>
            <w:pPr>
              <w:adjustRightInd w:val="0"/>
              <w:snapToGrid w:val="0"/>
              <w:spacing w:line="360" w:lineRule="auto"/>
              <w:ind w:firstLine="480" w:firstLineChars="200"/>
              <w:rPr>
                <w:sz w:val="24"/>
              </w:rPr>
            </w:pPr>
            <w:r>
              <w:rPr>
                <w:sz w:val="24"/>
              </w:rPr>
              <w:t>项目打磨工序产生的粉尘经布袋除尘设备收集处理后排放</w:t>
            </w:r>
            <w:r>
              <w:rPr>
                <w:rFonts w:hint="eastAsia"/>
                <w:sz w:val="24"/>
              </w:rPr>
              <w:t>，粉尘收集量为</w:t>
            </w:r>
            <w:r>
              <w:rPr>
                <w:sz w:val="24"/>
              </w:rPr>
              <w:t>1.27/a</w:t>
            </w:r>
            <w:r>
              <w:rPr>
                <w:rFonts w:hint="eastAsia"/>
                <w:sz w:val="24"/>
              </w:rPr>
              <w:t>，</w:t>
            </w:r>
            <w:r>
              <w:rPr>
                <w:sz w:val="24"/>
              </w:rPr>
              <w:t>拟收集后外卖</w:t>
            </w:r>
            <w:r>
              <w:rPr>
                <w:rFonts w:hint="eastAsia"/>
                <w:sz w:val="24"/>
              </w:rPr>
              <w:t>。</w:t>
            </w:r>
          </w:p>
          <w:p>
            <w:pPr>
              <w:adjustRightInd w:val="0"/>
              <w:snapToGrid w:val="0"/>
              <w:spacing w:line="360" w:lineRule="auto"/>
              <w:ind w:firstLine="480" w:firstLineChars="200"/>
              <w:rPr>
                <w:sz w:val="24"/>
              </w:rPr>
            </w:pPr>
            <w:r>
              <w:rPr>
                <w:sz w:val="24"/>
              </w:rPr>
              <w:t>2</w:t>
            </w:r>
            <w:r>
              <w:rPr>
                <w:rFonts w:hint="eastAsia"/>
                <w:sz w:val="24"/>
              </w:rPr>
              <w:t>）过滤废渣</w:t>
            </w:r>
          </w:p>
          <w:p>
            <w:pPr>
              <w:adjustRightInd w:val="0"/>
              <w:snapToGrid w:val="0"/>
              <w:spacing w:line="360" w:lineRule="auto"/>
              <w:ind w:firstLine="480" w:firstLineChars="200"/>
              <w:rPr>
                <w:sz w:val="24"/>
              </w:rPr>
            </w:pPr>
            <w:r>
              <w:rPr>
                <w:rFonts w:hint="eastAsia"/>
                <w:sz w:val="24"/>
              </w:rPr>
              <w:t>本项目采用五级清洗对氮化氧化的工件进行清洗，第一级清洗废水经过滤废渣后采用蒸馏方法回收固体盐，后一级清洗废水作为前一级清洗水使用。其中第一级清洗废水分离出来的废渣主要成分为F</w:t>
            </w:r>
            <w:r>
              <w:rPr>
                <w:sz w:val="24"/>
              </w:rPr>
              <w:t>e</w:t>
            </w:r>
            <w:r>
              <w:rPr>
                <w:sz w:val="24"/>
                <w:vertAlign w:val="subscript"/>
              </w:rPr>
              <w:t>2</w:t>
            </w:r>
            <w:r>
              <w:rPr>
                <w:sz w:val="24"/>
              </w:rPr>
              <w:t>O</w:t>
            </w:r>
            <w:r>
              <w:rPr>
                <w:sz w:val="24"/>
                <w:vertAlign w:val="subscript"/>
              </w:rPr>
              <w:t>3</w:t>
            </w:r>
            <w:r>
              <w:rPr>
                <w:rFonts w:hint="eastAsia"/>
                <w:sz w:val="24"/>
              </w:rPr>
              <w:t>，拟收集后作为原料回用，不外排。</w:t>
            </w:r>
          </w:p>
          <w:p>
            <w:pPr>
              <w:adjustRightInd w:val="0"/>
              <w:snapToGrid w:val="0"/>
              <w:spacing w:line="360" w:lineRule="auto"/>
              <w:ind w:firstLine="480" w:firstLineChars="200"/>
              <w:rPr>
                <w:sz w:val="24"/>
              </w:rPr>
            </w:pPr>
            <w:r>
              <w:rPr>
                <w:rFonts w:hint="eastAsia"/>
                <w:sz w:val="24"/>
              </w:rPr>
              <w:t>3）回收固体盐</w:t>
            </w:r>
          </w:p>
          <w:p>
            <w:pPr>
              <w:spacing w:line="360" w:lineRule="auto"/>
              <w:ind w:firstLine="480" w:firstLineChars="200"/>
              <w:rPr>
                <w:sz w:val="24"/>
              </w:rPr>
            </w:pPr>
            <w:r>
              <w:rPr>
                <w:rFonts w:hint="eastAsia"/>
                <w:sz w:val="24"/>
              </w:rPr>
              <w:t>本项目采用五级清洗对氮化氧化的工件进行清洗，第一级清洗废水经过滤废渣后采用蒸馏方法回收固体盐，固体盐经收集后作为氧化盐回用，不外排。</w:t>
            </w:r>
          </w:p>
          <w:p>
            <w:pPr>
              <w:spacing w:line="360" w:lineRule="auto"/>
              <w:ind w:firstLine="480" w:firstLineChars="200"/>
              <w:rPr>
                <w:sz w:val="24"/>
              </w:rPr>
            </w:pPr>
            <w:r>
              <w:rPr>
                <w:sz w:val="24"/>
              </w:rPr>
              <w:t>4</w:t>
            </w:r>
            <w:r>
              <w:rPr>
                <w:rFonts w:hint="eastAsia"/>
                <w:sz w:val="24"/>
              </w:rPr>
              <w:t>）原辅料废包装袋</w:t>
            </w:r>
          </w:p>
          <w:p>
            <w:pPr>
              <w:spacing w:line="360" w:lineRule="auto"/>
              <w:ind w:firstLine="480" w:firstLineChars="200"/>
              <w:rPr>
                <w:rFonts w:hAnsi="宋体"/>
                <w:sz w:val="24"/>
              </w:rPr>
            </w:pPr>
            <w:r>
              <w:rPr>
                <w:rFonts w:hint="eastAsia" w:hAnsi="宋体"/>
                <w:sz w:val="24"/>
              </w:rPr>
              <w:t>项目原辅料包括氮化盐、调整盐、氧化盐，其中氧化盐（氢氧化钠、亚硝酸钠）为危险化学品，其包装袋属于危险固废，氮化盐、调整盐包装袋属于一般固废。氧化盐废包装袋产生量约为0</w:t>
            </w:r>
            <w:r>
              <w:rPr>
                <w:rFonts w:hAnsi="宋体"/>
                <w:sz w:val="24"/>
              </w:rPr>
              <w:t>.2t/a</w:t>
            </w:r>
            <w:r>
              <w:rPr>
                <w:rFonts w:hint="eastAsia" w:hAnsi="宋体"/>
                <w:sz w:val="24"/>
              </w:rPr>
              <w:t>，</w:t>
            </w:r>
            <w:r>
              <w:rPr>
                <w:rFonts w:hAnsi="宋体"/>
                <w:sz w:val="24"/>
              </w:rPr>
              <w:t>氮化盐</w:t>
            </w:r>
            <w:r>
              <w:rPr>
                <w:rFonts w:hint="eastAsia" w:hAnsi="宋体"/>
                <w:sz w:val="24"/>
              </w:rPr>
              <w:t>、</w:t>
            </w:r>
            <w:r>
              <w:rPr>
                <w:rFonts w:hAnsi="宋体"/>
                <w:sz w:val="24"/>
              </w:rPr>
              <w:t>调整盐废包装袋产生量约为</w:t>
            </w:r>
            <w:r>
              <w:rPr>
                <w:rFonts w:hint="eastAsia" w:hAnsi="宋体"/>
                <w:sz w:val="24"/>
              </w:rPr>
              <w:t>0</w:t>
            </w:r>
            <w:r>
              <w:rPr>
                <w:rFonts w:hAnsi="宋体"/>
                <w:sz w:val="24"/>
              </w:rPr>
              <w:t>.3t/a</w:t>
            </w:r>
            <w:r>
              <w:rPr>
                <w:rFonts w:hint="eastAsia" w:hAnsi="宋体"/>
                <w:sz w:val="24"/>
              </w:rPr>
              <w:t>。根据《国家危险废物名录》（2</w:t>
            </w:r>
            <w:r>
              <w:rPr>
                <w:rFonts w:hAnsi="宋体"/>
                <w:sz w:val="24"/>
              </w:rPr>
              <w:t>016版</w:t>
            </w:r>
            <w:r>
              <w:rPr>
                <w:rFonts w:hint="eastAsia" w:hAnsi="宋体"/>
                <w:sz w:val="24"/>
              </w:rPr>
              <w:t>），本项目氧化盐废包装袋属于“H</w:t>
            </w:r>
            <w:r>
              <w:rPr>
                <w:rFonts w:hAnsi="宋体"/>
                <w:sz w:val="24"/>
              </w:rPr>
              <w:t>W 49 900-041-49</w:t>
            </w:r>
            <w:r>
              <w:rPr>
                <w:rFonts w:hint="eastAsia" w:hAnsi="宋体"/>
                <w:sz w:val="24"/>
              </w:rPr>
              <w:t>”中“含有或沾染毒性、感染性危险废物的废弃包装物、容器、过滤吸附介质”。本环评要求项目按相关规范要求设置危废暂存间分类规范暂存，并交由有资质单位进行处理。氮化盐、氧化盐废包装袋收集后外卖。</w:t>
            </w:r>
          </w:p>
          <w:p>
            <w:pPr>
              <w:spacing w:line="360" w:lineRule="auto"/>
              <w:ind w:firstLine="480" w:firstLineChars="200"/>
              <w:rPr>
                <w:rFonts w:hAnsi="宋体"/>
                <w:sz w:val="24"/>
              </w:rPr>
            </w:pPr>
            <w:r>
              <w:rPr>
                <w:rFonts w:hAnsi="宋体"/>
                <w:sz w:val="24"/>
              </w:rPr>
              <w:t>5</w:t>
            </w:r>
            <w:r>
              <w:rPr>
                <w:rFonts w:hint="eastAsia" w:hAnsi="宋体"/>
                <w:sz w:val="24"/>
              </w:rPr>
              <w:t>）员工生活垃圾</w:t>
            </w:r>
          </w:p>
          <w:p>
            <w:pPr>
              <w:spacing w:line="360" w:lineRule="auto"/>
              <w:ind w:firstLine="480" w:firstLineChars="200"/>
              <w:rPr>
                <w:rFonts w:hAnsi="宋体"/>
                <w:sz w:val="24"/>
              </w:rPr>
            </w:pPr>
            <w:r>
              <w:rPr>
                <w:rFonts w:hint="eastAsia" w:hAnsi="宋体"/>
                <w:sz w:val="24"/>
              </w:rPr>
              <w:t>本项目不新增员工，因此无新增生活垃圾。</w:t>
            </w:r>
          </w:p>
          <w:p>
            <w:pPr>
              <w:spacing w:line="360" w:lineRule="auto"/>
              <w:ind w:firstLine="480"/>
              <w:rPr>
                <w:rFonts w:hAnsi="宋体"/>
                <w:sz w:val="24"/>
              </w:rPr>
            </w:pPr>
            <w:r>
              <w:rPr>
                <w:rFonts w:hAnsi="宋体"/>
                <w:sz w:val="24"/>
              </w:rPr>
              <w:t>6</w:t>
            </w:r>
            <w:r>
              <w:rPr>
                <w:rFonts w:hint="eastAsia" w:hAnsi="宋体"/>
                <w:sz w:val="24"/>
              </w:rPr>
              <w:t>）</w:t>
            </w:r>
            <w:r>
              <w:rPr>
                <w:rFonts w:hAnsi="宋体"/>
                <w:sz w:val="24"/>
              </w:rPr>
              <w:t>检修废油</w:t>
            </w:r>
          </w:p>
          <w:p>
            <w:pPr>
              <w:spacing w:line="360" w:lineRule="auto"/>
              <w:ind w:firstLine="480"/>
              <w:rPr>
                <w:rFonts w:hAnsi="宋体"/>
                <w:sz w:val="24"/>
              </w:rPr>
            </w:pPr>
            <w:r>
              <w:rPr>
                <w:rFonts w:hAnsi="宋体"/>
                <w:sz w:val="24"/>
              </w:rPr>
              <w:t>项目机床</w:t>
            </w:r>
            <w:r>
              <w:rPr>
                <w:rFonts w:hint="eastAsia" w:hAnsi="宋体"/>
                <w:sz w:val="24"/>
              </w:rPr>
              <w:t>、</w:t>
            </w:r>
            <w:r>
              <w:rPr>
                <w:rFonts w:hAnsi="宋体"/>
                <w:sz w:val="24"/>
              </w:rPr>
              <w:t>磨削设备等设备在检修过程中会产生一定量的检修废油</w:t>
            </w:r>
            <w:r>
              <w:rPr>
                <w:rFonts w:hint="eastAsia" w:hAnsi="宋体"/>
                <w:sz w:val="24"/>
              </w:rPr>
              <w:t>，</w:t>
            </w:r>
            <w:r>
              <w:rPr>
                <w:rFonts w:hAnsi="宋体"/>
                <w:sz w:val="24"/>
              </w:rPr>
              <w:t>产生量约为</w:t>
            </w:r>
            <w:r>
              <w:rPr>
                <w:rFonts w:hint="eastAsia" w:hAnsi="宋体"/>
                <w:sz w:val="24"/>
              </w:rPr>
              <w:t>0</w:t>
            </w:r>
            <w:r>
              <w:rPr>
                <w:rFonts w:hAnsi="宋体"/>
                <w:sz w:val="24"/>
              </w:rPr>
              <w:t>.06t/a</w:t>
            </w:r>
            <w:r>
              <w:rPr>
                <w:rFonts w:hint="eastAsia" w:hAnsi="宋体"/>
                <w:sz w:val="24"/>
              </w:rPr>
              <w:t>，根据《国家危险废物名录》，项目产生的检修废油属于“H</w:t>
            </w:r>
            <w:r>
              <w:rPr>
                <w:rFonts w:hAnsi="宋体"/>
                <w:sz w:val="24"/>
              </w:rPr>
              <w:t>W08 900-214-08 车辆</w:t>
            </w:r>
            <w:r>
              <w:rPr>
                <w:rFonts w:hint="eastAsia" w:hAnsi="宋体"/>
                <w:sz w:val="24"/>
              </w:rPr>
              <w:t>、</w:t>
            </w:r>
            <w:r>
              <w:rPr>
                <w:rFonts w:hAnsi="宋体"/>
                <w:sz w:val="24"/>
              </w:rPr>
              <w:t>机械维修和拆解过程中产生的废发动机油</w:t>
            </w:r>
            <w:r>
              <w:rPr>
                <w:rFonts w:hint="eastAsia" w:hAnsi="宋体"/>
                <w:sz w:val="24"/>
              </w:rPr>
              <w:t>、</w:t>
            </w:r>
            <w:r>
              <w:rPr>
                <w:rFonts w:hAnsi="宋体"/>
                <w:sz w:val="24"/>
              </w:rPr>
              <w:t>制动器油</w:t>
            </w:r>
            <w:r>
              <w:rPr>
                <w:rFonts w:hint="eastAsia" w:hAnsi="宋体"/>
                <w:sz w:val="24"/>
              </w:rPr>
              <w:t>、</w:t>
            </w:r>
            <w:r>
              <w:rPr>
                <w:rFonts w:hAnsi="宋体"/>
                <w:sz w:val="24"/>
              </w:rPr>
              <w:t>自动变速器油</w:t>
            </w:r>
            <w:r>
              <w:rPr>
                <w:rFonts w:hint="eastAsia" w:hAnsi="宋体"/>
                <w:sz w:val="24"/>
              </w:rPr>
              <w:t>、</w:t>
            </w:r>
            <w:r>
              <w:rPr>
                <w:rFonts w:hAnsi="宋体"/>
                <w:sz w:val="24"/>
              </w:rPr>
              <w:t>齿轮油等废润滑油</w:t>
            </w:r>
            <w:r>
              <w:rPr>
                <w:rFonts w:hint="eastAsia" w:hAnsi="宋体"/>
                <w:sz w:val="24"/>
              </w:rPr>
              <w:t>”。本环评要求项目按相关规范要求设置危废暂存间分类收集，并委托有资质单位进行处理。</w:t>
            </w:r>
          </w:p>
          <w:p>
            <w:pPr>
              <w:spacing w:line="360" w:lineRule="auto"/>
              <w:ind w:firstLine="480" w:firstLineChars="200"/>
              <w:rPr>
                <w:rFonts w:ascii="宋体" w:hAnsi="宋体"/>
                <w:sz w:val="24"/>
              </w:rPr>
            </w:pPr>
            <w:r>
              <w:rPr>
                <w:rFonts w:hint="eastAsia" w:ascii="宋体" w:hAnsi="宋体"/>
                <w:sz w:val="24"/>
              </w:rPr>
              <w:t>综上所述，项目产生的固废均依据其成分的不同采取不同的处理措施，各种固体废弃物经妥善处置后不会对项目周边产生影响。</w:t>
            </w:r>
          </w:p>
          <w:p>
            <w:pPr>
              <w:spacing w:line="360" w:lineRule="auto"/>
              <w:ind w:firstLine="482" w:firstLineChars="200"/>
              <w:rPr>
                <w:rFonts w:ascii="宋体" w:hAnsi="宋体"/>
                <w:b/>
                <w:sz w:val="24"/>
              </w:rPr>
            </w:pPr>
            <w:r>
              <w:rPr>
                <w:rFonts w:hint="eastAsia" w:ascii="宋体" w:hAnsi="宋体"/>
                <w:b/>
                <w:sz w:val="24"/>
              </w:rPr>
              <w:t>5、清洁生产分析</w:t>
            </w:r>
          </w:p>
          <w:p>
            <w:pPr>
              <w:spacing w:line="360" w:lineRule="auto"/>
              <w:ind w:firstLine="480" w:firstLineChars="200"/>
              <w:rPr>
                <w:rFonts w:ascii="宋体" w:hAnsi="宋体"/>
                <w:sz w:val="24"/>
              </w:rPr>
            </w:pPr>
            <w:r>
              <w:rPr>
                <w:rFonts w:hint="eastAsia" w:ascii="宋体" w:hAnsi="宋体"/>
                <w:sz w:val="24"/>
              </w:rPr>
              <w:t>清洁生产是将污染预防的战略持续应用于生产过程、产品和服务中，以减少人类的风险。因此，将清洁生产纳入环境影响评价制度后，环境影响评价制度更加完善，在预防和控制污染方面能发挥更大的作用。</w:t>
            </w:r>
          </w:p>
          <w:p>
            <w:pPr>
              <w:spacing w:line="360" w:lineRule="auto"/>
              <w:ind w:firstLine="480" w:firstLineChars="200"/>
              <w:rPr>
                <w:rFonts w:ascii="宋体" w:hAnsi="宋体"/>
                <w:sz w:val="24"/>
              </w:rPr>
            </w:pPr>
            <w:r>
              <w:rPr>
                <w:rFonts w:ascii="宋体" w:hAnsi="宋体"/>
                <w:sz w:val="24"/>
              </w:rPr>
              <w:t>清洁生产是指淘汰技术工艺落后</w:t>
            </w:r>
            <w:r>
              <w:rPr>
                <w:rFonts w:hint="eastAsia" w:ascii="宋体" w:hAnsi="宋体"/>
                <w:sz w:val="24"/>
              </w:rPr>
              <w:t>、</w:t>
            </w:r>
            <w:r>
              <w:rPr>
                <w:rFonts w:ascii="宋体" w:hAnsi="宋体"/>
                <w:sz w:val="24"/>
              </w:rPr>
              <w:t>设备陈旧</w:t>
            </w:r>
            <w:r>
              <w:rPr>
                <w:rFonts w:hint="eastAsia" w:ascii="宋体" w:hAnsi="宋体"/>
                <w:sz w:val="24"/>
              </w:rPr>
              <w:t>、</w:t>
            </w:r>
            <w:r>
              <w:rPr>
                <w:rFonts w:ascii="宋体" w:hAnsi="宋体"/>
                <w:sz w:val="24"/>
              </w:rPr>
              <w:t>产污量大的项目</w:t>
            </w:r>
            <w:r>
              <w:rPr>
                <w:rFonts w:hint="eastAsia" w:ascii="宋体" w:hAnsi="宋体"/>
                <w:sz w:val="24"/>
              </w:rPr>
              <w:t>，</w:t>
            </w:r>
            <w:r>
              <w:rPr>
                <w:rFonts w:ascii="宋体" w:hAnsi="宋体"/>
                <w:sz w:val="24"/>
              </w:rPr>
              <w:t>以便在生产过程</w:t>
            </w:r>
            <w:r>
              <w:rPr>
                <w:rFonts w:hint="eastAsia" w:ascii="宋体" w:hAnsi="宋体"/>
                <w:sz w:val="24"/>
              </w:rPr>
              <w:t>、</w:t>
            </w:r>
            <w:r>
              <w:rPr>
                <w:rFonts w:ascii="宋体" w:hAnsi="宋体"/>
                <w:sz w:val="24"/>
              </w:rPr>
              <w:t>产品的设计和开发以及服务过程中</w:t>
            </w:r>
            <w:r>
              <w:rPr>
                <w:rFonts w:hint="eastAsia" w:ascii="宋体" w:hAnsi="宋体"/>
                <w:sz w:val="24"/>
              </w:rPr>
              <w:t>，</w:t>
            </w:r>
            <w:r>
              <w:rPr>
                <w:rFonts w:ascii="宋体" w:hAnsi="宋体"/>
                <w:sz w:val="24"/>
              </w:rPr>
              <w:t>充分提高效率</w:t>
            </w:r>
            <w:r>
              <w:rPr>
                <w:rFonts w:hint="eastAsia" w:ascii="宋体" w:hAnsi="宋体"/>
                <w:sz w:val="24"/>
              </w:rPr>
              <w:t>，减少污染物的产生，从而达到环境效益、经济效益和社会效益的有机统一。</w:t>
            </w:r>
          </w:p>
          <w:p>
            <w:pPr>
              <w:spacing w:line="360" w:lineRule="auto"/>
              <w:ind w:firstLine="480"/>
              <w:rPr>
                <w:rFonts w:ascii="宋体" w:hAnsi="宋体"/>
                <w:sz w:val="24"/>
              </w:rPr>
            </w:pPr>
            <w:r>
              <w:rPr>
                <w:rFonts w:hint="eastAsia" w:ascii="宋体" w:hAnsi="宋体"/>
                <w:sz w:val="24"/>
              </w:rPr>
              <w:t>1）资源能源利用</w:t>
            </w:r>
          </w:p>
          <w:p>
            <w:pPr>
              <w:spacing w:line="360" w:lineRule="auto"/>
              <w:ind w:firstLine="480"/>
              <w:rPr>
                <w:rFonts w:ascii="宋体" w:hAnsi="宋体"/>
                <w:sz w:val="24"/>
              </w:rPr>
            </w:pPr>
            <w:r>
              <w:rPr>
                <w:rFonts w:ascii="宋体" w:hAnsi="宋体"/>
                <w:sz w:val="24"/>
              </w:rPr>
              <w:t>本项目营运期常用的原辅料选用废物量产生少</w:t>
            </w:r>
            <w:r>
              <w:rPr>
                <w:rFonts w:hint="eastAsia" w:ascii="宋体" w:hAnsi="宋体"/>
                <w:sz w:val="24"/>
              </w:rPr>
              <w:t>、</w:t>
            </w:r>
            <w:r>
              <w:rPr>
                <w:rFonts w:ascii="宋体" w:hAnsi="宋体"/>
                <w:sz w:val="24"/>
              </w:rPr>
              <w:t>对环境污染小的环境友好型物料</w:t>
            </w:r>
            <w:r>
              <w:rPr>
                <w:rFonts w:hint="eastAsia" w:ascii="宋体" w:hAnsi="宋体"/>
                <w:sz w:val="24"/>
              </w:rPr>
              <w:t>。</w:t>
            </w:r>
          </w:p>
          <w:p>
            <w:pPr>
              <w:spacing w:line="360" w:lineRule="auto"/>
              <w:ind w:firstLine="480"/>
              <w:rPr>
                <w:rFonts w:ascii="宋体" w:hAnsi="宋体"/>
                <w:sz w:val="24"/>
              </w:rPr>
            </w:pPr>
            <w:r>
              <w:rPr>
                <w:rFonts w:ascii="宋体" w:hAnsi="宋体"/>
                <w:sz w:val="24"/>
              </w:rPr>
              <w:t>本项目运营期使用的能源主要为电能</w:t>
            </w:r>
            <w:r>
              <w:rPr>
                <w:rFonts w:hint="eastAsia" w:ascii="宋体" w:hAnsi="宋体"/>
                <w:sz w:val="24"/>
              </w:rPr>
              <w:t>，</w:t>
            </w:r>
            <w:r>
              <w:rPr>
                <w:rFonts w:ascii="宋体" w:hAnsi="宋体"/>
                <w:sz w:val="24"/>
              </w:rPr>
              <w:t>属于</w:t>
            </w:r>
            <w:r>
              <w:rPr>
                <w:rFonts w:hint="eastAsia" w:ascii="宋体" w:hAnsi="宋体"/>
                <w:sz w:val="24"/>
              </w:rPr>
              <w:t>清洁</w:t>
            </w:r>
            <w:r>
              <w:rPr>
                <w:rFonts w:ascii="宋体" w:hAnsi="宋体"/>
                <w:sz w:val="24"/>
              </w:rPr>
              <w:t>能源</w:t>
            </w:r>
            <w:r>
              <w:rPr>
                <w:rFonts w:hint="eastAsia" w:ascii="宋体" w:hAnsi="宋体"/>
                <w:sz w:val="24"/>
              </w:rPr>
              <w:t>，</w:t>
            </w:r>
            <w:r>
              <w:rPr>
                <w:rFonts w:ascii="宋体" w:hAnsi="宋体"/>
                <w:sz w:val="24"/>
              </w:rPr>
              <w:t>从资源能源利用方面分析符合清洁生产要求</w:t>
            </w:r>
            <w:r>
              <w:rPr>
                <w:rFonts w:hint="eastAsia" w:ascii="宋体" w:hAnsi="宋体"/>
                <w:sz w:val="24"/>
              </w:rPr>
              <w:t>。</w:t>
            </w:r>
          </w:p>
          <w:p>
            <w:pPr>
              <w:spacing w:line="360" w:lineRule="auto"/>
              <w:ind w:firstLine="480"/>
              <w:rPr>
                <w:rFonts w:ascii="宋体" w:hAnsi="宋体"/>
                <w:sz w:val="24"/>
              </w:rPr>
            </w:pPr>
            <w:r>
              <w:rPr>
                <w:rFonts w:hint="eastAsia" w:ascii="宋体" w:hAnsi="宋体"/>
                <w:sz w:val="24"/>
              </w:rPr>
              <w:t>2）机电设备选型及电气节能</w:t>
            </w:r>
          </w:p>
          <w:p>
            <w:pPr>
              <w:spacing w:line="360" w:lineRule="auto"/>
              <w:ind w:firstLine="480"/>
              <w:rPr>
                <w:rFonts w:ascii="宋体" w:hAnsi="宋体"/>
                <w:sz w:val="24"/>
              </w:rPr>
            </w:pPr>
            <w:r>
              <w:rPr>
                <w:rFonts w:ascii="宋体" w:hAnsi="宋体"/>
                <w:sz w:val="24"/>
              </w:rPr>
              <w:t>本项目改建前采用高温氧化表面处理工艺</w:t>
            </w:r>
            <w:r>
              <w:rPr>
                <w:rFonts w:hint="eastAsia" w:ascii="宋体" w:hAnsi="宋体"/>
                <w:sz w:val="24"/>
              </w:rPr>
              <w:t>，</w:t>
            </w:r>
            <w:r>
              <w:rPr>
                <w:rFonts w:ascii="宋体" w:hAnsi="宋体"/>
                <w:sz w:val="24"/>
              </w:rPr>
              <w:t>使用的能源主要为电能</w:t>
            </w:r>
            <w:r>
              <w:rPr>
                <w:rFonts w:hint="eastAsia" w:ascii="宋体" w:hAnsi="宋体"/>
                <w:sz w:val="24"/>
              </w:rPr>
              <w:t>，</w:t>
            </w:r>
            <w:r>
              <w:rPr>
                <w:rFonts w:ascii="宋体" w:hAnsi="宋体"/>
                <w:sz w:val="24"/>
              </w:rPr>
              <w:t>根据业主提供资料</w:t>
            </w:r>
            <w:r>
              <w:rPr>
                <w:rFonts w:hint="eastAsia" w:ascii="宋体" w:hAnsi="宋体"/>
                <w:sz w:val="24"/>
              </w:rPr>
              <w:t>，</w:t>
            </w:r>
            <w:r>
              <w:rPr>
                <w:rFonts w:ascii="宋体" w:hAnsi="宋体"/>
                <w:sz w:val="24"/>
              </w:rPr>
              <w:t>原项目生产用电量约为40万Kw.h/年</w:t>
            </w:r>
            <w:r>
              <w:rPr>
                <w:rFonts w:hint="eastAsia" w:ascii="宋体" w:hAnsi="宋体"/>
                <w:sz w:val="24"/>
              </w:rPr>
              <w:t>，</w:t>
            </w:r>
            <w:r>
              <w:rPr>
                <w:rFonts w:ascii="宋体" w:hAnsi="宋体"/>
                <w:sz w:val="24"/>
              </w:rPr>
              <w:t>折合年耗能量</w:t>
            </w:r>
            <w:r>
              <w:rPr>
                <w:rFonts w:hint="eastAsia" w:ascii="宋体" w:hAnsi="宋体"/>
                <w:sz w:val="24"/>
              </w:rPr>
              <w:t>（吨标准煤）4</w:t>
            </w:r>
            <w:r>
              <w:rPr>
                <w:rFonts w:ascii="宋体" w:hAnsi="宋体"/>
                <w:sz w:val="24"/>
              </w:rPr>
              <w:t>9.16吨标准煤</w:t>
            </w:r>
            <w:r>
              <w:rPr>
                <w:rFonts w:hint="eastAsia" w:ascii="宋体" w:hAnsi="宋体"/>
                <w:sz w:val="24"/>
              </w:rPr>
              <w:t>。</w:t>
            </w:r>
            <w:r>
              <w:rPr>
                <w:rFonts w:ascii="宋体" w:hAnsi="宋体"/>
                <w:sz w:val="24"/>
              </w:rPr>
              <w:t>本项目选用机电设备等均选择节能指标先进</w:t>
            </w:r>
            <w:r>
              <w:rPr>
                <w:rFonts w:hint="eastAsia" w:ascii="宋体" w:hAnsi="宋体"/>
                <w:sz w:val="24"/>
              </w:rPr>
              <w:t>、</w:t>
            </w:r>
            <w:r>
              <w:rPr>
                <w:rFonts w:ascii="宋体" w:hAnsi="宋体"/>
                <w:sz w:val="24"/>
              </w:rPr>
              <w:t>低噪声设备</w:t>
            </w:r>
            <w:r>
              <w:rPr>
                <w:rFonts w:hint="eastAsia" w:ascii="宋体" w:hAnsi="宋体"/>
                <w:sz w:val="24"/>
              </w:rPr>
              <w:t>，</w:t>
            </w:r>
            <w:r>
              <w:rPr>
                <w:rFonts w:ascii="宋体" w:hAnsi="宋体"/>
                <w:sz w:val="24"/>
              </w:rPr>
              <w:t>建成后生产用电量约为28万Kw.h/年</w:t>
            </w:r>
            <w:r>
              <w:rPr>
                <w:rFonts w:hint="eastAsia" w:ascii="宋体" w:hAnsi="宋体"/>
                <w:sz w:val="24"/>
              </w:rPr>
              <w:t>，3</w:t>
            </w:r>
            <w:r>
              <w:rPr>
                <w:rFonts w:ascii="宋体" w:hAnsi="宋体"/>
                <w:sz w:val="24"/>
              </w:rPr>
              <w:t>4.4吨标准煤</w:t>
            </w:r>
            <w:r>
              <w:rPr>
                <w:rFonts w:hint="eastAsia" w:ascii="宋体" w:hAnsi="宋体"/>
                <w:sz w:val="24"/>
              </w:rPr>
              <w:t>，</w:t>
            </w:r>
            <w:r>
              <w:rPr>
                <w:rFonts w:ascii="宋体" w:hAnsi="宋体"/>
                <w:sz w:val="24"/>
              </w:rPr>
              <w:t>因此本项目的建设降低了电量的消耗</w:t>
            </w:r>
            <w:r>
              <w:rPr>
                <w:rFonts w:hint="eastAsia" w:ascii="宋体" w:hAnsi="宋体"/>
                <w:sz w:val="24"/>
              </w:rPr>
              <w:t>，减少的用电量为</w:t>
            </w:r>
            <w:r>
              <w:rPr>
                <w:rFonts w:ascii="宋体" w:hAnsi="宋体"/>
                <w:sz w:val="24"/>
              </w:rPr>
              <w:t>12万Kw.h/年</w:t>
            </w:r>
            <w:r>
              <w:rPr>
                <w:rFonts w:hint="eastAsia" w:ascii="宋体" w:hAnsi="宋体"/>
                <w:sz w:val="24"/>
              </w:rPr>
              <w:t>，减少了3</w:t>
            </w:r>
            <w:r>
              <w:rPr>
                <w:rFonts w:ascii="宋体" w:hAnsi="宋体"/>
                <w:sz w:val="24"/>
              </w:rPr>
              <w:t>0</w:t>
            </w:r>
            <w:r>
              <w:rPr>
                <w:rFonts w:hint="eastAsia" w:ascii="宋体" w:hAnsi="宋体"/>
                <w:sz w:val="24"/>
              </w:rPr>
              <w:t>%，</w:t>
            </w:r>
            <w:r>
              <w:rPr>
                <w:rFonts w:ascii="宋体" w:hAnsi="宋体"/>
                <w:sz w:val="24"/>
              </w:rPr>
              <w:t>折合</w:t>
            </w:r>
            <w:r>
              <w:rPr>
                <w:rFonts w:hint="eastAsia" w:ascii="宋体" w:hAnsi="宋体"/>
                <w:sz w:val="24"/>
              </w:rPr>
              <w:t>后</w:t>
            </w:r>
            <w:r>
              <w:rPr>
                <w:rFonts w:ascii="宋体" w:hAnsi="宋体"/>
                <w:sz w:val="24"/>
              </w:rPr>
              <w:t>减少年耗能量</w:t>
            </w:r>
            <w:r>
              <w:rPr>
                <w:rFonts w:hint="eastAsia" w:ascii="宋体" w:hAnsi="宋体"/>
                <w:sz w:val="24"/>
              </w:rPr>
              <w:t>（吨标准煤）1</w:t>
            </w:r>
            <w:r>
              <w:rPr>
                <w:rFonts w:ascii="宋体" w:hAnsi="宋体"/>
                <w:sz w:val="24"/>
              </w:rPr>
              <w:t>4.7吨标准煤</w:t>
            </w:r>
            <w:r>
              <w:rPr>
                <w:rFonts w:hint="eastAsia" w:ascii="宋体" w:hAnsi="宋体"/>
                <w:sz w:val="24"/>
              </w:rPr>
              <w:t>。</w:t>
            </w:r>
          </w:p>
          <w:p>
            <w:pPr>
              <w:spacing w:line="360" w:lineRule="auto"/>
              <w:ind w:firstLine="480"/>
              <w:rPr>
                <w:rFonts w:ascii="宋体" w:hAnsi="宋体"/>
                <w:sz w:val="24"/>
              </w:rPr>
            </w:pPr>
            <w:r>
              <w:rPr>
                <w:rFonts w:hint="eastAsia" w:ascii="宋体" w:hAnsi="宋体"/>
                <w:sz w:val="24"/>
              </w:rPr>
              <w:t>3）给排水系统节约资源措施</w:t>
            </w:r>
          </w:p>
          <w:p>
            <w:pPr>
              <w:spacing w:line="360" w:lineRule="auto"/>
              <w:ind w:firstLine="480"/>
              <w:rPr>
                <w:rFonts w:ascii="宋体" w:hAnsi="宋体"/>
                <w:sz w:val="24"/>
              </w:rPr>
            </w:pPr>
            <w:r>
              <w:rPr>
                <w:rFonts w:ascii="宋体" w:hAnsi="宋体"/>
                <w:sz w:val="24"/>
              </w:rPr>
              <w:t>本项目建成后不新增劳动定员</w:t>
            </w:r>
            <w:r>
              <w:rPr>
                <w:rFonts w:hint="eastAsia" w:ascii="宋体" w:hAnsi="宋体"/>
                <w:sz w:val="24"/>
              </w:rPr>
              <w:t>，</w:t>
            </w:r>
            <w:r>
              <w:rPr>
                <w:rFonts w:ascii="宋体" w:hAnsi="宋体"/>
                <w:sz w:val="24"/>
              </w:rPr>
              <w:t>因此无新增生活污水</w:t>
            </w:r>
            <w:r>
              <w:rPr>
                <w:rFonts w:hint="eastAsia" w:ascii="宋体" w:hAnsi="宋体"/>
                <w:sz w:val="24"/>
              </w:rPr>
              <w:t>。</w:t>
            </w:r>
            <w:r>
              <w:rPr>
                <w:rFonts w:ascii="宋体" w:hAnsi="宋体"/>
                <w:sz w:val="24"/>
              </w:rPr>
              <w:t>故本项目运营过程中主要产生生产</w:t>
            </w:r>
            <w:r>
              <w:rPr>
                <w:rFonts w:hint="eastAsia" w:ascii="宋体" w:hAnsi="宋体"/>
                <w:sz w:val="24"/>
              </w:rPr>
              <w:t>废水。项目氧化清洗废水由于含盐量高而采用过滤、蒸馏浓缩回收固体盐后对蒸馏的水蒸气进行冷却后作为第一级清洗补充水使用，不外排；工件抛光清洗废水收集后作为磨具冷却水使用，不外排；喷淋废水经调p</w:t>
            </w:r>
            <w:r>
              <w:rPr>
                <w:rFonts w:ascii="宋体" w:hAnsi="宋体"/>
                <w:sz w:val="24"/>
              </w:rPr>
              <w:t>H后循环使用</w:t>
            </w:r>
            <w:r>
              <w:rPr>
                <w:rFonts w:hint="eastAsia" w:ascii="宋体" w:hAnsi="宋体"/>
                <w:sz w:val="24"/>
              </w:rPr>
              <w:t>，</w:t>
            </w:r>
            <w:r>
              <w:rPr>
                <w:rFonts w:ascii="宋体" w:hAnsi="宋体"/>
                <w:sz w:val="24"/>
              </w:rPr>
              <w:t>不外排</w:t>
            </w:r>
            <w:r>
              <w:rPr>
                <w:rFonts w:hint="eastAsia" w:ascii="宋体" w:hAnsi="宋体"/>
                <w:sz w:val="24"/>
              </w:rPr>
              <w:t>。本项目建成后提高了生产废水的回用率，无生产废水外排。</w:t>
            </w:r>
          </w:p>
          <w:p>
            <w:pPr>
              <w:spacing w:line="360" w:lineRule="auto"/>
              <w:ind w:firstLine="562" w:firstLineChars="200"/>
              <w:rPr>
                <w:rFonts w:ascii="宋体" w:hAnsi="宋体" w:cs="宋体"/>
                <w:b/>
                <w:bCs/>
                <w:sz w:val="28"/>
              </w:rPr>
            </w:pPr>
            <w:r>
              <w:rPr>
                <w:rFonts w:ascii="宋体" w:hAnsi="宋体" w:cs="宋体"/>
                <w:b/>
                <w:bCs/>
                <w:sz w:val="28"/>
              </w:rPr>
              <w:t>6</w:t>
            </w:r>
            <w:r>
              <w:rPr>
                <w:rFonts w:hint="eastAsia" w:ascii="宋体" w:hAnsi="宋体" w:cs="宋体"/>
                <w:b/>
                <w:bCs/>
                <w:sz w:val="28"/>
              </w:rPr>
              <w:t>、风险分析</w:t>
            </w:r>
          </w:p>
          <w:p>
            <w:pPr>
              <w:autoSpaceDE w:val="0"/>
              <w:autoSpaceDN w:val="0"/>
              <w:adjustRightInd w:val="0"/>
              <w:spacing w:line="360" w:lineRule="auto"/>
              <w:ind w:firstLine="480" w:firstLineChars="200"/>
              <w:rPr>
                <w:rFonts w:ascii="宋体" w:hAnsi="宋体"/>
                <w:kern w:val="0"/>
                <w:sz w:val="24"/>
              </w:rPr>
            </w:pPr>
            <w:r>
              <w:rPr>
                <w:rFonts w:hint="eastAsia" w:ascii="宋体" w:hAnsi="宋体"/>
                <w:kern w:val="0"/>
                <w:sz w:val="24"/>
              </w:rPr>
              <w:t>本项目为提高铸铁锅表面防锈性能技术改造升级项目，原辅料包括优质原生铁、氮化盐、调整盐、氧化盐等，项目运营过程中产生的污染物主要包括含氨废气、粉尘、噪声、固废等。因此本项目运营期可能存在突发事件，以及由此引起的有毒有害和易燃易爆物质的泄露，造成对人身的损害和对环境的污染。下面根据《建设项目环境风险评价技术导则》（HJ/T169-20</w:t>
            </w:r>
            <w:r>
              <w:rPr>
                <w:rFonts w:ascii="宋体" w:hAnsi="宋体"/>
                <w:kern w:val="0"/>
                <w:sz w:val="24"/>
              </w:rPr>
              <w:t>18</w:t>
            </w:r>
            <w:r>
              <w:rPr>
                <w:rFonts w:hint="eastAsia" w:ascii="宋体" w:hAnsi="宋体"/>
                <w:kern w:val="0"/>
                <w:sz w:val="24"/>
              </w:rPr>
              <w:t>）对项目风险进行评价。</w:t>
            </w:r>
          </w:p>
          <w:p>
            <w:pPr>
              <w:autoSpaceDE w:val="0"/>
              <w:autoSpaceDN w:val="0"/>
              <w:adjustRightInd w:val="0"/>
              <w:spacing w:line="360" w:lineRule="auto"/>
              <w:ind w:firstLine="482" w:firstLineChars="200"/>
              <w:rPr>
                <w:rFonts w:ascii="宋体" w:hAnsi="宋体"/>
                <w:b/>
                <w:kern w:val="0"/>
                <w:sz w:val="24"/>
              </w:rPr>
            </w:pPr>
            <w:r>
              <w:rPr>
                <w:rFonts w:hint="eastAsia" w:ascii="宋体" w:hAnsi="宋体"/>
                <w:b/>
                <w:kern w:val="0"/>
                <w:sz w:val="24"/>
              </w:rPr>
              <w:t>1）评价依据</w:t>
            </w:r>
          </w:p>
          <w:p>
            <w:pPr>
              <w:spacing w:line="360" w:lineRule="auto"/>
              <w:ind w:firstLine="480" w:firstLineChars="200"/>
              <w:rPr>
                <w:sz w:val="24"/>
              </w:rPr>
            </w:pPr>
            <w:r>
              <w:rPr>
                <w:rFonts w:hint="eastAsia"/>
                <w:sz w:val="24"/>
              </w:rPr>
              <w:t>（1）风险调查</w:t>
            </w:r>
          </w:p>
          <w:p>
            <w:pPr>
              <w:spacing w:line="360" w:lineRule="auto"/>
              <w:ind w:firstLine="480" w:firstLineChars="200"/>
              <w:rPr>
                <w:rFonts w:ascii="宋体" w:hAnsi="宋体"/>
                <w:kern w:val="0"/>
                <w:sz w:val="24"/>
              </w:rPr>
            </w:pPr>
            <w:r>
              <w:rPr>
                <w:rFonts w:hint="eastAsia" w:ascii="宋体" w:hAnsi="宋体"/>
                <w:kern w:val="0"/>
                <w:sz w:val="24"/>
              </w:rPr>
              <w:t>本项目为提高铸铁锅表面防锈性能技术改造升级项目，项目外购优质原生铁、氮化盐、调整盐、氧化盐等原辅料，通过熔化、压铸、表面磨削、盐浴氮化、盐浴氧化、清洗、抛光等工序生产铸铁锅。盐浴氮化过程三聚氰胺与碳酸盐发生反应生成氰化盐、氨气、碳酸盐、</w:t>
            </w:r>
            <w:r>
              <w:rPr>
                <w:rFonts w:ascii="宋体" w:hAnsi="宋体"/>
                <w:kern w:val="0"/>
                <w:sz w:val="24"/>
              </w:rPr>
              <w:t>二氧化碳</w:t>
            </w:r>
            <w:r>
              <w:rPr>
                <w:rFonts w:hint="eastAsia" w:ascii="宋体" w:hAnsi="宋体"/>
                <w:kern w:val="0"/>
                <w:sz w:val="24"/>
              </w:rPr>
              <w:t>、</w:t>
            </w:r>
            <w:r>
              <w:rPr>
                <w:rFonts w:ascii="宋体" w:hAnsi="宋体"/>
                <w:kern w:val="0"/>
                <w:sz w:val="24"/>
              </w:rPr>
              <w:t>一氧化碳</w:t>
            </w:r>
            <w:r>
              <w:rPr>
                <w:rFonts w:hint="eastAsia" w:ascii="宋体" w:hAnsi="宋体"/>
                <w:kern w:val="0"/>
                <w:sz w:val="24"/>
              </w:rPr>
              <w:t>，盐浴氧化过程会产生碳酸盐、氧化钠、氮气、氧气等，</w:t>
            </w:r>
            <w:r>
              <w:rPr>
                <w:rFonts w:hint="eastAsia"/>
                <w:sz w:val="24"/>
              </w:rPr>
              <w:t>因此，项目的风险物质为：氰化钠、氰化钾一氧化碳、氨气以及检修过程产生的检修废油。风险区域主要集中在生产区以及废气处理区域、机修间、危废暂存间。</w:t>
            </w:r>
          </w:p>
          <w:p>
            <w:pPr>
              <w:spacing w:line="360" w:lineRule="auto"/>
              <w:ind w:firstLine="480" w:firstLineChars="200"/>
              <w:rPr>
                <w:sz w:val="24"/>
              </w:rPr>
            </w:pPr>
            <w:r>
              <w:rPr>
                <w:rFonts w:hint="eastAsia"/>
                <w:sz w:val="24"/>
              </w:rPr>
              <w:t>项目设置3台氮化炉，2台氧化炉，初始氮化炉内氮化盐的加入量约为1</w:t>
            </w:r>
            <w:r>
              <w:rPr>
                <w:sz w:val="24"/>
              </w:rPr>
              <w:t>t</w:t>
            </w:r>
            <w:r>
              <w:rPr>
                <w:rFonts w:hint="eastAsia"/>
                <w:sz w:val="24"/>
              </w:rPr>
              <w:t>以及一定量的三聚氰胺，在生产过程中随着工件带走氮化炉内的盐，需要添加氮化盐以及三聚氰胺以提高盐浴液面以及补充氰酸根，本次风险评价中氰化物最大存在量按氮化盐初始加入量反应完全时产生的氰化物计算。故本项目生产过程中氰酸钾最大存在量为0</w:t>
            </w:r>
            <w:r>
              <w:rPr>
                <w:sz w:val="24"/>
              </w:rPr>
              <w:t>.076kg</w:t>
            </w:r>
            <w:r>
              <w:rPr>
                <w:rFonts w:hint="eastAsia"/>
                <w:sz w:val="24"/>
              </w:rPr>
              <w:t>，</w:t>
            </w:r>
            <w:r>
              <w:rPr>
                <w:sz w:val="24"/>
              </w:rPr>
              <w:t>氰化</w:t>
            </w:r>
            <w:r>
              <w:rPr>
                <w:rFonts w:hint="eastAsia"/>
                <w:sz w:val="24"/>
              </w:rPr>
              <w:t>钾</w:t>
            </w:r>
            <w:r>
              <w:rPr>
                <w:sz w:val="24"/>
              </w:rPr>
              <w:t>最大存在量为</w:t>
            </w:r>
            <w:r>
              <w:rPr>
                <w:rFonts w:hint="eastAsia"/>
                <w:sz w:val="24"/>
              </w:rPr>
              <w:t>1</w:t>
            </w:r>
            <w:r>
              <w:rPr>
                <w:sz w:val="24"/>
              </w:rPr>
              <w:t>06kg</w:t>
            </w:r>
            <w:r>
              <w:rPr>
                <w:rFonts w:hint="eastAsia"/>
                <w:sz w:val="24"/>
              </w:rPr>
              <w:t>，</w:t>
            </w:r>
            <w:r>
              <w:rPr>
                <w:sz w:val="24"/>
              </w:rPr>
              <w:t>氰化钠最大存在量</w:t>
            </w:r>
            <w:r>
              <w:rPr>
                <w:rFonts w:hint="eastAsia"/>
                <w:sz w:val="24"/>
              </w:rPr>
              <w:t>1</w:t>
            </w:r>
            <w:r>
              <w:rPr>
                <w:sz w:val="24"/>
              </w:rPr>
              <w:t>27kg</w:t>
            </w:r>
            <w:r>
              <w:rPr>
                <w:rFonts w:hint="eastAsia"/>
                <w:sz w:val="24"/>
              </w:rPr>
              <w:t>，一氧化碳的最大存在量为</w:t>
            </w:r>
            <w:r>
              <w:rPr>
                <w:sz w:val="24"/>
              </w:rPr>
              <w:t>0.18kg</w:t>
            </w:r>
            <w:r>
              <w:rPr>
                <w:rFonts w:hint="eastAsia"/>
                <w:sz w:val="24"/>
              </w:rPr>
              <w:t>，</w:t>
            </w:r>
            <w:r>
              <w:rPr>
                <w:sz w:val="24"/>
              </w:rPr>
              <w:t>氨气的最大存在量为</w:t>
            </w:r>
            <w:r>
              <w:rPr>
                <w:rFonts w:hint="eastAsia"/>
                <w:sz w:val="24"/>
              </w:rPr>
              <w:t>0</w:t>
            </w:r>
            <w:r>
              <w:rPr>
                <w:sz w:val="24"/>
              </w:rPr>
              <w:t>.022kg</w:t>
            </w:r>
            <w:r>
              <w:rPr>
                <w:rFonts w:hint="eastAsia"/>
                <w:sz w:val="24"/>
              </w:rPr>
              <w:t>，</w:t>
            </w:r>
            <w:r>
              <w:rPr>
                <w:sz w:val="24"/>
              </w:rPr>
              <w:t>检修废油产生量为</w:t>
            </w:r>
            <w:r>
              <w:rPr>
                <w:rFonts w:hint="eastAsia"/>
                <w:sz w:val="24"/>
              </w:rPr>
              <w:t>0</w:t>
            </w:r>
            <w:r>
              <w:rPr>
                <w:sz w:val="24"/>
              </w:rPr>
              <w:t>.06t/a</w:t>
            </w:r>
            <w:r>
              <w:rPr>
                <w:rFonts w:hint="eastAsia"/>
                <w:sz w:val="24"/>
              </w:rPr>
              <w:t>。</w:t>
            </w:r>
          </w:p>
          <w:p>
            <w:pPr>
              <w:spacing w:line="360" w:lineRule="auto"/>
              <w:ind w:firstLine="480" w:firstLineChars="200"/>
              <w:rPr>
                <w:iCs/>
                <w:sz w:val="24"/>
              </w:rPr>
            </w:pPr>
            <w:r>
              <w:rPr>
                <w:rFonts w:hint="eastAsia"/>
                <w:iCs/>
                <w:sz w:val="24"/>
              </w:rPr>
              <w:t>（2）环境风险潜势初判</w:t>
            </w:r>
          </w:p>
          <w:p>
            <w:pPr>
              <w:spacing w:line="360" w:lineRule="auto"/>
              <w:ind w:firstLine="480" w:firstLineChars="200"/>
              <w:rPr>
                <w:iCs/>
                <w:sz w:val="24"/>
              </w:rPr>
            </w:pPr>
            <w:r>
              <w:rPr>
                <w:iCs/>
                <w:sz w:val="24"/>
              </w:rPr>
              <w:t>根据</w:t>
            </w:r>
            <w:r>
              <w:rPr>
                <w:rFonts w:hint="eastAsia"/>
                <w:iCs/>
                <w:sz w:val="24"/>
              </w:rPr>
              <w:t>《建设项目环境风险评价技术导则》（H</w:t>
            </w:r>
            <w:r>
              <w:rPr>
                <w:iCs/>
                <w:sz w:val="24"/>
              </w:rPr>
              <w:t>J169-2018</w:t>
            </w:r>
            <w:r>
              <w:rPr>
                <w:rFonts w:hint="eastAsia"/>
                <w:iCs/>
                <w:sz w:val="24"/>
              </w:rPr>
              <w:t>）计算所涉及的每种危险物质在厂界内的最大存在总量与其在附录B中对应临界量的比值Q。当只涉及一种危险物质时，计算该物质的总量与其临界量比值，即为Q；当存在多种危险物质时，则按以下公式计算物质总量与其临界量的比值Q：</w:t>
            </w:r>
          </w:p>
          <w:p>
            <w:pPr>
              <w:spacing w:line="360" w:lineRule="auto"/>
              <w:ind w:firstLine="420" w:firstLineChars="200"/>
              <w:jc w:val="center"/>
            </w:pPr>
            <w:r>
              <w:drawing>
                <wp:inline distT="0" distB="0" distL="0" distR="0">
                  <wp:extent cx="1837690" cy="474345"/>
                  <wp:effectExtent l="19050" t="0" r="0" b="0"/>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noChangeArrowheads="1"/>
                          </pic:cNvPicPr>
                        </pic:nvPicPr>
                        <pic:blipFill>
                          <a:blip r:embed="rId21"/>
                          <a:srcRect/>
                          <a:stretch>
                            <a:fillRect/>
                          </a:stretch>
                        </pic:blipFill>
                        <pic:spPr>
                          <a:xfrm>
                            <a:off x="0" y="0"/>
                            <a:ext cx="1837690" cy="474345"/>
                          </a:xfrm>
                          <a:prstGeom prst="rect">
                            <a:avLst/>
                          </a:prstGeom>
                          <a:noFill/>
                          <a:ln w="9525">
                            <a:noFill/>
                            <a:miter lim="800000"/>
                            <a:headEnd/>
                            <a:tailEnd/>
                          </a:ln>
                        </pic:spPr>
                      </pic:pic>
                    </a:graphicData>
                  </a:graphic>
                </wp:inline>
              </w:drawing>
            </w:r>
          </w:p>
          <w:p>
            <w:pPr>
              <w:spacing w:line="360" w:lineRule="auto"/>
              <w:ind w:firstLine="480" w:firstLineChars="200"/>
              <w:rPr>
                <w:iCs/>
                <w:sz w:val="24"/>
              </w:rPr>
            </w:pPr>
            <w:r>
              <w:rPr>
                <w:rFonts w:hint="eastAsia"/>
                <w:iCs/>
                <w:sz w:val="24"/>
              </w:rPr>
              <w:t>式中：q</w:t>
            </w:r>
            <w:r>
              <w:rPr>
                <w:iCs/>
                <w:sz w:val="24"/>
              </w:rPr>
              <w:t>1</w:t>
            </w:r>
            <w:r>
              <w:rPr>
                <w:rFonts w:hint="eastAsia"/>
                <w:iCs/>
                <w:sz w:val="24"/>
              </w:rPr>
              <w:t>、q</w:t>
            </w:r>
            <w:r>
              <w:rPr>
                <w:iCs/>
                <w:sz w:val="24"/>
              </w:rPr>
              <w:t>2</w:t>
            </w:r>
            <w:r>
              <w:rPr>
                <w:rFonts w:hint="eastAsia"/>
                <w:iCs/>
                <w:sz w:val="24"/>
              </w:rPr>
              <w:t>、</w:t>
            </w:r>
            <w:r>
              <w:rPr>
                <w:iCs/>
                <w:sz w:val="24"/>
              </w:rPr>
              <w:t>…qn</w:t>
            </w:r>
            <w:r>
              <w:rPr>
                <w:rFonts w:hint="eastAsia"/>
                <w:iCs/>
                <w:sz w:val="24"/>
              </w:rPr>
              <w:t>——</w:t>
            </w:r>
            <w:r>
              <w:rPr>
                <w:iCs/>
                <w:sz w:val="24"/>
              </w:rPr>
              <w:t>每种无限物质的最大存在总量</w:t>
            </w:r>
            <w:r>
              <w:rPr>
                <w:rFonts w:hint="eastAsia"/>
                <w:iCs/>
                <w:sz w:val="24"/>
              </w:rPr>
              <w:t>，t；</w:t>
            </w:r>
          </w:p>
          <w:p>
            <w:pPr>
              <w:spacing w:line="360" w:lineRule="auto"/>
              <w:ind w:firstLine="480" w:firstLineChars="200"/>
              <w:rPr>
                <w:iCs/>
                <w:sz w:val="24"/>
              </w:rPr>
            </w:pPr>
            <w:r>
              <w:rPr>
                <w:rFonts w:hint="eastAsia"/>
                <w:iCs/>
                <w:sz w:val="24"/>
              </w:rPr>
              <w:t xml:space="preserve"> </w:t>
            </w:r>
            <w:r>
              <w:rPr>
                <w:iCs/>
                <w:sz w:val="24"/>
              </w:rPr>
              <w:t xml:space="preserve">     Q1</w:t>
            </w:r>
            <w:r>
              <w:rPr>
                <w:rFonts w:hint="eastAsia"/>
                <w:iCs/>
                <w:sz w:val="24"/>
              </w:rPr>
              <w:t>、Q</w:t>
            </w:r>
            <w:r>
              <w:rPr>
                <w:iCs/>
                <w:sz w:val="24"/>
              </w:rPr>
              <w:t>2</w:t>
            </w:r>
            <w:r>
              <w:rPr>
                <w:rFonts w:hint="eastAsia"/>
                <w:iCs/>
                <w:sz w:val="24"/>
              </w:rPr>
              <w:t>、</w:t>
            </w:r>
            <w:r>
              <w:rPr>
                <w:iCs/>
                <w:sz w:val="24"/>
              </w:rPr>
              <w:t>…Qn</w:t>
            </w:r>
            <w:r>
              <w:rPr>
                <w:rFonts w:hint="eastAsia"/>
                <w:iCs/>
                <w:sz w:val="24"/>
              </w:rPr>
              <w:t>——</w:t>
            </w:r>
            <w:r>
              <w:rPr>
                <w:iCs/>
                <w:sz w:val="24"/>
              </w:rPr>
              <w:t>每种危险物质的临界量</w:t>
            </w:r>
            <w:r>
              <w:rPr>
                <w:rFonts w:hint="eastAsia"/>
                <w:iCs/>
                <w:sz w:val="24"/>
              </w:rPr>
              <w:t>，t。</w:t>
            </w:r>
          </w:p>
          <w:p>
            <w:pPr>
              <w:spacing w:line="360" w:lineRule="auto"/>
              <w:ind w:firstLine="480" w:firstLineChars="200"/>
              <w:rPr>
                <w:rFonts w:ascii="宋体" w:hAnsi="宋体"/>
                <w:iCs/>
                <w:sz w:val="24"/>
              </w:rPr>
            </w:pPr>
            <w:r>
              <w:rPr>
                <w:iCs/>
                <w:sz w:val="24"/>
              </w:rPr>
              <w:t>当</w:t>
            </w:r>
            <w:r>
              <w:rPr>
                <w:rFonts w:hint="eastAsia"/>
                <w:iCs/>
                <w:sz w:val="24"/>
              </w:rPr>
              <w:t>Q</w:t>
            </w:r>
            <w:r>
              <w:rPr>
                <w:iCs/>
                <w:sz w:val="24"/>
              </w:rPr>
              <w:t>&lt;1时</w:t>
            </w:r>
            <w:r>
              <w:rPr>
                <w:rFonts w:hint="eastAsia"/>
                <w:iCs/>
                <w:sz w:val="24"/>
              </w:rPr>
              <w:t>，</w:t>
            </w:r>
            <w:r>
              <w:rPr>
                <w:iCs/>
                <w:sz w:val="24"/>
              </w:rPr>
              <w:t>该项目环境风险潜势为</w:t>
            </w:r>
            <w:r>
              <w:rPr>
                <w:rFonts w:ascii="宋体" w:hAnsi="宋体"/>
                <w:iCs/>
                <w:sz w:val="24"/>
              </w:rPr>
              <w:t>Ⅰ</w:t>
            </w:r>
            <w:r>
              <w:rPr>
                <w:rFonts w:hint="eastAsia" w:ascii="宋体" w:hAnsi="宋体"/>
                <w:iCs/>
                <w:sz w:val="24"/>
              </w:rPr>
              <w:t>；</w:t>
            </w:r>
          </w:p>
          <w:p>
            <w:pPr>
              <w:spacing w:line="360" w:lineRule="auto"/>
              <w:ind w:firstLine="480" w:firstLineChars="200"/>
              <w:rPr>
                <w:iCs/>
                <w:sz w:val="24"/>
              </w:rPr>
            </w:pPr>
            <w:r>
              <w:rPr>
                <w:rFonts w:ascii="宋体" w:hAnsi="宋体"/>
                <w:iCs/>
                <w:sz w:val="24"/>
              </w:rPr>
              <w:t>当</w:t>
            </w:r>
            <w:r>
              <w:rPr>
                <w:rFonts w:hint="eastAsia" w:ascii="宋体" w:hAnsi="宋体"/>
                <w:iCs/>
                <w:sz w:val="24"/>
              </w:rPr>
              <w:t>Q≥</w:t>
            </w:r>
            <w:r>
              <w:rPr>
                <w:rFonts w:ascii="宋体" w:hAnsi="宋体"/>
                <w:iCs/>
                <w:sz w:val="24"/>
              </w:rPr>
              <w:t>1时</w:t>
            </w:r>
            <w:r>
              <w:rPr>
                <w:rFonts w:hint="eastAsia" w:ascii="宋体" w:hAnsi="宋体"/>
                <w:iCs/>
                <w:sz w:val="24"/>
              </w:rPr>
              <w:t>，</w:t>
            </w:r>
            <w:r>
              <w:rPr>
                <w:rFonts w:ascii="宋体" w:hAnsi="宋体"/>
                <w:iCs/>
                <w:sz w:val="24"/>
              </w:rPr>
              <w:t>将</w:t>
            </w:r>
            <w:r>
              <w:rPr>
                <w:rFonts w:hint="eastAsia" w:ascii="宋体" w:hAnsi="宋体"/>
                <w:iCs/>
                <w:sz w:val="24"/>
              </w:rPr>
              <w:t>Q值划分为：（1）1≤Q</w:t>
            </w:r>
            <w:r>
              <w:rPr>
                <w:rFonts w:ascii="宋体" w:hAnsi="宋体"/>
                <w:iCs/>
                <w:sz w:val="24"/>
              </w:rPr>
              <w:t>&lt;10</w:t>
            </w:r>
            <w:r>
              <w:rPr>
                <w:rFonts w:hint="eastAsia" w:ascii="宋体" w:hAnsi="宋体"/>
                <w:iCs/>
                <w:sz w:val="24"/>
              </w:rPr>
              <w:t>；（2）1</w:t>
            </w:r>
            <w:r>
              <w:rPr>
                <w:rFonts w:ascii="宋体" w:hAnsi="宋体"/>
                <w:iCs/>
                <w:sz w:val="24"/>
              </w:rPr>
              <w:t>0</w:t>
            </w:r>
            <w:r>
              <w:rPr>
                <w:rFonts w:hint="eastAsia" w:ascii="宋体" w:hAnsi="宋体"/>
                <w:iCs/>
                <w:sz w:val="24"/>
              </w:rPr>
              <w:t>≤Q</w:t>
            </w:r>
            <w:r>
              <w:rPr>
                <w:rFonts w:ascii="宋体" w:hAnsi="宋体"/>
                <w:iCs/>
                <w:sz w:val="24"/>
              </w:rPr>
              <w:t>&lt;100</w:t>
            </w:r>
            <w:r>
              <w:rPr>
                <w:rFonts w:hint="eastAsia" w:ascii="宋体" w:hAnsi="宋体"/>
                <w:iCs/>
                <w:sz w:val="24"/>
              </w:rPr>
              <w:t>；（3）</w:t>
            </w:r>
            <w:r>
              <w:rPr>
                <w:rFonts w:ascii="宋体" w:hAnsi="宋体"/>
                <w:iCs/>
                <w:sz w:val="24"/>
              </w:rPr>
              <w:t>Q</w:t>
            </w:r>
            <w:r>
              <w:rPr>
                <w:rFonts w:hint="eastAsia" w:ascii="宋体" w:hAnsi="宋体"/>
                <w:iCs/>
                <w:sz w:val="24"/>
              </w:rPr>
              <w:t>≥1</w:t>
            </w:r>
            <w:r>
              <w:rPr>
                <w:rFonts w:ascii="宋体" w:hAnsi="宋体"/>
                <w:iCs/>
                <w:sz w:val="24"/>
              </w:rPr>
              <w:t>00.</w:t>
            </w:r>
          </w:p>
          <w:p>
            <w:pPr>
              <w:spacing w:line="360" w:lineRule="auto"/>
              <w:ind w:firstLine="480" w:firstLineChars="200"/>
              <w:rPr>
                <w:iCs/>
                <w:sz w:val="24"/>
              </w:rPr>
            </w:pPr>
            <w:r>
              <w:rPr>
                <w:rFonts w:hint="eastAsia"/>
                <w:iCs/>
                <w:sz w:val="24"/>
              </w:rPr>
              <w:t>本项目运营期环境风险物质为氰化钾、氰化钠、一氧化碳、氨气、检修废油，Q值情况如下表所示：</w:t>
            </w:r>
          </w:p>
          <w:p>
            <w:pPr>
              <w:pStyle w:val="21"/>
              <w:ind w:firstLine="480"/>
              <w:jc w:val="center"/>
              <w:rPr>
                <w:rFonts w:ascii="黑体" w:hAnsi="黑体" w:eastAsia="黑体"/>
              </w:rPr>
            </w:pPr>
            <w:r>
              <w:rPr>
                <w:rFonts w:hint="eastAsia" w:ascii="黑体" w:hAnsi="黑体" w:eastAsia="黑体"/>
              </w:rPr>
              <w:t>表7-</w:t>
            </w:r>
            <w:r>
              <w:rPr>
                <w:rFonts w:ascii="黑体" w:hAnsi="黑体" w:eastAsia="黑体"/>
              </w:rPr>
              <w:t>7</w:t>
            </w:r>
            <w:r>
              <w:rPr>
                <w:rFonts w:hint="eastAsia" w:ascii="黑体" w:hAnsi="黑体" w:eastAsia="黑体"/>
              </w:rPr>
              <w:t xml:space="preserve">   项目Q值确定表</w:t>
            </w:r>
          </w:p>
          <w:tbl>
            <w:tblPr>
              <w:tblStyle w:val="53"/>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895"/>
              <w:gridCol w:w="1521"/>
              <w:gridCol w:w="1522"/>
              <w:gridCol w:w="1522"/>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vAlign w:val="center"/>
                </w:tcPr>
                <w:p>
                  <w:pPr>
                    <w:spacing w:line="300" w:lineRule="exact"/>
                    <w:jc w:val="center"/>
                    <w:rPr>
                      <w:iCs/>
                      <w:szCs w:val="21"/>
                    </w:rPr>
                  </w:pPr>
                  <w:r>
                    <w:rPr>
                      <w:rFonts w:hint="eastAsia"/>
                      <w:iCs/>
                      <w:szCs w:val="21"/>
                    </w:rPr>
                    <w:t>序号</w:t>
                  </w:r>
                </w:p>
              </w:tc>
              <w:tc>
                <w:tcPr>
                  <w:tcW w:w="1895" w:type="dxa"/>
                  <w:vAlign w:val="center"/>
                </w:tcPr>
                <w:p>
                  <w:pPr>
                    <w:spacing w:line="300" w:lineRule="exact"/>
                    <w:jc w:val="center"/>
                    <w:rPr>
                      <w:iCs/>
                      <w:szCs w:val="21"/>
                    </w:rPr>
                  </w:pPr>
                  <w:r>
                    <w:rPr>
                      <w:rFonts w:hint="eastAsia"/>
                      <w:iCs/>
                      <w:szCs w:val="21"/>
                    </w:rPr>
                    <w:t>危险物质名称</w:t>
                  </w:r>
                </w:p>
              </w:tc>
              <w:tc>
                <w:tcPr>
                  <w:tcW w:w="1521" w:type="dxa"/>
                  <w:vAlign w:val="center"/>
                </w:tcPr>
                <w:p>
                  <w:pPr>
                    <w:spacing w:line="300" w:lineRule="exact"/>
                    <w:jc w:val="center"/>
                    <w:rPr>
                      <w:iCs/>
                      <w:szCs w:val="21"/>
                    </w:rPr>
                  </w:pPr>
                  <w:r>
                    <w:rPr>
                      <w:rFonts w:hint="eastAsia"/>
                      <w:iCs/>
                      <w:szCs w:val="21"/>
                    </w:rPr>
                    <w:t>CAS号</w:t>
                  </w:r>
                </w:p>
              </w:tc>
              <w:tc>
                <w:tcPr>
                  <w:tcW w:w="1522" w:type="dxa"/>
                  <w:vAlign w:val="center"/>
                </w:tcPr>
                <w:p>
                  <w:pPr>
                    <w:spacing w:line="300" w:lineRule="exact"/>
                    <w:jc w:val="center"/>
                    <w:rPr>
                      <w:iCs/>
                      <w:szCs w:val="21"/>
                    </w:rPr>
                  </w:pPr>
                  <w:r>
                    <w:rPr>
                      <w:rFonts w:hint="eastAsia"/>
                      <w:iCs/>
                      <w:szCs w:val="21"/>
                    </w:rPr>
                    <w:t>最大存在总量q</w:t>
                  </w:r>
                  <w:r>
                    <w:rPr>
                      <w:rFonts w:hint="eastAsia"/>
                      <w:iCs/>
                      <w:szCs w:val="21"/>
                      <w:vertAlign w:val="subscript"/>
                    </w:rPr>
                    <w:t>n</w:t>
                  </w:r>
                  <w:r>
                    <w:rPr>
                      <w:rFonts w:hint="eastAsia"/>
                      <w:iCs/>
                      <w:szCs w:val="21"/>
                    </w:rPr>
                    <w:t>/t</w:t>
                  </w:r>
                </w:p>
              </w:tc>
              <w:tc>
                <w:tcPr>
                  <w:tcW w:w="1522" w:type="dxa"/>
                  <w:vAlign w:val="center"/>
                </w:tcPr>
                <w:p>
                  <w:pPr>
                    <w:spacing w:line="300" w:lineRule="exact"/>
                    <w:jc w:val="center"/>
                    <w:rPr>
                      <w:iCs/>
                      <w:szCs w:val="21"/>
                    </w:rPr>
                  </w:pPr>
                  <w:r>
                    <w:rPr>
                      <w:rFonts w:hint="eastAsia"/>
                      <w:iCs/>
                      <w:szCs w:val="21"/>
                    </w:rPr>
                    <w:t>临界量Q</w:t>
                  </w:r>
                  <w:r>
                    <w:rPr>
                      <w:rFonts w:hint="eastAsia"/>
                      <w:iCs/>
                      <w:szCs w:val="21"/>
                      <w:vertAlign w:val="subscript"/>
                    </w:rPr>
                    <w:t>n</w:t>
                  </w:r>
                  <w:r>
                    <w:rPr>
                      <w:rFonts w:hint="eastAsia"/>
                      <w:iCs/>
                      <w:szCs w:val="21"/>
                    </w:rPr>
                    <w:t>/t</w:t>
                  </w:r>
                </w:p>
              </w:tc>
              <w:tc>
                <w:tcPr>
                  <w:tcW w:w="1522" w:type="dxa"/>
                  <w:vAlign w:val="center"/>
                </w:tcPr>
                <w:p>
                  <w:pPr>
                    <w:spacing w:line="300" w:lineRule="exact"/>
                    <w:jc w:val="center"/>
                    <w:rPr>
                      <w:iCs/>
                      <w:szCs w:val="21"/>
                    </w:rPr>
                  </w:pPr>
                  <w:r>
                    <w:rPr>
                      <w:rFonts w:hint="eastAsia"/>
                      <w:iCs/>
                      <w:szCs w:val="21"/>
                    </w:rPr>
                    <w:t>该种危险物质Q值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vAlign w:val="center"/>
                </w:tcPr>
                <w:p>
                  <w:pPr>
                    <w:spacing w:line="300" w:lineRule="exact"/>
                    <w:jc w:val="center"/>
                    <w:rPr>
                      <w:iCs/>
                      <w:szCs w:val="21"/>
                    </w:rPr>
                  </w:pPr>
                  <w:r>
                    <w:rPr>
                      <w:iCs/>
                      <w:szCs w:val="21"/>
                    </w:rPr>
                    <w:t>1</w:t>
                  </w:r>
                </w:p>
              </w:tc>
              <w:tc>
                <w:tcPr>
                  <w:tcW w:w="1895" w:type="dxa"/>
                  <w:vAlign w:val="center"/>
                </w:tcPr>
                <w:p>
                  <w:pPr>
                    <w:spacing w:line="300" w:lineRule="exact"/>
                    <w:jc w:val="center"/>
                    <w:rPr>
                      <w:iCs/>
                      <w:szCs w:val="21"/>
                    </w:rPr>
                  </w:pPr>
                  <w:r>
                    <w:rPr>
                      <w:rFonts w:hint="eastAsia"/>
                      <w:iCs/>
                      <w:szCs w:val="21"/>
                    </w:rPr>
                    <w:t>氰化钾</w:t>
                  </w:r>
                </w:p>
              </w:tc>
              <w:tc>
                <w:tcPr>
                  <w:tcW w:w="1521" w:type="dxa"/>
                  <w:vAlign w:val="center"/>
                </w:tcPr>
                <w:p>
                  <w:pPr>
                    <w:spacing w:line="300" w:lineRule="exact"/>
                    <w:jc w:val="center"/>
                    <w:rPr>
                      <w:iCs/>
                      <w:szCs w:val="21"/>
                    </w:rPr>
                  </w:pPr>
                  <w:r>
                    <w:rPr>
                      <w:rFonts w:hint="eastAsia"/>
                      <w:iCs/>
                      <w:szCs w:val="21"/>
                    </w:rPr>
                    <w:t>1</w:t>
                  </w:r>
                  <w:r>
                    <w:rPr>
                      <w:iCs/>
                      <w:szCs w:val="21"/>
                    </w:rPr>
                    <w:t>51-50-8</w:t>
                  </w:r>
                </w:p>
              </w:tc>
              <w:tc>
                <w:tcPr>
                  <w:tcW w:w="1522" w:type="dxa"/>
                  <w:vAlign w:val="center"/>
                </w:tcPr>
                <w:p>
                  <w:pPr>
                    <w:spacing w:line="300" w:lineRule="exact"/>
                    <w:jc w:val="center"/>
                    <w:rPr>
                      <w:iCs/>
                      <w:szCs w:val="21"/>
                    </w:rPr>
                  </w:pPr>
                  <w:r>
                    <w:rPr>
                      <w:rFonts w:hint="eastAsia"/>
                      <w:iCs/>
                      <w:szCs w:val="21"/>
                    </w:rPr>
                    <w:t>0</w:t>
                  </w:r>
                  <w:r>
                    <w:rPr>
                      <w:iCs/>
                      <w:szCs w:val="21"/>
                    </w:rPr>
                    <w:t>.106</w:t>
                  </w:r>
                </w:p>
              </w:tc>
              <w:tc>
                <w:tcPr>
                  <w:tcW w:w="1522" w:type="dxa"/>
                  <w:vAlign w:val="center"/>
                </w:tcPr>
                <w:p>
                  <w:pPr>
                    <w:spacing w:line="300" w:lineRule="exact"/>
                    <w:jc w:val="center"/>
                    <w:rPr>
                      <w:iCs/>
                      <w:szCs w:val="21"/>
                    </w:rPr>
                  </w:pPr>
                  <w:r>
                    <w:rPr>
                      <w:rFonts w:hint="eastAsia"/>
                      <w:iCs/>
                      <w:szCs w:val="21"/>
                    </w:rPr>
                    <w:t>0</w:t>
                  </w:r>
                  <w:r>
                    <w:rPr>
                      <w:iCs/>
                      <w:szCs w:val="21"/>
                    </w:rPr>
                    <w:t>.25</w:t>
                  </w:r>
                </w:p>
              </w:tc>
              <w:tc>
                <w:tcPr>
                  <w:tcW w:w="1522" w:type="dxa"/>
                  <w:vAlign w:val="center"/>
                </w:tcPr>
                <w:p>
                  <w:pPr>
                    <w:spacing w:line="300" w:lineRule="exact"/>
                    <w:jc w:val="center"/>
                    <w:rPr>
                      <w:iCs/>
                      <w:szCs w:val="21"/>
                    </w:rPr>
                  </w:pPr>
                  <w:r>
                    <w:rPr>
                      <w:rFonts w:hint="eastAsia"/>
                      <w:iCs/>
                      <w:szCs w:val="21"/>
                    </w:rPr>
                    <w:t>0</w:t>
                  </w:r>
                  <w:r>
                    <w:rPr>
                      <w:iCs/>
                      <w:szCs w:val="21"/>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vAlign w:val="center"/>
                </w:tcPr>
                <w:p>
                  <w:pPr>
                    <w:spacing w:line="300" w:lineRule="exact"/>
                    <w:jc w:val="center"/>
                    <w:rPr>
                      <w:iCs/>
                      <w:szCs w:val="21"/>
                    </w:rPr>
                  </w:pPr>
                  <w:r>
                    <w:rPr>
                      <w:iCs/>
                      <w:szCs w:val="21"/>
                    </w:rPr>
                    <w:t>2</w:t>
                  </w:r>
                </w:p>
              </w:tc>
              <w:tc>
                <w:tcPr>
                  <w:tcW w:w="1895" w:type="dxa"/>
                  <w:vAlign w:val="center"/>
                </w:tcPr>
                <w:p>
                  <w:pPr>
                    <w:spacing w:line="300" w:lineRule="exact"/>
                    <w:jc w:val="center"/>
                    <w:rPr>
                      <w:iCs/>
                      <w:szCs w:val="21"/>
                    </w:rPr>
                  </w:pPr>
                  <w:r>
                    <w:rPr>
                      <w:rFonts w:hint="eastAsia"/>
                      <w:iCs/>
                      <w:szCs w:val="21"/>
                    </w:rPr>
                    <w:t>氰化钠</w:t>
                  </w:r>
                </w:p>
              </w:tc>
              <w:tc>
                <w:tcPr>
                  <w:tcW w:w="1521" w:type="dxa"/>
                  <w:vAlign w:val="center"/>
                </w:tcPr>
                <w:p>
                  <w:pPr>
                    <w:spacing w:line="300" w:lineRule="exact"/>
                    <w:jc w:val="center"/>
                    <w:rPr>
                      <w:iCs/>
                      <w:szCs w:val="21"/>
                    </w:rPr>
                  </w:pPr>
                  <w:r>
                    <w:rPr>
                      <w:rFonts w:hint="eastAsia"/>
                      <w:iCs/>
                      <w:szCs w:val="21"/>
                    </w:rPr>
                    <w:t>1</w:t>
                  </w:r>
                  <w:r>
                    <w:rPr>
                      <w:iCs/>
                      <w:szCs w:val="21"/>
                    </w:rPr>
                    <w:t>43-33-9</w:t>
                  </w:r>
                </w:p>
              </w:tc>
              <w:tc>
                <w:tcPr>
                  <w:tcW w:w="1522" w:type="dxa"/>
                  <w:vAlign w:val="center"/>
                </w:tcPr>
                <w:p>
                  <w:pPr>
                    <w:spacing w:line="300" w:lineRule="exact"/>
                    <w:jc w:val="center"/>
                    <w:rPr>
                      <w:iCs/>
                      <w:szCs w:val="21"/>
                    </w:rPr>
                  </w:pPr>
                  <w:r>
                    <w:rPr>
                      <w:rFonts w:hint="eastAsia"/>
                      <w:iCs/>
                      <w:szCs w:val="21"/>
                    </w:rPr>
                    <w:t>0</w:t>
                  </w:r>
                  <w:r>
                    <w:rPr>
                      <w:iCs/>
                      <w:szCs w:val="21"/>
                    </w:rPr>
                    <w:t>.127</w:t>
                  </w:r>
                </w:p>
              </w:tc>
              <w:tc>
                <w:tcPr>
                  <w:tcW w:w="1522" w:type="dxa"/>
                  <w:vAlign w:val="center"/>
                </w:tcPr>
                <w:p>
                  <w:pPr>
                    <w:spacing w:line="300" w:lineRule="exact"/>
                    <w:jc w:val="center"/>
                    <w:rPr>
                      <w:iCs/>
                      <w:szCs w:val="21"/>
                    </w:rPr>
                  </w:pPr>
                  <w:r>
                    <w:rPr>
                      <w:rFonts w:hint="eastAsia"/>
                      <w:iCs/>
                      <w:szCs w:val="21"/>
                    </w:rPr>
                    <w:t>0</w:t>
                  </w:r>
                  <w:r>
                    <w:rPr>
                      <w:iCs/>
                      <w:szCs w:val="21"/>
                    </w:rPr>
                    <w:t>.25</w:t>
                  </w:r>
                </w:p>
              </w:tc>
              <w:tc>
                <w:tcPr>
                  <w:tcW w:w="1522" w:type="dxa"/>
                  <w:vAlign w:val="center"/>
                </w:tcPr>
                <w:p>
                  <w:pPr>
                    <w:spacing w:line="300" w:lineRule="exact"/>
                    <w:jc w:val="center"/>
                    <w:rPr>
                      <w:iCs/>
                      <w:szCs w:val="21"/>
                    </w:rPr>
                  </w:pPr>
                  <w:r>
                    <w:rPr>
                      <w:rFonts w:hint="eastAsia"/>
                      <w:iCs/>
                      <w:szCs w:val="21"/>
                    </w:rPr>
                    <w:t>0</w:t>
                  </w:r>
                  <w:r>
                    <w:rPr>
                      <w:iCs/>
                      <w:szCs w:val="21"/>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vAlign w:val="center"/>
                </w:tcPr>
                <w:p>
                  <w:pPr>
                    <w:spacing w:line="300" w:lineRule="exact"/>
                    <w:jc w:val="center"/>
                    <w:rPr>
                      <w:iCs/>
                      <w:szCs w:val="21"/>
                    </w:rPr>
                  </w:pPr>
                  <w:r>
                    <w:rPr>
                      <w:iCs/>
                      <w:szCs w:val="21"/>
                    </w:rPr>
                    <w:t>3</w:t>
                  </w:r>
                </w:p>
              </w:tc>
              <w:tc>
                <w:tcPr>
                  <w:tcW w:w="1895" w:type="dxa"/>
                  <w:vAlign w:val="center"/>
                </w:tcPr>
                <w:p>
                  <w:pPr>
                    <w:spacing w:line="300" w:lineRule="exact"/>
                    <w:jc w:val="center"/>
                    <w:rPr>
                      <w:iCs/>
                      <w:szCs w:val="21"/>
                    </w:rPr>
                  </w:pPr>
                  <w:r>
                    <w:rPr>
                      <w:rFonts w:hint="eastAsia"/>
                      <w:iCs/>
                      <w:szCs w:val="21"/>
                    </w:rPr>
                    <w:t>一氧化碳</w:t>
                  </w:r>
                </w:p>
              </w:tc>
              <w:tc>
                <w:tcPr>
                  <w:tcW w:w="1521" w:type="dxa"/>
                  <w:vAlign w:val="center"/>
                </w:tcPr>
                <w:p>
                  <w:pPr>
                    <w:spacing w:line="300" w:lineRule="exact"/>
                    <w:jc w:val="center"/>
                    <w:rPr>
                      <w:iCs/>
                      <w:szCs w:val="21"/>
                    </w:rPr>
                  </w:pPr>
                  <w:r>
                    <w:rPr>
                      <w:rFonts w:hint="eastAsia"/>
                      <w:iCs/>
                      <w:szCs w:val="21"/>
                    </w:rPr>
                    <w:t>6</w:t>
                  </w:r>
                  <w:r>
                    <w:rPr>
                      <w:iCs/>
                      <w:szCs w:val="21"/>
                    </w:rPr>
                    <w:t>30-08-0</w:t>
                  </w:r>
                </w:p>
              </w:tc>
              <w:tc>
                <w:tcPr>
                  <w:tcW w:w="1522" w:type="dxa"/>
                  <w:vAlign w:val="center"/>
                </w:tcPr>
                <w:p>
                  <w:pPr>
                    <w:spacing w:line="300" w:lineRule="exact"/>
                    <w:jc w:val="center"/>
                    <w:rPr>
                      <w:iCs/>
                      <w:szCs w:val="21"/>
                    </w:rPr>
                  </w:pPr>
                  <w:r>
                    <w:rPr>
                      <w:rFonts w:hint="eastAsia"/>
                      <w:iCs/>
                      <w:szCs w:val="21"/>
                    </w:rPr>
                    <w:t>0</w:t>
                  </w:r>
                  <w:r>
                    <w:rPr>
                      <w:iCs/>
                      <w:szCs w:val="21"/>
                    </w:rPr>
                    <w:t>.00018</w:t>
                  </w:r>
                </w:p>
              </w:tc>
              <w:tc>
                <w:tcPr>
                  <w:tcW w:w="1522" w:type="dxa"/>
                  <w:vAlign w:val="center"/>
                </w:tcPr>
                <w:p>
                  <w:pPr>
                    <w:spacing w:line="300" w:lineRule="exact"/>
                    <w:jc w:val="center"/>
                    <w:rPr>
                      <w:iCs/>
                      <w:szCs w:val="21"/>
                    </w:rPr>
                  </w:pPr>
                  <w:r>
                    <w:rPr>
                      <w:rFonts w:hint="eastAsia"/>
                      <w:iCs/>
                      <w:szCs w:val="21"/>
                    </w:rPr>
                    <w:t>7</w:t>
                  </w:r>
                  <w:r>
                    <w:rPr>
                      <w:iCs/>
                      <w:szCs w:val="21"/>
                    </w:rPr>
                    <w:t>.5</w:t>
                  </w:r>
                </w:p>
              </w:tc>
              <w:tc>
                <w:tcPr>
                  <w:tcW w:w="1522" w:type="dxa"/>
                  <w:vAlign w:val="center"/>
                </w:tcPr>
                <w:p>
                  <w:pPr>
                    <w:spacing w:line="300" w:lineRule="exact"/>
                    <w:jc w:val="center"/>
                    <w:rPr>
                      <w:iCs/>
                      <w:szCs w:val="21"/>
                    </w:rPr>
                  </w:pPr>
                  <w:r>
                    <w:rPr>
                      <w:rFonts w:hint="eastAsia"/>
                      <w:iCs/>
                      <w:szCs w:val="21"/>
                    </w:rPr>
                    <w:t>0</w:t>
                  </w:r>
                  <w:r>
                    <w:rPr>
                      <w:iCs/>
                      <w:szCs w:val="21"/>
                    </w:rPr>
                    <w:t>.000024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vAlign w:val="center"/>
                </w:tcPr>
                <w:p>
                  <w:pPr>
                    <w:spacing w:line="300" w:lineRule="exact"/>
                    <w:jc w:val="center"/>
                    <w:rPr>
                      <w:iCs/>
                      <w:szCs w:val="21"/>
                    </w:rPr>
                  </w:pPr>
                  <w:r>
                    <w:rPr>
                      <w:iCs/>
                      <w:szCs w:val="21"/>
                    </w:rPr>
                    <w:t>4</w:t>
                  </w:r>
                </w:p>
              </w:tc>
              <w:tc>
                <w:tcPr>
                  <w:tcW w:w="1895" w:type="dxa"/>
                  <w:vAlign w:val="center"/>
                </w:tcPr>
                <w:p>
                  <w:pPr>
                    <w:spacing w:line="300" w:lineRule="exact"/>
                    <w:jc w:val="center"/>
                    <w:rPr>
                      <w:iCs/>
                      <w:szCs w:val="21"/>
                    </w:rPr>
                  </w:pPr>
                  <w:r>
                    <w:rPr>
                      <w:rFonts w:hint="eastAsia"/>
                      <w:iCs/>
                      <w:szCs w:val="21"/>
                    </w:rPr>
                    <w:t>氨气</w:t>
                  </w:r>
                </w:p>
              </w:tc>
              <w:tc>
                <w:tcPr>
                  <w:tcW w:w="1521" w:type="dxa"/>
                  <w:vAlign w:val="center"/>
                </w:tcPr>
                <w:p>
                  <w:pPr>
                    <w:spacing w:line="300" w:lineRule="exact"/>
                    <w:jc w:val="center"/>
                    <w:rPr>
                      <w:iCs/>
                      <w:szCs w:val="21"/>
                    </w:rPr>
                  </w:pPr>
                  <w:r>
                    <w:rPr>
                      <w:rFonts w:hint="eastAsia"/>
                      <w:iCs/>
                      <w:szCs w:val="21"/>
                    </w:rPr>
                    <w:t>7</w:t>
                  </w:r>
                  <w:r>
                    <w:rPr>
                      <w:iCs/>
                      <w:szCs w:val="21"/>
                    </w:rPr>
                    <w:t>664-41-7</w:t>
                  </w:r>
                </w:p>
              </w:tc>
              <w:tc>
                <w:tcPr>
                  <w:tcW w:w="1522" w:type="dxa"/>
                  <w:vAlign w:val="center"/>
                </w:tcPr>
                <w:p>
                  <w:pPr>
                    <w:spacing w:line="300" w:lineRule="exact"/>
                    <w:jc w:val="center"/>
                    <w:rPr>
                      <w:iCs/>
                      <w:szCs w:val="21"/>
                    </w:rPr>
                  </w:pPr>
                  <w:r>
                    <w:rPr>
                      <w:rFonts w:hint="eastAsia"/>
                      <w:iCs/>
                      <w:szCs w:val="21"/>
                    </w:rPr>
                    <w:t>0</w:t>
                  </w:r>
                  <w:r>
                    <w:rPr>
                      <w:iCs/>
                      <w:szCs w:val="21"/>
                    </w:rPr>
                    <w:t>.000022</w:t>
                  </w:r>
                </w:p>
              </w:tc>
              <w:tc>
                <w:tcPr>
                  <w:tcW w:w="1522" w:type="dxa"/>
                  <w:vAlign w:val="center"/>
                </w:tcPr>
                <w:p>
                  <w:pPr>
                    <w:spacing w:line="300" w:lineRule="exact"/>
                    <w:jc w:val="center"/>
                    <w:rPr>
                      <w:iCs/>
                      <w:szCs w:val="21"/>
                    </w:rPr>
                  </w:pPr>
                  <w:r>
                    <w:rPr>
                      <w:rFonts w:hint="eastAsia"/>
                      <w:iCs/>
                      <w:szCs w:val="21"/>
                    </w:rPr>
                    <w:t>5</w:t>
                  </w:r>
                </w:p>
              </w:tc>
              <w:tc>
                <w:tcPr>
                  <w:tcW w:w="1522" w:type="dxa"/>
                  <w:vAlign w:val="center"/>
                </w:tcPr>
                <w:p>
                  <w:pPr>
                    <w:spacing w:line="300" w:lineRule="exact"/>
                    <w:jc w:val="center"/>
                    <w:rPr>
                      <w:iCs/>
                      <w:szCs w:val="21"/>
                    </w:rPr>
                  </w:pPr>
                  <w:r>
                    <w:rPr>
                      <w:rFonts w:hint="eastAsia"/>
                      <w:iCs/>
                      <w:szCs w:val="21"/>
                    </w:rPr>
                    <w:t>0</w:t>
                  </w:r>
                  <w:r>
                    <w:rPr>
                      <w:iCs/>
                      <w:szCs w:val="21"/>
                    </w:rPr>
                    <w:t>.000004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vAlign w:val="center"/>
                </w:tcPr>
                <w:p>
                  <w:pPr>
                    <w:spacing w:line="300" w:lineRule="exact"/>
                    <w:jc w:val="center"/>
                    <w:rPr>
                      <w:iCs/>
                      <w:szCs w:val="21"/>
                    </w:rPr>
                  </w:pPr>
                  <w:r>
                    <w:rPr>
                      <w:iCs/>
                      <w:szCs w:val="21"/>
                    </w:rPr>
                    <w:t>5</w:t>
                  </w:r>
                </w:p>
              </w:tc>
              <w:tc>
                <w:tcPr>
                  <w:tcW w:w="1895" w:type="dxa"/>
                  <w:vAlign w:val="center"/>
                </w:tcPr>
                <w:p>
                  <w:pPr>
                    <w:spacing w:line="300" w:lineRule="exact"/>
                    <w:jc w:val="center"/>
                    <w:rPr>
                      <w:iCs/>
                      <w:szCs w:val="21"/>
                    </w:rPr>
                  </w:pPr>
                  <w:r>
                    <w:rPr>
                      <w:rFonts w:hint="eastAsia"/>
                      <w:iCs/>
                      <w:szCs w:val="21"/>
                    </w:rPr>
                    <w:t>检修废油</w:t>
                  </w:r>
                </w:p>
              </w:tc>
              <w:tc>
                <w:tcPr>
                  <w:tcW w:w="1521" w:type="dxa"/>
                  <w:vAlign w:val="center"/>
                </w:tcPr>
                <w:p>
                  <w:pPr>
                    <w:spacing w:line="300" w:lineRule="exact"/>
                    <w:jc w:val="center"/>
                    <w:rPr>
                      <w:iCs/>
                      <w:szCs w:val="21"/>
                    </w:rPr>
                  </w:pPr>
                  <w:r>
                    <w:rPr>
                      <w:rFonts w:hint="eastAsia"/>
                      <w:iCs/>
                      <w:szCs w:val="21"/>
                    </w:rPr>
                    <w:t>/</w:t>
                  </w:r>
                </w:p>
              </w:tc>
              <w:tc>
                <w:tcPr>
                  <w:tcW w:w="1522" w:type="dxa"/>
                  <w:vAlign w:val="center"/>
                </w:tcPr>
                <w:p>
                  <w:pPr>
                    <w:spacing w:line="300" w:lineRule="exact"/>
                    <w:jc w:val="center"/>
                    <w:rPr>
                      <w:iCs/>
                      <w:szCs w:val="21"/>
                    </w:rPr>
                  </w:pPr>
                  <w:r>
                    <w:rPr>
                      <w:rFonts w:hint="eastAsia"/>
                      <w:iCs/>
                      <w:szCs w:val="21"/>
                    </w:rPr>
                    <w:t>0</w:t>
                  </w:r>
                  <w:r>
                    <w:rPr>
                      <w:iCs/>
                      <w:szCs w:val="21"/>
                    </w:rPr>
                    <w:t>.06</w:t>
                  </w:r>
                </w:p>
              </w:tc>
              <w:tc>
                <w:tcPr>
                  <w:tcW w:w="1522" w:type="dxa"/>
                  <w:vAlign w:val="center"/>
                </w:tcPr>
                <w:p>
                  <w:pPr>
                    <w:spacing w:line="300" w:lineRule="exact"/>
                    <w:jc w:val="center"/>
                    <w:rPr>
                      <w:iCs/>
                      <w:szCs w:val="21"/>
                    </w:rPr>
                  </w:pPr>
                  <w:r>
                    <w:rPr>
                      <w:rFonts w:hint="eastAsia"/>
                      <w:iCs/>
                      <w:szCs w:val="21"/>
                    </w:rPr>
                    <w:t>2</w:t>
                  </w:r>
                  <w:r>
                    <w:rPr>
                      <w:iCs/>
                      <w:szCs w:val="21"/>
                    </w:rPr>
                    <w:t>500</w:t>
                  </w:r>
                </w:p>
              </w:tc>
              <w:tc>
                <w:tcPr>
                  <w:tcW w:w="1522" w:type="dxa"/>
                  <w:vAlign w:val="center"/>
                </w:tcPr>
                <w:p>
                  <w:pPr>
                    <w:spacing w:line="300" w:lineRule="exact"/>
                    <w:jc w:val="center"/>
                    <w:rPr>
                      <w:iCs/>
                      <w:szCs w:val="21"/>
                    </w:rPr>
                  </w:pPr>
                  <w:r>
                    <w:rPr>
                      <w:rFonts w:hint="eastAsia"/>
                      <w:iCs/>
                      <w:szCs w:val="21"/>
                    </w:rPr>
                    <w:t>0</w:t>
                  </w:r>
                  <w:r>
                    <w:rPr>
                      <w:iCs/>
                      <w:szCs w:val="21"/>
                    </w:rPr>
                    <w:t>.000024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07" w:type="dxa"/>
                  <w:gridSpan w:val="5"/>
                  <w:vAlign w:val="center"/>
                </w:tcPr>
                <w:p>
                  <w:pPr>
                    <w:spacing w:line="300" w:lineRule="exact"/>
                    <w:jc w:val="center"/>
                    <w:rPr>
                      <w:iCs/>
                      <w:szCs w:val="21"/>
                    </w:rPr>
                  </w:pPr>
                  <w:r>
                    <w:rPr>
                      <w:rFonts w:hint="eastAsia"/>
                      <w:iCs/>
                      <w:szCs w:val="21"/>
                    </w:rPr>
                    <w:t>项目Q值∑</w:t>
                  </w:r>
                </w:p>
              </w:tc>
              <w:tc>
                <w:tcPr>
                  <w:tcW w:w="1522" w:type="dxa"/>
                  <w:vAlign w:val="center"/>
                </w:tcPr>
                <w:p>
                  <w:pPr>
                    <w:spacing w:line="300" w:lineRule="exact"/>
                    <w:jc w:val="center"/>
                    <w:rPr>
                      <w:iCs/>
                      <w:szCs w:val="21"/>
                    </w:rPr>
                  </w:pPr>
                  <w:r>
                    <w:rPr>
                      <w:iCs/>
                      <w:szCs w:val="21"/>
                    </w:rPr>
                    <w:t>0.932</w:t>
                  </w:r>
                </w:p>
              </w:tc>
            </w:tr>
          </w:tbl>
          <w:p>
            <w:pPr>
              <w:spacing w:line="360" w:lineRule="auto"/>
              <w:ind w:firstLine="480" w:firstLineChars="200"/>
              <w:rPr>
                <w:rFonts w:ascii="宋体" w:hAnsi="宋体"/>
                <w:iCs/>
                <w:sz w:val="24"/>
              </w:rPr>
            </w:pPr>
            <w:r>
              <w:rPr>
                <w:rFonts w:hint="eastAsia"/>
                <w:iCs/>
                <w:sz w:val="24"/>
              </w:rPr>
              <w:t>根据</w:t>
            </w:r>
            <w:r>
              <w:rPr>
                <w:iCs/>
                <w:sz w:val="24"/>
              </w:rPr>
              <w:t>上表可知</w:t>
            </w:r>
            <w:r>
              <w:rPr>
                <w:rFonts w:hint="eastAsia"/>
                <w:iCs/>
                <w:sz w:val="24"/>
              </w:rPr>
              <w:t>，</w:t>
            </w:r>
            <w:r>
              <w:rPr>
                <w:iCs/>
                <w:sz w:val="24"/>
              </w:rPr>
              <w:t>本项目涉及危险物质数量与临界量比值</w:t>
            </w:r>
            <w:r>
              <w:rPr>
                <w:rFonts w:hint="eastAsia"/>
                <w:iCs/>
                <w:sz w:val="24"/>
              </w:rPr>
              <w:t>Q=</w:t>
            </w:r>
            <w:r>
              <w:rPr>
                <w:iCs/>
                <w:sz w:val="24"/>
              </w:rPr>
              <w:t>0.932&lt;1</w:t>
            </w:r>
            <w:r>
              <w:rPr>
                <w:rFonts w:hint="eastAsia"/>
                <w:iCs/>
                <w:sz w:val="24"/>
              </w:rPr>
              <w:t>，</w:t>
            </w:r>
            <w:r>
              <w:rPr>
                <w:iCs/>
                <w:sz w:val="24"/>
              </w:rPr>
              <w:t>因此本项目环境风险潜势为</w:t>
            </w:r>
            <w:r>
              <w:rPr>
                <w:rFonts w:ascii="宋体" w:hAnsi="宋体"/>
                <w:iCs/>
                <w:sz w:val="24"/>
              </w:rPr>
              <w:t>Ⅰ</w:t>
            </w:r>
            <w:r>
              <w:rPr>
                <w:rFonts w:hint="eastAsia" w:ascii="宋体" w:hAnsi="宋体"/>
                <w:iCs/>
                <w:sz w:val="24"/>
              </w:rPr>
              <w:t>。</w:t>
            </w:r>
          </w:p>
          <w:p>
            <w:pPr>
              <w:spacing w:line="360" w:lineRule="auto"/>
              <w:ind w:firstLine="480"/>
              <w:rPr>
                <w:rFonts w:ascii="宋体" w:hAnsi="宋体"/>
                <w:iCs/>
                <w:sz w:val="24"/>
              </w:rPr>
            </w:pPr>
            <w:r>
              <w:rPr>
                <w:rFonts w:hint="eastAsia" w:ascii="宋体" w:hAnsi="宋体"/>
                <w:iCs/>
                <w:sz w:val="24"/>
              </w:rPr>
              <w:t>（3）评价等级</w:t>
            </w:r>
          </w:p>
          <w:p>
            <w:pPr>
              <w:spacing w:line="360" w:lineRule="auto"/>
              <w:ind w:firstLine="480"/>
              <w:rPr>
                <w:sz w:val="24"/>
              </w:rPr>
            </w:pPr>
            <w:r>
              <w:rPr>
                <w:rFonts w:hint="eastAsia"/>
                <w:sz w:val="24"/>
              </w:rPr>
              <w:t>根据《建设项目环境风险评价技术导则》（HJ169—2018），本项目环境风险评价等级判断如下表所示：</w:t>
            </w:r>
          </w:p>
          <w:p>
            <w:pPr>
              <w:spacing w:line="360" w:lineRule="auto"/>
              <w:jc w:val="center"/>
              <w:rPr>
                <w:b/>
                <w:sz w:val="24"/>
              </w:rPr>
            </w:pPr>
            <w:r>
              <w:rPr>
                <w:b/>
                <w:sz w:val="24"/>
              </w:rPr>
              <w:t>表</w:t>
            </w:r>
            <w:r>
              <w:rPr>
                <w:rFonts w:hint="eastAsia"/>
                <w:b/>
                <w:sz w:val="24"/>
              </w:rPr>
              <w:t>7</w:t>
            </w:r>
            <w:r>
              <w:rPr>
                <w:b/>
                <w:sz w:val="24"/>
              </w:rPr>
              <w:t>-8 评价工作等级划分</w:t>
            </w:r>
          </w:p>
          <w:tbl>
            <w:tblPr>
              <w:tblStyle w:val="53"/>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860"/>
              <w:gridCol w:w="1860"/>
              <w:gridCol w:w="186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0" w:type="dxa"/>
                </w:tcPr>
                <w:p>
                  <w:pPr>
                    <w:adjustRightInd w:val="0"/>
                    <w:snapToGrid w:val="0"/>
                    <w:jc w:val="center"/>
                    <w:rPr>
                      <w:rFonts w:ascii="宋体" w:hAnsi="宋体"/>
                      <w:iCs/>
                      <w:szCs w:val="21"/>
                    </w:rPr>
                  </w:pPr>
                  <w:r>
                    <w:rPr>
                      <w:rFonts w:hint="eastAsia" w:ascii="宋体" w:hAnsi="宋体"/>
                      <w:iCs/>
                      <w:szCs w:val="21"/>
                    </w:rPr>
                    <w:t>环境风险潜势</w:t>
                  </w:r>
                </w:p>
              </w:tc>
              <w:tc>
                <w:tcPr>
                  <w:tcW w:w="1860" w:type="dxa"/>
                </w:tcPr>
                <w:p>
                  <w:pPr>
                    <w:adjustRightInd w:val="0"/>
                    <w:snapToGrid w:val="0"/>
                    <w:jc w:val="center"/>
                    <w:rPr>
                      <w:rFonts w:ascii="宋体" w:hAnsi="宋体"/>
                      <w:iCs/>
                      <w:szCs w:val="21"/>
                    </w:rPr>
                  </w:pPr>
                  <w:r>
                    <w:rPr>
                      <w:rFonts w:hint="eastAsia" w:ascii="宋体" w:hAnsi="宋体"/>
                      <w:iCs/>
                      <w:szCs w:val="21"/>
                    </w:rPr>
                    <w:t>Ⅳ、Ⅳ</w:t>
                  </w:r>
                  <w:r>
                    <w:rPr>
                      <w:rFonts w:hint="eastAsia" w:ascii="宋体" w:hAnsi="宋体"/>
                      <w:iCs/>
                      <w:szCs w:val="21"/>
                      <w:vertAlign w:val="superscript"/>
                    </w:rPr>
                    <w:t>+</w:t>
                  </w:r>
                </w:p>
              </w:tc>
              <w:tc>
                <w:tcPr>
                  <w:tcW w:w="1860" w:type="dxa"/>
                </w:tcPr>
                <w:p>
                  <w:pPr>
                    <w:adjustRightInd w:val="0"/>
                    <w:snapToGrid w:val="0"/>
                    <w:jc w:val="center"/>
                    <w:rPr>
                      <w:rFonts w:ascii="宋体" w:hAnsi="宋体"/>
                      <w:iCs/>
                      <w:szCs w:val="21"/>
                    </w:rPr>
                  </w:pPr>
                  <w:r>
                    <w:rPr>
                      <w:rFonts w:hint="eastAsia" w:ascii="宋体" w:hAnsi="宋体"/>
                      <w:iCs/>
                      <w:szCs w:val="21"/>
                    </w:rPr>
                    <w:t>Ⅲ</w:t>
                  </w:r>
                </w:p>
              </w:tc>
              <w:tc>
                <w:tcPr>
                  <w:tcW w:w="1860" w:type="dxa"/>
                </w:tcPr>
                <w:p>
                  <w:pPr>
                    <w:adjustRightInd w:val="0"/>
                    <w:snapToGrid w:val="0"/>
                    <w:jc w:val="center"/>
                    <w:rPr>
                      <w:rFonts w:ascii="宋体" w:hAnsi="宋体"/>
                      <w:iCs/>
                      <w:szCs w:val="21"/>
                    </w:rPr>
                  </w:pPr>
                  <w:r>
                    <w:rPr>
                      <w:rFonts w:hint="eastAsia" w:ascii="宋体" w:hAnsi="宋体"/>
                      <w:iCs/>
                      <w:szCs w:val="21"/>
                    </w:rPr>
                    <w:t>Ⅱ</w:t>
                  </w:r>
                </w:p>
              </w:tc>
              <w:tc>
                <w:tcPr>
                  <w:tcW w:w="1861" w:type="dxa"/>
                </w:tcPr>
                <w:p>
                  <w:pPr>
                    <w:adjustRightInd w:val="0"/>
                    <w:snapToGrid w:val="0"/>
                    <w:jc w:val="center"/>
                    <w:rPr>
                      <w:rFonts w:ascii="宋体" w:hAnsi="宋体"/>
                      <w:iCs/>
                      <w:szCs w:val="21"/>
                    </w:rPr>
                  </w:pPr>
                  <w:r>
                    <w:rPr>
                      <w:rFonts w:ascii="宋体" w:hAnsi="宋体"/>
                      <w:iCs/>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0" w:type="dxa"/>
                </w:tcPr>
                <w:p>
                  <w:pPr>
                    <w:adjustRightInd w:val="0"/>
                    <w:snapToGrid w:val="0"/>
                    <w:jc w:val="center"/>
                    <w:rPr>
                      <w:rFonts w:ascii="宋体" w:hAnsi="宋体"/>
                      <w:iCs/>
                      <w:szCs w:val="21"/>
                    </w:rPr>
                  </w:pPr>
                  <w:r>
                    <w:rPr>
                      <w:rFonts w:hint="eastAsia" w:ascii="宋体" w:hAnsi="宋体"/>
                      <w:iCs/>
                      <w:szCs w:val="21"/>
                    </w:rPr>
                    <w:t>评价工作等级</w:t>
                  </w:r>
                </w:p>
              </w:tc>
              <w:tc>
                <w:tcPr>
                  <w:tcW w:w="1860" w:type="dxa"/>
                </w:tcPr>
                <w:p>
                  <w:pPr>
                    <w:adjustRightInd w:val="0"/>
                    <w:snapToGrid w:val="0"/>
                    <w:jc w:val="center"/>
                    <w:rPr>
                      <w:rFonts w:ascii="宋体" w:hAnsi="宋体"/>
                      <w:iCs/>
                      <w:szCs w:val="21"/>
                    </w:rPr>
                  </w:pPr>
                  <w:r>
                    <w:rPr>
                      <w:rFonts w:hint="eastAsia" w:ascii="宋体" w:hAnsi="宋体"/>
                      <w:iCs/>
                      <w:szCs w:val="21"/>
                    </w:rPr>
                    <w:t>一</w:t>
                  </w:r>
                </w:p>
              </w:tc>
              <w:tc>
                <w:tcPr>
                  <w:tcW w:w="1860" w:type="dxa"/>
                </w:tcPr>
                <w:p>
                  <w:pPr>
                    <w:adjustRightInd w:val="0"/>
                    <w:snapToGrid w:val="0"/>
                    <w:jc w:val="center"/>
                    <w:rPr>
                      <w:rFonts w:ascii="宋体" w:hAnsi="宋体"/>
                      <w:iCs/>
                      <w:szCs w:val="21"/>
                    </w:rPr>
                  </w:pPr>
                  <w:r>
                    <w:rPr>
                      <w:rFonts w:hint="eastAsia" w:ascii="宋体" w:hAnsi="宋体"/>
                      <w:iCs/>
                      <w:szCs w:val="21"/>
                    </w:rPr>
                    <w:t>二</w:t>
                  </w:r>
                </w:p>
              </w:tc>
              <w:tc>
                <w:tcPr>
                  <w:tcW w:w="1860" w:type="dxa"/>
                </w:tcPr>
                <w:p>
                  <w:pPr>
                    <w:adjustRightInd w:val="0"/>
                    <w:snapToGrid w:val="0"/>
                    <w:jc w:val="center"/>
                    <w:rPr>
                      <w:rFonts w:ascii="宋体" w:hAnsi="宋体"/>
                      <w:iCs/>
                      <w:szCs w:val="21"/>
                    </w:rPr>
                  </w:pPr>
                  <w:r>
                    <w:rPr>
                      <w:rFonts w:hint="eastAsia" w:ascii="宋体" w:hAnsi="宋体"/>
                      <w:iCs/>
                      <w:szCs w:val="21"/>
                    </w:rPr>
                    <w:t>三</w:t>
                  </w:r>
                </w:p>
              </w:tc>
              <w:tc>
                <w:tcPr>
                  <w:tcW w:w="1861" w:type="dxa"/>
                </w:tcPr>
                <w:p>
                  <w:pPr>
                    <w:adjustRightInd w:val="0"/>
                    <w:snapToGrid w:val="0"/>
                    <w:jc w:val="center"/>
                    <w:rPr>
                      <w:rFonts w:ascii="宋体" w:hAnsi="宋体"/>
                      <w:iCs/>
                      <w:szCs w:val="21"/>
                    </w:rPr>
                  </w:pPr>
                  <w:r>
                    <w:rPr>
                      <w:rFonts w:hint="eastAsia" w:ascii="宋体" w:hAnsi="宋体"/>
                      <w:iCs/>
                      <w:szCs w:val="21"/>
                    </w:rPr>
                    <w:t>简单分析</w:t>
                  </w:r>
                </w:p>
              </w:tc>
            </w:tr>
          </w:tbl>
          <w:p>
            <w:pPr>
              <w:spacing w:line="360" w:lineRule="auto"/>
              <w:ind w:firstLine="480"/>
              <w:rPr>
                <w:rFonts w:ascii="宋体" w:hAnsi="宋体"/>
                <w:iCs/>
                <w:sz w:val="24"/>
              </w:rPr>
            </w:pPr>
            <w:r>
              <w:rPr>
                <w:rFonts w:hint="eastAsia" w:ascii="宋体" w:hAnsi="宋体"/>
                <w:iCs/>
                <w:sz w:val="24"/>
              </w:rPr>
              <w:t>根据上表可知，本项目环境风险评价等级为简单分析。</w:t>
            </w:r>
          </w:p>
          <w:p>
            <w:pPr>
              <w:spacing w:line="360" w:lineRule="auto"/>
              <w:ind w:firstLine="480"/>
              <w:rPr>
                <w:rFonts w:ascii="宋体" w:hAnsi="宋体"/>
                <w:b/>
                <w:iCs/>
                <w:sz w:val="24"/>
              </w:rPr>
            </w:pPr>
            <w:r>
              <w:rPr>
                <w:rFonts w:hint="eastAsia" w:ascii="宋体" w:hAnsi="宋体"/>
                <w:b/>
                <w:iCs/>
                <w:sz w:val="24"/>
              </w:rPr>
              <w:t>2）环境敏感目标概况</w:t>
            </w:r>
          </w:p>
          <w:p>
            <w:pPr>
              <w:spacing w:line="360" w:lineRule="auto"/>
              <w:ind w:firstLine="480"/>
              <w:rPr>
                <w:rFonts w:ascii="宋体" w:hAnsi="宋体"/>
                <w:iCs/>
                <w:sz w:val="24"/>
              </w:rPr>
            </w:pPr>
            <w:r>
              <w:rPr>
                <w:rFonts w:hint="eastAsia" w:ascii="宋体" w:hAnsi="宋体"/>
                <w:iCs/>
                <w:sz w:val="24"/>
              </w:rPr>
              <w:t>本项目涉及的环境敏感目标见下表。</w:t>
            </w:r>
          </w:p>
          <w:p>
            <w:pPr>
              <w:spacing w:line="360" w:lineRule="auto"/>
              <w:jc w:val="center"/>
              <w:rPr>
                <w:rFonts w:ascii="宋体" w:hAnsi="宋体"/>
                <w:iCs/>
                <w:sz w:val="24"/>
              </w:rPr>
            </w:pPr>
            <w:r>
              <w:rPr>
                <w:rFonts w:ascii="宋体" w:hAnsi="宋体"/>
                <w:iCs/>
                <w:sz w:val="24"/>
              </w:rPr>
              <w:t>表</w:t>
            </w:r>
            <w:r>
              <w:rPr>
                <w:rFonts w:hint="eastAsia" w:ascii="宋体" w:hAnsi="宋体"/>
                <w:iCs/>
                <w:sz w:val="24"/>
              </w:rPr>
              <w:t>7</w:t>
            </w:r>
            <w:r>
              <w:rPr>
                <w:rFonts w:ascii="宋体" w:hAnsi="宋体"/>
                <w:iCs/>
                <w:sz w:val="24"/>
              </w:rPr>
              <w:t>-8 环境风险保护目标一览表</w:t>
            </w:r>
          </w:p>
          <w:tbl>
            <w:tblPr>
              <w:tblStyle w:val="53"/>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992"/>
              <w:gridCol w:w="851"/>
              <w:gridCol w:w="709"/>
              <w:gridCol w:w="850"/>
              <w:gridCol w:w="1418"/>
              <w:gridCol w:w="992"/>
              <w:gridCol w:w="1134"/>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718" w:type="dxa"/>
                  <w:vMerge w:val="restart"/>
                  <w:vAlign w:val="center"/>
                </w:tcPr>
                <w:p>
                  <w:pPr>
                    <w:jc w:val="center"/>
                    <w:rPr>
                      <w:szCs w:val="21"/>
                    </w:rPr>
                  </w:pPr>
                  <w:r>
                    <w:rPr>
                      <w:rFonts w:hint="eastAsia"/>
                      <w:szCs w:val="21"/>
                    </w:rPr>
                    <w:t>环境要求</w:t>
                  </w:r>
                </w:p>
              </w:tc>
              <w:tc>
                <w:tcPr>
                  <w:tcW w:w="992" w:type="dxa"/>
                  <w:vMerge w:val="restart"/>
                  <w:vAlign w:val="center"/>
                </w:tcPr>
                <w:p>
                  <w:pPr>
                    <w:jc w:val="center"/>
                    <w:rPr>
                      <w:szCs w:val="21"/>
                    </w:rPr>
                  </w:pPr>
                  <w:r>
                    <w:rPr>
                      <w:rFonts w:hint="eastAsia"/>
                      <w:szCs w:val="21"/>
                    </w:rPr>
                    <w:t>保护目标</w:t>
                  </w:r>
                </w:p>
              </w:tc>
              <w:tc>
                <w:tcPr>
                  <w:tcW w:w="1560" w:type="dxa"/>
                  <w:gridSpan w:val="2"/>
                </w:tcPr>
                <w:p>
                  <w:pPr>
                    <w:jc w:val="center"/>
                    <w:rPr>
                      <w:szCs w:val="21"/>
                    </w:rPr>
                  </w:pPr>
                  <w:r>
                    <w:rPr>
                      <w:rFonts w:hint="eastAsia"/>
                      <w:szCs w:val="21"/>
                    </w:rPr>
                    <w:t>坐标</w:t>
                  </w:r>
                </w:p>
              </w:tc>
              <w:tc>
                <w:tcPr>
                  <w:tcW w:w="850" w:type="dxa"/>
                  <w:vMerge w:val="restart"/>
                  <w:vAlign w:val="center"/>
                </w:tcPr>
                <w:p>
                  <w:pPr>
                    <w:jc w:val="center"/>
                    <w:rPr>
                      <w:szCs w:val="21"/>
                    </w:rPr>
                  </w:pPr>
                  <w:r>
                    <w:rPr>
                      <w:rFonts w:hint="eastAsia"/>
                      <w:szCs w:val="21"/>
                    </w:rPr>
                    <w:t>性质</w:t>
                  </w:r>
                </w:p>
              </w:tc>
              <w:tc>
                <w:tcPr>
                  <w:tcW w:w="1418" w:type="dxa"/>
                  <w:vMerge w:val="restart"/>
                  <w:vAlign w:val="center"/>
                </w:tcPr>
                <w:p>
                  <w:pPr>
                    <w:jc w:val="center"/>
                    <w:rPr>
                      <w:szCs w:val="21"/>
                    </w:rPr>
                  </w:pPr>
                  <w:r>
                    <w:rPr>
                      <w:rFonts w:hint="eastAsia"/>
                      <w:szCs w:val="21"/>
                    </w:rPr>
                    <w:t>规模</w:t>
                  </w:r>
                </w:p>
              </w:tc>
              <w:tc>
                <w:tcPr>
                  <w:tcW w:w="992" w:type="dxa"/>
                  <w:vMerge w:val="restart"/>
                  <w:vAlign w:val="center"/>
                </w:tcPr>
                <w:p>
                  <w:pPr>
                    <w:jc w:val="center"/>
                    <w:rPr>
                      <w:szCs w:val="21"/>
                    </w:rPr>
                  </w:pPr>
                  <w:r>
                    <w:rPr>
                      <w:rFonts w:hint="eastAsia"/>
                      <w:szCs w:val="21"/>
                    </w:rPr>
                    <w:t>位置、高差</w:t>
                  </w:r>
                </w:p>
              </w:tc>
              <w:tc>
                <w:tcPr>
                  <w:tcW w:w="1134" w:type="dxa"/>
                  <w:vMerge w:val="restart"/>
                  <w:vAlign w:val="center"/>
                </w:tcPr>
                <w:p>
                  <w:pPr>
                    <w:jc w:val="center"/>
                    <w:rPr>
                      <w:szCs w:val="21"/>
                    </w:rPr>
                  </w:pPr>
                  <w:r>
                    <w:rPr>
                      <w:rFonts w:hint="eastAsia"/>
                      <w:szCs w:val="21"/>
                    </w:rPr>
                    <w:t>与厂界最近距离</w:t>
                  </w:r>
                </w:p>
              </w:tc>
              <w:tc>
                <w:tcPr>
                  <w:tcW w:w="1966" w:type="dxa"/>
                  <w:vMerge w:val="restart"/>
                  <w:vAlign w:val="center"/>
                </w:tcPr>
                <w:p>
                  <w:pPr>
                    <w:jc w:val="center"/>
                    <w:rPr>
                      <w:szCs w:val="21"/>
                    </w:rPr>
                  </w:pPr>
                  <w:r>
                    <w:rPr>
                      <w:rFonts w:hint="eastAsia"/>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18" w:type="dxa"/>
                  <w:vMerge w:val="continue"/>
                  <w:vAlign w:val="center"/>
                </w:tcPr>
                <w:p>
                  <w:pPr>
                    <w:jc w:val="center"/>
                    <w:rPr>
                      <w:szCs w:val="21"/>
                    </w:rPr>
                  </w:pPr>
                </w:p>
              </w:tc>
              <w:tc>
                <w:tcPr>
                  <w:tcW w:w="992" w:type="dxa"/>
                  <w:vMerge w:val="continue"/>
                  <w:vAlign w:val="center"/>
                </w:tcPr>
                <w:p>
                  <w:pPr>
                    <w:jc w:val="center"/>
                    <w:rPr>
                      <w:szCs w:val="21"/>
                    </w:rPr>
                  </w:pPr>
                </w:p>
              </w:tc>
              <w:tc>
                <w:tcPr>
                  <w:tcW w:w="851" w:type="dxa"/>
                </w:tcPr>
                <w:p>
                  <w:pPr>
                    <w:jc w:val="center"/>
                    <w:rPr>
                      <w:szCs w:val="21"/>
                    </w:rPr>
                  </w:pPr>
                  <w:r>
                    <w:rPr>
                      <w:rFonts w:hint="eastAsia"/>
                      <w:szCs w:val="21"/>
                    </w:rPr>
                    <w:t>X</w:t>
                  </w:r>
                </w:p>
              </w:tc>
              <w:tc>
                <w:tcPr>
                  <w:tcW w:w="709" w:type="dxa"/>
                </w:tcPr>
                <w:p>
                  <w:pPr>
                    <w:jc w:val="center"/>
                    <w:rPr>
                      <w:szCs w:val="21"/>
                    </w:rPr>
                  </w:pPr>
                  <w:r>
                    <w:rPr>
                      <w:rFonts w:hint="eastAsia"/>
                      <w:szCs w:val="21"/>
                    </w:rPr>
                    <w:t>Y</w:t>
                  </w:r>
                </w:p>
              </w:tc>
              <w:tc>
                <w:tcPr>
                  <w:tcW w:w="850" w:type="dxa"/>
                  <w:vMerge w:val="continue"/>
                  <w:vAlign w:val="center"/>
                </w:tcPr>
                <w:p>
                  <w:pPr>
                    <w:jc w:val="center"/>
                    <w:rPr>
                      <w:szCs w:val="21"/>
                    </w:rPr>
                  </w:pPr>
                </w:p>
              </w:tc>
              <w:tc>
                <w:tcPr>
                  <w:tcW w:w="1418" w:type="dxa"/>
                  <w:vMerge w:val="continue"/>
                  <w:vAlign w:val="center"/>
                </w:tcPr>
                <w:p>
                  <w:pPr>
                    <w:jc w:val="center"/>
                    <w:rPr>
                      <w:szCs w:val="21"/>
                    </w:rPr>
                  </w:pPr>
                </w:p>
              </w:tc>
              <w:tc>
                <w:tcPr>
                  <w:tcW w:w="992" w:type="dxa"/>
                  <w:vMerge w:val="continue"/>
                  <w:vAlign w:val="center"/>
                </w:tcPr>
                <w:p>
                  <w:pPr>
                    <w:jc w:val="center"/>
                    <w:rPr>
                      <w:szCs w:val="21"/>
                    </w:rPr>
                  </w:pPr>
                </w:p>
              </w:tc>
              <w:tc>
                <w:tcPr>
                  <w:tcW w:w="1134" w:type="dxa"/>
                  <w:vMerge w:val="continue"/>
                  <w:vAlign w:val="center"/>
                </w:tcPr>
                <w:p>
                  <w:pPr>
                    <w:jc w:val="center"/>
                    <w:rPr>
                      <w:szCs w:val="21"/>
                    </w:rPr>
                  </w:pPr>
                </w:p>
              </w:tc>
              <w:tc>
                <w:tcPr>
                  <w:tcW w:w="196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18" w:type="dxa"/>
                  <w:vMerge w:val="restart"/>
                  <w:vAlign w:val="center"/>
                </w:tcPr>
                <w:p>
                  <w:pPr>
                    <w:jc w:val="center"/>
                    <w:rPr>
                      <w:szCs w:val="21"/>
                    </w:rPr>
                  </w:pPr>
                  <w:r>
                    <w:rPr>
                      <w:rFonts w:hint="eastAsia"/>
                      <w:szCs w:val="21"/>
                    </w:rPr>
                    <w:t>大气环境</w:t>
                  </w:r>
                </w:p>
              </w:tc>
              <w:tc>
                <w:tcPr>
                  <w:tcW w:w="992" w:type="dxa"/>
                  <w:vAlign w:val="center"/>
                </w:tcPr>
                <w:p>
                  <w:pPr>
                    <w:jc w:val="center"/>
                    <w:rPr>
                      <w:szCs w:val="21"/>
                    </w:rPr>
                  </w:pPr>
                  <w:r>
                    <w:rPr>
                      <w:szCs w:val="21"/>
                    </w:rPr>
                    <w:t>瓦厂坝</w:t>
                  </w:r>
                </w:p>
              </w:tc>
              <w:tc>
                <w:tcPr>
                  <w:tcW w:w="851" w:type="dxa"/>
                  <w:vAlign w:val="center"/>
                </w:tcPr>
                <w:p>
                  <w:pPr>
                    <w:jc w:val="center"/>
                    <w:rPr>
                      <w:szCs w:val="21"/>
                    </w:rPr>
                  </w:pPr>
                  <w:r>
                    <w:rPr>
                      <w:rFonts w:hint="eastAsia"/>
                      <w:szCs w:val="21"/>
                    </w:rPr>
                    <w:t>+</w:t>
                  </w:r>
                  <w:r>
                    <w:rPr>
                      <w:szCs w:val="21"/>
                    </w:rPr>
                    <w:t>450</w:t>
                  </w:r>
                </w:p>
              </w:tc>
              <w:tc>
                <w:tcPr>
                  <w:tcW w:w="709" w:type="dxa"/>
                  <w:vAlign w:val="center"/>
                </w:tcPr>
                <w:p>
                  <w:pPr>
                    <w:jc w:val="center"/>
                    <w:rPr>
                      <w:szCs w:val="21"/>
                    </w:rPr>
                  </w:pPr>
                  <w:r>
                    <w:rPr>
                      <w:rFonts w:hint="eastAsia"/>
                      <w:szCs w:val="21"/>
                    </w:rPr>
                    <w:t>+</w:t>
                  </w:r>
                  <w:r>
                    <w:rPr>
                      <w:szCs w:val="21"/>
                    </w:rPr>
                    <w:t>110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rFonts w:hint="eastAsia" w:ascii="宋体" w:hAnsi="宋体"/>
                      <w:iCs/>
                      <w:szCs w:val="21"/>
                    </w:rPr>
                    <w:t>6~8户，约18~24人</w:t>
                  </w:r>
                </w:p>
              </w:tc>
              <w:tc>
                <w:tcPr>
                  <w:tcW w:w="992" w:type="dxa"/>
                  <w:vAlign w:val="center"/>
                </w:tcPr>
                <w:p>
                  <w:pPr>
                    <w:jc w:val="center"/>
                    <w:rPr>
                      <w:szCs w:val="21"/>
                    </w:rPr>
                  </w:pPr>
                  <w:r>
                    <w:rPr>
                      <w:rFonts w:hint="eastAsia"/>
                      <w:szCs w:val="21"/>
                    </w:rPr>
                    <w:t>东，高差</w:t>
                  </w:r>
                  <w:r>
                    <w:rPr>
                      <w:rFonts w:hint="eastAsia" w:ascii="宋体" w:hAnsi="宋体"/>
                      <w:szCs w:val="21"/>
                    </w:rPr>
                    <w:t>±</w:t>
                  </w:r>
                  <w:r>
                    <w:rPr>
                      <w:rFonts w:hint="eastAsia"/>
                      <w:szCs w:val="21"/>
                    </w:rPr>
                    <w:t>3</w:t>
                  </w:r>
                  <w:r>
                    <w:rPr>
                      <w:szCs w:val="21"/>
                    </w:rPr>
                    <w:t>m</w:t>
                  </w:r>
                </w:p>
              </w:tc>
              <w:tc>
                <w:tcPr>
                  <w:tcW w:w="1134" w:type="dxa"/>
                  <w:vAlign w:val="center"/>
                </w:tcPr>
                <w:p>
                  <w:pPr>
                    <w:jc w:val="center"/>
                    <w:rPr>
                      <w:szCs w:val="21"/>
                    </w:rPr>
                  </w:pPr>
                  <w:r>
                    <w:rPr>
                      <w:szCs w:val="21"/>
                    </w:rPr>
                    <w:t>470</w:t>
                  </w:r>
                  <w:r>
                    <w:rPr>
                      <w:rFonts w:hint="eastAsia"/>
                      <w:szCs w:val="21"/>
                    </w:rPr>
                    <w:t>m</w:t>
                  </w:r>
                </w:p>
              </w:tc>
              <w:tc>
                <w:tcPr>
                  <w:tcW w:w="1966" w:type="dxa"/>
                  <w:vMerge w:val="restart"/>
                  <w:vAlign w:val="center"/>
                </w:tcPr>
                <w:p>
                  <w:pPr>
                    <w:jc w:val="center"/>
                    <w:rPr>
                      <w:szCs w:val="21"/>
                    </w:rPr>
                  </w:pPr>
                  <w:r>
                    <w:rPr>
                      <w:rFonts w:hint="eastAsia"/>
                      <w:szCs w:val="21"/>
                    </w:rPr>
                    <w:t>《环境空气质量标准》（GB3095-2012）二级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18" w:type="dxa"/>
                  <w:vMerge w:val="continue"/>
                  <w:vAlign w:val="center"/>
                </w:tcPr>
                <w:p>
                  <w:pPr>
                    <w:jc w:val="center"/>
                    <w:rPr>
                      <w:szCs w:val="21"/>
                    </w:rPr>
                  </w:pPr>
                </w:p>
              </w:tc>
              <w:tc>
                <w:tcPr>
                  <w:tcW w:w="992" w:type="dxa"/>
                  <w:vAlign w:val="center"/>
                </w:tcPr>
                <w:p>
                  <w:pPr>
                    <w:jc w:val="center"/>
                    <w:rPr>
                      <w:szCs w:val="21"/>
                    </w:rPr>
                  </w:pPr>
                  <w:r>
                    <w:rPr>
                      <w:rFonts w:hint="eastAsia"/>
                      <w:szCs w:val="21"/>
                    </w:rPr>
                    <w:t>周桥村</w:t>
                  </w:r>
                </w:p>
              </w:tc>
              <w:tc>
                <w:tcPr>
                  <w:tcW w:w="851" w:type="dxa"/>
                  <w:vAlign w:val="center"/>
                </w:tcPr>
                <w:p>
                  <w:pPr>
                    <w:jc w:val="center"/>
                    <w:rPr>
                      <w:szCs w:val="21"/>
                    </w:rPr>
                  </w:pPr>
                  <w:r>
                    <w:rPr>
                      <w:rFonts w:hint="eastAsia"/>
                      <w:szCs w:val="21"/>
                    </w:rPr>
                    <w:t>+</w:t>
                  </w:r>
                  <w:r>
                    <w:rPr>
                      <w:szCs w:val="21"/>
                    </w:rPr>
                    <w:t>810</w:t>
                  </w:r>
                </w:p>
              </w:tc>
              <w:tc>
                <w:tcPr>
                  <w:tcW w:w="709" w:type="dxa"/>
                  <w:vAlign w:val="center"/>
                </w:tcPr>
                <w:p>
                  <w:pPr>
                    <w:jc w:val="center"/>
                    <w:rPr>
                      <w:szCs w:val="21"/>
                    </w:rPr>
                  </w:pPr>
                  <w:r>
                    <w:rPr>
                      <w:rFonts w:hint="eastAsia"/>
                      <w:szCs w:val="21"/>
                    </w:rPr>
                    <w:t>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rFonts w:hint="eastAsia" w:ascii="宋体" w:hAnsi="宋体"/>
                      <w:iCs/>
                      <w:szCs w:val="21"/>
                    </w:rPr>
                    <w:t>30~40户，约90~120人</w:t>
                  </w:r>
                </w:p>
              </w:tc>
              <w:tc>
                <w:tcPr>
                  <w:tcW w:w="992" w:type="dxa"/>
                  <w:vAlign w:val="center"/>
                </w:tcPr>
                <w:p>
                  <w:pPr>
                    <w:jc w:val="center"/>
                    <w:rPr>
                      <w:szCs w:val="21"/>
                    </w:rPr>
                  </w:pPr>
                  <w:r>
                    <w:rPr>
                      <w:rFonts w:hint="eastAsia"/>
                      <w:szCs w:val="21"/>
                    </w:rPr>
                    <w:t>东南，高差-1</w:t>
                  </w:r>
                  <w:r>
                    <w:rPr>
                      <w:szCs w:val="21"/>
                    </w:rPr>
                    <w:t>3m</w:t>
                  </w:r>
                </w:p>
              </w:tc>
              <w:tc>
                <w:tcPr>
                  <w:tcW w:w="1134" w:type="dxa"/>
                  <w:vAlign w:val="center"/>
                </w:tcPr>
                <w:p>
                  <w:pPr>
                    <w:jc w:val="center"/>
                    <w:rPr>
                      <w:szCs w:val="21"/>
                    </w:rPr>
                  </w:pPr>
                  <w:r>
                    <w:rPr>
                      <w:szCs w:val="21"/>
                    </w:rPr>
                    <w:t>810</w:t>
                  </w:r>
                  <w:r>
                    <w:rPr>
                      <w:rFonts w:hint="eastAsia"/>
                      <w:szCs w:val="21"/>
                    </w:rPr>
                    <w:t>m</w:t>
                  </w:r>
                </w:p>
              </w:tc>
              <w:tc>
                <w:tcPr>
                  <w:tcW w:w="196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18" w:type="dxa"/>
                  <w:vMerge w:val="continue"/>
                  <w:vAlign w:val="center"/>
                </w:tcPr>
                <w:p>
                  <w:pPr>
                    <w:jc w:val="center"/>
                    <w:rPr>
                      <w:szCs w:val="21"/>
                    </w:rPr>
                  </w:pPr>
                </w:p>
              </w:tc>
              <w:tc>
                <w:tcPr>
                  <w:tcW w:w="992" w:type="dxa"/>
                  <w:vAlign w:val="center"/>
                </w:tcPr>
                <w:p>
                  <w:pPr>
                    <w:jc w:val="center"/>
                    <w:rPr>
                      <w:szCs w:val="21"/>
                    </w:rPr>
                  </w:pPr>
                  <w:r>
                    <w:rPr>
                      <w:rFonts w:hint="eastAsia"/>
                      <w:szCs w:val="21"/>
                    </w:rPr>
                    <w:t>黎明村</w:t>
                  </w:r>
                </w:p>
              </w:tc>
              <w:tc>
                <w:tcPr>
                  <w:tcW w:w="851" w:type="dxa"/>
                  <w:vAlign w:val="center"/>
                </w:tcPr>
                <w:p>
                  <w:pPr>
                    <w:jc w:val="center"/>
                    <w:rPr>
                      <w:szCs w:val="21"/>
                    </w:rPr>
                  </w:pPr>
                  <w:r>
                    <w:rPr>
                      <w:rFonts w:hint="eastAsia"/>
                      <w:szCs w:val="21"/>
                    </w:rPr>
                    <w:t>0</w:t>
                  </w:r>
                </w:p>
              </w:tc>
              <w:tc>
                <w:tcPr>
                  <w:tcW w:w="709" w:type="dxa"/>
                  <w:vAlign w:val="center"/>
                </w:tcPr>
                <w:p>
                  <w:pPr>
                    <w:jc w:val="center"/>
                    <w:rPr>
                      <w:szCs w:val="21"/>
                    </w:rPr>
                  </w:pPr>
                  <w:r>
                    <w:rPr>
                      <w:rFonts w:hint="eastAsia"/>
                      <w:szCs w:val="21"/>
                    </w:rPr>
                    <w:t>-</w:t>
                  </w:r>
                  <w:r>
                    <w:rPr>
                      <w:szCs w:val="21"/>
                    </w:rPr>
                    <w:t>390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rFonts w:hint="eastAsia" w:ascii="宋体" w:hAnsi="宋体"/>
                      <w:iCs/>
                      <w:szCs w:val="21"/>
                    </w:rPr>
                    <w:t>80~100户，240~300人</w:t>
                  </w:r>
                </w:p>
              </w:tc>
              <w:tc>
                <w:tcPr>
                  <w:tcW w:w="992" w:type="dxa"/>
                  <w:vAlign w:val="center"/>
                </w:tcPr>
                <w:p>
                  <w:pPr>
                    <w:jc w:val="center"/>
                    <w:rPr>
                      <w:szCs w:val="21"/>
                    </w:rPr>
                  </w:pPr>
                  <w:r>
                    <w:rPr>
                      <w:rFonts w:hint="eastAsia"/>
                      <w:szCs w:val="21"/>
                    </w:rPr>
                    <w:t>南，高差-</w:t>
                  </w:r>
                  <w:r>
                    <w:rPr>
                      <w:szCs w:val="21"/>
                    </w:rPr>
                    <w:t>8m</w:t>
                  </w:r>
                </w:p>
              </w:tc>
              <w:tc>
                <w:tcPr>
                  <w:tcW w:w="1134" w:type="dxa"/>
                  <w:vAlign w:val="center"/>
                </w:tcPr>
                <w:p>
                  <w:pPr>
                    <w:jc w:val="center"/>
                    <w:rPr>
                      <w:szCs w:val="21"/>
                    </w:rPr>
                  </w:pPr>
                  <w:r>
                    <w:rPr>
                      <w:szCs w:val="21"/>
                    </w:rPr>
                    <w:t>510</w:t>
                  </w:r>
                  <w:r>
                    <w:rPr>
                      <w:rFonts w:hint="eastAsia"/>
                      <w:szCs w:val="21"/>
                    </w:rPr>
                    <w:t>m</w:t>
                  </w:r>
                </w:p>
              </w:tc>
              <w:tc>
                <w:tcPr>
                  <w:tcW w:w="196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18" w:type="dxa"/>
                  <w:vMerge w:val="continue"/>
                  <w:vAlign w:val="center"/>
                </w:tcPr>
                <w:p>
                  <w:pPr>
                    <w:jc w:val="center"/>
                    <w:rPr>
                      <w:szCs w:val="21"/>
                    </w:rPr>
                  </w:pPr>
                </w:p>
              </w:tc>
              <w:tc>
                <w:tcPr>
                  <w:tcW w:w="992" w:type="dxa"/>
                  <w:vAlign w:val="center"/>
                </w:tcPr>
                <w:p>
                  <w:pPr>
                    <w:jc w:val="center"/>
                    <w:rPr>
                      <w:szCs w:val="21"/>
                    </w:rPr>
                  </w:pPr>
                  <w:r>
                    <w:rPr>
                      <w:rFonts w:hint="eastAsia"/>
                      <w:szCs w:val="21"/>
                    </w:rPr>
                    <w:t>白马庙</w:t>
                  </w:r>
                </w:p>
              </w:tc>
              <w:tc>
                <w:tcPr>
                  <w:tcW w:w="851" w:type="dxa"/>
                  <w:vAlign w:val="center"/>
                </w:tcPr>
                <w:p>
                  <w:pPr>
                    <w:jc w:val="center"/>
                    <w:rPr>
                      <w:szCs w:val="21"/>
                    </w:rPr>
                  </w:pPr>
                  <w:r>
                    <w:rPr>
                      <w:rFonts w:hint="eastAsia"/>
                      <w:szCs w:val="21"/>
                    </w:rPr>
                    <w:t>-</w:t>
                  </w:r>
                  <w:r>
                    <w:rPr>
                      <w:szCs w:val="21"/>
                    </w:rPr>
                    <w:t>160</w:t>
                  </w:r>
                </w:p>
              </w:tc>
              <w:tc>
                <w:tcPr>
                  <w:tcW w:w="709" w:type="dxa"/>
                  <w:vAlign w:val="center"/>
                </w:tcPr>
                <w:p>
                  <w:pPr>
                    <w:jc w:val="center"/>
                    <w:rPr>
                      <w:szCs w:val="21"/>
                    </w:rPr>
                  </w:pPr>
                  <w:r>
                    <w:rPr>
                      <w:rFonts w:hint="eastAsia"/>
                      <w:szCs w:val="21"/>
                    </w:rPr>
                    <w:t>-</w:t>
                  </w:r>
                  <w:r>
                    <w:rPr>
                      <w:szCs w:val="21"/>
                    </w:rPr>
                    <w:t>380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szCs w:val="21"/>
                    </w:rPr>
                    <w:t>30</w:t>
                  </w:r>
                  <w:r>
                    <w:rPr>
                      <w:rFonts w:hint="eastAsia"/>
                      <w:szCs w:val="21"/>
                    </w:rPr>
                    <w:t>~</w:t>
                  </w:r>
                  <w:r>
                    <w:rPr>
                      <w:szCs w:val="21"/>
                    </w:rPr>
                    <w:t>40户</w:t>
                  </w:r>
                  <w:r>
                    <w:rPr>
                      <w:rFonts w:hint="eastAsia"/>
                      <w:szCs w:val="21"/>
                    </w:rPr>
                    <w:t>，约9</w:t>
                  </w:r>
                  <w:r>
                    <w:rPr>
                      <w:szCs w:val="21"/>
                    </w:rPr>
                    <w:t>0</w:t>
                  </w:r>
                  <w:r>
                    <w:rPr>
                      <w:rFonts w:hint="eastAsia"/>
                      <w:szCs w:val="21"/>
                    </w:rPr>
                    <w:t>~</w:t>
                  </w:r>
                  <w:r>
                    <w:rPr>
                      <w:szCs w:val="21"/>
                    </w:rPr>
                    <w:t>120人</w:t>
                  </w:r>
                </w:p>
              </w:tc>
              <w:tc>
                <w:tcPr>
                  <w:tcW w:w="992" w:type="dxa"/>
                  <w:vAlign w:val="center"/>
                </w:tcPr>
                <w:p>
                  <w:pPr>
                    <w:jc w:val="center"/>
                    <w:rPr>
                      <w:szCs w:val="21"/>
                    </w:rPr>
                  </w:pPr>
                  <w:r>
                    <w:rPr>
                      <w:rFonts w:hint="eastAsia"/>
                      <w:szCs w:val="21"/>
                    </w:rPr>
                    <w:t>西南，高差-</w:t>
                  </w:r>
                  <w:r>
                    <w:rPr>
                      <w:szCs w:val="21"/>
                    </w:rPr>
                    <w:t>6m</w:t>
                  </w:r>
                </w:p>
              </w:tc>
              <w:tc>
                <w:tcPr>
                  <w:tcW w:w="1134" w:type="dxa"/>
                  <w:vAlign w:val="center"/>
                </w:tcPr>
                <w:p>
                  <w:pPr>
                    <w:jc w:val="center"/>
                    <w:rPr>
                      <w:szCs w:val="21"/>
                    </w:rPr>
                  </w:pPr>
                  <w:r>
                    <w:rPr>
                      <w:szCs w:val="21"/>
                    </w:rPr>
                    <w:t>42</w:t>
                  </w:r>
                  <w:r>
                    <w:rPr>
                      <w:rFonts w:hint="eastAsia"/>
                      <w:szCs w:val="21"/>
                    </w:rPr>
                    <w:t>0m</w:t>
                  </w:r>
                </w:p>
              </w:tc>
              <w:tc>
                <w:tcPr>
                  <w:tcW w:w="196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18" w:type="dxa"/>
                  <w:vMerge w:val="continue"/>
                  <w:vAlign w:val="center"/>
                </w:tcPr>
                <w:p>
                  <w:pPr>
                    <w:jc w:val="center"/>
                    <w:rPr>
                      <w:szCs w:val="21"/>
                    </w:rPr>
                  </w:pPr>
                </w:p>
              </w:tc>
              <w:tc>
                <w:tcPr>
                  <w:tcW w:w="992" w:type="dxa"/>
                  <w:vAlign w:val="center"/>
                </w:tcPr>
                <w:p>
                  <w:pPr>
                    <w:jc w:val="center"/>
                    <w:rPr>
                      <w:szCs w:val="21"/>
                    </w:rPr>
                  </w:pPr>
                  <w:r>
                    <w:rPr>
                      <w:rFonts w:hint="eastAsia"/>
                      <w:szCs w:val="21"/>
                    </w:rPr>
                    <w:t>周陆坝村</w:t>
                  </w:r>
                </w:p>
              </w:tc>
              <w:tc>
                <w:tcPr>
                  <w:tcW w:w="851" w:type="dxa"/>
                  <w:vAlign w:val="center"/>
                </w:tcPr>
                <w:p>
                  <w:pPr>
                    <w:jc w:val="center"/>
                    <w:rPr>
                      <w:szCs w:val="21"/>
                    </w:rPr>
                  </w:pPr>
                  <w:r>
                    <w:rPr>
                      <w:szCs w:val="21"/>
                    </w:rPr>
                    <w:t>+</w:t>
                  </w:r>
                  <w:r>
                    <w:rPr>
                      <w:rFonts w:hint="eastAsia"/>
                      <w:szCs w:val="21"/>
                    </w:rPr>
                    <w:t>2</w:t>
                  </w:r>
                  <w:r>
                    <w:rPr>
                      <w:szCs w:val="21"/>
                    </w:rPr>
                    <w:t>70</w:t>
                  </w:r>
                </w:p>
              </w:tc>
              <w:tc>
                <w:tcPr>
                  <w:tcW w:w="709" w:type="dxa"/>
                  <w:vAlign w:val="center"/>
                </w:tcPr>
                <w:p>
                  <w:pPr>
                    <w:jc w:val="center"/>
                    <w:rPr>
                      <w:szCs w:val="21"/>
                    </w:rPr>
                  </w:pPr>
                  <w:r>
                    <w:rPr>
                      <w:rFonts w:hint="eastAsia"/>
                      <w:szCs w:val="21"/>
                    </w:rPr>
                    <w:t>-</w:t>
                  </w:r>
                  <w:r>
                    <w:rPr>
                      <w:szCs w:val="21"/>
                    </w:rPr>
                    <w:t>1270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rFonts w:hint="eastAsia"/>
                      <w:szCs w:val="21"/>
                    </w:rPr>
                    <w:t>5</w:t>
                  </w:r>
                  <w:r>
                    <w:rPr>
                      <w:szCs w:val="21"/>
                    </w:rPr>
                    <w:t>0</w:t>
                  </w:r>
                  <w:r>
                    <w:rPr>
                      <w:rFonts w:hint="eastAsia"/>
                      <w:szCs w:val="21"/>
                    </w:rPr>
                    <w:t>~</w:t>
                  </w:r>
                  <w:r>
                    <w:rPr>
                      <w:szCs w:val="21"/>
                    </w:rPr>
                    <w:t>60户</w:t>
                  </w:r>
                  <w:r>
                    <w:rPr>
                      <w:rFonts w:hint="eastAsia"/>
                      <w:szCs w:val="21"/>
                    </w:rPr>
                    <w:t>，约1</w:t>
                  </w:r>
                  <w:r>
                    <w:rPr>
                      <w:szCs w:val="21"/>
                    </w:rPr>
                    <w:t>50</w:t>
                  </w:r>
                  <w:r>
                    <w:rPr>
                      <w:rFonts w:hint="eastAsia"/>
                      <w:szCs w:val="21"/>
                    </w:rPr>
                    <w:t>~</w:t>
                  </w:r>
                  <w:r>
                    <w:rPr>
                      <w:szCs w:val="21"/>
                    </w:rPr>
                    <w:t>180人</w:t>
                  </w:r>
                </w:p>
              </w:tc>
              <w:tc>
                <w:tcPr>
                  <w:tcW w:w="992" w:type="dxa"/>
                  <w:vAlign w:val="center"/>
                </w:tcPr>
                <w:p>
                  <w:pPr>
                    <w:jc w:val="center"/>
                    <w:rPr>
                      <w:szCs w:val="21"/>
                    </w:rPr>
                  </w:pPr>
                  <w:r>
                    <w:rPr>
                      <w:rFonts w:hint="eastAsia"/>
                      <w:szCs w:val="21"/>
                    </w:rPr>
                    <w:t>东南，高差-</w:t>
                  </w:r>
                  <w:r>
                    <w:rPr>
                      <w:szCs w:val="21"/>
                    </w:rPr>
                    <w:t>11m</w:t>
                  </w:r>
                </w:p>
              </w:tc>
              <w:tc>
                <w:tcPr>
                  <w:tcW w:w="1134" w:type="dxa"/>
                  <w:vAlign w:val="center"/>
                </w:tcPr>
                <w:p>
                  <w:pPr>
                    <w:jc w:val="center"/>
                    <w:rPr>
                      <w:szCs w:val="21"/>
                    </w:rPr>
                  </w:pPr>
                  <w:r>
                    <w:rPr>
                      <w:szCs w:val="21"/>
                    </w:rPr>
                    <w:t>1350</w:t>
                  </w:r>
                  <w:r>
                    <w:rPr>
                      <w:rFonts w:hint="eastAsia"/>
                      <w:szCs w:val="21"/>
                    </w:rPr>
                    <w:t>m</w:t>
                  </w:r>
                </w:p>
              </w:tc>
              <w:tc>
                <w:tcPr>
                  <w:tcW w:w="196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18" w:type="dxa"/>
                  <w:vMerge w:val="continue"/>
                  <w:vAlign w:val="center"/>
                </w:tcPr>
                <w:p>
                  <w:pPr>
                    <w:jc w:val="center"/>
                    <w:rPr>
                      <w:szCs w:val="21"/>
                    </w:rPr>
                  </w:pPr>
                </w:p>
              </w:tc>
              <w:tc>
                <w:tcPr>
                  <w:tcW w:w="992" w:type="dxa"/>
                  <w:vAlign w:val="center"/>
                </w:tcPr>
                <w:p>
                  <w:pPr>
                    <w:rPr>
                      <w:szCs w:val="21"/>
                    </w:rPr>
                  </w:pPr>
                  <w:r>
                    <w:rPr>
                      <w:rFonts w:hint="eastAsia"/>
                      <w:szCs w:val="21"/>
                    </w:rPr>
                    <w:t>白玉村</w:t>
                  </w:r>
                </w:p>
              </w:tc>
              <w:tc>
                <w:tcPr>
                  <w:tcW w:w="851" w:type="dxa"/>
                  <w:vAlign w:val="center"/>
                </w:tcPr>
                <w:p>
                  <w:pPr>
                    <w:jc w:val="center"/>
                    <w:rPr>
                      <w:szCs w:val="21"/>
                    </w:rPr>
                  </w:pPr>
                  <w:r>
                    <w:rPr>
                      <w:rFonts w:hint="eastAsia"/>
                      <w:szCs w:val="21"/>
                    </w:rPr>
                    <w:t>-</w:t>
                  </w:r>
                  <w:r>
                    <w:rPr>
                      <w:szCs w:val="21"/>
                    </w:rPr>
                    <w:t>700</w:t>
                  </w:r>
                </w:p>
              </w:tc>
              <w:tc>
                <w:tcPr>
                  <w:tcW w:w="709" w:type="dxa"/>
                  <w:vAlign w:val="center"/>
                </w:tcPr>
                <w:p>
                  <w:pPr>
                    <w:jc w:val="center"/>
                    <w:rPr>
                      <w:szCs w:val="21"/>
                    </w:rPr>
                  </w:pPr>
                  <w:r>
                    <w:rPr>
                      <w:rFonts w:hint="eastAsia"/>
                      <w:szCs w:val="21"/>
                    </w:rPr>
                    <w:t>-</w:t>
                  </w:r>
                  <w:r>
                    <w:rPr>
                      <w:szCs w:val="21"/>
                    </w:rPr>
                    <w:t>860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rFonts w:hint="eastAsia" w:ascii="宋体" w:hAnsi="宋体"/>
                      <w:iCs/>
                      <w:szCs w:val="21"/>
                    </w:rPr>
                    <w:t>30~40户，约90~120人</w:t>
                  </w:r>
                </w:p>
              </w:tc>
              <w:tc>
                <w:tcPr>
                  <w:tcW w:w="992" w:type="dxa"/>
                  <w:vAlign w:val="center"/>
                </w:tcPr>
                <w:p>
                  <w:pPr>
                    <w:jc w:val="center"/>
                    <w:rPr>
                      <w:szCs w:val="21"/>
                    </w:rPr>
                  </w:pPr>
                  <w:r>
                    <w:rPr>
                      <w:rFonts w:hint="eastAsia"/>
                      <w:szCs w:val="21"/>
                    </w:rPr>
                    <w:t>西南，高差-</w:t>
                  </w:r>
                  <w:r>
                    <w:rPr>
                      <w:szCs w:val="21"/>
                    </w:rPr>
                    <w:t>10m</w:t>
                  </w:r>
                </w:p>
              </w:tc>
              <w:tc>
                <w:tcPr>
                  <w:tcW w:w="1134" w:type="dxa"/>
                  <w:vAlign w:val="center"/>
                </w:tcPr>
                <w:p>
                  <w:pPr>
                    <w:jc w:val="center"/>
                    <w:rPr>
                      <w:szCs w:val="21"/>
                    </w:rPr>
                  </w:pPr>
                  <w:r>
                    <w:rPr>
                      <w:szCs w:val="21"/>
                    </w:rPr>
                    <w:t>1150m</w:t>
                  </w:r>
                </w:p>
              </w:tc>
              <w:tc>
                <w:tcPr>
                  <w:tcW w:w="196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18" w:type="dxa"/>
                  <w:vMerge w:val="continue"/>
                  <w:vAlign w:val="center"/>
                </w:tcPr>
                <w:p>
                  <w:pPr>
                    <w:jc w:val="center"/>
                    <w:rPr>
                      <w:szCs w:val="21"/>
                    </w:rPr>
                  </w:pPr>
                </w:p>
              </w:tc>
              <w:tc>
                <w:tcPr>
                  <w:tcW w:w="992" w:type="dxa"/>
                  <w:vAlign w:val="center"/>
                </w:tcPr>
                <w:p>
                  <w:pPr>
                    <w:rPr>
                      <w:szCs w:val="21"/>
                    </w:rPr>
                  </w:pPr>
                  <w:r>
                    <w:rPr>
                      <w:rFonts w:hint="eastAsia"/>
                      <w:szCs w:val="21"/>
                    </w:rPr>
                    <w:t>华光村</w:t>
                  </w:r>
                </w:p>
              </w:tc>
              <w:tc>
                <w:tcPr>
                  <w:tcW w:w="851" w:type="dxa"/>
                  <w:vAlign w:val="center"/>
                </w:tcPr>
                <w:p>
                  <w:pPr>
                    <w:jc w:val="center"/>
                    <w:rPr>
                      <w:szCs w:val="21"/>
                    </w:rPr>
                  </w:pPr>
                  <w:r>
                    <w:rPr>
                      <w:szCs w:val="21"/>
                    </w:rPr>
                    <w:t>-</w:t>
                  </w:r>
                  <w:r>
                    <w:rPr>
                      <w:rFonts w:hint="eastAsia"/>
                      <w:szCs w:val="21"/>
                    </w:rPr>
                    <w:t>1</w:t>
                  </w:r>
                  <w:r>
                    <w:rPr>
                      <w:szCs w:val="21"/>
                    </w:rPr>
                    <w:t>080</w:t>
                  </w:r>
                </w:p>
              </w:tc>
              <w:tc>
                <w:tcPr>
                  <w:tcW w:w="709" w:type="dxa"/>
                  <w:vAlign w:val="center"/>
                </w:tcPr>
                <w:p>
                  <w:pPr>
                    <w:jc w:val="center"/>
                    <w:rPr>
                      <w:szCs w:val="21"/>
                    </w:rPr>
                  </w:pPr>
                  <w:r>
                    <w:rPr>
                      <w:rFonts w:hint="eastAsia"/>
                      <w:szCs w:val="21"/>
                    </w:rPr>
                    <w:t>-</w:t>
                  </w:r>
                  <w:r>
                    <w:rPr>
                      <w:szCs w:val="21"/>
                    </w:rPr>
                    <w:t>1200</w:t>
                  </w:r>
                </w:p>
              </w:tc>
              <w:tc>
                <w:tcPr>
                  <w:tcW w:w="850" w:type="dxa"/>
                  <w:vAlign w:val="center"/>
                </w:tcPr>
                <w:p>
                  <w:pPr>
                    <w:rPr>
                      <w:szCs w:val="21"/>
                    </w:rPr>
                  </w:pPr>
                  <w:r>
                    <w:rPr>
                      <w:szCs w:val="21"/>
                    </w:rPr>
                    <w:t>居民区</w:t>
                  </w:r>
                </w:p>
              </w:tc>
              <w:tc>
                <w:tcPr>
                  <w:tcW w:w="1418" w:type="dxa"/>
                  <w:vAlign w:val="center"/>
                </w:tcPr>
                <w:p>
                  <w:pPr>
                    <w:jc w:val="center"/>
                    <w:rPr>
                      <w:szCs w:val="21"/>
                    </w:rPr>
                  </w:pPr>
                  <w:r>
                    <w:rPr>
                      <w:rFonts w:hint="eastAsia"/>
                      <w:szCs w:val="21"/>
                    </w:rPr>
                    <w:t>4</w:t>
                  </w:r>
                  <w:r>
                    <w:rPr>
                      <w:szCs w:val="21"/>
                    </w:rPr>
                    <w:t>0</w:t>
                  </w:r>
                  <w:r>
                    <w:rPr>
                      <w:rFonts w:hint="eastAsia"/>
                      <w:szCs w:val="21"/>
                    </w:rPr>
                    <w:t>~</w:t>
                  </w:r>
                  <w:r>
                    <w:rPr>
                      <w:szCs w:val="21"/>
                    </w:rPr>
                    <w:t>50户</w:t>
                  </w:r>
                  <w:r>
                    <w:rPr>
                      <w:rFonts w:hint="eastAsia"/>
                      <w:szCs w:val="21"/>
                    </w:rPr>
                    <w:t>，约1</w:t>
                  </w:r>
                  <w:r>
                    <w:rPr>
                      <w:szCs w:val="21"/>
                    </w:rPr>
                    <w:t>20</w:t>
                  </w:r>
                  <w:r>
                    <w:rPr>
                      <w:rFonts w:hint="eastAsia"/>
                      <w:szCs w:val="21"/>
                    </w:rPr>
                    <w:t>~</w:t>
                  </w:r>
                  <w:r>
                    <w:rPr>
                      <w:szCs w:val="21"/>
                    </w:rPr>
                    <w:t>150人</w:t>
                  </w:r>
                </w:p>
              </w:tc>
              <w:tc>
                <w:tcPr>
                  <w:tcW w:w="992" w:type="dxa"/>
                  <w:vAlign w:val="center"/>
                </w:tcPr>
                <w:p>
                  <w:pPr>
                    <w:jc w:val="center"/>
                    <w:rPr>
                      <w:szCs w:val="21"/>
                    </w:rPr>
                  </w:pPr>
                  <w:r>
                    <w:rPr>
                      <w:rFonts w:hint="eastAsia"/>
                      <w:szCs w:val="21"/>
                    </w:rPr>
                    <w:t>西南，高差-</w:t>
                  </w:r>
                  <w:r>
                    <w:rPr>
                      <w:szCs w:val="21"/>
                    </w:rPr>
                    <w:t>6m</w:t>
                  </w:r>
                </w:p>
              </w:tc>
              <w:tc>
                <w:tcPr>
                  <w:tcW w:w="1134" w:type="dxa"/>
                  <w:vAlign w:val="center"/>
                </w:tcPr>
                <w:p>
                  <w:pPr>
                    <w:jc w:val="center"/>
                    <w:rPr>
                      <w:szCs w:val="21"/>
                    </w:rPr>
                  </w:pPr>
                  <w:r>
                    <w:rPr>
                      <w:rFonts w:hint="eastAsia"/>
                      <w:szCs w:val="21"/>
                    </w:rPr>
                    <w:t>1</w:t>
                  </w:r>
                  <w:r>
                    <w:rPr>
                      <w:szCs w:val="21"/>
                    </w:rPr>
                    <w:t>750m</w:t>
                  </w:r>
                </w:p>
              </w:tc>
              <w:tc>
                <w:tcPr>
                  <w:tcW w:w="196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18" w:type="dxa"/>
                  <w:vMerge w:val="continue"/>
                  <w:vAlign w:val="center"/>
                </w:tcPr>
                <w:p>
                  <w:pPr>
                    <w:jc w:val="center"/>
                    <w:rPr>
                      <w:szCs w:val="21"/>
                    </w:rPr>
                  </w:pPr>
                </w:p>
              </w:tc>
              <w:tc>
                <w:tcPr>
                  <w:tcW w:w="992" w:type="dxa"/>
                  <w:vAlign w:val="center"/>
                </w:tcPr>
                <w:p>
                  <w:pPr>
                    <w:rPr>
                      <w:szCs w:val="21"/>
                    </w:rPr>
                  </w:pPr>
                  <w:r>
                    <w:rPr>
                      <w:rFonts w:hint="eastAsia"/>
                      <w:szCs w:val="21"/>
                    </w:rPr>
                    <w:t>龙窝村</w:t>
                  </w:r>
                </w:p>
              </w:tc>
              <w:tc>
                <w:tcPr>
                  <w:tcW w:w="851" w:type="dxa"/>
                  <w:vAlign w:val="center"/>
                </w:tcPr>
                <w:p>
                  <w:pPr>
                    <w:jc w:val="center"/>
                    <w:rPr>
                      <w:szCs w:val="21"/>
                    </w:rPr>
                  </w:pPr>
                  <w:r>
                    <w:rPr>
                      <w:szCs w:val="21"/>
                    </w:rPr>
                    <w:t>-</w:t>
                  </w:r>
                  <w:r>
                    <w:rPr>
                      <w:rFonts w:hint="eastAsia"/>
                      <w:szCs w:val="21"/>
                    </w:rPr>
                    <w:t>6</w:t>
                  </w:r>
                  <w:r>
                    <w:rPr>
                      <w:szCs w:val="21"/>
                    </w:rPr>
                    <w:t>00</w:t>
                  </w:r>
                </w:p>
              </w:tc>
              <w:tc>
                <w:tcPr>
                  <w:tcW w:w="709" w:type="dxa"/>
                  <w:vAlign w:val="center"/>
                </w:tcPr>
                <w:p>
                  <w:pPr>
                    <w:jc w:val="center"/>
                    <w:rPr>
                      <w:szCs w:val="21"/>
                    </w:rPr>
                  </w:pPr>
                  <w:r>
                    <w:rPr>
                      <w:rFonts w:hint="eastAsia"/>
                      <w:szCs w:val="21"/>
                    </w:rPr>
                    <w:t>-</w:t>
                  </w:r>
                  <w:r>
                    <w:rPr>
                      <w:szCs w:val="21"/>
                    </w:rPr>
                    <w:t>1380</w:t>
                  </w:r>
                </w:p>
              </w:tc>
              <w:tc>
                <w:tcPr>
                  <w:tcW w:w="850" w:type="dxa"/>
                  <w:vAlign w:val="center"/>
                </w:tcPr>
                <w:p>
                  <w:pPr>
                    <w:jc w:val="center"/>
                    <w:rPr>
                      <w:szCs w:val="21"/>
                    </w:rPr>
                  </w:pPr>
                  <w:r>
                    <w:rPr>
                      <w:rFonts w:hint="eastAsia"/>
                      <w:szCs w:val="21"/>
                    </w:rPr>
                    <w:t>居民区</w:t>
                  </w:r>
                </w:p>
              </w:tc>
              <w:tc>
                <w:tcPr>
                  <w:tcW w:w="1418" w:type="dxa"/>
                  <w:vAlign w:val="center"/>
                </w:tcPr>
                <w:p>
                  <w:pPr>
                    <w:jc w:val="center"/>
                    <w:rPr>
                      <w:szCs w:val="21"/>
                    </w:rPr>
                  </w:pPr>
                  <w:r>
                    <w:rPr>
                      <w:rFonts w:hint="eastAsia"/>
                      <w:szCs w:val="21"/>
                    </w:rPr>
                    <w:t>6</w:t>
                  </w:r>
                  <w:r>
                    <w:rPr>
                      <w:szCs w:val="21"/>
                    </w:rPr>
                    <w:t>0</w:t>
                  </w:r>
                  <w:r>
                    <w:rPr>
                      <w:rFonts w:hint="eastAsia"/>
                      <w:szCs w:val="21"/>
                    </w:rPr>
                    <w:t>~</w:t>
                  </w:r>
                  <w:r>
                    <w:rPr>
                      <w:szCs w:val="21"/>
                    </w:rPr>
                    <w:t>70户</w:t>
                  </w:r>
                  <w:r>
                    <w:rPr>
                      <w:rFonts w:hint="eastAsia"/>
                      <w:szCs w:val="21"/>
                    </w:rPr>
                    <w:t>，约1</w:t>
                  </w:r>
                  <w:r>
                    <w:rPr>
                      <w:szCs w:val="21"/>
                    </w:rPr>
                    <w:t>80</w:t>
                  </w:r>
                  <w:r>
                    <w:rPr>
                      <w:rFonts w:hint="eastAsia"/>
                      <w:szCs w:val="21"/>
                    </w:rPr>
                    <w:t>~</w:t>
                  </w:r>
                  <w:r>
                    <w:rPr>
                      <w:szCs w:val="21"/>
                    </w:rPr>
                    <w:t>210人</w:t>
                  </w:r>
                </w:p>
              </w:tc>
              <w:tc>
                <w:tcPr>
                  <w:tcW w:w="992" w:type="dxa"/>
                  <w:vAlign w:val="center"/>
                </w:tcPr>
                <w:p>
                  <w:pPr>
                    <w:jc w:val="center"/>
                    <w:rPr>
                      <w:szCs w:val="21"/>
                    </w:rPr>
                  </w:pPr>
                  <w:r>
                    <w:rPr>
                      <w:rFonts w:hint="eastAsia"/>
                      <w:szCs w:val="21"/>
                    </w:rPr>
                    <w:t>西南，高差-</w:t>
                  </w:r>
                  <w:r>
                    <w:rPr>
                      <w:szCs w:val="21"/>
                    </w:rPr>
                    <w:t>8m</w:t>
                  </w:r>
                </w:p>
              </w:tc>
              <w:tc>
                <w:tcPr>
                  <w:tcW w:w="1134" w:type="dxa"/>
                  <w:vAlign w:val="center"/>
                </w:tcPr>
                <w:p>
                  <w:pPr>
                    <w:jc w:val="center"/>
                    <w:rPr>
                      <w:szCs w:val="21"/>
                    </w:rPr>
                  </w:pPr>
                  <w:r>
                    <w:rPr>
                      <w:rFonts w:hint="eastAsia"/>
                      <w:szCs w:val="21"/>
                    </w:rPr>
                    <w:t>1</w:t>
                  </w:r>
                  <w:r>
                    <w:rPr>
                      <w:szCs w:val="21"/>
                    </w:rPr>
                    <w:t>650</w:t>
                  </w:r>
                </w:p>
              </w:tc>
              <w:tc>
                <w:tcPr>
                  <w:tcW w:w="196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18" w:type="dxa"/>
                  <w:vMerge w:val="continue"/>
                  <w:vAlign w:val="center"/>
                </w:tcPr>
                <w:p>
                  <w:pPr>
                    <w:jc w:val="center"/>
                    <w:rPr>
                      <w:szCs w:val="21"/>
                    </w:rPr>
                  </w:pPr>
                </w:p>
              </w:tc>
              <w:tc>
                <w:tcPr>
                  <w:tcW w:w="992" w:type="dxa"/>
                  <w:vAlign w:val="center"/>
                </w:tcPr>
                <w:p>
                  <w:pPr>
                    <w:ind w:firstLine="105" w:firstLineChars="50"/>
                    <w:jc w:val="center"/>
                    <w:rPr>
                      <w:szCs w:val="21"/>
                    </w:rPr>
                  </w:pPr>
                  <w:r>
                    <w:rPr>
                      <w:rFonts w:hint="eastAsia"/>
                      <w:szCs w:val="21"/>
                    </w:rPr>
                    <w:t>水口镇场镇</w:t>
                  </w:r>
                </w:p>
              </w:tc>
              <w:tc>
                <w:tcPr>
                  <w:tcW w:w="851" w:type="dxa"/>
                  <w:vAlign w:val="center"/>
                </w:tcPr>
                <w:p>
                  <w:pPr>
                    <w:rPr>
                      <w:szCs w:val="21"/>
                    </w:rPr>
                  </w:pPr>
                  <w:r>
                    <w:rPr>
                      <w:szCs w:val="21"/>
                    </w:rPr>
                    <w:t>+1590</w:t>
                  </w:r>
                </w:p>
              </w:tc>
              <w:tc>
                <w:tcPr>
                  <w:tcW w:w="709" w:type="dxa"/>
                  <w:vAlign w:val="center"/>
                </w:tcPr>
                <w:p>
                  <w:pPr>
                    <w:jc w:val="center"/>
                    <w:rPr>
                      <w:szCs w:val="21"/>
                    </w:rPr>
                  </w:pPr>
                  <w:r>
                    <w:rPr>
                      <w:szCs w:val="21"/>
                    </w:rPr>
                    <w:t>+145</w:t>
                  </w:r>
                </w:p>
              </w:tc>
              <w:tc>
                <w:tcPr>
                  <w:tcW w:w="850" w:type="dxa"/>
                  <w:vAlign w:val="center"/>
                </w:tcPr>
                <w:p>
                  <w:pPr>
                    <w:jc w:val="center"/>
                    <w:rPr>
                      <w:szCs w:val="21"/>
                    </w:rPr>
                  </w:pPr>
                  <w:r>
                    <w:rPr>
                      <w:rFonts w:hint="eastAsia"/>
                      <w:szCs w:val="21"/>
                    </w:rPr>
                    <w:t>场镇</w:t>
                  </w:r>
                </w:p>
              </w:tc>
              <w:tc>
                <w:tcPr>
                  <w:tcW w:w="1418" w:type="dxa"/>
                  <w:vAlign w:val="center"/>
                </w:tcPr>
                <w:p>
                  <w:pPr>
                    <w:jc w:val="center"/>
                    <w:rPr>
                      <w:szCs w:val="21"/>
                    </w:rPr>
                  </w:pPr>
                  <w:r>
                    <w:rPr>
                      <w:rFonts w:hint="eastAsia" w:ascii="宋体" w:hAnsi="宋体"/>
                      <w:iCs/>
                      <w:szCs w:val="21"/>
                    </w:rPr>
                    <w:t>300~400户，900~1200人</w:t>
                  </w:r>
                </w:p>
              </w:tc>
              <w:tc>
                <w:tcPr>
                  <w:tcW w:w="992" w:type="dxa"/>
                  <w:vAlign w:val="center"/>
                </w:tcPr>
                <w:p>
                  <w:pPr>
                    <w:jc w:val="center"/>
                    <w:rPr>
                      <w:szCs w:val="21"/>
                    </w:rPr>
                  </w:pPr>
                  <w:r>
                    <w:rPr>
                      <w:rFonts w:hint="eastAsia"/>
                      <w:szCs w:val="21"/>
                    </w:rPr>
                    <w:t>东北，高差-</w:t>
                  </w:r>
                  <w:r>
                    <w:rPr>
                      <w:szCs w:val="21"/>
                    </w:rPr>
                    <w:t>14m</w:t>
                  </w:r>
                </w:p>
              </w:tc>
              <w:tc>
                <w:tcPr>
                  <w:tcW w:w="1134" w:type="dxa"/>
                  <w:vAlign w:val="center"/>
                </w:tcPr>
                <w:p>
                  <w:pPr>
                    <w:jc w:val="center"/>
                    <w:rPr>
                      <w:szCs w:val="21"/>
                    </w:rPr>
                  </w:pPr>
                  <w:r>
                    <w:rPr>
                      <w:rFonts w:hint="eastAsia"/>
                      <w:szCs w:val="21"/>
                    </w:rPr>
                    <w:t>1</w:t>
                  </w:r>
                  <w:r>
                    <w:rPr>
                      <w:szCs w:val="21"/>
                    </w:rPr>
                    <w:t>640</w:t>
                  </w:r>
                </w:p>
              </w:tc>
              <w:tc>
                <w:tcPr>
                  <w:tcW w:w="196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18" w:type="dxa"/>
                  <w:vAlign w:val="center"/>
                </w:tcPr>
                <w:p>
                  <w:pPr>
                    <w:jc w:val="center"/>
                    <w:rPr>
                      <w:szCs w:val="21"/>
                    </w:rPr>
                  </w:pPr>
                  <w:r>
                    <w:rPr>
                      <w:rFonts w:hint="eastAsia"/>
                      <w:szCs w:val="21"/>
                    </w:rPr>
                    <w:t>声环境</w:t>
                  </w:r>
                </w:p>
              </w:tc>
              <w:tc>
                <w:tcPr>
                  <w:tcW w:w="992" w:type="dxa"/>
                  <w:vAlign w:val="center"/>
                </w:tcPr>
                <w:p>
                  <w:pPr>
                    <w:jc w:val="center"/>
                    <w:rPr>
                      <w:szCs w:val="21"/>
                    </w:rPr>
                  </w:pPr>
                  <w:r>
                    <w:rPr>
                      <w:rFonts w:hint="eastAsia"/>
                      <w:szCs w:val="21"/>
                    </w:rPr>
                    <w:t>/</w:t>
                  </w:r>
                </w:p>
              </w:tc>
              <w:tc>
                <w:tcPr>
                  <w:tcW w:w="851" w:type="dxa"/>
                  <w:vAlign w:val="center"/>
                </w:tcPr>
                <w:p>
                  <w:pPr>
                    <w:jc w:val="center"/>
                    <w:rPr>
                      <w:szCs w:val="21"/>
                    </w:rPr>
                  </w:pPr>
                  <w:r>
                    <w:rPr>
                      <w:rFonts w:hint="eastAsia"/>
                      <w:szCs w:val="21"/>
                    </w:rPr>
                    <w:t>/</w:t>
                  </w:r>
                </w:p>
              </w:tc>
              <w:tc>
                <w:tcPr>
                  <w:tcW w:w="709" w:type="dxa"/>
                  <w:vAlign w:val="center"/>
                </w:tcPr>
                <w:p>
                  <w:pPr>
                    <w:jc w:val="center"/>
                    <w:rPr>
                      <w:szCs w:val="21"/>
                    </w:rPr>
                  </w:pPr>
                  <w:r>
                    <w:rPr>
                      <w:rFonts w:hint="eastAsia"/>
                      <w:szCs w:val="21"/>
                    </w:rPr>
                    <w:t>/</w:t>
                  </w:r>
                </w:p>
              </w:tc>
              <w:tc>
                <w:tcPr>
                  <w:tcW w:w="850" w:type="dxa"/>
                  <w:vAlign w:val="center"/>
                </w:tcPr>
                <w:p>
                  <w:pPr>
                    <w:jc w:val="center"/>
                    <w:rPr>
                      <w:szCs w:val="21"/>
                    </w:rPr>
                  </w:pPr>
                  <w:r>
                    <w:rPr>
                      <w:rFonts w:hint="eastAsia"/>
                      <w:szCs w:val="21"/>
                    </w:rPr>
                    <w:t>/</w:t>
                  </w:r>
                </w:p>
              </w:tc>
              <w:tc>
                <w:tcPr>
                  <w:tcW w:w="1418" w:type="dxa"/>
                  <w:vAlign w:val="center"/>
                </w:tcPr>
                <w:p>
                  <w:pPr>
                    <w:jc w:val="center"/>
                    <w:rPr>
                      <w:szCs w:val="21"/>
                    </w:rPr>
                  </w:pPr>
                  <w:r>
                    <w:rPr>
                      <w:rFonts w:hint="eastAsia"/>
                      <w:szCs w:val="21"/>
                    </w:rPr>
                    <w:t>/</w:t>
                  </w:r>
                </w:p>
              </w:tc>
              <w:tc>
                <w:tcPr>
                  <w:tcW w:w="992" w:type="dxa"/>
                  <w:vAlign w:val="center"/>
                </w:tcPr>
                <w:p>
                  <w:pPr>
                    <w:jc w:val="center"/>
                    <w:rPr>
                      <w:szCs w:val="21"/>
                    </w:rPr>
                  </w:pPr>
                  <w:r>
                    <w:rPr>
                      <w:rFonts w:hint="eastAsia"/>
                      <w:szCs w:val="21"/>
                    </w:rPr>
                    <w:t>/</w:t>
                  </w:r>
                </w:p>
              </w:tc>
              <w:tc>
                <w:tcPr>
                  <w:tcW w:w="1134" w:type="dxa"/>
                  <w:vAlign w:val="center"/>
                </w:tcPr>
                <w:p>
                  <w:pPr>
                    <w:jc w:val="center"/>
                    <w:rPr>
                      <w:szCs w:val="21"/>
                    </w:rPr>
                  </w:pPr>
                  <w:r>
                    <w:rPr>
                      <w:rFonts w:hint="eastAsia"/>
                      <w:szCs w:val="21"/>
                    </w:rPr>
                    <w:t>/</w:t>
                  </w:r>
                </w:p>
              </w:tc>
              <w:tc>
                <w:tcPr>
                  <w:tcW w:w="1966" w:type="dxa"/>
                  <w:vAlign w:val="center"/>
                </w:tcPr>
                <w:p>
                  <w:pPr>
                    <w:jc w:val="center"/>
                    <w:rPr>
                      <w:szCs w:val="21"/>
                    </w:rPr>
                  </w:pPr>
                  <w:r>
                    <w:rPr>
                      <w:rFonts w:hint="eastAsia"/>
                      <w:szCs w:val="21"/>
                    </w:rPr>
                    <w:t>《声环境质量标准》（GB3096-2008）2类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718" w:type="dxa"/>
                  <w:vMerge w:val="restart"/>
                  <w:vAlign w:val="center"/>
                </w:tcPr>
                <w:p>
                  <w:pPr>
                    <w:jc w:val="center"/>
                    <w:rPr>
                      <w:szCs w:val="21"/>
                    </w:rPr>
                  </w:pPr>
                  <w:r>
                    <w:rPr>
                      <w:rFonts w:hint="eastAsia"/>
                      <w:szCs w:val="21"/>
                    </w:rPr>
                    <w:t>地表水</w:t>
                  </w:r>
                </w:p>
              </w:tc>
              <w:tc>
                <w:tcPr>
                  <w:tcW w:w="992" w:type="dxa"/>
                  <w:vAlign w:val="center"/>
                </w:tcPr>
                <w:p>
                  <w:pPr>
                    <w:jc w:val="center"/>
                    <w:rPr>
                      <w:szCs w:val="21"/>
                    </w:rPr>
                  </w:pPr>
                  <w:r>
                    <w:rPr>
                      <w:rFonts w:hint="eastAsia"/>
                      <w:szCs w:val="21"/>
                    </w:rPr>
                    <w:t>大渡河</w:t>
                  </w:r>
                </w:p>
              </w:tc>
              <w:tc>
                <w:tcPr>
                  <w:tcW w:w="851" w:type="dxa"/>
                  <w:vAlign w:val="center"/>
                </w:tcPr>
                <w:p>
                  <w:pPr>
                    <w:jc w:val="center"/>
                    <w:rPr>
                      <w:szCs w:val="21"/>
                    </w:rPr>
                  </w:pPr>
                  <w:r>
                    <w:rPr>
                      <w:rFonts w:hint="eastAsia"/>
                      <w:szCs w:val="21"/>
                    </w:rPr>
                    <w:t>/</w:t>
                  </w:r>
                </w:p>
              </w:tc>
              <w:tc>
                <w:tcPr>
                  <w:tcW w:w="709" w:type="dxa"/>
                  <w:vAlign w:val="center"/>
                </w:tcPr>
                <w:p>
                  <w:pPr>
                    <w:jc w:val="center"/>
                    <w:rPr>
                      <w:szCs w:val="21"/>
                    </w:rPr>
                  </w:pPr>
                  <w:r>
                    <w:rPr>
                      <w:rFonts w:hint="eastAsia"/>
                      <w:szCs w:val="21"/>
                    </w:rPr>
                    <w:t>/</w:t>
                  </w:r>
                </w:p>
              </w:tc>
              <w:tc>
                <w:tcPr>
                  <w:tcW w:w="850" w:type="dxa"/>
                  <w:vAlign w:val="center"/>
                </w:tcPr>
                <w:p>
                  <w:pPr>
                    <w:jc w:val="center"/>
                    <w:rPr>
                      <w:szCs w:val="21"/>
                    </w:rPr>
                  </w:pPr>
                  <w:r>
                    <w:rPr>
                      <w:rFonts w:hint="eastAsia"/>
                      <w:szCs w:val="21"/>
                    </w:rPr>
                    <w:t>河流</w:t>
                  </w:r>
                </w:p>
              </w:tc>
              <w:tc>
                <w:tcPr>
                  <w:tcW w:w="1418" w:type="dxa"/>
                  <w:vAlign w:val="center"/>
                </w:tcPr>
                <w:p>
                  <w:pPr>
                    <w:jc w:val="center"/>
                    <w:rPr>
                      <w:szCs w:val="21"/>
                    </w:rPr>
                  </w:pPr>
                  <w:r>
                    <w:rPr>
                      <w:rFonts w:hint="eastAsia"/>
                      <w:szCs w:val="21"/>
                    </w:rPr>
                    <w:t>大河</w:t>
                  </w:r>
                </w:p>
              </w:tc>
              <w:tc>
                <w:tcPr>
                  <w:tcW w:w="992" w:type="dxa"/>
                  <w:vAlign w:val="center"/>
                </w:tcPr>
                <w:p>
                  <w:pPr>
                    <w:jc w:val="center"/>
                    <w:rPr>
                      <w:szCs w:val="21"/>
                    </w:rPr>
                  </w:pPr>
                  <w:r>
                    <w:rPr>
                      <w:rFonts w:hint="eastAsia"/>
                      <w:szCs w:val="21"/>
                    </w:rPr>
                    <w:t>东南，高差-</w:t>
                  </w:r>
                  <w:r>
                    <w:rPr>
                      <w:szCs w:val="21"/>
                    </w:rPr>
                    <w:t>18m</w:t>
                  </w:r>
                </w:p>
              </w:tc>
              <w:tc>
                <w:tcPr>
                  <w:tcW w:w="1134" w:type="dxa"/>
                  <w:vAlign w:val="center"/>
                </w:tcPr>
                <w:p>
                  <w:pPr>
                    <w:jc w:val="center"/>
                    <w:rPr>
                      <w:szCs w:val="21"/>
                    </w:rPr>
                  </w:pPr>
                  <w:r>
                    <w:rPr>
                      <w:szCs w:val="21"/>
                    </w:rPr>
                    <w:t>1100</w:t>
                  </w:r>
                  <w:r>
                    <w:rPr>
                      <w:rFonts w:hint="eastAsia"/>
                      <w:szCs w:val="21"/>
                    </w:rPr>
                    <w:t>m</w:t>
                  </w:r>
                </w:p>
              </w:tc>
              <w:tc>
                <w:tcPr>
                  <w:tcW w:w="1966" w:type="dxa"/>
                  <w:vMerge w:val="restart"/>
                  <w:vAlign w:val="center"/>
                </w:tcPr>
                <w:p>
                  <w:pPr>
                    <w:jc w:val="center"/>
                    <w:rPr>
                      <w:szCs w:val="21"/>
                    </w:rPr>
                  </w:pPr>
                  <w:r>
                    <w:rPr>
                      <w:rFonts w:hint="eastAsia"/>
                      <w:szCs w:val="21"/>
                    </w:rPr>
                    <w:t>《地表水环境质量标准》（GB3838-02）Ⅲ类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18" w:type="dxa"/>
                  <w:vMerge w:val="continue"/>
                  <w:vAlign w:val="center"/>
                </w:tcPr>
                <w:p>
                  <w:pPr>
                    <w:jc w:val="center"/>
                    <w:rPr>
                      <w:szCs w:val="21"/>
                    </w:rPr>
                  </w:pPr>
                </w:p>
              </w:tc>
              <w:tc>
                <w:tcPr>
                  <w:tcW w:w="992" w:type="dxa"/>
                  <w:vAlign w:val="center"/>
                </w:tcPr>
                <w:p>
                  <w:pPr>
                    <w:jc w:val="center"/>
                    <w:rPr>
                      <w:szCs w:val="21"/>
                    </w:rPr>
                  </w:pPr>
                  <w:r>
                    <w:rPr>
                      <w:rFonts w:hint="eastAsia"/>
                      <w:szCs w:val="21"/>
                    </w:rPr>
                    <w:t>生态河</w:t>
                  </w:r>
                </w:p>
              </w:tc>
              <w:tc>
                <w:tcPr>
                  <w:tcW w:w="851" w:type="dxa"/>
                  <w:vAlign w:val="center"/>
                </w:tcPr>
                <w:p>
                  <w:pPr>
                    <w:jc w:val="center"/>
                    <w:rPr>
                      <w:szCs w:val="21"/>
                    </w:rPr>
                  </w:pPr>
                  <w:r>
                    <w:rPr>
                      <w:rFonts w:hint="eastAsia"/>
                      <w:szCs w:val="21"/>
                    </w:rPr>
                    <w:t>/</w:t>
                  </w:r>
                </w:p>
              </w:tc>
              <w:tc>
                <w:tcPr>
                  <w:tcW w:w="709" w:type="dxa"/>
                  <w:vAlign w:val="center"/>
                </w:tcPr>
                <w:p>
                  <w:pPr>
                    <w:jc w:val="center"/>
                    <w:rPr>
                      <w:szCs w:val="21"/>
                    </w:rPr>
                  </w:pPr>
                  <w:r>
                    <w:rPr>
                      <w:rFonts w:hint="eastAsia"/>
                      <w:szCs w:val="21"/>
                    </w:rPr>
                    <w:t>/</w:t>
                  </w:r>
                </w:p>
              </w:tc>
              <w:tc>
                <w:tcPr>
                  <w:tcW w:w="850" w:type="dxa"/>
                  <w:vAlign w:val="center"/>
                </w:tcPr>
                <w:p>
                  <w:pPr>
                    <w:jc w:val="center"/>
                    <w:rPr>
                      <w:szCs w:val="21"/>
                    </w:rPr>
                  </w:pPr>
                  <w:r>
                    <w:rPr>
                      <w:rFonts w:hint="eastAsia"/>
                      <w:szCs w:val="21"/>
                    </w:rPr>
                    <w:t>河流</w:t>
                  </w:r>
                </w:p>
              </w:tc>
              <w:tc>
                <w:tcPr>
                  <w:tcW w:w="1418" w:type="dxa"/>
                  <w:vAlign w:val="center"/>
                </w:tcPr>
                <w:p>
                  <w:pPr>
                    <w:jc w:val="center"/>
                    <w:rPr>
                      <w:szCs w:val="21"/>
                    </w:rPr>
                  </w:pPr>
                  <w:r>
                    <w:rPr>
                      <w:rFonts w:hint="eastAsia"/>
                      <w:szCs w:val="21"/>
                    </w:rPr>
                    <w:t>大河</w:t>
                  </w:r>
                </w:p>
              </w:tc>
              <w:tc>
                <w:tcPr>
                  <w:tcW w:w="992" w:type="dxa"/>
                  <w:vAlign w:val="center"/>
                </w:tcPr>
                <w:p>
                  <w:pPr>
                    <w:jc w:val="center"/>
                    <w:rPr>
                      <w:szCs w:val="21"/>
                    </w:rPr>
                  </w:pPr>
                  <w:r>
                    <w:rPr>
                      <w:rFonts w:hint="eastAsia"/>
                      <w:szCs w:val="21"/>
                    </w:rPr>
                    <w:t>东南，高差-</w:t>
                  </w:r>
                  <w:r>
                    <w:rPr>
                      <w:szCs w:val="21"/>
                    </w:rPr>
                    <w:t>14m</w:t>
                  </w:r>
                </w:p>
              </w:tc>
              <w:tc>
                <w:tcPr>
                  <w:tcW w:w="1134" w:type="dxa"/>
                  <w:vAlign w:val="center"/>
                </w:tcPr>
                <w:p>
                  <w:pPr>
                    <w:jc w:val="center"/>
                    <w:rPr>
                      <w:szCs w:val="21"/>
                    </w:rPr>
                  </w:pPr>
                  <w:r>
                    <w:rPr>
                      <w:szCs w:val="21"/>
                    </w:rPr>
                    <w:t>731</w:t>
                  </w:r>
                  <w:r>
                    <w:rPr>
                      <w:rFonts w:hint="eastAsia"/>
                      <w:szCs w:val="21"/>
                    </w:rPr>
                    <w:t>m</w:t>
                  </w:r>
                </w:p>
              </w:tc>
              <w:tc>
                <w:tcPr>
                  <w:tcW w:w="196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718" w:type="dxa"/>
                  <w:vAlign w:val="center"/>
                </w:tcPr>
                <w:p>
                  <w:pPr>
                    <w:jc w:val="center"/>
                    <w:rPr>
                      <w:szCs w:val="21"/>
                    </w:rPr>
                  </w:pPr>
                  <w:r>
                    <w:rPr>
                      <w:rFonts w:hint="eastAsia"/>
                      <w:szCs w:val="21"/>
                    </w:rPr>
                    <w:t>地下水</w:t>
                  </w:r>
                </w:p>
              </w:tc>
              <w:tc>
                <w:tcPr>
                  <w:tcW w:w="992" w:type="dxa"/>
                </w:tcPr>
                <w:p>
                  <w:pPr>
                    <w:jc w:val="center"/>
                    <w:rPr>
                      <w:szCs w:val="21"/>
                    </w:rPr>
                  </w:pPr>
                </w:p>
              </w:tc>
              <w:tc>
                <w:tcPr>
                  <w:tcW w:w="5954" w:type="dxa"/>
                  <w:gridSpan w:val="6"/>
                  <w:vAlign w:val="center"/>
                </w:tcPr>
                <w:p>
                  <w:pPr>
                    <w:jc w:val="center"/>
                    <w:rPr>
                      <w:szCs w:val="21"/>
                    </w:rPr>
                  </w:pPr>
                  <w:r>
                    <w:rPr>
                      <w:rFonts w:hint="eastAsia"/>
                      <w:szCs w:val="21"/>
                    </w:rPr>
                    <w:t>项目建设区域</w:t>
                  </w:r>
                </w:p>
              </w:tc>
              <w:tc>
                <w:tcPr>
                  <w:tcW w:w="1966" w:type="dxa"/>
                  <w:vAlign w:val="center"/>
                </w:tcPr>
                <w:p>
                  <w:pPr>
                    <w:jc w:val="center"/>
                    <w:rPr>
                      <w:szCs w:val="21"/>
                    </w:rPr>
                  </w:pPr>
                  <w:r>
                    <w:rPr>
                      <w:rFonts w:hint="eastAsia"/>
                      <w:szCs w:val="21"/>
                    </w:rPr>
                    <w:t>《地下水质量标准》（GB14848-93）Ⅲ类</w:t>
                  </w:r>
                </w:p>
              </w:tc>
            </w:tr>
          </w:tbl>
          <w:p>
            <w:pPr>
              <w:spacing w:line="360" w:lineRule="auto"/>
              <w:ind w:firstLine="482" w:firstLineChars="200"/>
              <w:rPr>
                <w:b/>
                <w:iCs/>
                <w:sz w:val="24"/>
              </w:rPr>
            </w:pPr>
            <w:r>
              <w:rPr>
                <w:rFonts w:hint="eastAsia"/>
                <w:b/>
                <w:iCs/>
                <w:sz w:val="24"/>
              </w:rPr>
              <w:t>3）环境风险识别</w:t>
            </w:r>
          </w:p>
          <w:p>
            <w:pPr>
              <w:autoSpaceDE w:val="0"/>
              <w:autoSpaceDN w:val="0"/>
              <w:adjustRightInd w:val="0"/>
              <w:spacing w:line="360" w:lineRule="auto"/>
              <w:ind w:firstLine="480" w:firstLineChars="200"/>
              <w:rPr>
                <w:rFonts w:ascii="宋体" w:hAnsi="宋体"/>
                <w:kern w:val="0"/>
                <w:sz w:val="24"/>
              </w:rPr>
            </w:pPr>
            <w:r>
              <w:rPr>
                <w:rFonts w:hint="eastAsia" w:ascii="宋体" w:hAnsi="宋体"/>
                <w:kern w:val="0"/>
                <w:sz w:val="24"/>
              </w:rPr>
              <w:t>（1）物质风险识别</w:t>
            </w:r>
          </w:p>
          <w:p>
            <w:pPr>
              <w:autoSpaceDE w:val="0"/>
              <w:autoSpaceDN w:val="0"/>
              <w:adjustRightInd w:val="0"/>
              <w:spacing w:line="360" w:lineRule="auto"/>
              <w:ind w:firstLine="480" w:firstLineChars="200"/>
              <w:rPr>
                <w:rFonts w:ascii="宋体" w:hAnsi="宋体"/>
                <w:kern w:val="0"/>
                <w:sz w:val="24"/>
              </w:rPr>
            </w:pPr>
            <w:r>
              <w:rPr>
                <w:rFonts w:hint="eastAsia" w:ascii="宋体" w:hAnsi="宋体"/>
                <w:kern w:val="0"/>
                <w:sz w:val="24"/>
              </w:rPr>
              <w:t>该项目涉及的危险物品主要为氰化钠、氰化钾、一氧化碳、氨气，其主要特性见表7-</w:t>
            </w:r>
            <w:r>
              <w:rPr>
                <w:rFonts w:ascii="宋体" w:hAnsi="宋体"/>
                <w:kern w:val="0"/>
                <w:sz w:val="24"/>
              </w:rPr>
              <w:t>10</w:t>
            </w:r>
            <w:r>
              <w:rPr>
                <w:rFonts w:hint="eastAsia" w:ascii="宋体" w:hAnsi="宋体"/>
                <w:kern w:val="0"/>
                <w:sz w:val="24"/>
              </w:rPr>
              <w:t>至7-</w:t>
            </w:r>
            <w:r>
              <w:rPr>
                <w:rFonts w:ascii="宋体" w:hAnsi="宋体"/>
                <w:kern w:val="0"/>
                <w:sz w:val="24"/>
              </w:rPr>
              <w:t>14</w:t>
            </w:r>
            <w:r>
              <w:rPr>
                <w:rFonts w:hint="eastAsia" w:ascii="宋体" w:hAnsi="宋体"/>
                <w:kern w:val="0"/>
                <w:sz w:val="24"/>
              </w:rPr>
              <w:t>。</w:t>
            </w:r>
          </w:p>
          <w:p>
            <w:pPr>
              <w:autoSpaceDE w:val="0"/>
              <w:autoSpaceDN w:val="0"/>
              <w:adjustRightInd w:val="0"/>
              <w:spacing w:line="360" w:lineRule="auto"/>
              <w:jc w:val="center"/>
              <w:rPr>
                <w:rFonts w:ascii="宋体" w:hAnsi="宋体"/>
                <w:b/>
                <w:kern w:val="0"/>
                <w:sz w:val="24"/>
              </w:rPr>
            </w:pPr>
            <w:r>
              <w:rPr>
                <w:rFonts w:ascii="宋体" w:hAnsi="宋体"/>
                <w:b/>
                <w:kern w:val="0"/>
                <w:sz w:val="24"/>
              </w:rPr>
              <w:t>表</w:t>
            </w:r>
            <w:r>
              <w:rPr>
                <w:rFonts w:hint="eastAsia" w:ascii="宋体" w:hAnsi="宋体"/>
                <w:b/>
                <w:kern w:val="0"/>
                <w:sz w:val="24"/>
              </w:rPr>
              <w:t>7</w:t>
            </w:r>
            <w:r>
              <w:rPr>
                <w:rFonts w:ascii="宋体" w:hAnsi="宋体"/>
                <w:b/>
                <w:kern w:val="0"/>
                <w:sz w:val="24"/>
              </w:rPr>
              <w:t>-10 氰化钠物理特性一览表</w:t>
            </w:r>
          </w:p>
          <w:tbl>
            <w:tblPr>
              <w:tblStyle w:val="53"/>
              <w:tblW w:w="9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408"/>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 w:hRule="atLeast"/>
              </w:trPr>
              <w:tc>
                <w:tcPr>
                  <w:tcW w:w="738" w:type="dxa"/>
                  <w:vMerge w:val="restart"/>
                  <w:vAlign w:val="center"/>
                </w:tcPr>
                <w:p>
                  <w:pPr>
                    <w:pStyle w:val="41"/>
                    <w:spacing w:line="240" w:lineRule="auto"/>
                    <w:ind w:firstLine="0" w:firstLineChars="0"/>
                    <w:rPr>
                      <w:rFonts w:hAnsi="宋体"/>
                      <w:sz w:val="21"/>
                    </w:rPr>
                  </w:pPr>
                  <w:r>
                    <w:rPr>
                      <w:rFonts w:hAnsi="宋体"/>
                      <w:sz w:val="21"/>
                    </w:rPr>
                    <w:t>标识</w:t>
                  </w:r>
                </w:p>
              </w:tc>
              <w:tc>
                <w:tcPr>
                  <w:tcW w:w="3408" w:type="dxa"/>
                  <w:vAlign w:val="center"/>
                </w:tcPr>
                <w:p>
                  <w:pPr>
                    <w:pStyle w:val="41"/>
                    <w:spacing w:line="240" w:lineRule="auto"/>
                    <w:ind w:firstLine="0" w:firstLineChars="0"/>
                    <w:rPr>
                      <w:rFonts w:hAnsi="宋体"/>
                      <w:sz w:val="21"/>
                    </w:rPr>
                  </w:pPr>
                  <w:r>
                    <w:rPr>
                      <w:rFonts w:hAnsi="宋体"/>
                      <w:sz w:val="21"/>
                    </w:rPr>
                    <w:t>中文名：氰化钠</w:t>
                  </w:r>
                </w:p>
              </w:tc>
              <w:tc>
                <w:tcPr>
                  <w:tcW w:w="5183" w:type="dxa"/>
                  <w:vAlign w:val="center"/>
                </w:tcPr>
                <w:p>
                  <w:pPr>
                    <w:pStyle w:val="41"/>
                    <w:spacing w:line="240" w:lineRule="auto"/>
                    <w:ind w:firstLine="0" w:firstLineChars="0"/>
                    <w:rPr>
                      <w:rFonts w:hAnsi="宋体"/>
                      <w:sz w:val="21"/>
                    </w:rPr>
                  </w:pPr>
                  <w:r>
                    <w:rPr>
                      <w:rFonts w:hAnsi="宋体"/>
                      <w:sz w:val="21"/>
                    </w:rPr>
                    <w:t>英文名:Sodium cyanide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trPr>
              <w:tc>
                <w:tcPr>
                  <w:tcW w:w="738" w:type="dxa"/>
                  <w:vMerge w:val="continue"/>
                  <w:vAlign w:val="center"/>
                </w:tcPr>
                <w:p>
                  <w:pPr>
                    <w:pStyle w:val="41"/>
                    <w:spacing w:line="240" w:lineRule="auto"/>
                    <w:ind w:firstLine="315"/>
                    <w:rPr>
                      <w:rFonts w:hAnsi="宋体"/>
                      <w:sz w:val="21"/>
                    </w:rPr>
                  </w:pPr>
                </w:p>
              </w:tc>
              <w:tc>
                <w:tcPr>
                  <w:tcW w:w="3408" w:type="dxa"/>
                  <w:vAlign w:val="center"/>
                </w:tcPr>
                <w:p>
                  <w:pPr>
                    <w:pStyle w:val="41"/>
                    <w:spacing w:line="240" w:lineRule="auto"/>
                    <w:ind w:firstLine="0" w:firstLineChars="0"/>
                    <w:rPr>
                      <w:rFonts w:hAnsi="宋体"/>
                      <w:sz w:val="21"/>
                    </w:rPr>
                  </w:pPr>
                  <w:r>
                    <w:rPr>
                      <w:rFonts w:hAnsi="宋体"/>
                      <w:sz w:val="21"/>
                    </w:rPr>
                    <w:t>分子式：NaCN</w:t>
                  </w:r>
                </w:p>
              </w:tc>
              <w:tc>
                <w:tcPr>
                  <w:tcW w:w="5183" w:type="dxa"/>
                  <w:vAlign w:val="center"/>
                </w:tcPr>
                <w:p>
                  <w:pPr>
                    <w:pStyle w:val="41"/>
                    <w:spacing w:line="240" w:lineRule="auto"/>
                    <w:ind w:firstLine="0" w:firstLineChars="0"/>
                    <w:rPr>
                      <w:rFonts w:hAnsi="宋体"/>
                      <w:sz w:val="21"/>
                    </w:rPr>
                  </w:pPr>
                  <w:r>
                    <w:rPr>
                      <w:rFonts w:hAnsi="宋体"/>
                      <w:sz w:val="21"/>
                    </w:rPr>
                    <w:t>分子量：49.02    UN编号：1689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738" w:type="dxa"/>
                  <w:vMerge w:val="continue"/>
                  <w:vAlign w:val="center"/>
                </w:tcPr>
                <w:p>
                  <w:pPr>
                    <w:pStyle w:val="41"/>
                    <w:spacing w:line="240" w:lineRule="auto"/>
                    <w:ind w:firstLine="315"/>
                    <w:rPr>
                      <w:rFonts w:hAnsi="宋体"/>
                      <w:sz w:val="21"/>
                    </w:rPr>
                  </w:pPr>
                </w:p>
              </w:tc>
              <w:tc>
                <w:tcPr>
                  <w:tcW w:w="3408" w:type="dxa"/>
                  <w:vAlign w:val="center"/>
                </w:tcPr>
                <w:p>
                  <w:pPr>
                    <w:pStyle w:val="41"/>
                    <w:spacing w:line="240" w:lineRule="auto"/>
                    <w:ind w:firstLine="0" w:firstLineChars="0"/>
                    <w:rPr>
                      <w:rFonts w:hAnsi="宋体"/>
                      <w:sz w:val="21"/>
                    </w:rPr>
                  </w:pPr>
                </w:p>
              </w:tc>
              <w:tc>
                <w:tcPr>
                  <w:tcW w:w="5183" w:type="dxa"/>
                  <w:vAlign w:val="center"/>
                </w:tcPr>
                <w:p>
                  <w:pPr>
                    <w:pStyle w:val="41"/>
                    <w:spacing w:line="240" w:lineRule="auto"/>
                    <w:ind w:firstLine="0" w:firstLineChars="0"/>
                    <w:rPr>
                      <w:rFonts w:hAnsi="宋体"/>
                      <w:sz w:val="21"/>
                    </w:rPr>
                  </w:pPr>
                  <w:r>
                    <w:rPr>
                      <w:rFonts w:hAnsi="宋体"/>
                      <w:sz w:val="21"/>
                    </w:rPr>
                    <w:t>PTECS号：         CAS号143-33-9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 w:hRule="atLeast"/>
              </w:trPr>
              <w:tc>
                <w:tcPr>
                  <w:tcW w:w="738" w:type="dxa"/>
                  <w:vMerge w:val="continue"/>
                  <w:vAlign w:val="center"/>
                </w:tcPr>
                <w:p>
                  <w:pPr>
                    <w:pStyle w:val="41"/>
                    <w:spacing w:line="240" w:lineRule="auto"/>
                    <w:ind w:firstLine="315"/>
                    <w:rPr>
                      <w:rFonts w:hAnsi="宋体"/>
                      <w:sz w:val="21"/>
                    </w:rPr>
                  </w:pPr>
                </w:p>
              </w:tc>
              <w:tc>
                <w:tcPr>
                  <w:tcW w:w="3408" w:type="dxa"/>
                  <w:vAlign w:val="center"/>
                </w:tcPr>
                <w:p>
                  <w:pPr>
                    <w:pStyle w:val="41"/>
                    <w:spacing w:line="240" w:lineRule="auto"/>
                    <w:ind w:firstLine="0" w:firstLineChars="0"/>
                    <w:rPr>
                      <w:rFonts w:hAnsi="宋体"/>
                      <w:sz w:val="21"/>
                    </w:rPr>
                  </w:pPr>
                  <w:r>
                    <w:rPr>
                      <w:rFonts w:hAnsi="宋体"/>
                      <w:sz w:val="21"/>
                    </w:rPr>
                    <w:t>包装分类:Ⅰ</w:t>
                  </w:r>
                </w:p>
              </w:tc>
              <w:tc>
                <w:tcPr>
                  <w:tcW w:w="5183" w:type="dxa"/>
                  <w:vAlign w:val="center"/>
                </w:tcPr>
                <w:p>
                  <w:pPr>
                    <w:pStyle w:val="41"/>
                    <w:spacing w:line="240" w:lineRule="auto"/>
                    <w:ind w:firstLine="0" w:firstLineChars="0"/>
                    <w:rPr>
                      <w:rFonts w:hAnsi="宋体"/>
                      <w:sz w:val="21"/>
                    </w:rPr>
                  </w:pPr>
                  <w:r>
                    <w:rPr>
                      <w:rFonts w:hAnsi="宋体"/>
                      <w:sz w:val="21"/>
                    </w:rPr>
                    <w:t>包装标志：13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38" w:type="dxa"/>
                  <w:vMerge w:val="restart"/>
                  <w:vAlign w:val="center"/>
                </w:tcPr>
                <w:p>
                  <w:pPr>
                    <w:pStyle w:val="41"/>
                    <w:spacing w:line="240" w:lineRule="auto"/>
                    <w:ind w:firstLine="0" w:firstLineChars="0"/>
                    <w:rPr>
                      <w:rFonts w:hAnsi="宋体"/>
                      <w:sz w:val="21"/>
                    </w:rPr>
                  </w:pPr>
                  <w:r>
                    <w:rPr>
                      <w:rFonts w:hAnsi="宋体"/>
                      <w:sz w:val="21"/>
                    </w:rPr>
                    <w:t>理化性质</w:t>
                  </w:r>
                </w:p>
              </w:tc>
              <w:tc>
                <w:tcPr>
                  <w:tcW w:w="3408" w:type="dxa"/>
                  <w:vAlign w:val="center"/>
                </w:tcPr>
                <w:p>
                  <w:pPr>
                    <w:pStyle w:val="41"/>
                    <w:spacing w:line="240" w:lineRule="auto"/>
                    <w:ind w:firstLine="0" w:firstLineChars="0"/>
                    <w:rPr>
                      <w:rFonts w:hAnsi="宋体"/>
                      <w:sz w:val="21"/>
                    </w:rPr>
                  </w:pPr>
                  <w:r>
                    <w:rPr>
                      <w:rFonts w:hAnsi="宋体"/>
                      <w:sz w:val="21"/>
                    </w:rPr>
                    <w:t>闪点（℃）:</w:t>
                  </w:r>
                </w:p>
              </w:tc>
              <w:tc>
                <w:tcPr>
                  <w:tcW w:w="5183" w:type="dxa"/>
                  <w:vAlign w:val="center"/>
                </w:tcPr>
                <w:p>
                  <w:pPr>
                    <w:pStyle w:val="41"/>
                    <w:spacing w:line="240" w:lineRule="auto"/>
                    <w:ind w:firstLine="0" w:firstLineChars="0"/>
                    <w:rPr>
                      <w:rFonts w:hAnsi="宋体"/>
                      <w:sz w:val="21"/>
                    </w:rPr>
                  </w:pPr>
                  <w:r>
                    <w:rPr>
                      <w:rFonts w:hAnsi="宋体"/>
                      <w:sz w:val="21"/>
                    </w:rPr>
                    <w:t>引燃温度（℃）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 w:hRule="atLeast"/>
              </w:trPr>
              <w:tc>
                <w:tcPr>
                  <w:tcW w:w="738" w:type="dxa"/>
                  <w:vMerge w:val="continue"/>
                  <w:vAlign w:val="center"/>
                </w:tcPr>
                <w:p>
                  <w:pPr>
                    <w:pStyle w:val="41"/>
                    <w:spacing w:line="240" w:lineRule="auto"/>
                    <w:ind w:firstLine="315"/>
                    <w:rPr>
                      <w:rFonts w:hAnsi="宋体"/>
                      <w:sz w:val="21"/>
                    </w:rPr>
                  </w:pPr>
                </w:p>
              </w:tc>
              <w:tc>
                <w:tcPr>
                  <w:tcW w:w="3408" w:type="dxa"/>
                  <w:vAlign w:val="center"/>
                </w:tcPr>
                <w:p>
                  <w:pPr>
                    <w:pStyle w:val="41"/>
                    <w:spacing w:line="240" w:lineRule="auto"/>
                    <w:ind w:firstLine="0" w:firstLineChars="0"/>
                    <w:rPr>
                      <w:rFonts w:hAnsi="宋体"/>
                      <w:sz w:val="21"/>
                    </w:rPr>
                  </w:pPr>
                  <w:r>
                    <w:rPr>
                      <w:rFonts w:hAnsi="宋体"/>
                      <w:sz w:val="21"/>
                    </w:rPr>
                    <w:t>熔点（℃）：563.7</w:t>
                  </w:r>
                </w:p>
              </w:tc>
              <w:tc>
                <w:tcPr>
                  <w:tcW w:w="5183" w:type="dxa"/>
                  <w:vAlign w:val="center"/>
                </w:tcPr>
                <w:p>
                  <w:pPr>
                    <w:pStyle w:val="41"/>
                    <w:spacing w:line="240" w:lineRule="auto"/>
                    <w:ind w:firstLine="0" w:firstLineChars="0"/>
                    <w:rPr>
                      <w:rFonts w:hAnsi="宋体"/>
                      <w:sz w:val="21"/>
                    </w:rPr>
                  </w:pPr>
                  <w:r>
                    <w:rPr>
                      <w:rFonts w:hAnsi="宋体"/>
                      <w:sz w:val="21"/>
                    </w:rPr>
                    <w:t>相对密度（水=1）：1.60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 w:hRule="atLeast"/>
              </w:trPr>
              <w:tc>
                <w:tcPr>
                  <w:tcW w:w="738" w:type="dxa"/>
                  <w:vMerge w:val="continue"/>
                  <w:vAlign w:val="center"/>
                </w:tcPr>
                <w:p>
                  <w:pPr>
                    <w:pStyle w:val="41"/>
                    <w:spacing w:line="240" w:lineRule="auto"/>
                    <w:ind w:firstLine="315"/>
                    <w:rPr>
                      <w:rFonts w:hAnsi="宋体"/>
                      <w:sz w:val="21"/>
                    </w:rPr>
                  </w:pPr>
                </w:p>
              </w:tc>
              <w:tc>
                <w:tcPr>
                  <w:tcW w:w="3408" w:type="dxa"/>
                  <w:vAlign w:val="center"/>
                </w:tcPr>
                <w:p>
                  <w:pPr>
                    <w:pStyle w:val="41"/>
                    <w:spacing w:line="240" w:lineRule="auto"/>
                    <w:ind w:firstLine="0" w:firstLineChars="0"/>
                    <w:rPr>
                      <w:rFonts w:hAnsi="宋体"/>
                      <w:sz w:val="21"/>
                    </w:rPr>
                  </w:pPr>
                  <w:r>
                    <w:rPr>
                      <w:rFonts w:hAnsi="宋体"/>
                      <w:sz w:val="21"/>
                    </w:rPr>
                    <w:t>沸点（℃）：1496</w:t>
                  </w:r>
                </w:p>
              </w:tc>
              <w:tc>
                <w:tcPr>
                  <w:tcW w:w="5183" w:type="dxa"/>
                  <w:vAlign w:val="center"/>
                </w:tcPr>
                <w:p>
                  <w:pPr>
                    <w:pStyle w:val="41"/>
                    <w:spacing w:line="240" w:lineRule="auto"/>
                    <w:ind w:firstLine="0" w:firstLineChars="0"/>
                    <w:rPr>
                      <w:rFonts w:hAnsi="宋体"/>
                      <w:sz w:val="21"/>
                    </w:rPr>
                  </w:pPr>
                  <w:r>
                    <w:rPr>
                      <w:rFonts w:hAnsi="宋体"/>
                      <w:sz w:val="21"/>
                    </w:rPr>
                    <w:t>相对密度（空气=1）：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 w:hRule="atLeast"/>
              </w:trPr>
              <w:tc>
                <w:tcPr>
                  <w:tcW w:w="738" w:type="dxa"/>
                  <w:vMerge w:val="continue"/>
                  <w:vAlign w:val="center"/>
                </w:tcPr>
                <w:p>
                  <w:pPr>
                    <w:pStyle w:val="41"/>
                    <w:spacing w:line="240" w:lineRule="auto"/>
                    <w:ind w:firstLine="315"/>
                    <w:rPr>
                      <w:rFonts w:hAnsi="宋体"/>
                      <w:sz w:val="21"/>
                    </w:rPr>
                  </w:pPr>
                </w:p>
              </w:tc>
              <w:tc>
                <w:tcPr>
                  <w:tcW w:w="3408" w:type="dxa"/>
                  <w:vAlign w:val="center"/>
                </w:tcPr>
                <w:p>
                  <w:pPr>
                    <w:pStyle w:val="41"/>
                    <w:spacing w:line="240" w:lineRule="auto"/>
                    <w:ind w:firstLine="0" w:firstLineChars="0"/>
                    <w:rPr>
                      <w:rFonts w:hAnsi="宋体"/>
                      <w:sz w:val="21"/>
                    </w:rPr>
                  </w:pPr>
                  <w:r>
                    <w:rPr>
                      <w:rFonts w:hAnsi="宋体"/>
                      <w:sz w:val="21"/>
                    </w:rPr>
                    <w:t>饱和蒸气压/Kpa：0.13(817℃)</w:t>
                  </w:r>
                </w:p>
              </w:tc>
              <w:tc>
                <w:tcPr>
                  <w:tcW w:w="5183" w:type="dxa"/>
                  <w:vAlign w:val="center"/>
                </w:tcPr>
                <w:p>
                  <w:pPr>
                    <w:pStyle w:val="41"/>
                    <w:spacing w:line="240" w:lineRule="auto"/>
                    <w:ind w:firstLine="0" w:firstLineChars="0"/>
                    <w:rPr>
                      <w:rFonts w:hAnsi="宋体"/>
                      <w:sz w:val="21"/>
                    </w:rPr>
                  </w:pPr>
                  <w:r>
                    <w:rPr>
                      <w:rFonts w:hAnsi="宋体"/>
                      <w:sz w:val="21"/>
                    </w:rPr>
                    <w:t xml:space="preserve">燃烧热：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trPr>
              <w:tc>
                <w:tcPr>
                  <w:tcW w:w="738" w:type="dxa"/>
                  <w:vMerge w:val="continue"/>
                  <w:vAlign w:val="center"/>
                </w:tcPr>
                <w:p>
                  <w:pPr>
                    <w:pStyle w:val="41"/>
                    <w:spacing w:line="240" w:lineRule="auto"/>
                    <w:ind w:firstLine="315"/>
                    <w:rPr>
                      <w:rFonts w:hAnsi="宋体"/>
                      <w:sz w:val="21"/>
                    </w:rPr>
                  </w:pPr>
                </w:p>
              </w:tc>
              <w:tc>
                <w:tcPr>
                  <w:tcW w:w="3408" w:type="dxa"/>
                  <w:vAlign w:val="center"/>
                </w:tcPr>
                <w:p>
                  <w:pPr>
                    <w:pStyle w:val="41"/>
                    <w:spacing w:line="240" w:lineRule="auto"/>
                    <w:ind w:firstLine="0" w:firstLineChars="0"/>
                    <w:rPr>
                      <w:rFonts w:hAnsi="宋体"/>
                      <w:sz w:val="21"/>
                    </w:rPr>
                  </w:pPr>
                  <w:r>
                    <w:rPr>
                      <w:rFonts w:hAnsi="宋体"/>
                      <w:sz w:val="21"/>
                    </w:rPr>
                    <w:t>监界压力（Mpa）:</w:t>
                  </w:r>
                </w:p>
              </w:tc>
              <w:tc>
                <w:tcPr>
                  <w:tcW w:w="5183" w:type="dxa"/>
                  <w:vAlign w:val="center"/>
                </w:tcPr>
                <w:p>
                  <w:pPr>
                    <w:pStyle w:val="41"/>
                    <w:spacing w:line="240" w:lineRule="auto"/>
                    <w:ind w:left="1319" w:hanging="840" w:hangingChars="400"/>
                    <w:rPr>
                      <w:rFonts w:hAnsi="宋体"/>
                      <w:sz w:val="21"/>
                    </w:rPr>
                  </w:pPr>
                  <w:r>
                    <w:rPr>
                      <w:rFonts w:hAnsi="宋体"/>
                      <w:sz w:val="21"/>
                    </w:rPr>
                    <w:t>溶解性：易溶于水，微溶于液氨、乙醇、乙醚、苯。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738" w:type="dxa"/>
                  <w:vAlign w:val="center"/>
                </w:tcPr>
                <w:p>
                  <w:pPr>
                    <w:pStyle w:val="41"/>
                    <w:spacing w:line="240" w:lineRule="auto"/>
                    <w:ind w:firstLine="0" w:firstLineChars="0"/>
                    <w:rPr>
                      <w:rFonts w:hAnsi="宋体"/>
                      <w:sz w:val="21"/>
                    </w:rPr>
                  </w:pPr>
                  <w:r>
                    <w:rPr>
                      <w:rFonts w:hAnsi="宋体"/>
                      <w:sz w:val="21"/>
                    </w:rPr>
                    <w:t>性状</w:t>
                  </w:r>
                </w:p>
              </w:tc>
              <w:tc>
                <w:tcPr>
                  <w:tcW w:w="8591" w:type="dxa"/>
                  <w:gridSpan w:val="2"/>
                  <w:vAlign w:val="center"/>
                </w:tcPr>
                <w:p>
                  <w:pPr>
                    <w:pStyle w:val="41"/>
                    <w:spacing w:line="240" w:lineRule="auto"/>
                    <w:ind w:firstLine="0" w:firstLineChars="0"/>
                    <w:rPr>
                      <w:rFonts w:hAnsi="宋体"/>
                      <w:sz w:val="21"/>
                    </w:rPr>
                  </w:pPr>
                  <w:r>
                    <w:rPr>
                      <w:rFonts w:hAnsi="宋体"/>
                      <w:sz w:val="21"/>
                    </w:rPr>
                    <w:t>白色或灰色粉末状结晶，易潮解。在潮湿空气或二氧化碳中即缓慢发出微量的氰化氢气味。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38" w:type="dxa"/>
                  <w:vMerge w:val="restart"/>
                  <w:vAlign w:val="center"/>
                </w:tcPr>
                <w:p>
                  <w:pPr>
                    <w:pStyle w:val="41"/>
                    <w:spacing w:line="240" w:lineRule="auto"/>
                    <w:ind w:firstLine="0" w:firstLineChars="0"/>
                    <w:rPr>
                      <w:rFonts w:hAnsi="宋体"/>
                      <w:sz w:val="21"/>
                    </w:rPr>
                  </w:pPr>
                  <w:r>
                    <w:rPr>
                      <w:rFonts w:hAnsi="宋体"/>
                      <w:sz w:val="21"/>
                    </w:rPr>
                    <w:t>健康危害</w:t>
                  </w:r>
                </w:p>
              </w:tc>
              <w:tc>
                <w:tcPr>
                  <w:tcW w:w="8591" w:type="dxa"/>
                  <w:gridSpan w:val="2"/>
                  <w:vAlign w:val="center"/>
                </w:tcPr>
                <w:p>
                  <w:pPr>
                    <w:pStyle w:val="41"/>
                    <w:spacing w:line="240" w:lineRule="auto"/>
                    <w:ind w:firstLine="0" w:firstLineChars="0"/>
                    <w:rPr>
                      <w:rFonts w:hAnsi="宋体"/>
                      <w:sz w:val="21"/>
                    </w:rPr>
                  </w:pPr>
                  <w:r>
                    <w:rPr>
                      <w:rFonts w:hAnsi="宋体"/>
                      <w:sz w:val="21"/>
                    </w:rPr>
                    <w:t>侵入途径：吸入、食入经皮吸收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trPr>
              <w:tc>
                <w:tcPr>
                  <w:tcW w:w="738" w:type="dxa"/>
                  <w:vMerge w:val="continue"/>
                  <w:vAlign w:val="center"/>
                </w:tcPr>
                <w:p>
                  <w:pPr>
                    <w:pStyle w:val="41"/>
                    <w:spacing w:line="240" w:lineRule="auto"/>
                    <w:ind w:firstLine="0" w:firstLineChars="0"/>
                    <w:rPr>
                      <w:rFonts w:hAnsi="宋体"/>
                      <w:sz w:val="21"/>
                    </w:rPr>
                  </w:pPr>
                </w:p>
              </w:tc>
              <w:tc>
                <w:tcPr>
                  <w:tcW w:w="8591" w:type="dxa"/>
                  <w:gridSpan w:val="2"/>
                  <w:vAlign w:val="center"/>
                </w:tcPr>
                <w:p>
                  <w:pPr>
                    <w:pStyle w:val="41"/>
                    <w:spacing w:line="240" w:lineRule="auto"/>
                    <w:ind w:firstLine="0" w:firstLineChars="0"/>
                    <w:rPr>
                      <w:rFonts w:hAnsi="宋体"/>
                      <w:sz w:val="21"/>
                    </w:rPr>
                  </w:pPr>
                  <w:r>
                    <w:rPr>
                      <w:rFonts w:hAnsi="宋体"/>
                      <w:sz w:val="21"/>
                    </w:rPr>
                    <w:t>危害：抑制呼吸酶，造成细胞内窒息。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38" w:type="dxa"/>
                  <w:vMerge w:val="continue"/>
                  <w:vAlign w:val="center"/>
                </w:tcPr>
                <w:p>
                  <w:pPr>
                    <w:pStyle w:val="41"/>
                    <w:spacing w:line="240" w:lineRule="auto"/>
                    <w:ind w:firstLine="0" w:firstLineChars="0"/>
                    <w:rPr>
                      <w:rFonts w:hAnsi="宋体"/>
                      <w:sz w:val="21"/>
                    </w:rPr>
                  </w:pPr>
                </w:p>
              </w:tc>
              <w:tc>
                <w:tcPr>
                  <w:tcW w:w="8591" w:type="dxa"/>
                  <w:gridSpan w:val="2"/>
                  <w:vAlign w:val="center"/>
                </w:tcPr>
                <w:p>
                  <w:pPr>
                    <w:pStyle w:val="41"/>
                    <w:spacing w:line="240" w:lineRule="auto"/>
                    <w:ind w:firstLine="0" w:firstLineChars="0"/>
                    <w:rPr>
                      <w:rFonts w:hAnsi="宋体"/>
                      <w:sz w:val="21"/>
                    </w:rPr>
                  </w:pPr>
                  <w:r>
                    <w:rPr>
                      <w:rFonts w:hAnsi="宋体"/>
                      <w:sz w:val="21"/>
                    </w:rPr>
                    <w:t>吸入、口服或经皮肤吸收均可引起急性中毒。 口服50～100mg即可引起猝死。非骤死者临床表现为4期：前期有粘膜刺激、呼吸加快加深、乏头痛；口服有舌尖、口腔麻木等。呼吸困难期有呼吸困难、血压升高、皮肤粘膜呈鲜红色等。惊厥期出现抽搐、昏迷、呼吸衰竭。麻痹期全身肌肉松弛，呼吸心跳停止而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38" w:type="dxa"/>
                  <w:vMerge w:val="continue"/>
                  <w:vAlign w:val="center"/>
                </w:tcPr>
                <w:p>
                  <w:pPr>
                    <w:pStyle w:val="41"/>
                    <w:spacing w:line="240" w:lineRule="auto"/>
                    <w:ind w:firstLine="0" w:firstLineChars="0"/>
                    <w:rPr>
                      <w:rFonts w:hAnsi="宋体"/>
                      <w:sz w:val="21"/>
                    </w:rPr>
                  </w:pPr>
                </w:p>
              </w:tc>
              <w:tc>
                <w:tcPr>
                  <w:tcW w:w="8591" w:type="dxa"/>
                  <w:gridSpan w:val="2"/>
                  <w:vAlign w:val="center"/>
                </w:tcPr>
                <w:p>
                  <w:pPr>
                    <w:pStyle w:val="41"/>
                    <w:spacing w:line="240" w:lineRule="auto"/>
                    <w:ind w:firstLine="0" w:firstLineChars="0"/>
                    <w:rPr>
                      <w:rFonts w:hAnsi="宋体"/>
                      <w:sz w:val="21"/>
                    </w:rPr>
                  </w:pPr>
                  <w:r>
                    <w:rPr>
                      <w:rFonts w:hAnsi="宋体"/>
                      <w:sz w:val="21"/>
                    </w:rPr>
                    <w:t>慢性中毒：长期接触小量氰化物出现神经衰弱综合症，眼及上呼吸道刺激。可引起皮疹。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trPr>
              <w:tc>
                <w:tcPr>
                  <w:tcW w:w="738" w:type="dxa"/>
                  <w:vMerge w:val="restart"/>
                  <w:vAlign w:val="center"/>
                </w:tcPr>
                <w:p>
                  <w:pPr>
                    <w:pStyle w:val="41"/>
                    <w:spacing w:line="240" w:lineRule="auto"/>
                    <w:ind w:firstLine="0" w:firstLineChars="0"/>
                    <w:rPr>
                      <w:rFonts w:hAnsi="宋体"/>
                      <w:sz w:val="21"/>
                    </w:rPr>
                  </w:pPr>
                  <w:r>
                    <w:rPr>
                      <w:rFonts w:hAnsi="宋体"/>
                      <w:sz w:val="21"/>
                    </w:rPr>
                    <w:t>毒性资料</w:t>
                  </w:r>
                </w:p>
              </w:tc>
              <w:tc>
                <w:tcPr>
                  <w:tcW w:w="8591" w:type="dxa"/>
                  <w:gridSpan w:val="2"/>
                  <w:vAlign w:val="center"/>
                </w:tcPr>
                <w:p>
                  <w:pPr>
                    <w:pStyle w:val="41"/>
                    <w:spacing w:line="240" w:lineRule="auto"/>
                    <w:ind w:firstLine="0" w:firstLineChars="0"/>
                    <w:rPr>
                      <w:rFonts w:hAnsi="宋体"/>
                      <w:sz w:val="21"/>
                    </w:rPr>
                  </w:pPr>
                  <w:r>
                    <w:rPr>
                      <w:rFonts w:hAnsi="宋体"/>
                      <w:sz w:val="21"/>
                    </w:rPr>
                    <w:t>剧毒。对动物毒性。</w:t>
                  </w:r>
                </w:p>
                <w:p>
                  <w:pPr>
                    <w:pStyle w:val="41"/>
                    <w:spacing w:line="240" w:lineRule="auto"/>
                    <w:ind w:firstLine="0" w:firstLineChars="0"/>
                    <w:rPr>
                      <w:rFonts w:hAnsi="宋体"/>
                      <w:sz w:val="21"/>
                    </w:rPr>
                  </w:pPr>
                  <w:r>
                    <w:rPr>
                      <w:rFonts w:hAnsi="宋体"/>
                      <w:sz w:val="21"/>
                    </w:rPr>
                    <w:t>大鼠经口LD</w:t>
                  </w:r>
                  <w:r>
                    <w:rPr>
                      <w:rFonts w:hAnsi="宋体"/>
                      <w:sz w:val="21"/>
                      <w:vertAlign w:val="subscript"/>
                    </w:rPr>
                    <w:t>50</w:t>
                  </w:r>
                  <w:r>
                    <w:rPr>
                      <w:rFonts w:hAnsi="宋体"/>
                      <w:sz w:val="21"/>
                    </w:rPr>
                    <w:t xml:space="preserve"> ：6.44mg/Kg；小鼠静脉LD</w:t>
                  </w:r>
                  <w:r>
                    <w:rPr>
                      <w:rFonts w:hAnsi="宋体"/>
                      <w:sz w:val="21"/>
                      <w:vertAlign w:val="subscript"/>
                    </w:rPr>
                    <w:t>50</w:t>
                  </w:r>
                  <w:r>
                    <w:rPr>
                      <w:rFonts w:hAnsi="宋体"/>
                      <w:sz w:val="21"/>
                    </w:rPr>
                    <w:t xml:space="preserve"> ：5mg/Kg；豚鼠皮下LD</w:t>
                  </w:r>
                  <w:r>
                    <w:rPr>
                      <w:rFonts w:hAnsi="宋体"/>
                      <w:sz w:val="21"/>
                      <w:vertAlign w:val="subscript"/>
                    </w:rPr>
                    <w:t>50</w:t>
                  </w:r>
                  <w:r>
                    <w:rPr>
                      <w:rFonts w:hAnsi="宋体"/>
                      <w:sz w:val="21"/>
                    </w:rPr>
                    <w:t xml:space="preserve"> ：4.5 mg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trPr>
              <w:tc>
                <w:tcPr>
                  <w:tcW w:w="738" w:type="dxa"/>
                  <w:vMerge w:val="continue"/>
                  <w:vAlign w:val="center"/>
                </w:tcPr>
                <w:p>
                  <w:pPr>
                    <w:pStyle w:val="41"/>
                    <w:spacing w:line="240" w:lineRule="auto"/>
                    <w:ind w:firstLine="315"/>
                    <w:rPr>
                      <w:rFonts w:hAnsi="宋体"/>
                      <w:sz w:val="21"/>
                    </w:rPr>
                  </w:pPr>
                </w:p>
              </w:tc>
              <w:tc>
                <w:tcPr>
                  <w:tcW w:w="8591" w:type="dxa"/>
                  <w:gridSpan w:val="2"/>
                  <w:vAlign w:val="center"/>
                </w:tcPr>
                <w:p>
                  <w:pPr>
                    <w:pStyle w:val="41"/>
                    <w:spacing w:line="240" w:lineRule="auto"/>
                    <w:ind w:firstLine="0" w:firstLineChars="0"/>
                    <w:rPr>
                      <w:rFonts w:hAnsi="宋体"/>
                      <w:sz w:val="21"/>
                    </w:rPr>
                  </w:pPr>
                  <w:r>
                    <w:rPr>
                      <w:rFonts w:hAnsi="宋体"/>
                      <w:sz w:val="21"/>
                    </w:rPr>
                    <w:t>亚急性和慢性毒性 ：神经衰弱综合症，皮炎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738" w:type="dxa"/>
                  <w:vAlign w:val="center"/>
                </w:tcPr>
                <w:p>
                  <w:pPr>
                    <w:pStyle w:val="41"/>
                    <w:spacing w:line="240" w:lineRule="auto"/>
                    <w:ind w:firstLine="0" w:firstLineChars="0"/>
                    <w:rPr>
                      <w:rFonts w:hAnsi="宋体"/>
                      <w:sz w:val="21"/>
                    </w:rPr>
                  </w:pPr>
                  <w:r>
                    <w:rPr>
                      <w:rFonts w:hAnsi="宋体"/>
                      <w:sz w:val="21"/>
                    </w:rPr>
                    <w:t>危险特性</w:t>
                  </w:r>
                </w:p>
              </w:tc>
              <w:tc>
                <w:tcPr>
                  <w:tcW w:w="8591" w:type="dxa"/>
                  <w:gridSpan w:val="2"/>
                  <w:vAlign w:val="center"/>
                </w:tcPr>
                <w:p>
                  <w:pPr>
                    <w:pStyle w:val="41"/>
                    <w:spacing w:line="240" w:lineRule="auto"/>
                    <w:ind w:firstLine="0" w:firstLineChars="0"/>
                    <w:rPr>
                      <w:rFonts w:hAnsi="宋体"/>
                      <w:sz w:val="21"/>
                    </w:rPr>
                  </w:pPr>
                  <w:r>
                    <w:rPr>
                      <w:rFonts w:hAnsi="宋体"/>
                      <w:sz w:val="21"/>
                    </w:rPr>
                    <w:t>本身不燃。与硝酸盐、亚硝酸盐、氯酸盐反应剧烈，有发生爆炸的危险。遇酸会产生剧毒、易燃的氰化氢气体。在潮湿空气或二氧化碳中即缓慢发出微量氰化氢气体。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738" w:type="dxa"/>
                  <w:vAlign w:val="center"/>
                </w:tcPr>
                <w:p>
                  <w:pPr>
                    <w:pStyle w:val="41"/>
                    <w:spacing w:line="240" w:lineRule="auto"/>
                    <w:ind w:firstLine="0" w:firstLineChars="0"/>
                    <w:rPr>
                      <w:rFonts w:hAnsi="宋体"/>
                      <w:sz w:val="21"/>
                    </w:rPr>
                  </w:pPr>
                  <w:r>
                    <w:rPr>
                      <w:rFonts w:hAnsi="宋体"/>
                      <w:sz w:val="21"/>
                    </w:rPr>
                    <w:t>灭火方法</w:t>
                  </w:r>
                </w:p>
              </w:tc>
              <w:tc>
                <w:tcPr>
                  <w:tcW w:w="8591" w:type="dxa"/>
                  <w:gridSpan w:val="2"/>
                  <w:vAlign w:val="center"/>
                </w:tcPr>
                <w:p>
                  <w:pPr>
                    <w:pStyle w:val="41"/>
                    <w:spacing w:line="240" w:lineRule="auto"/>
                    <w:ind w:firstLine="0" w:firstLineChars="0"/>
                    <w:rPr>
                      <w:rFonts w:hAnsi="宋体"/>
                      <w:sz w:val="21"/>
                    </w:rPr>
                  </w:pPr>
                  <w:r>
                    <w:rPr>
                      <w:rFonts w:hAnsi="宋体"/>
                      <w:sz w:val="21"/>
                    </w:rPr>
                    <w:t>本品不燃。发生火灾时应尽量抢救本物品，防止包装破损，引起环境污染。消防人员必须穿戴全身专用防护服，佩戴氧气呼吸器，在安全距离以外或有防护措施处操作。灭火剂：干粉、砂土。禁止用二氧化碳和酸碱灭火剂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738" w:type="dxa"/>
                  <w:vMerge w:val="restart"/>
                  <w:vAlign w:val="center"/>
                </w:tcPr>
                <w:p>
                  <w:pPr>
                    <w:pStyle w:val="41"/>
                    <w:spacing w:line="240" w:lineRule="auto"/>
                    <w:ind w:firstLine="0" w:firstLineChars="0"/>
                    <w:rPr>
                      <w:rFonts w:hAnsi="宋体"/>
                      <w:sz w:val="21"/>
                    </w:rPr>
                  </w:pPr>
                  <w:r>
                    <w:rPr>
                      <w:rFonts w:hAnsi="宋体"/>
                      <w:sz w:val="21"/>
                    </w:rPr>
                    <w:t>急救</w:t>
                  </w:r>
                </w:p>
              </w:tc>
              <w:tc>
                <w:tcPr>
                  <w:tcW w:w="8591" w:type="dxa"/>
                  <w:gridSpan w:val="2"/>
                  <w:vAlign w:val="center"/>
                </w:tcPr>
                <w:p>
                  <w:pPr>
                    <w:pStyle w:val="41"/>
                    <w:spacing w:line="240" w:lineRule="auto"/>
                    <w:ind w:firstLine="0" w:firstLineChars="0"/>
                    <w:rPr>
                      <w:rFonts w:hAnsi="宋体"/>
                      <w:sz w:val="21"/>
                    </w:rPr>
                  </w:pPr>
                  <w:r>
                    <w:rPr>
                      <w:rFonts w:hAnsi="宋体"/>
                      <w:sz w:val="21"/>
                    </w:rPr>
                    <w:t>皮肤接触：立即脱去被污染的衣着，用大量流动清水或5%硫代硫酸钠溶液彻底冲洗至少20分钟。就医。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 w:hRule="atLeast"/>
              </w:trPr>
              <w:tc>
                <w:tcPr>
                  <w:tcW w:w="738" w:type="dxa"/>
                  <w:vMerge w:val="continue"/>
                  <w:vAlign w:val="center"/>
                </w:tcPr>
                <w:p>
                  <w:pPr>
                    <w:pStyle w:val="41"/>
                    <w:spacing w:line="240" w:lineRule="auto"/>
                    <w:ind w:firstLine="0" w:firstLineChars="0"/>
                    <w:rPr>
                      <w:rFonts w:hAnsi="宋体"/>
                      <w:sz w:val="21"/>
                    </w:rPr>
                  </w:pPr>
                </w:p>
              </w:tc>
              <w:tc>
                <w:tcPr>
                  <w:tcW w:w="8591" w:type="dxa"/>
                  <w:gridSpan w:val="2"/>
                  <w:vAlign w:val="center"/>
                </w:tcPr>
                <w:p>
                  <w:pPr>
                    <w:pStyle w:val="41"/>
                    <w:spacing w:line="240" w:lineRule="auto"/>
                    <w:ind w:firstLine="0" w:firstLineChars="0"/>
                    <w:rPr>
                      <w:rFonts w:hAnsi="宋体"/>
                      <w:sz w:val="21"/>
                    </w:rPr>
                  </w:pPr>
                  <w:r>
                    <w:rPr>
                      <w:rFonts w:hAnsi="宋体"/>
                      <w:sz w:val="21"/>
                    </w:rPr>
                    <w:t>眼睛接触：立即提起眼睑，用大量流动清水或生理盐水彻底冲洗至少15分钟。就医。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738" w:type="dxa"/>
                  <w:vMerge w:val="continue"/>
                  <w:vAlign w:val="center"/>
                </w:tcPr>
                <w:p>
                  <w:pPr>
                    <w:pStyle w:val="41"/>
                    <w:spacing w:line="240" w:lineRule="auto"/>
                    <w:ind w:firstLine="0" w:firstLineChars="0"/>
                    <w:rPr>
                      <w:rFonts w:hAnsi="宋体"/>
                      <w:sz w:val="21"/>
                    </w:rPr>
                  </w:pPr>
                </w:p>
              </w:tc>
              <w:tc>
                <w:tcPr>
                  <w:tcW w:w="8591" w:type="dxa"/>
                  <w:gridSpan w:val="2"/>
                  <w:vAlign w:val="center"/>
                </w:tcPr>
                <w:p>
                  <w:pPr>
                    <w:pStyle w:val="41"/>
                    <w:spacing w:line="240" w:lineRule="auto"/>
                    <w:ind w:firstLine="0" w:firstLineChars="0"/>
                    <w:rPr>
                      <w:rFonts w:hAnsi="宋体"/>
                      <w:sz w:val="21"/>
                    </w:rPr>
                  </w:pPr>
                  <w:r>
                    <w:rPr>
                      <w:rFonts w:hAnsi="宋体"/>
                      <w:sz w:val="21"/>
                    </w:rPr>
                    <w:t>吸入：迅速脱离现场至空气新鲜处。保特吸吸道通畅。如呼吸困难，给输氧。如呼吸心跳停止，立即进行人工呼吸，（勿用口对口）和胸外心脏按压术。给吸入亚硝酸异戊脂，就医。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 w:hRule="atLeast"/>
              </w:trPr>
              <w:tc>
                <w:tcPr>
                  <w:tcW w:w="738" w:type="dxa"/>
                  <w:vMerge w:val="continue"/>
                  <w:vAlign w:val="center"/>
                </w:tcPr>
                <w:p>
                  <w:pPr>
                    <w:pStyle w:val="41"/>
                    <w:spacing w:line="240" w:lineRule="auto"/>
                    <w:ind w:firstLine="0" w:firstLineChars="0"/>
                    <w:rPr>
                      <w:rFonts w:hAnsi="宋体"/>
                      <w:sz w:val="21"/>
                    </w:rPr>
                  </w:pPr>
                </w:p>
              </w:tc>
              <w:tc>
                <w:tcPr>
                  <w:tcW w:w="8591" w:type="dxa"/>
                  <w:gridSpan w:val="2"/>
                  <w:vAlign w:val="center"/>
                </w:tcPr>
                <w:p>
                  <w:pPr>
                    <w:pStyle w:val="41"/>
                    <w:spacing w:line="240" w:lineRule="auto"/>
                    <w:ind w:firstLine="0" w:firstLineChars="0"/>
                    <w:rPr>
                      <w:rFonts w:hAnsi="宋体"/>
                      <w:sz w:val="21"/>
                    </w:rPr>
                  </w:pPr>
                  <w:r>
                    <w:rPr>
                      <w:rFonts w:hAnsi="宋体"/>
                      <w:sz w:val="21"/>
                    </w:rPr>
                    <w:t>食入：饮足量温水，催吐。用1：5000高锰酸钾或5%硫代硫酸钠溶液洗胃。就医。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 w:hRule="atLeast"/>
              </w:trPr>
              <w:tc>
                <w:tcPr>
                  <w:tcW w:w="738" w:type="dxa"/>
                  <w:vMerge w:val="restart"/>
                  <w:vAlign w:val="center"/>
                </w:tcPr>
                <w:p>
                  <w:pPr>
                    <w:pStyle w:val="41"/>
                    <w:spacing w:line="240" w:lineRule="auto"/>
                    <w:ind w:firstLine="0" w:firstLineChars="0"/>
                    <w:rPr>
                      <w:rFonts w:hAnsi="宋体"/>
                      <w:sz w:val="21"/>
                    </w:rPr>
                  </w:pPr>
                  <w:r>
                    <w:rPr>
                      <w:rFonts w:hAnsi="宋体"/>
                      <w:sz w:val="21"/>
                    </w:rPr>
                    <w:t>防护措施</w:t>
                  </w:r>
                </w:p>
              </w:tc>
              <w:tc>
                <w:tcPr>
                  <w:tcW w:w="8591" w:type="dxa"/>
                  <w:gridSpan w:val="2"/>
                  <w:vAlign w:val="center"/>
                </w:tcPr>
                <w:p>
                  <w:pPr>
                    <w:pStyle w:val="41"/>
                    <w:spacing w:line="240" w:lineRule="auto"/>
                    <w:ind w:firstLine="0" w:firstLineChars="0"/>
                    <w:rPr>
                      <w:rFonts w:hAnsi="宋体"/>
                      <w:sz w:val="21"/>
                    </w:rPr>
                  </w:pPr>
                  <w:r>
                    <w:rPr>
                      <w:rFonts w:hAnsi="宋体"/>
                      <w:sz w:val="21"/>
                    </w:rPr>
                    <w:t>工程控制：严加密闭，提供充分的局部排风和全面通风。尽可能机械化、自动化。提供安全淋浴和洗眼设备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 w:hRule="atLeast"/>
              </w:trPr>
              <w:tc>
                <w:tcPr>
                  <w:tcW w:w="738" w:type="dxa"/>
                  <w:vMerge w:val="continue"/>
                  <w:vAlign w:val="center"/>
                </w:tcPr>
                <w:p>
                  <w:pPr>
                    <w:pStyle w:val="41"/>
                    <w:spacing w:line="240" w:lineRule="auto"/>
                    <w:ind w:firstLine="315"/>
                    <w:rPr>
                      <w:rFonts w:hAnsi="宋体"/>
                      <w:sz w:val="21"/>
                    </w:rPr>
                  </w:pPr>
                </w:p>
              </w:tc>
              <w:tc>
                <w:tcPr>
                  <w:tcW w:w="8591" w:type="dxa"/>
                  <w:gridSpan w:val="2"/>
                  <w:vAlign w:val="center"/>
                </w:tcPr>
                <w:p>
                  <w:pPr>
                    <w:pStyle w:val="41"/>
                    <w:spacing w:line="240" w:lineRule="auto"/>
                    <w:ind w:firstLine="0" w:firstLineChars="0"/>
                    <w:rPr>
                      <w:rFonts w:hAnsi="宋体"/>
                      <w:sz w:val="21"/>
                    </w:rPr>
                  </w:pPr>
                  <w:r>
                    <w:rPr>
                      <w:rFonts w:hAnsi="宋体"/>
                      <w:sz w:val="21"/>
                    </w:rPr>
                    <w:t>呼吸系统防护：可能接触毒物时，必须佩戴头罩型电动送风过滤式防尘呼吸器。紧急事态抢救或撤离时，建议佩戴自给式呼吸器。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 w:hRule="atLeast"/>
              </w:trPr>
              <w:tc>
                <w:tcPr>
                  <w:tcW w:w="738" w:type="dxa"/>
                  <w:vMerge w:val="continue"/>
                  <w:tcBorders>
                    <w:bottom w:val="single" w:color="auto" w:sz="4" w:space="0"/>
                  </w:tcBorders>
                  <w:vAlign w:val="center"/>
                </w:tcPr>
                <w:p>
                  <w:pPr>
                    <w:pStyle w:val="41"/>
                    <w:spacing w:line="240" w:lineRule="auto"/>
                    <w:ind w:firstLine="315"/>
                    <w:rPr>
                      <w:rFonts w:hAnsi="宋体"/>
                      <w:sz w:val="21"/>
                    </w:rPr>
                  </w:pPr>
                </w:p>
              </w:tc>
              <w:tc>
                <w:tcPr>
                  <w:tcW w:w="8591" w:type="dxa"/>
                  <w:gridSpan w:val="2"/>
                  <w:tcBorders>
                    <w:bottom w:val="single" w:color="auto" w:sz="4" w:space="0"/>
                  </w:tcBorders>
                  <w:vAlign w:val="center"/>
                </w:tcPr>
                <w:p>
                  <w:pPr>
                    <w:pStyle w:val="41"/>
                    <w:spacing w:line="240" w:lineRule="auto"/>
                    <w:ind w:firstLine="0" w:firstLineChars="0"/>
                    <w:rPr>
                      <w:rFonts w:hAnsi="宋体"/>
                      <w:sz w:val="21"/>
                    </w:rPr>
                  </w:pPr>
                  <w:r>
                    <w:rPr>
                      <w:rFonts w:hAnsi="宋体"/>
                      <w:sz w:val="21"/>
                    </w:rPr>
                    <w:t>眼睛防护：呼吸系统防护中以作防护。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 w:hRule="atLeast"/>
              </w:trPr>
              <w:tc>
                <w:tcPr>
                  <w:tcW w:w="738" w:type="dxa"/>
                  <w:vMerge w:val="continue"/>
                  <w:tcBorders>
                    <w:bottom w:val="single" w:color="auto" w:sz="4" w:space="0"/>
                  </w:tcBorders>
                  <w:vAlign w:val="center"/>
                </w:tcPr>
                <w:p>
                  <w:pPr>
                    <w:pStyle w:val="41"/>
                    <w:spacing w:line="240" w:lineRule="auto"/>
                    <w:ind w:firstLine="315"/>
                    <w:rPr>
                      <w:rFonts w:hAnsi="宋体"/>
                      <w:sz w:val="21"/>
                    </w:rPr>
                  </w:pPr>
                </w:p>
              </w:tc>
              <w:tc>
                <w:tcPr>
                  <w:tcW w:w="8591" w:type="dxa"/>
                  <w:gridSpan w:val="2"/>
                  <w:tcBorders>
                    <w:bottom w:val="single" w:color="auto" w:sz="4" w:space="0"/>
                  </w:tcBorders>
                  <w:vAlign w:val="center"/>
                </w:tcPr>
                <w:p>
                  <w:pPr>
                    <w:pStyle w:val="41"/>
                    <w:spacing w:line="240" w:lineRule="auto"/>
                    <w:ind w:firstLine="0" w:firstLineChars="0"/>
                    <w:rPr>
                      <w:rFonts w:hAnsi="宋体"/>
                      <w:sz w:val="21"/>
                    </w:rPr>
                  </w:pPr>
                  <w:r>
                    <w:rPr>
                      <w:rFonts w:hAnsi="宋体"/>
                      <w:sz w:val="21"/>
                    </w:rPr>
                    <w:t>身体防护：穿连衣式胶布防毒衣。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trPr>
              <w:tc>
                <w:tcPr>
                  <w:tcW w:w="738" w:type="dxa"/>
                  <w:vMerge w:val="continue"/>
                  <w:tcBorders>
                    <w:bottom w:val="single" w:color="auto" w:sz="4" w:space="0"/>
                  </w:tcBorders>
                  <w:vAlign w:val="center"/>
                </w:tcPr>
                <w:p>
                  <w:pPr>
                    <w:pStyle w:val="41"/>
                    <w:spacing w:line="240" w:lineRule="auto"/>
                    <w:ind w:firstLine="315"/>
                    <w:rPr>
                      <w:rFonts w:hAnsi="宋体"/>
                      <w:sz w:val="21"/>
                    </w:rPr>
                  </w:pPr>
                </w:p>
              </w:tc>
              <w:tc>
                <w:tcPr>
                  <w:tcW w:w="8591" w:type="dxa"/>
                  <w:gridSpan w:val="2"/>
                  <w:tcBorders>
                    <w:bottom w:val="single" w:color="auto" w:sz="4" w:space="0"/>
                  </w:tcBorders>
                  <w:vAlign w:val="center"/>
                </w:tcPr>
                <w:p>
                  <w:pPr>
                    <w:pStyle w:val="41"/>
                    <w:spacing w:line="240" w:lineRule="auto"/>
                    <w:ind w:firstLine="0" w:firstLineChars="0"/>
                    <w:rPr>
                      <w:rFonts w:hAnsi="宋体"/>
                      <w:sz w:val="21"/>
                    </w:rPr>
                  </w:pPr>
                  <w:r>
                    <w:rPr>
                      <w:rFonts w:hAnsi="宋体"/>
                      <w:sz w:val="21"/>
                    </w:rPr>
                    <w:t>手防护：戴橡胶手套。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trPr>
              <w:tc>
                <w:tcPr>
                  <w:tcW w:w="738" w:type="dxa"/>
                  <w:vMerge w:val="continue"/>
                  <w:tcBorders>
                    <w:bottom w:val="single" w:color="auto" w:sz="4" w:space="0"/>
                  </w:tcBorders>
                  <w:vAlign w:val="center"/>
                </w:tcPr>
                <w:p>
                  <w:pPr>
                    <w:pStyle w:val="41"/>
                    <w:spacing w:line="240" w:lineRule="auto"/>
                    <w:ind w:firstLine="315"/>
                    <w:rPr>
                      <w:rFonts w:hAnsi="宋体"/>
                      <w:sz w:val="21"/>
                    </w:rPr>
                  </w:pPr>
                </w:p>
              </w:tc>
              <w:tc>
                <w:tcPr>
                  <w:tcW w:w="8591" w:type="dxa"/>
                  <w:gridSpan w:val="2"/>
                  <w:tcBorders>
                    <w:bottom w:val="single" w:color="auto" w:sz="4" w:space="0"/>
                  </w:tcBorders>
                  <w:vAlign w:val="center"/>
                </w:tcPr>
                <w:p>
                  <w:pPr>
                    <w:pStyle w:val="41"/>
                    <w:spacing w:line="240" w:lineRule="auto"/>
                    <w:ind w:firstLine="0" w:firstLineChars="0"/>
                    <w:rPr>
                      <w:rFonts w:hAnsi="宋体"/>
                      <w:sz w:val="21"/>
                    </w:rPr>
                  </w:pPr>
                  <w:r>
                    <w:rPr>
                      <w:rFonts w:hAnsi="宋体"/>
                      <w:sz w:val="21"/>
                    </w:rPr>
                    <w:t>其它：工作场所禁止吸烟、进食和饮水。工作毕，彻底清洗。单独存放被毒物污染的衣服，洗后备用。车间应配备急救设备及药品。作业人员应学会自救互救。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5" w:hRule="atLeast"/>
              </w:trPr>
              <w:tc>
                <w:tcPr>
                  <w:tcW w:w="738" w:type="dxa"/>
                  <w:vAlign w:val="center"/>
                </w:tcPr>
                <w:p>
                  <w:pPr>
                    <w:pStyle w:val="41"/>
                    <w:spacing w:line="240" w:lineRule="auto"/>
                    <w:ind w:firstLine="0" w:firstLineChars="0"/>
                    <w:rPr>
                      <w:rFonts w:hAnsi="宋体"/>
                      <w:sz w:val="21"/>
                    </w:rPr>
                  </w:pPr>
                  <w:r>
                    <w:rPr>
                      <w:rFonts w:hAnsi="宋体"/>
                      <w:sz w:val="21"/>
                    </w:rPr>
                    <w:t>包装方法</w:t>
                  </w:r>
                </w:p>
              </w:tc>
              <w:tc>
                <w:tcPr>
                  <w:tcW w:w="8591" w:type="dxa"/>
                  <w:gridSpan w:val="2"/>
                  <w:vAlign w:val="center"/>
                </w:tcPr>
                <w:p>
                  <w:pPr>
                    <w:pStyle w:val="41"/>
                    <w:spacing w:line="240" w:lineRule="auto"/>
                    <w:ind w:firstLine="0" w:firstLineChars="0"/>
                    <w:rPr>
                      <w:rFonts w:hAnsi="宋体"/>
                      <w:sz w:val="21"/>
                    </w:rPr>
                  </w:pPr>
                  <w:r>
                    <w:rPr>
                      <w:rFonts w:hAnsi="宋体"/>
                      <w:sz w:val="21"/>
                    </w:rPr>
                    <w:t>（Ⅰ）类，塑料袋、多层牛皮纸袋外中开口钢瓶；螺纹口玻璃瓶、铁盖压口玻璃瓶、塑料瓶或金属桶（罐）外木板箱。瓶或金属桶（罐）外木版箱；玻璃瓶、塑料桶外木版箱或半花格箱。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5" w:hRule="atLeast"/>
              </w:trPr>
              <w:tc>
                <w:tcPr>
                  <w:tcW w:w="738" w:type="dxa"/>
                  <w:vAlign w:val="center"/>
                </w:tcPr>
                <w:p>
                  <w:pPr>
                    <w:pStyle w:val="41"/>
                    <w:spacing w:line="240" w:lineRule="auto"/>
                    <w:ind w:firstLine="0" w:firstLineChars="0"/>
                    <w:rPr>
                      <w:rFonts w:hAnsi="宋体"/>
                      <w:sz w:val="21"/>
                    </w:rPr>
                  </w:pPr>
                  <w:r>
                    <w:rPr>
                      <w:rFonts w:hint="eastAsia" w:hAnsi="宋体"/>
                      <w:sz w:val="21"/>
                    </w:rPr>
                    <w:t>储运条件</w:t>
                  </w:r>
                </w:p>
              </w:tc>
              <w:tc>
                <w:tcPr>
                  <w:tcW w:w="8591" w:type="dxa"/>
                  <w:gridSpan w:val="2"/>
                  <w:vAlign w:val="center"/>
                </w:tcPr>
                <w:p>
                  <w:pPr>
                    <w:pStyle w:val="41"/>
                    <w:spacing w:line="240" w:lineRule="auto"/>
                    <w:ind w:firstLine="0" w:firstLineChars="0"/>
                    <w:rPr>
                      <w:rFonts w:hAnsi="宋体"/>
                      <w:sz w:val="21"/>
                    </w:rPr>
                  </w:pPr>
                  <w:r>
                    <w:rPr>
                      <w:rFonts w:hint="eastAsia" w:hAnsi="宋体"/>
                      <w:sz w:val="21"/>
                    </w:rPr>
                    <w:t>储存于干燥、通风的仓间内。宜专库专储。仓间应由双人双锁加强保管。工作人员进入库房要穿戴工作服，防毒口罩以及其他防护用具，工作后脱去全部防护用品，再用水冲洗手、脸，双手浸入次氯酸钠内消毒后用水洗净。工作间隙不可饮茶、吸烟，皮肤伤口未愈不可接触。切忌与酸类、氯酸盐、亚硝酸（钾）钠或食用原料共储混运，不可受潮，保证容器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5" w:hRule="atLeast"/>
              </w:trPr>
              <w:tc>
                <w:tcPr>
                  <w:tcW w:w="738" w:type="dxa"/>
                  <w:vAlign w:val="center"/>
                </w:tcPr>
                <w:p>
                  <w:pPr>
                    <w:pStyle w:val="41"/>
                    <w:spacing w:line="240" w:lineRule="auto"/>
                    <w:ind w:firstLine="0" w:firstLineChars="0"/>
                    <w:rPr>
                      <w:rFonts w:hAnsi="宋体"/>
                      <w:sz w:val="21"/>
                    </w:rPr>
                  </w:pPr>
                  <w:r>
                    <w:rPr>
                      <w:rFonts w:hAnsi="宋体"/>
                      <w:sz w:val="21"/>
                    </w:rPr>
                    <w:t>泄漏处理</w:t>
                  </w:r>
                </w:p>
              </w:tc>
              <w:tc>
                <w:tcPr>
                  <w:tcW w:w="8591" w:type="dxa"/>
                  <w:gridSpan w:val="2"/>
                  <w:vAlign w:val="center"/>
                </w:tcPr>
                <w:p>
                  <w:pPr>
                    <w:pStyle w:val="41"/>
                    <w:spacing w:line="240" w:lineRule="auto"/>
                    <w:ind w:firstLine="0" w:firstLineChars="0"/>
                    <w:rPr>
                      <w:rFonts w:hAnsi="宋体"/>
                      <w:sz w:val="21"/>
                    </w:rPr>
                  </w:pPr>
                  <w:r>
                    <w:rPr>
                      <w:rFonts w:hAnsi="宋体"/>
                      <w:sz w:val="21"/>
                    </w:rPr>
                    <w:t>隔离污染区，严格限制出入。建议应急处理人员戴自给正压式呼吸器，穿防毒服。不要直接接触泄漏物。小量泄漏：避免扬尘，用洁净的铲子收集于干燥、洁净、有盖的容器中，做好标记，等待处理。大量泄漏：用塑料布、帆布覆盖，减少飞散。然后收集、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trPr>
              <w:tc>
                <w:tcPr>
                  <w:tcW w:w="738" w:type="dxa"/>
                  <w:vAlign w:val="center"/>
                </w:tcPr>
                <w:p>
                  <w:pPr>
                    <w:pStyle w:val="41"/>
                    <w:spacing w:line="240" w:lineRule="auto"/>
                    <w:ind w:firstLine="0" w:firstLineChars="0"/>
                    <w:rPr>
                      <w:rFonts w:hAnsi="宋体"/>
                      <w:sz w:val="21"/>
                    </w:rPr>
                  </w:pPr>
                  <w:r>
                    <w:rPr>
                      <w:rFonts w:hAnsi="宋体"/>
                      <w:sz w:val="21"/>
                    </w:rPr>
                    <w:t>废弃</w:t>
                  </w:r>
                </w:p>
              </w:tc>
              <w:tc>
                <w:tcPr>
                  <w:tcW w:w="8591" w:type="dxa"/>
                  <w:gridSpan w:val="2"/>
                  <w:vAlign w:val="center"/>
                </w:tcPr>
                <w:p>
                  <w:pPr>
                    <w:pStyle w:val="41"/>
                    <w:spacing w:line="240" w:lineRule="auto"/>
                    <w:ind w:firstLine="0" w:firstLineChars="0"/>
                    <w:rPr>
                      <w:rFonts w:hAnsi="宋体"/>
                      <w:sz w:val="21"/>
                    </w:rPr>
                  </w:pPr>
                  <w:r>
                    <w:rPr>
                      <w:rFonts w:hAnsi="宋体"/>
                      <w:sz w:val="21"/>
                    </w:rPr>
                    <w:t>处置前应参阅国家和地方有关法规。废物贮存参见：储运注意事项”。用控制焚烧法或化学分解法处置。与硫酸亚铁反应，生成相对无毒的氰化铁。或与次氯酸钠或次氯酸钙反应，生成低毒的碳酸盐。处理后，用安全掩埋法处置。</w:t>
                  </w:r>
                </w:p>
              </w:tc>
            </w:tr>
          </w:tbl>
          <w:p>
            <w:pPr>
              <w:autoSpaceDE w:val="0"/>
              <w:autoSpaceDN w:val="0"/>
              <w:adjustRightInd w:val="0"/>
              <w:spacing w:line="360" w:lineRule="auto"/>
              <w:jc w:val="center"/>
              <w:rPr>
                <w:rFonts w:ascii="宋体" w:hAnsi="宋体"/>
                <w:b/>
                <w:kern w:val="0"/>
                <w:sz w:val="24"/>
              </w:rPr>
            </w:pPr>
            <w:r>
              <w:rPr>
                <w:rFonts w:hint="eastAsia" w:ascii="宋体" w:hAnsi="宋体"/>
                <w:b/>
                <w:kern w:val="0"/>
                <w:sz w:val="24"/>
              </w:rPr>
              <w:t>表7</w:t>
            </w:r>
            <w:r>
              <w:rPr>
                <w:rFonts w:ascii="宋体" w:hAnsi="宋体"/>
                <w:b/>
                <w:kern w:val="0"/>
                <w:sz w:val="24"/>
              </w:rPr>
              <w:t>-11 氰化钾理化特性一览表</w:t>
            </w:r>
          </w:p>
          <w:tbl>
            <w:tblPr>
              <w:tblStyle w:val="53"/>
              <w:tblW w:w="93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102"/>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jc w:val="center"/>
              </w:trPr>
              <w:tc>
                <w:tcPr>
                  <w:tcW w:w="738" w:type="dxa"/>
                  <w:vMerge w:val="restart"/>
                  <w:vAlign w:val="center"/>
                </w:tcPr>
                <w:p>
                  <w:pPr>
                    <w:pStyle w:val="41"/>
                    <w:spacing w:line="240" w:lineRule="auto"/>
                    <w:ind w:firstLine="0" w:firstLineChars="0"/>
                    <w:rPr>
                      <w:rFonts w:hAnsi="宋体"/>
                      <w:sz w:val="21"/>
                    </w:rPr>
                  </w:pPr>
                  <w:r>
                    <w:rPr>
                      <w:rFonts w:hAnsi="宋体"/>
                      <w:sz w:val="21"/>
                    </w:rPr>
                    <w:t>标识</w:t>
                  </w:r>
                </w:p>
              </w:tc>
              <w:tc>
                <w:tcPr>
                  <w:tcW w:w="4102" w:type="dxa"/>
                  <w:vAlign w:val="center"/>
                </w:tcPr>
                <w:p>
                  <w:pPr>
                    <w:pStyle w:val="41"/>
                    <w:spacing w:line="240" w:lineRule="auto"/>
                    <w:ind w:firstLine="0" w:firstLineChars="0"/>
                    <w:rPr>
                      <w:rFonts w:hAnsi="宋体"/>
                      <w:sz w:val="21"/>
                    </w:rPr>
                  </w:pPr>
                  <w:r>
                    <w:rPr>
                      <w:rFonts w:hAnsi="宋体"/>
                      <w:sz w:val="21"/>
                    </w:rPr>
                    <w:t>中文名：氰化</w:t>
                  </w:r>
                  <w:r>
                    <w:rPr>
                      <w:rFonts w:hint="eastAsia" w:hAnsi="宋体"/>
                      <w:sz w:val="21"/>
                    </w:rPr>
                    <w:t>钾</w:t>
                  </w:r>
                </w:p>
              </w:tc>
              <w:tc>
                <w:tcPr>
                  <w:tcW w:w="4545" w:type="dxa"/>
                  <w:vAlign w:val="center"/>
                </w:tcPr>
                <w:p>
                  <w:pPr>
                    <w:pStyle w:val="41"/>
                    <w:spacing w:line="240" w:lineRule="auto"/>
                    <w:ind w:firstLine="0" w:firstLineChars="0"/>
                    <w:rPr>
                      <w:rFonts w:hAnsi="宋体"/>
                      <w:sz w:val="21"/>
                    </w:rPr>
                  </w:pPr>
                  <w:r>
                    <w:rPr>
                      <w:rFonts w:hAnsi="宋体"/>
                      <w:sz w:val="21"/>
                    </w:rPr>
                    <w:t>英文名:Potassium cyanide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分子式：KCN</w:t>
                  </w:r>
                </w:p>
              </w:tc>
              <w:tc>
                <w:tcPr>
                  <w:tcW w:w="4545" w:type="dxa"/>
                  <w:vAlign w:val="center"/>
                </w:tcPr>
                <w:p>
                  <w:pPr>
                    <w:pStyle w:val="41"/>
                    <w:spacing w:line="240" w:lineRule="auto"/>
                    <w:ind w:firstLine="0" w:firstLineChars="0"/>
                    <w:rPr>
                      <w:rFonts w:hAnsi="宋体"/>
                      <w:sz w:val="21"/>
                    </w:rPr>
                  </w:pPr>
                  <w:r>
                    <w:rPr>
                      <w:rFonts w:hAnsi="宋体"/>
                      <w:sz w:val="21"/>
                    </w:rPr>
                    <w:t>分子量：65.11        UN编号：1680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p>
              </w:tc>
              <w:tc>
                <w:tcPr>
                  <w:tcW w:w="4545" w:type="dxa"/>
                  <w:vAlign w:val="center"/>
                </w:tcPr>
                <w:p>
                  <w:pPr>
                    <w:pStyle w:val="41"/>
                    <w:spacing w:line="240" w:lineRule="auto"/>
                    <w:ind w:firstLine="0" w:firstLineChars="0"/>
                    <w:rPr>
                      <w:rFonts w:hAnsi="宋体"/>
                      <w:sz w:val="21"/>
                    </w:rPr>
                  </w:pPr>
                  <w:r>
                    <w:rPr>
                      <w:rFonts w:hAnsi="宋体"/>
                      <w:sz w:val="21"/>
                    </w:rPr>
                    <w:t>PTECS号：           CAS号:151-50-8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包装分类:Ⅰ</w:t>
                  </w:r>
                </w:p>
              </w:tc>
              <w:tc>
                <w:tcPr>
                  <w:tcW w:w="4545" w:type="dxa"/>
                  <w:vAlign w:val="center"/>
                </w:tcPr>
                <w:p>
                  <w:pPr>
                    <w:pStyle w:val="41"/>
                    <w:spacing w:line="240" w:lineRule="auto"/>
                    <w:ind w:firstLine="0" w:firstLineChars="0"/>
                    <w:rPr>
                      <w:rFonts w:hAnsi="宋体"/>
                      <w:sz w:val="21"/>
                    </w:rPr>
                  </w:pPr>
                  <w:r>
                    <w:rPr>
                      <w:rFonts w:hAnsi="宋体"/>
                      <w:sz w:val="21"/>
                    </w:rPr>
                    <w:t>包装标志：13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jc w:val="center"/>
              </w:trPr>
              <w:tc>
                <w:tcPr>
                  <w:tcW w:w="738" w:type="dxa"/>
                  <w:vMerge w:val="restart"/>
                  <w:vAlign w:val="center"/>
                </w:tcPr>
                <w:p>
                  <w:pPr>
                    <w:pStyle w:val="41"/>
                    <w:spacing w:line="240" w:lineRule="auto"/>
                    <w:ind w:firstLine="0" w:firstLineChars="0"/>
                    <w:rPr>
                      <w:rFonts w:hAnsi="宋体"/>
                      <w:sz w:val="21"/>
                    </w:rPr>
                  </w:pPr>
                  <w:r>
                    <w:rPr>
                      <w:rFonts w:hAnsi="宋体"/>
                      <w:sz w:val="21"/>
                    </w:rPr>
                    <w:t>理化性质</w:t>
                  </w:r>
                </w:p>
              </w:tc>
              <w:tc>
                <w:tcPr>
                  <w:tcW w:w="4102" w:type="dxa"/>
                  <w:vAlign w:val="center"/>
                </w:tcPr>
                <w:p>
                  <w:pPr>
                    <w:pStyle w:val="41"/>
                    <w:spacing w:line="240" w:lineRule="auto"/>
                    <w:ind w:firstLine="0" w:firstLineChars="0"/>
                    <w:rPr>
                      <w:rFonts w:hAnsi="宋体"/>
                      <w:sz w:val="21"/>
                    </w:rPr>
                  </w:pPr>
                  <w:r>
                    <w:rPr>
                      <w:rFonts w:hAnsi="宋体"/>
                      <w:sz w:val="21"/>
                    </w:rPr>
                    <w:t>闪点（℃）:</w:t>
                  </w:r>
                  <w:r>
                    <w:rPr>
                      <w:rFonts w:hint="eastAsia" w:hAnsi="宋体"/>
                      <w:sz w:val="21"/>
                    </w:rPr>
                    <w:t>无意义</w:t>
                  </w:r>
                </w:p>
              </w:tc>
              <w:tc>
                <w:tcPr>
                  <w:tcW w:w="4545" w:type="dxa"/>
                  <w:vAlign w:val="center"/>
                </w:tcPr>
                <w:p>
                  <w:pPr>
                    <w:pStyle w:val="41"/>
                    <w:spacing w:line="240" w:lineRule="auto"/>
                    <w:ind w:firstLine="0" w:firstLineChars="0"/>
                    <w:rPr>
                      <w:rFonts w:hAnsi="宋体"/>
                      <w:sz w:val="21"/>
                    </w:rPr>
                  </w:pPr>
                  <w:r>
                    <w:rPr>
                      <w:rFonts w:hAnsi="宋体"/>
                      <w:sz w:val="21"/>
                    </w:rPr>
                    <w:t>引燃温度（℃）</w:t>
                  </w:r>
                  <w:r>
                    <w:rPr>
                      <w:rFonts w:hint="eastAsia" w:hAnsi="宋体"/>
                      <w:sz w:val="21"/>
                    </w:rPr>
                    <w:t>：无意义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 w:hRule="atLeast"/>
                <w:jc w:val="center"/>
              </w:trPr>
              <w:tc>
                <w:tcPr>
                  <w:tcW w:w="738" w:type="dxa"/>
                  <w:vMerge w:val="continue"/>
                  <w:vAlign w:val="center"/>
                </w:tcPr>
                <w:p>
                  <w:pPr>
                    <w:pStyle w:val="41"/>
                    <w:spacing w:line="240" w:lineRule="auto"/>
                    <w:ind w:firstLine="0" w:firstLineChars="0"/>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最小点火能（mJ）:</w:t>
                  </w:r>
                  <w:r>
                    <w:rPr>
                      <w:rFonts w:hint="eastAsia" w:hAnsi="宋体"/>
                      <w:sz w:val="21"/>
                    </w:rPr>
                    <w:t>无意义</w:t>
                  </w:r>
                </w:p>
              </w:tc>
              <w:tc>
                <w:tcPr>
                  <w:tcW w:w="4545" w:type="dxa"/>
                  <w:vAlign w:val="center"/>
                </w:tcPr>
                <w:p>
                  <w:pPr>
                    <w:pStyle w:val="41"/>
                    <w:spacing w:line="240" w:lineRule="auto"/>
                    <w:ind w:firstLine="0" w:firstLineChars="0"/>
                    <w:rPr>
                      <w:rFonts w:hAnsi="宋体"/>
                      <w:sz w:val="21"/>
                    </w:rPr>
                  </w:pPr>
                  <w:r>
                    <w:rPr>
                      <w:rFonts w:hAnsi="宋体"/>
                      <w:sz w:val="21"/>
                    </w:rPr>
                    <w:t>最大爆炸压力（Mpa）:</w:t>
                  </w:r>
                  <w:r>
                    <w:rPr>
                      <w:rFonts w:hint="eastAsia" w:hAnsi="宋体"/>
                      <w:sz w:val="21"/>
                    </w:rPr>
                    <w:t>无意义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 w:hRule="atLeast"/>
                <w:jc w:val="center"/>
              </w:trPr>
              <w:tc>
                <w:tcPr>
                  <w:tcW w:w="738" w:type="dxa"/>
                  <w:vMerge w:val="continue"/>
                  <w:vAlign w:val="center"/>
                </w:tcPr>
                <w:p>
                  <w:pPr>
                    <w:pStyle w:val="41"/>
                    <w:spacing w:line="240" w:lineRule="auto"/>
                    <w:ind w:firstLine="0" w:firstLineChars="0"/>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爆炸下限（%）:</w:t>
                  </w:r>
                  <w:r>
                    <w:rPr>
                      <w:rFonts w:hint="eastAsia" w:hAnsi="宋体"/>
                      <w:sz w:val="21"/>
                    </w:rPr>
                    <w:t>无意义</w:t>
                  </w:r>
                </w:p>
              </w:tc>
              <w:tc>
                <w:tcPr>
                  <w:tcW w:w="4545" w:type="dxa"/>
                  <w:vAlign w:val="center"/>
                </w:tcPr>
                <w:p>
                  <w:pPr>
                    <w:pStyle w:val="41"/>
                    <w:spacing w:line="240" w:lineRule="auto"/>
                    <w:ind w:firstLine="0" w:firstLineChars="0"/>
                    <w:rPr>
                      <w:rFonts w:hAnsi="宋体"/>
                      <w:sz w:val="21"/>
                    </w:rPr>
                  </w:pPr>
                  <w:r>
                    <w:rPr>
                      <w:rFonts w:hAnsi="宋体"/>
                      <w:sz w:val="21"/>
                    </w:rPr>
                    <w:t>爆炸上限（%）:</w:t>
                  </w:r>
                  <w:r>
                    <w:rPr>
                      <w:rFonts w:hint="eastAsia" w:hAnsi="宋体"/>
                      <w:sz w:val="21"/>
                    </w:rPr>
                    <w:t>无意义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熔点（℃）：</w:t>
                  </w:r>
                  <w:r>
                    <w:rPr>
                      <w:rFonts w:hint="eastAsia" w:hAnsi="宋体"/>
                      <w:sz w:val="21"/>
                    </w:rPr>
                    <w:t>634.5</w:t>
                  </w:r>
                </w:p>
              </w:tc>
              <w:tc>
                <w:tcPr>
                  <w:tcW w:w="4545" w:type="dxa"/>
                  <w:vAlign w:val="center"/>
                </w:tcPr>
                <w:p>
                  <w:pPr>
                    <w:pStyle w:val="41"/>
                    <w:spacing w:line="240" w:lineRule="auto"/>
                    <w:ind w:firstLine="0" w:firstLineChars="0"/>
                    <w:rPr>
                      <w:rFonts w:hAnsi="宋体"/>
                      <w:sz w:val="21"/>
                    </w:rPr>
                  </w:pPr>
                  <w:r>
                    <w:rPr>
                      <w:rFonts w:hAnsi="宋体"/>
                      <w:sz w:val="21"/>
                    </w:rPr>
                    <w:t>相对密度（水=1）：</w:t>
                  </w:r>
                  <w:r>
                    <w:rPr>
                      <w:rFonts w:hint="eastAsia" w:hAnsi="宋体"/>
                      <w:sz w:val="21"/>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沸点（℃）：</w:t>
                  </w:r>
                  <w:r>
                    <w:rPr>
                      <w:rFonts w:hint="eastAsia" w:hAnsi="宋体"/>
                      <w:sz w:val="21"/>
                    </w:rPr>
                    <w:t>无资料</w:t>
                  </w:r>
                </w:p>
              </w:tc>
              <w:tc>
                <w:tcPr>
                  <w:tcW w:w="4545" w:type="dxa"/>
                  <w:vAlign w:val="center"/>
                </w:tcPr>
                <w:p>
                  <w:pPr>
                    <w:pStyle w:val="41"/>
                    <w:spacing w:line="240" w:lineRule="auto"/>
                    <w:ind w:firstLine="0" w:firstLineChars="0"/>
                    <w:rPr>
                      <w:rFonts w:hAnsi="宋体"/>
                      <w:sz w:val="21"/>
                    </w:rPr>
                  </w:pPr>
                  <w:r>
                    <w:rPr>
                      <w:rFonts w:hAnsi="宋体"/>
                      <w:sz w:val="21"/>
                    </w:rPr>
                    <w:t>相对密度（空气=1）：</w:t>
                  </w:r>
                  <w:r>
                    <w:rPr>
                      <w:rFonts w:hint="eastAsia" w:hAnsi="宋体"/>
                      <w:sz w:val="21"/>
                    </w:rPr>
                    <w:t>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饱和蒸气压/Kpa：</w:t>
                  </w:r>
                  <w:r>
                    <w:rPr>
                      <w:rFonts w:hint="eastAsia" w:hAnsi="宋体"/>
                      <w:sz w:val="21"/>
                    </w:rPr>
                    <w:t>无资料</w:t>
                  </w:r>
                </w:p>
              </w:tc>
              <w:tc>
                <w:tcPr>
                  <w:tcW w:w="4545" w:type="dxa"/>
                  <w:vAlign w:val="center"/>
                </w:tcPr>
                <w:p>
                  <w:pPr>
                    <w:pStyle w:val="41"/>
                    <w:spacing w:line="240" w:lineRule="auto"/>
                    <w:ind w:firstLine="0" w:firstLineChars="0"/>
                    <w:rPr>
                      <w:rFonts w:hAnsi="宋体"/>
                      <w:sz w:val="21"/>
                    </w:rPr>
                  </w:pPr>
                  <w:r>
                    <w:rPr>
                      <w:rFonts w:hAnsi="宋体"/>
                      <w:sz w:val="21"/>
                    </w:rPr>
                    <w:t xml:space="preserve">燃烧热： </w:t>
                  </w:r>
                  <w:r>
                    <w:rPr>
                      <w:rFonts w:hint="eastAsia" w:hAnsi="宋体"/>
                      <w:sz w:val="21"/>
                    </w:rPr>
                    <w:t>无意义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监界压力（Mpa）:</w:t>
                  </w:r>
                </w:p>
              </w:tc>
              <w:tc>
                <w:tcPr>
                  <w:tcW w:w="4545" w:type="dxa"/>
                  <w:vAlign w:val="center"/>
                </w:tcPr>
                <w:p>
                  <w:pPr>
                    <w:pStyle w:val="41"/>
                    <w:spacing w:line="240" w:lineRule="auto"/>
                    <w:ind w:left="1319" w:hanging="840" w:hangingChars="400"/>
                    <w:rPr>
                      <w:rFonts w:hAnsi="宋体"/>
                      <w:sz w:val="21"/>
                    </w:rPr>
                  </w:pPr>
                  <w:r>
                    <w:rPr>
                      <w:rFonts w:hAnsi="宋体"/>
                      <w:sz w:val="21"/>
                    </w:rPr>
                    <w:t>溶解性：易溶于水</w:t>
                  </w:r>
                  <w:r>
                    <w:rPr>
                      <w:rFonts w:hint="eastAsia" w:hAnsi="宋体"/>
                      <w:sz w:val="21"/>
                    </w:rPr>
                    <w:t>、乙醇、甘油，</w:t>
                  </w:r>
                  <w:r>
                    <w:rPr>
                      <w:rFonts w:hAnsi="宋体"/>
                      <w:sz w:val="21"/>
                    </w:rPr>
                    <w:t>微溶于</w:t>
                  </w:r>
                  <w:r>
                    <w:rPr>
                      <w:rFonts w:hint="eastAsia" w:hAnsi="宋体"/>
                      <w:sz w:val="21"/>
                    </w:rPr>
                    <w:t>甲醇、氢氧化钠水溶液。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 w:hRule="atLeast"/>
                <w:jc w:val="center"/>
              </w:trPr>
              <w:tc>
                <w:tcPr>
                  <w:tcW w:w="738" w:type="dxa"/>
                  <w:vAlign w:val="center"/>
                </w:tcPr>
                <w:p>
                  <w:pPr>
                    <w:pStyle w:val="41"/>
                    <w:spacing w:line="240" w:lineRule="auto"/>
                    <w:ind w:firstLine="0" w:firstLineChars="0"/>
                    <w:rPr>
                      <w:rFonts w:hAnsi="宋体"/>
                      <w:sz w:val="21"/>
                    </w:rPr>
                  </w:pPr>
                  <w:r>
                    <w:rPr>
                      <w:rFonts w:hAnsi="宋体"/>
                      <w:sz w:val="21"/>
                    </w:rPr>
                    <w:t>性状</w:t>
                  </w:r>
                </w:p>
              </w:tc>
              <w:tc>
                <w:tcPr>
                  <w:tcW w:w="8647" w:type="dxa"/>
                  <w:gridSpan w:val="2"/>
                  <w:vAlign w:val="center"/>
                </w:tcPr>
                <w:p>
                  <w:pPr>
                    <w:pStyle w:val="41"/>
                    <w:spacing w:line="240" w:lineRule="auto"/>
                    <w:ind w:firstLine="0" w:firstLineChars="0"/>
                    <w:rPr>
                      <w:rFonts w:hAnsi="宋体"/>
                      <w:sz w:val="21"/>
                    </w:rPr>
                  </w:pPr>
                  <w:r>
                    <w:rPr>
                      <w:rFonts w:hAnsi="宋体"/>
                      <w:sz w:val="21"/>
                    </w:rPr>
                    <w:t>白色</w:t>
                  </w:r>
                  <w:r>
                    <w:rPr>
                      <w:rFonts w:hint="eastAsia" w:hAnsi="宋体"/>
                      <w:sz w:val="21"/>
                    </w:rPr>
                    <w:t>结晶或粉末。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jc w:val="center"/>
              </w:trPr>
              <w:tc>
                <w:tcPr>
                  <w:tcW w:w="738" w:type="dxa"/>
                  <w:vMerge w:val="restart"/>
                  <w:vAlign w:val="center"/>
                </w:tcPr>
                <w:p>
                  <w:pPr>
                    <w:pStyle w:val="41"/>
                    <w:spacing w:line="240" w:lineRule="auto"/>
                    <w:ind w:firstLine="0" w:firstLineChars="0"/>
                    <w:rPr>
                      <w:rFonts w:hAnsi="宋体"/>
                      <w:sz w:val="21"/>
                    </w:rPr>
                  </w:pPr>
                  <w:r>
                    <w:rPr>
                      <w:rFonts w:hAnsi="宋体"/>
                      <w:sz w:val="21"/>
                    </w:rPr>
                    <w:t>健康危害</w:t>
                  </w:r>
                </w:p>
              </w:tc>
              <w:tc>
                <w:tcPr>
                  <w:tcW w:w="8647" w:type="dxa"/>
                  <w:gridSpan w:val="2"/>
                  <w:vAlign w:val="center"/>
                </w:tcPr>
                <w:p>
                  <w:pPr>
                    <w:pStyle w:val="41"/>
                    <w:spacing w:line="240" w:lineRule="auto"/>
                    <w:ind w:firstLine="0" w:firstLineChars="0"/>
                    <w:rPr>
                      <w:rFonts w:hAnsi="宋体"/>
                      <w:sz w:val="21"/>
                    </w:rPr>
                  </w:pPr>
                  <w:r>
                    <w:rPr>
                      <w:rFonts w:hAnsi="宋体"/>
                      <w:sz w:val="21"/>
                    </w:rPr>
                    <w:t>侵入途径：吸入、食入经皮吸收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jc w:val="center"/>
              </w:trPr>
              <w:tc>
                <w:tcPr>
                  <w:tcW w:w="738" w:type="dxa"/>
                  <w:vMerge w:val="continue"/>
                  <w:vAlign w:val="center"/>
                </w:tcPr>
                <w:p>
                  <w:pPr>
                    <w:pStyle w:val="41"/>
                    <w:spacing w:line="240" w:lineRule="auto"/>
                    <w:ind w:firstLine="0" w:firstLineChars="0"/>
                    <w:rPr>
                      <w:rFonts w:hAnsi="宋体"/>
                      <w:sz w:val="21"/>
                    </w:rPr>
                  </w:pPr>
                </w:p>
              </w:tc>
              <w:tc>
                <w:tcPr>
                  <w:tcW w:w="8647" w:type="dxa"/>
                  <w:gridSpan w:val="2"/>
                  <w:vAlign w:val="center"/>
                </w:tcPr>
                <w:p>
                  <w:pPr>
                    <w:pStyle w:val="41"/>
                    <w:spacing w:line="240" w:lineRule="auto"/>
                    <w:ind w:firstLine="0" w:firstLineChars="0"/>
                    <w:rPr>
                      <w:rFonts w:hAnsi="宋体"/>
                      <w:sz w:val="21"/>
                    </w:rPr>
                  </w:pPr>
                  <w:r>
                    <w:rPr>
                      <w:rFonts w:hAnsi="宋体"/>
                      <w:sz w:val="21"/>
                    </w:rPr>
                    <w:t>危害：抑制呼吸酶，造成细胞内窒息。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jc w:val="center"/>
              </w:trPr>
              <w:tc>
                <w:tcPr>
                  <w:tcW w:w="738" w:type="dxa"/>
                  <w:vMerge w:val="continue"/>
                  <w:vAlign w:val="center"/>
                </w:tcPr>
                <w:p>
                  <w:pPr>
                    <w:pStyle w:val="41"/>
                    <w:spacing w:line="240" w:lineRule="auto"/>
                    <w:ind w:firstLine="0" w:firstLineChars="0"/>
                    <w:rPr>
                      <w:rFonts w:hAnsi="宋体"/>
                      <w:sz w:val="21"/>
                    </w:rPr>
                  </w:pPr>
                </w:p>
              </w:tc>
              <w:tc>
                <w:tcPr>
                  <w:tcW w:w="8647" w:type="dxa"/>
                  <w:gridSpan w:val="2"/>
                  <w:vAlign w:val="center"/>
                </w:tcPr>
                <w:p>
                  <w:pPr>
                    <w:pStyle w:val="41"/>
                    <w:spacing w:line="240" w:lineRule="auto"/>
                    <w:ind w:firstLine="0" w:firstLineChars="0"/>
                    <w:rPr>
                      <w:rFonts w:hAnsi="宋体"/>
                      <w:sz w:val="21"/>
                    </w:rPr>
                  </w:pPr>
                  <w:r>
                    <w:rPr>
                      <w:rFonts w:hAnsi="宋体"/>
                      <w:sz w:val="21"/>
                    </w:rPr>
                    <w:t>吸入、口服或经皮肤吸收均可引起急性中毒。 口服50～100mg即可引起猝死。非骤死者临床表现为4期：前期有粘膜刺激、呼吸加快加深、乏</w:t>
                  </w:r>
                  <w:r>
                    <w:rPr>
                      <w:rFonts w:hint="eastAsia" w:hAnsi="宋体"/>
                      <w:sz w:val="21"/>
                    </w:rPr>
                    <w:t>力、</w:t>
                  </w:r>
                  <w:r>
                    <w:rPr>
                      <w:rFonts w:hAnsi="宋体"/>
                      <w:sz w:val="21"/>
                    </w:rPr>
                    <w:t>头痛；口服有舌尖、口腔</w:t>
                  </w:r>
                  <w:r>
                    <w:rPr>
                      <w:rFonts w:hint="eastAsia" w:hAnsi="宋体"/>
                      <w:sz w:val="21"/>
                    </w:rPr>
                    <w:t>发</w:t>
                  </w:r>
                  <w:r>
                    <w:rPr>
                      <w:rFonts w:hAnsi="宋体"/>
                      <w:sz w:val="21"/>
                    </w:rPr>
                    <w:t>麻等。呼吸困难期有呼吸困难、血压升高、皮肤粘膜呈鲜红色等。惊厥期出现抽搐、昏迷、呼吸衰竭。麻痹期全身肌肉松弛，呼吸心跳停止而死亡。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738" w:type="dxa"/>
                  <w:vMerge w:val="continue"/>
                  <w:vAlign w:val="center"/>
                </w:tcPr>
                <w:p>
                  <w:pPr>
                    <w:pStyle w:val="41"/>
                    <w:spacing w:line="240" w:lineRule="auto"/>
                    <w:ind w:firstLine="0" w:firstLineChars="0"/>
                    <w:rPr>
                      <w:rFonts w:hAnsi="宋体"/>
                      <w:sz w:val="21"/>
                    </w:rPr>
                  </w:pPr>
                </w:p>
              </w:tc>
              <w:tc>
                <w:tcPr>
                  <w:tcW w:w="8647" w:type="dxa"/>
                  <w:gridSpan w:val="2"/>
                  <w:vAlign w:val="center"/>
                </w:tcPr>
                <w:p>
                  <w:pPr>
                    <w:pStyle w:val="41"/>
                    <w:spacing w:line="240" w:lineRule="auto"/>
                    <w:ind w:firstLine="0" w:firstLineChars="0"/>
                    <w:rPr>
                      <w:rFonts w:hAnsi="宋体"/>
                      <w:sz w:val="21"/>
                    </w:rPr>
                  </w:pPr>
                  <w:r>
                    <w:rPr>
                      <w:rFonts w:hAnsi="宋体"/>
                      <w:sz w:val="21"/>
                    </w:rPr>
                    <w:t>慢性中毒：长期接触小量氰化物出现神经衰弱综合症，眼及上呼吸</w:t>
                  </w:r>
                  <w:r>
                    <w:rPr>
                      <w:rFonts w:hint="eastAsia" w:hAnsi="宋体"/>
                      <w:sz w:val="21"/>
                    </w:rPr>
                    <w:t>道</w:t>
                  </w:r>
                  <w:r>
                    <w:rPr>
                      <w:rFonts w:hAnsi="宋体"/>
                      <w:sz w:val="21"/>
                    </w:rPr>
                    <w:t>刺激。可引起皮疹。</w:t>
                  </w:r>
                  <w:r>
                    <w:rPr>
                      <w:rFonts w:hint="eastAsia" w:hAnsi="宋体"/>
                      <w:sz w:val="21"/>
                    </w:rPr>
                    <w:t>皮肤溃疡。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2" w:hRule="atLeast"/>
                <w:jc w:val="center"/>
              </w:trPr>
              <w:tc>
                <w:tcPr>
                  <w:tcW w:w="738" w:type="dxa"/>
                  <w:tcBorders>
                    <w:bottom w:val="single" w:color="auto" w:sz="4" w:space="0"/>
                  </w:tcBorders>
                  <w:vAlign w:val="center"/>
                </w:tcPr>
                <w:p>
                  <w:pPr>
                    <w:pStyle w:val="41"/>
                    <w:spacing w:line="240" w:lineRule="auto"/>
                    <w:ind w:firstLine="0" w:firstLineChars="0"/>
                    <w:rPr>
                      <w:rFonts w:hAnsi="宋体"/>
                      <w:sz w:val="21"/>
                    </w:rPr>
                  </w:pPr>
                  <w:r>
                    <w:rPr>
                      <w:rFonts w:hAnsi="宋体"/>
                      <w:sz w:val="21"/>
                    </w:rPr>
                    <w:t>毒性资料</w:t>
                  </w:r>
                </w:p>
              </w:tc>
              <w:tc>
                <w:tcPr>
                  <w:tcW w:w="8647" w:type="dxa"/>
                  <w:gridSpan w:val="2"/>
                  <w:tcBorders>
                    <w:bottom w:val="single" w:color="auto" w:sz="4" w:space="0"/>
                  </w:tcBorders>
                  <w:vAlign w:val="center"/>
                </w:tcPr>
                <w:p>
                  <w:pPr>
                    <w:pStyle w:val="41"/>
                    <w:spacing w:line="240" w:lineRule="auto"/>
                    <w:ind w:firstLine="0" w:firstLineChars="0"/>
                    <w:rPr>
                      <w:rFonts w:hAnsi="宋体"/>
                      <w:sz w:val="21"/>
                    </w:rPr>
                  </w:pPr>
                  <w:r>
                    <w:rPr>
                      <w:rFonts w:hint="eastAsia" w:hAnsi="宋体"/>
                      <w:sz w:val="21"/>
                    </w:rPr>
                    <w:t xml:space="preserve">急性毒性    </w:t>
                  </w:r>
                  <w:r>
                    <w:rPr>
                      <w:rFonts w:hAnsi="宋体"/>
                      <w:sz w:val="21"/>
                    </w:rPr>
                    <w:t>大鼠经口LD</w:t>
                  </w:r>
                  <w:r>
                    <w:rPr>
                      <w:rFonts w:hAnsi="宋体"/>
                      <w:sz w:val="21"/>
                      <w:vertAlign w:val="subscript"/>
                    </w:rPr>
                    <w:t>50</w:t>
                  </w:r>
                  <w:r>
                    <w:rPr>
                      <w:rFonts w:hAnsi="宋体"/>
                      <w:sz w:val="21"/>
                    </w:rPr>
                    <w:t xml:space="preserve"> ：</w:t>
                  </w:r>
                  <w:r>
                    <w:rPr>
                      <w:rFonts w:hint="eastAsia" w:hAnsi="宋体"/>
                      <w:sz w:val="21"/>
                    </w:rPr>
                    <w:t>5</w:t>
                  </w:r>
                  <w:r>
                    <w:rPr>
                      <w:rFonts w:hAnsi="宋体"/>
                      <w:sz w:val="21"/>
                    </w:rPr>
                    <w:t xml:space="preserve">mg/Kg； </w:t>
                  </w:r>
                </w:p>
                <w:p>
                  <w:pPr>
                    <w:pStyle w:val="41"/>
                    <w:spacing w:line="240" w:lineRule="auto"/>
                    <w:ind w:firstLine="0" w:firstLineChars="0"/>
                    <w:rPr>
                      <w:rFonts w:hAnsi="宋体"/>
                      <w:sz w:val="21"/>
                    </w:rPr>
                  </w:pPr>
                  <w:r>
                    <w:rPr>
                      <w:rFonts w:hAnsi="宋体"/>
                      <w:sz w:val="21"/>
                    </w:rPr>
                    <w:t>亚急性和慢性毒性 ：神经衰弱综合症，皮炎</w:t>
                  </w:r>
                </w:p>
                <w:p>
                  <w:pPr>
                    <w:pStyle w:val="41"/>
                    <w:spacing w:line="240" w:lineRule="auto"/>
                    <w:ind w:firstLine="0" w:firstLineChars="0"/>
                    <w:rPr>
                      <w:sz w:val="21"/>
                    </w:rPr>
                  </w:pPr>
                  <w:r>
                    <w:rPr>
                      <w:rFonts w:hAnsi="宋体"/>
                      <w:sz w:val="21"/>
                    </w:rPr>
                    <w:t>致突变性</w:t>
                  </w:r>
                  <w:r>
                    <w:rPr>
                      <w:rFonts w:hint="eastAsia" w:hAnsi="宋体"/>
                      <w:sz w:val="21"/>
                    </w:rPr>
                    <w:t xml:space="preserve">    DNA抑制：小鼠淋巴细胞1</w:t>
                  </w:r>
                  <w:r>
                    <w:rPr>
                      <w:sz w:val="21"/>
                    </w:rPr>
                    <w:t>nmol/L</w:t>
                  </w:r>
                  <w:r>
                    <w:rPr>
                      <w:rFonts w:hint="eastAsia"/>
                      <w:sz w:val="21"/>
                    </w:rPr>
                    <w:t>。</w:t>
                  </w:r>
                </w:p>
                <w:p>
                  <w:pPr>
                    <w:pStyle w:val="41"/>
                    <w:ind w:firstLine="0" w:firstLineChars="0"/>
                    <w:rPr>
                      <w:rFonts w:hAnsi="宋体"/>
                      <w:sz w:val="21"/>
                    </w:rPr>
                  </w:pPr>
                  <w:r>
                    <w:rPr>
                      <w:rFonts w:hint="eastAsia"/>
                      <w:sz w:val="21"/>
                    </w:rPr>
                    <w:t>细胞遗传学分析：小鼠乳腺1</w:t>
                  </w:r>
                  <w:r>
                    <w:rPr>
                      <w:sz w:val="21"/>
                    </w:rPr>
                    <w:t xml:space="preserve"> nmol/L</w:t>
                  </w:r>
                  <w:r>
                    <w:rPr>
                      <w:rFonts w:hint="eastAsia"/>
                      <w:sz w:val="21"/>
                    </w:rPr>
                    <w:t>，48小时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jc w:val="center"/>
              </w:trPr>
              <w:tc>
                <w:tcPr>
                  <w:tcW w:w="738" w:type="dxa"/>
                  <w:vAlign w:val="center"/>
                </w:tcPr>
                <w:p>
                  <w:pPr>
                    <w:pStyle w:val="41"/>
                    <w:spacing w:line="240" w:lineRule="auto"/>
                    <w:ind w:firstLine="0" w:firstLineChars="0"/>
                    <w:rPr>
                      <w:rFonts w:hAnsi="宋体"/>
                      <w:sz w:val="21"/>
                    </w:rPr>
                  </w:pPr>
                  <w:r>
                    <w:rPr>
                      <w:rFonts w:hAnsi="宋体"/>
                      <w:sz w:val="21"/>
                    </w:rPr>
                    <w:t>危险特性</w:t>
                  </w:r>
                </w:p>
              </w:tc>
              <w:tc>
                <w:tcPr>
                  <w:tcW w:w="8647" w:type="dxa"/>
                  <w:gridSpan w:val="2"/>
                  <w:vAlign w:val="center"/>
                </w:tcPr>
                <w:p>
                  <w:pPr>
                    <w:pStyle w:val="41"/>
                    <w:spacing w:line="240" w:lineRule="auto"/>
                    <w:ind w:firstLine="0" w:firstLineChars="0"/>
                    <w:rPr>
                      <w:rFonts w:hAnsi="宋体"/>
                      <w:sz w:val="21"/>
                    </w:rPr>
                  </w:pPr>
                  <w:r>
                    <w:rPr>
                      <w:rFonts w:hAnsi="宋体"/>
                      <w:sz w:val="21"/>
                    </w:rPr>
                    <w:t>不燃。</w:t>
                  </w:r>
                  <w:r>
                    <w:rPr>
                      <w:rFonts w:hint="eastAsia" w:hAnsi="宋体"/>
                      <w:sz w:val="21"/>
                    </w:rPr>
                    <w:t>受高热或与酸接触会产生剧毒的氰化物气体。</w:t>
                  </w:r>
                  <w:r>
                    <w:rPr>
                      <w:rFonts w:hAnsi="宋体"/>
                      <w:sz w:val="21"/>
                    </w:rPr>
                    <w:t>与硝酸盐、亚硝酸盐、氯酸盐反应剧烈，有发生爆炸的危险。</w:t>
                  </w:r>
                  <w:r>
                    <w:rPr>
                      <w:rFonts w:hint="eastAsia" w:hAnsi="宋体"/>
                      <w:sz w:val="21"/>
                    </w:rPr>
                    <w:t>遇酸或露置</w:t>
                  </w:r>
                  <w:r>
                    <w:rPr>
                      <w:rFonts w:hAnsi="宋体"/>
                      <w:sz w:val="21"/>
                    </w:rPr>
                    <w:t>空气</w:t>
                  </w:r>
                  <w:r>
                    <w:rPr>
                      <w:rFonts w:hint="eastAsia" w:hAnsi="宋体"/>
                      <w:sz w:val="21"/>
                    </w:rPr>
                    <w:t>中能吸收水分和</w:t>
                  </w:r>
                  <w:r>
                    <w:rPr>
                      <w:rFonts w:hAnsi="宋体"/>
                      <w:sz w:val="21"/>
                    </w:rPr>
                    <w:t>二氧化碳</w:t>
                  </w:r>
                  <w:r>
                    <w:rPr>
                      <w:rFonts w:hint="eastAsia" w:hAnsi="宋体"/>
                      <w:sz w:val="21"/>
                    </w:rPr>
                    <w:t>，分解出剧毒的</w:t>
                  </w:r>
                  <w:r>
                    <w:rPr>
                      <w:rFonts w:hAnsi="宋体"/>
                      <w:sz w:val="21"/>
                    </w:rPr>
                    <w:t>氰化氢气体。</w:t>
                  </w:r>
                  <w:r>
                    <w:rPr>
                      <w:rFonts w:hint="eastAsia" w:hAnsi="宋体"/>
                      <w:sz w:val="21"/>
                    </w:rPr>
                    <w:t>水溶液为碱性腐蚀液体。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38" w:type="dxa"/>
                  <w:vAlign w:val="center"/>
                </w:tcPr>
                <w:p>
                  <w:pPr>
                    <w:pStyle w:val="41"/>
                    <w:spacing w:line="240" w:lineRule="auto"/>
                    <w:ind w:firstLine="0" w:firstLineChars="0"/>
                    <w:rPr>
                      <w:rFonts w:hAnsi="宋体"/>
                      <w:sz w:val="21"/>
                    </w:rPr>
                  </w:pPr>
                  <w:r>
                    <w:rPr>
                      <w:rFonts w:hAnsi="宋体"/>
                      <w:sz w:val="21"/>
                    </w:rPr>
                    <w:t>灭火方法</w:t>
                  </w:r>
                </w:p>
              </w:tc>
              <w:tc>
                <w:tcPr>
                  <w:tcW w:w="8647" w:type="dxa"/>
                  <w:gridSpan w:val="2"/>
                  <w:vAlign w:val="center"/>
                </w:tcPr>
                <w:p>
                  <w:pPr>
                    <w:pStyle w:val="41"/>
                    <w:spacing w:line="240" w:lineRule="auto"/>
                    <w:ind w:firstLine="0" w:firstLineChars="0"/>
                    <w:rPr>
                      <w:rFonts w:hAnsi="宋体"/>
                      <w:sz w:val="21"/>
                    </w:rPr>
                  </w:pPr>
                  <w:r>
                    <w:rPr>
                      <w:rFonts w:hAnsi="宋体"/>
                      <w:sz w:val="21"/>
                    </w:rPr>
                    <w:t>本品不燃。发生火灾时应尽量抢救本物品，防止包装破损，引起环境污染。消防人员必须</w:t>
                  </w:r>
                  <w:r>
                    <w:rPr>
                      <w:rFonts w:hint="eastAsia" w:hAnsi="宋体"/>
                      <w:sz w:val="21"/>
                    </w:rPr>
                    <w:t>佩戴防毒面具、穿全身消防服。</w:t>
                  </w:r>
                </w:p>
                <w:p>
                  <w:pPr>
                    <w:pStyle w:val="41"/>
                    <w:spacing w:line="240" w:lineRule="auto"/>
                    <w:ind w:firstLine="0" w:firstLineChars="0"/>
                    <w:rPr>
                      <w:rFonts w:hAnsi="宋体"/>
                      <w:sz w:val="21"/>
                    </w:rPr>
                  </w:pPr>
                  <w:r>
                    <w:rPr>
                      <w:rFonts w:hAnsi="宋体"/>
                      <w:sz w:val="21"/>
                    </w:rPr>
                    <w:t>灭火剂：干粉、砂土。禁止用二氧化碳和酸碱灭火剂灭火。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738" w:type="dxa"/>
                  <w:vMerge w:val="restart"/>
                  <w:vAlign w:val="center"/>
                </w:tcPr>
                <w:p>
                  <w:pPr>
                    <w:pStyle w:val="41"/>
                    <w:spacing w:line="240" w:lineRule="auto"/>
                    <w:ind w:firstLine="0" w:firstLineChars="0"/>
                    <w:rPr>
                      <w:rFonts w:hAnsi="宋体"/>
                      <w:sz w:val="21"/>
                    </w:rPr>
                  </w:pPr>
                  <w:r>
                    <w:rPr>
                      <w:rFonts w:hAnsi="宋体"/>
                      <w:sz w:val="21"/>
                    </w:rPr>
                    <w:t>急救</w:t>
                  </w:r>
                </w:p>
              </w:tc>
              <w:tc>
                <w:tcPr>
                  <w:tcW w:w="8647" w:type="dxa"/>
                  <w:gridSpan w:val="2"/>
                  <w:vAlign w:val="center"/>
                </w:tcPr>
                <w:p>
                  <w:pPr>
                    <w:pStyle w:val="41"/>
                    <w:spacing w:line="240" w:lineRule="auto"/>
                    <w:ind w:firstLine="0" w:firstLineChars="0"/>
                    <w:rPr>
                      <w:rFonts w:hAnsi="宋体"/>
                      <w:sz w:val="21"/>
                    </w:rPr>
                  </w:pPr>
                  <w:r>
                    <w:rPr>
                      <w:rFonts w:hAnsi="宋体"/>
                      <w:sz w:val="21"/>
                    </w:rPr>
                    <w:t>皮肤接触：立即脱去被污染的衣着，用大量流动清水或5%硫代硫酸钠溶液彻底冲洗至少20分钟。就医。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 w:hRule="atLeast"/>
                <w:jc w:val="center"/>
              </w:trPr>
              <w:tc>
                <w:tcPr>
                  <w:tcW w:w="738" w:type="dxa"/>
                  <w:vMerge w:val="continue"/>
                  <w:vAlign w:val="center"/>
                </w:tcPr>
                <w:p>
                  <w:pPr>
                    <w:pStyle w:val="41"/>
                    <w:spacing w:line="240" w:lineRule="auto"/>
                    <w:ind w:firstLine="0" w:firstLineChars="0"/>
                    <w:rPr>
                      <w:rFonts w:hAnsi="宋体"/>
                      <w:sz w:val="21"/>
                    </w:rPr>
                  </w:pPr>
                </w:p>
              </w:tc>
              <w:tc>
                <w:tcPr>
                  <w:tcW w:w="8647" w:type="dxa"/>
                  <w:gridSpan w:val="2"/>
                  <w:vAlign w:val="center"/>
                </w:tcPr>
                <w:p>
                  <w:pPr>
                    <w:pStyle w:val="41"/>
                    <w:spacing w:line="240" w:lineRule="auto"/>
                    <w:ind w:firstLine="0" w:firstLineChars="0"/>
                    <w:rPr>
                      <w:rFonts w:hAnsi="宋体"/>
                      <w:sz w:val="21"/>
                    </w:rPr>
                  </w:pPr>
                  <w:r>
                    <w:rPr>
                      <w:rFonts w:hAnsi="宋体"/>
                      <w:sz w:val="21"/>
                    </w:rPr>
                    <w:t>眼睛接触：立即提起眼睑，用大量流动清水或生理盐水彻底冲洗至少15分钟。就医。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jc w:val="center"/>
              </w:trPr>
              <w:tc>
                <w:tcPr>
                  <w:tcW w:w="738" w:type="dxa"/>
                  <w:vMerge w:val="continue"/>
                  <w:vAlign w:val="center"/>
                </w:tcPr>
                <w:p>
                  <w:pPr>
                    <w:pStyle w:val="41"/>
                    <w:spacing w:line="240" w:lineRule="auto"/>
                    <w:ind w:firstLine="0" w:firstLineChars="0"/>
                    <w:rPr>
                      <w:rFonts w:hAnsi="宋体"/>
                      <w:sz w:val="21"/>
                    </w:rPr>
                  </w:pPr>
                </w:p>
              </w:tc>
              <w:tc>
                <w:tcPr>
                  <w:tcW w:w="8647" w:type="dxa"/>
                  <w:gridSpan w:val="2"/>
                  <w:vAlign w:val="center"/>
                </w:tcPr>
                <w:p>
                  <w:pPr>
                    <w:pStyle w:val="41"/>
                    <w:spacing w:line="240" w:lineRule="auto"/>
                    <w:ind w:firstLine="0" w:firstLineChars="0"/>
                    <w:rPr>
                      <w:rFonts w:hAnsi="宋体"/>
                      <w:sz w:val="21"/>
                    </w:rPr>
                  </w:pPr>
                  <w:r>
                    <w:rPr>
                      <w:rFonts w:hAnsi="宋体"/>
                      <w:sz w:val="21"/>
                    </w:rPr>
                    <w:t>吸入：迅速脱离现场至空气新鲜处。保特吸吸道通畅。如呼吸困难，给输氧。如呼吸心跳停止，立即进行人工呼吸，（勿用口对口）和胸外心脏按压术。给吸入亚硝酸异戊脂，就医。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 w:hRule="atLeast"/>
                <w:jc w:val="center"/>
              </w:trPr>
              <w:tc>
                <w:tcPr>
                  <w:tcW w:w="738" w:type="dxa"/>
                  <w:vMerge w:val="continue"/>
                  <w:vAlign w:val="center"/>
                </w:tcPr>
                <w:p>
                  <w:pPr>
                    <w:pStyle w:val="41"/>
                    <w:spacing w:line="240" w:lineRule="auto"/>
                    <w:ind w:firstLine="0" w:firstLineChars="0"/>
                    <w:rPr>
                      <w:rFonts w:hAnsi="宋体"/>
                      <w:sz w:val="21"/>
                    </w:rPr>
                  </w:pPr>
                </w:p>
              </w:tc>
              <w:tc>
                <w:tcPr>
                  <w:tcW w:w="8647" w:type="dxa"/>
                  <w:gridSpan w:val="2"/>
                  <w:vAlign w:val="center"/>
                </w:tcPr>
                <w:p>
                  <w:pPr>
                    <w:pStyle w:val="41"/>
                    <w:spacing w:line="240" w:lineRule="auto"/>
                    <w:ind w:firstLine="0" w:firstLineChars="0"/>
                    <w:rPr>
                      <w:rFonts w:hAnsi="宋体"/>
                      <w:sz w:val="21"/>
                    </w:rPr>
                  </w:pPr>
                  <w:r>
                    <w:rPr>
                      <w:rFonts w:hAnsi="宋体"/>
                      <w:sz w:val="21"/>
                    </w:rPr>
                    <w:t>食入：饮足量温水，催吐。用1：5000高锰酸钾或5%硫代硫酸钠溶液洗胃。就医。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738" w:type="dxa"/>
                  <w:vMerge w:val="restart"/>
                  <w:vAlign w:val="center"/>
                </w:tcPr>
                <w:p>
                  <w:pPr>
                    <w:pStyle w:val="41"/>
                    <w:spacing w:line="240" w:lineRule="auto"/>
                    <w:ind w:firstLine="0" w:firstLineChars="0"/>
                    <w:rPr>
                      <w:rFonts w:hAnsi="宋体"/>
                      <w:sz w:val="21"/>
                    </w:rPr>
                  </w:pPr>
                  <w:r>
                    <w:rPr>
                      <w:rFonts w:hAnsi="宋体"/>
                      <w:sz w:val="21"/>
                    </w:rPr>
                    <w:t>防护措施</w:t>
                  </w:r>
                </w:p>
              </w:tc>
              <w:tc>
                <w:tcPr>
                  <w:tcW w:w="8647" w:type="dxa"/>
                  <w:gridSpan w:val="2"/>
                  <w:vAlign w:val="center"/>
                </w:tcPr>
                <w:p>
                  <w:pPr>
                    <w:pStyle w:val="41"/>
                    <w:spacing w:line="240" w:lineRule="auto"/>
                    <w:ind w:firstLine="0" w:firstLineChars="0"/>
                    <w:rPr>
                      <w:rFonts w:hAnsi="宋体"/>
                      <w:sz w:val="21"/>
                    </w:rPr>
                  </w:pPr>
                  <w:r>
                    <w:rPr>
                      <w:rFonts w:hAnsi="宋体"/>
                      <w:sz w:val="21"/>
                    </w:rPr>
                    <w:t>工程控制：严加密闭，提供充分的局部排风和全面通风。尽可能机械化、自动化。提供安全淋浴和洗眼设备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738" w:type="dxa"/>
                  <w:vMerge w:val="continue"/>
                  <w:vAlign w:val="center"/>
                </w:tcPr>
                <w:p>
                  <w:pPr>
                    <w:pStyle w:val="41"/>
                    <w:spacing w:line="240" w:lineRule="auto"/>
                    <w:ind w:firstLine="315"/>
                    <w:rPr>
                      <w:rFonts w:hAnsi="宋体"/>
                      <w:sz w:val="21"/>
                    </w:rPr>
                  </w:pPr>
                </w:p>
              </w:tc>
              <w:tc>
                <w:tcPr>
                  <w:tcW w:w="8647" w:type="dxa"/>
                  <w:gridSpan w:val="2"/>
                  <w:vAlign w:val="center"/>
                </w:tcPr>
                <w:p>
                  <w:pPr>
                    <w:pStyle w:val="41"/>
                    <w:spacing w:line="240" w:lineRule="auto"/>
                    <w:ind w:firstLine="0" w:firstLineChars="0"/>
                    <w:rPr>
                      <w:rFonts w:hAnsi="宋体"/>
                      <w:sz w:val="21"/>
                    </w:rPr>
                  </w:pPr>
                  <w:r>
                    <w:rPr>
                      <w:rFonts w:hAnsi="宋体"/>
                      <w:sz w:val="21"/>
                    </w:rPr>
                    <w:t>呼吸系统防护：可能接触毒物时，必须佩戴头罩型电动送风过滤式防尘呼吸器。紧急事态抢救或撤离时，建议佩戴自给式呼吸器。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 w:hRule="atLeast"/>
                <w:jc w:val="center"/>
              </w:trPr>
              <w:tc>
                <w:tcPr>
                  <w:tcW w:w="738" w:type="dxa"/>
                  <w:vMerge w:val="continue"/>
                  <w:tcBorders>
                    <w:bottom w:val="single" w:color="auto" w:sz="4" w:space="0"/>
                  </w:tcBorders>
                  <w:vAlign w:val="center"/>
                </w:tcPr>
                <w:p>
                  <w:pPr>
                    <w:pStyle w:val="41"/>
                    <w:spacing w:line="240" w:lineRule="auto"/>
                    <w:ind w:firstLine="315"/>
                    <w:rPr>
                      <w:rFonts w:hAnsi="宋体"/>
                      <w:sz w:val="21"/>
                    </w:rPr>
                  </w:pPr>
                </w:p>
              </w:tc>
              <w:tc>
                <w:tcPr>
                  <w:tcW w:w="8647" w:type="dxa"/>
                  <w:gridSpan w:val="2"/>
                  <w:tcBorders>
                    <w:bottom w:val="single" w:color="auto" w:sz="4" w:space="0"/>
                  </w:tcBorders>
                  <w:vAlign w:val="center"/>
                </w:tcPr>
                <w:p>
                  <w:pPr>
                    <w:pStyle w:val="41"/>
                    <w:spacing w:line="240" w:lineRule="auto"/>
                    <w:ind w:firstLine="0" w:firstLineChars="0"/>
                    <w:rPr>
                      <w:rFonts w:hAnsi="宋体"/>
                      <w:sz w:val="21"/>
                    </w:rPr>
                  </w:pPr>
                  <w:r>
                    <w:rPr>
                      <w:rFonts w:hAnsi="宋体"/>
                      <w:sz w:val="21"/>
                    </w:rPr>
                    <w:t>眼睛防护：呼吸系统防护中以作防护。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 w:hRule="atLeast"/>
                <w:jc w:val="center"/>
              </w:trPr>
              <w:tc>
                <w:tcPr>
                  <w:tcW w:w="738" w:type="dxa"/>
                  <w:vMerge w:val="continue"/>
                  <w:tcBorders>
                    <w:bottom w:val="single" w:color="auto" w:sz="4" w:space="0"/>
                  </w:tcBorders>
                  <w:vAlign w:val="center"/>
                </w:tcPr>
                <w:p>
                  <w:pPr>
                    <w:pStyle w:val="41"/>
                    <w:spacing w:line="240" w:lineRule="auto"/>
                    <w:ind w:firstLine="315"/>
                    <w:rPr>
                      <w:rFonts w:hAnsi="宋体"/>
                      <w:sz w:val="21"/>
                    </w:rPr>
                  </w:pPr>
                </w:p>
              </w:tc>
              <w:tc>
                <w:tcPr>
                  <w:tcW w:w="8647" w:type="dxa"/>
                  <w:gridSpan w:val="2"/>
                  <w:tcBorders>
                    <w:bottom w:val="single" w:color="auto" w:sz="4" w:space="0"/>
                  </w:tcBorders>
                  <w:vAlign w:val="center"/>
                </w:tcPr>
                <w:p>
                  <w:pPr>
                    <w:pStyle w:val="41"/>
                    <w:spacing w:line="240" w:lineRule="auto"/>
                    <w:ind w:firstLine="0" w:firstLineChars="0"/>
                    <w:rPr>
                      <w:rFonts w:hAnsi="宋体"/>
                      <w:sz w:val="21"/>
                    </w:rPr>
                  </w:pPr>
                  <w:r>
                    <w:rPr>
                      <w:rFonts w:hAnsi="宋体"/>
                      <w:sz w:val="21"/>
                    </w:rPr>
                    <w:t>身体防护：穿连衣式胶布防毒衣。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 w:hRule="atLeast"/>
                <w:jc w:val="center"/>
              </w:trPr>
              <w:tc>
                <w:tcPr>
                  <w:tcW w:w="738" w:type="dxa"/>
                  <w:vMerge w:val="continue"/>
                  <w:tcBorders>
                    <w:bottom w:val="single" w:color="auto" w:sz="4" w:space="0"/>
                  </w:tcBorders>
                  <w:vAlign w:val="center"/>
                </w:tcPr>
                <w:p>
                  <w:pPr>
                    <w:pStyle w:val="41"/>
                    <w:spacing w:line="240" w:lineRule="auto"/>
                    <w:ind w:firstLine="315"/>
                    <w:rPr>
                      <w:rFonts w:hAnsi="宋体"/>
                      <w:sz w:val="21"/>
                    </w:rPr>
                  </w:pPr>
                </w:p>
              </w:tc>
              <w:tc>
                <w:tcPr>
                  <w:tcW w:w="8647" w:type="dxa"/>
                  <w:gridSpan w:val="2"/>
                  <w:tcBorders>
                    <w:bottom w:val="single" w:color="auto" w:sz="4" w:space="0"/>
                  </w:tcBorders>
                  <w:vAlign w:val="center"/>
                </w:tcPr>
                <w:p>
                  <w:pPr>
                    <w:pStyle w:val="41"/>
                    <w:spacing w:line="240" w:lineRule="auto"/>
                    <w:ind w:firstLine="0" w:firstLineChars="0"/>
                    <w:rPr>
                      <w:rFonts w:hAnsi="宋体"/>
                      <w:sz w:val="21"/>
                    </w:rPr>
                  </w:pPr>
                  <w:r>
                    <w:rPr>
                      <w:rFonts w:hAnsi="宋体"/>
                      <w:sz w:val="21"/>
                    </w:rPr>
                    <w:t>手防护：戴橡胶手套。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738" w:type="dxa"/>
                  <w:vMerge w:val="continue"/>
                  <w:tcBorders>
                    <w:bottom w:val="single" w:color="auto" w:sz="4" w:space="0"/>
                  </w:tcBorders>
                  <w:vAlign w:val="center"/>
                </w:tcPr>
                <w:p>
                  <w:pPr>
                    <w:pStyle w:val="41"/>
                    <w:spacing w:line="240" w:lineRule="auto"/>
                    <w:ind w:firstLine="315"/>
                    <w:rPr>
                      <w:rFonts w:hAnsi="宋体"/>
                      <w:sz w:val="21"/>
                    </w:rPr>
                  </w:pPr>
                </w:p>
              </w:tc>
              <w:tc>
                <w:tcPr>
                  <w:tcW w:w="8647" w:type="dxa"/>
                  <w:gridSpan w:val="2"/>
                  <w:tcBorders>
                    <w:bottom w:val="single" w:color="auto" w:sz="4" w:space="0"/>
                  </w:tcBorders>
                  <w:vAlign w:val="center"/>
                </w:tcPr>
                <w:p>
                  <w:pPr>
                    <w:pStyle w:val="41"/>
                    <w:spacing w:line="240" w:lineRule="auto"/>
                    <w:ind w:firstLine="0" w:firstLineChars="0"/>
                    <w:rPr>
                      <w:rFonts w:hAnsi="宋体"/>
                      <w:sz w:val="21"/>
                    </w:rPr>
                  </w:pPr>
                  <w:r>
                    <w:rPr>
                      <w:rFonts w:hAnsi="宋体"/>
                      <w:sz w:val="21"/>
                    </w:rPr>
                    <w:t>其它：工作场所禁止吸烟、进食和饮水。工作毕，彻底清洗。单独存放被毒物污染的衣服，洗后备用。车间应配备急救设备及药品。作业人员应学会自救互救。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38" w:type="dxa"/>
                  <w:vAlign w:val="center"/>
                </w:tcPr>
                <w:p>
                  <w:pPr>
                    <w:pStyle w:val="41"/>
                    <w:spacing w:line="240" w:lineRule="auto"/>
                    <w:ind w:firstLine="0" w:firstLineChars="0"/>
                    <w:rPr>
                      <w:rFonts w:hAnsi="宋体"/>
                      <w:sz w:val="21"/>
                    </w:rPr>
                  </w:pPr>
                  <w:r>
                    <w:rPr>
                      <w:rFonts w:hAnsi="宋体"/>
                      <w:sz w:val="21"/>
                    </w:rPr>
                    <w:t>包装方法</w:t>
                  </w:r>
                </w:p>
              </w:tc>
              <w:tc>
                <w:tcPr>
                  <w:tcW w:w="8647" w:type="dxa"/>
                  <w:gridSpan w:val="2"/>
                  <w:vAlign w:val="center"/>
                </w:tcPr>
                <w:p>
                  <w:pPr>
                    <w:pStyle w:val="41"/>
                    <w:spacing w:line="240" w:lineRule="auto"/>
                    <w:ind w:firstLine="0" w:firstLineChars="0"/>
                    <w:rPr>
                      <w:rFonts w:hAnsi="宋体"/>
                      <w:sz w:val="21"/>
                    </w:rPr>
                  </w:pPr>
                  <w:r>
                    <w:rPr>
                      <w:rFonts w:hAnsi="宋体"/>
                      <w:sz w:val="21"/>
                    </w:rPr>
                    <w:t>（Ⅰ）类，塑料袋、多层牛皮纸袋外中开口钢瓶；螺纹口玻璃瓶、铁盖压口玻璃瓶、塑料瓶或金属桶（罐）外木板箱。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9" w:hRule="atLeast"/>
                <w:jc w:val="center"/>
              </w:trPr>
              <w:tc>
                <w:tcPr>
                  <w:tcW w:w="738" w:type="dxa"/>
                  <w:vAlign w:val="center"/>
                </w:tcPr>
                <w:p>
                  <w:pPr>
                    <w:pStyle w:val="41"/>
                    <w:spacing w:line="240" w:lineRule="auto"/>
                    <w:ind w:firstLine="0" w:firstLineChars="0"/>
                    <w:rPr>
                      <w:rFonts w:hAnsi="宋体"/>
                      <w:sz w:val="21"/>
                    </w:rPr>
                  </w:pPr>
                  <w:r>
                    <w:rPr>
                      <w:rFonts w:hint="eastAsia" w:hAnsi="宋体"/>
                      <w:sz w:val="21"/>
                    </w:rPr>
                    <w:t>储运条件</w:t>
                  </w:r>
                </w:p>
              </w:tc>
              <w:tc>
                <w:tcPr>
                  <w:tcW w:w="8647" w:type="dxa"/>
                  <w:gridSpan w:val="2"/>
                  <w:vAlign w:val="center"/>
                </w:tcPr>
                <w:p>
                  <w:pPr>
                    <w:pStyle w:val="41"/>
                    <w:spacing w:line="240" w:lineRule="auto"/>
                    <w:ind w:firstLine="0" w:firstLineChars="0"/>
                    <w:rPr>
                      <w:rFonts w:hAnsi="宋体"/>
                      <w:sz w:val="21"/>
                    </w:rPr>
                  </w:pPr>
                  <w:r>
                    <w:rPr>
                      <w:rFonts w:hint="eastAsia" w:hAnsi="宋体"/>
                      <w:sz w:val="21"/>
                    </w:rPr>
                    <w:t>容器必须密封，宜专仓专储，并保持干燥。远离火种、热源。切忌与酸类混储混运。应与食用化学品、易燃或可燃物等分开存放。应严格执行极毒物品“五双”管理制度。搬运时要轻装轻卸，防止包装容器损坏。分类和搬运作业要注意个人防护。运输按规定路线行驶，中途不得停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8" w:hRule="atLeast"/>
                <w:jc w:val="center"/>
              </w:trPr>
              <w:tc>
                <w:tcPr>
                  <w:tcW w:w="738" w:type="dxa"/>
                  <w:vAlign w:val="center"/>
                </w:tcPr>
                <w:p>
                  <w:pPr>
                    <w:pStyle w:val="41"/>
                    <w:spacing w:line="240" w:lineRule="auto"/>
                    <w:ind w:firstLine="0" w:firstLineChars="0"/>
                    <w:rPr>
                      <w:rFonts w:hAnsi="宋体"/>
                      <w:sz w:val="21"/>
                    </w:rPr>
                  </w:pPr>
                  <w:r>
                    <w:rPr>
                      <w:rFonts w:hAnsi="宋体"/>
                      <w:sz w:val="21"/>
                    </w:rPr>
                    <w:t>泄漏处理</w:t>
                  </w:r>
                </w:p>
              </w:tc>
              <w:tc>
                <w:tcPr>
                  <w:tcW w:w="8647" w:type="dxa"/>
                  <w:gridSpan w:val="2"/>
                  <w:vAlign w:val="center"/>
                </w:tcPr>
                <w:p>
                  <w:pPr>
                    <w:pStyle w:val="41"/>
                    <w:spacing w:line="240" w:lineRule="auto"/>
                    <w:ind w:firstLine="0" w:firstLineChars="0"/>
                    <w:rPr>
                      <w:rFonts w:hAnsi="宋体"/>
                      <w:sz w:val="21"/>
                    </w:rPr>
                  </w:pPr>
                  <w:r>
                    <w:rPr>
                      <w:rFonts w:hAnsi="宋体"/>
                      <w:sz w:val="21"/>
                    </w:rPr>
                    <w:t>隔离污染区，严格限制出入。建议应急处理人员戴自给正压式呼吸器，穿防毒服。不要直接接触泄漏物。小量泄漏：用洁净的铲子收集于干燥、洁净、有盖的容器中，做好标记，等待处理。</w:t>
                  </w:r>
                  <w:r>
                    <w:rPr>
                      <w:rFonts w:hint="eastAsia" w:hAnsi="宋体"/>
                      <w:sz w:val="21"/>
                    </w:rPr>
                    <w:t>也可以用次氯酸盐溶液冲洗，洗液稀释后放入废水系统。</w:t>
                  </w:r>
                  <w:r>
                    <w:rPr>
                      <w:rFonts w:hAnsi="宋体"/>
                      <w:sz w:val="21"/>
                    </w:rPr>
                    <w:t>大量泄漏：用塑料布、帆布覆盖，减少飞散。然后收集、回收或运至废物处理场所处置。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 w:hRule="atLeast"/>
                <w:jc w:val="center"/>
              </w:trPr>
              <w:tc>
                <w:tcPr>
                  <w:tcW w:w="738" w:type="dxa"/>
                  <w:vAlign w:val="center"/>
                </w:tcPr>
                <w:p>
                  <w:pPr>
                    <w:pStyle w:val="41"/>
                    <w:spacing w:line="240" w:lineRule="auto"/>
                    <w:ind w:firstLine="0" w:firstLineChars="0"/>
                    <w:rPr>
                      <w:rFonts w:hAnsi="宋体"/>
                      <w:sz w:val="21"/>
                    </w:rPr>
                  </w:pPr>
                  <w:r>
                    <w:rPr>
                      <w:rFonts w:hAnsi="宋体"/>
                      <w:sz w:val="21"/>
                    </w:rPr>
                    <w:t>废弃</w:t>
                  </w:r>
                </w:p>
              </w:tc>
              <w:tc>
                <w:tcPr>
                  <w:tcW w:w="8647" w:type="dxa"/>
                  <w:gridSpan w:val="2"/>
                  <w:vAlign w:val="center"/>
                </w:tcPr>
                <w:p>
                  <w:pPr>
                    <w:pStyle w:val="41"/>
                    <w:spacing w:line="240" w:lineRule="auto"/>
                    <w:ind w:firstLine="0" w:firstLineChars="0"/>
                    <w:rPr>
                      <w:rFonts w:hAnsi="宋体"/>
                      <w:sz w:val="21"/>
                    </w:rPr>
                  </w:pPr>
                  <w:r>
                    <w:rPr>
                      <w:rFonts w:hAnsi="宋体"/>
                      <w:sz w:val="21"/>
                    </w:rPr>
                    <w:t>处置前应参阅国家和地方有关法规。废物贮存参见：储运注意事项”。与硫酸亚铁反应，生成相对无毒的氰化铁。或与次氯酸钠或次氯酸钙反应，生成低毒的碳酸盐。处理后，用安全掩埋法处置。</w:t>
                  </w:r>
                </w:p>
              </w:tc>
            </w:tr>
          </w:tbl>
          <w:p>
            <w:pPr>
              <w:autoSpaceDE w:val="0"/>
              <w:autoSpaceDN w:val="0"/>
              <w:adjustRightInd w:val="0"/>
              <w:spacing w:line="360" w:lineRule="auto"/>
              <w:jc w:val="center"/>
              <w:rPr>
                <w:rFonts w:ascii="宋体" w:hAnsi="宋体"/>
                <w:b/>
                <w:kern w:val="0"/>
                <w:sz w:val="24"/>
              </w:rPr>
            </w:pPr>
            <w:r>
              <w:rPr>
                <w:rFonts w:ascii="宋体" w:hAnsi="宋体"/>
                <w:b/>
                <w:kern w:val="0"/>
                <w:sz w:val="24"/>
              </w:rPr>
              <w:t>表</w:t>
            </w:r>
            <w:r>
              <w:rPr>
                <w:rFonts w:hint="eastAsia" w:ascii="宋体" w:hAnsi="宋体"/>
                <w:b/>
                <w:kern w:val="0"/>
                <w:sz w:val="24"/>
              </w:rPr>
              <w:t>7</w:t>
            </w:r>
            <w:r>
              <w:rPr>
                <w:rFonts w:ascii="宋体" w:hAnsi="宋体"/>
                <w:b/>
                <w:kern w:val="0"/>
                <w:sz w:val="24"/>
              </w:rPr>
              <w:t>-13 一氧化碳危险特性表</w:t>
            </w:r>
          </w:p>
          <w:tbl>
            <w:tblPr>
              <w:tblStyle w:val="53"/>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341"/>
              <w:gridCol w:w="529"/>
              <w:gridCol w:w="1299"/>
              <w:gridCol w:w="99"/>
              <w:gridCol w:w="117"/>
              <w:gridCol w:w="423"/>
              <w:gridCol w:w="880"/>
              <w:gridCol w:w="450"/>
              <w:gridCol w:w="773"/>
              <w:gridCol w:w="283"/>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572" w:type="dxa"/>
                  <w:vMerge w:val="restart"/>
                  <w:vAlign w:val="center"/>
                </w:tcPr>
                <w:p>
                  <w:pPr>
                    <w:jc w:val="center"/>
                    <w:rPr>
                      <w:rFonts w:ascii="宋体" w:hAnsi="宋体"/>
                    </w:rPr>
                  </w:pPr>
                  <w:r>
                    <w:rPr>
                      <w:rFonts w:hint="eastAsia" w:ascii="宋体" w:hAnsi="宋体"/>
                    </w:rPr>
                    <w:t>标识</w:t>
                  </w:r>
                </w:p>
              </w:tc>
              <w:tc>
                <w:tcPr>
                  <w:tcW w:w="1341" w:type="dxa"/>
                  <w:vAlign w:val="center"/>
                </w:tcPr>
                <w:p>
                  <w:pPr>
                    <w:rPr>
                      <w:rFonts w:ascii="宋体" w:hAnsi="宋体"/>
                    </w:rPr>
                  </w:pPr>
                  <w:r>
                    <w:rPr>
                      <w:rFonts w:hint="eastAsia" w:ascii="宋体" w:hAnsi="宋体"/>
                    </w:rPr>
                    <w:t>中文名</w:t>
                  </w:r>
                </w:p>
              </w:tc>
              <w:tc>
                <w:tcPr>
                  <w:tcW w:w="1927" w:type="dxa"/>
                  <w:gridSpan w:val="3"/>
                  <w:vAlign w:val="center"/>
                </w:tcPr>
                <w:p>
                  <w:pPr>
                    <w:rPr>
                      <w:rFonts w:ascii="宋体" w:hAnsi="宋体"/>
                    </w:rPr>
                  </w:pPr>
                  <w:r>
                    <w:rPr>
                      <w:rFonts w:hint="eastAsia" w:ascii="宋体" w:hAnsi="宋体"/>
                    </w:rPr>
                    <w:t>一氧化碳</w:t>
                  </w:r>
                </w:p>
              </w:tc>
              <w:tc>
                <w:tcPr>
                  <w:tcW w:w="1870" w:type="dxa"/>
                  <w:gridSpan w:val="4"/>
                  <w:vAlign w:val="center"/>
                </w:tcPr>
                <w:p>
                  <w:pPr>
                    <w:rPr>
                      <w:rFonts w:ascii="宋体" w:hAnsi="宋体"/>
                    </w:rPr>
                  </w:pPr>
                  <w:r>
                    <w:rPr>
                      <w:rFonts w:hint="eastAsia" w:ascii="宋体" w:hAnsi="宋体"/>
                    </w:rPr>
                    <w:t>英文名</w:t>
                  </w:r>
                </w:p>
              </w:tc>
              <w:tc>
                <w:tcPr>
                  <w:tcW w:w="3861" w:type="dxa"/>
                  <w:gridSpan w:val="3"/>
                  <w:vAlign w:val="center"/>
                </w:tcPr>
                <w:p>
                  <w:pPr>
                    <w:rPr>
                      <w:rFonts w:ascii="宋体" w:hAnsi="宋体"/>
                    </w:rPr>
                  </w:pPr>
                  <w:r>
                    <w:rPr>
                      <w:rFonts w:hint="eastAsia" w:ascii="宋体" w:hAnsi="宋体"/>
                    </w:rPr>
                    <w:t>Carbon monoxide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分子式</w:t>
                  </w:r>
                </w:p>
              </w:tc>
              <w:tc>
                <w:tcPr>
                  <w:tcW w:w="1927" w:type="dxa"/>
                  <w:gridSpan w:val="3"/>
                  <w:vAlign w:val="center"/>
                </w:tcPr>
                <w:p>
                  <w:pPr>
                    <w:rPr>
                      <w:rFonts w:ascii="宋体" w:hAnsi="宋体"/>
                    </w:rPr>
                  </w:pPr>
                  <w:r>
                    <w:rPr>
                      <w:rFonts w:hint="eastAsia" w:ascii="宋体" w:hAnsi="宋体"/>
                    </w:rPr>
                    <w:t>CO</w:t>
                  </w:r>
                </w:p>
              </w:tc>
              <w:tc>
                <w:tcPr>
                  <w:tcW w:w="1870" w:type="dxa"/>
                  <w:gridSpan w:val="4"/>
                  <w:vAlign w:val="center"/>
                </w:tcPr>
                <w:p>
                  <w:pPr>
                    <w:rPr>
                      <w:rFonts w:ascii="宋体" w:hAnsi="宋体"/>
                    </w:rPr>
                  </w:pPr>
                  <w:r>
                    <w:rPr>
                      <w:rFonts w:hint="eastAsia" w:ascii="宋体" w:hAnsi="宋体"/>
                    </w:rPr>
                    <w:t>相对分子质量</w:t>
                  </w:r>
                </w:p>
              </w:tc>
              <w:tc>
                <w:tcPr>
                  <w:tcW w:w="3861" w:type="dxa"/>
                  <w:gridSpan w:val="3"/>
                  <w:vAlign w:val="center"/>
                </w:tcPr>
                <w:p>
                  <w:pPr>
                    <w:rPr>
                      <w:rFonts w:ascii="宋体" w:hAnsi="宋体"/>
                    </w:rPr>
                  </w:pPr>
                  <w:r>
                    <w:rPr>
                      <w:rFonts w:hint="eastAsia" w:ascii="宋体" w:hAnsi="宋体"/>
                    </w:rPr>
                    <w:t>28.01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CAS号</w:t>
                  </w:r>
                </w:p>
              </w:tc>
              <w:tc>
                <w:tcPr>
                  <w:tcW w:w="1927" w:type="dxa"/>
                  <w:gridSpan w:val="3"/>
                  <w:vAlign w:val="center"/>
                </w:tcPr>
                <w:p>
                  <w:pPr>
                    <w:rPr>
                      <w:rFonts w:ascii="宋体" w:hAnsi="宋体"/>
                    </w:rPr>
                  </w:pPr>
                  <w:r>
                    <w:rPr>
                      <w:rFonts w:hint="eastAsia" w:ascii="宋体" w:hAnsi="宋体"/>
                    </w:rPr>
                    <w:t>630-08-0</w:t>
                  </w:r>
                </w:p>
              </w:tc>
              <w:tc>
                <w:tcPr>
                  <w:tcW w:w="1870" w:type="dxa"/>
                  <w:gridSpan w:val="4"/>
                  <w:vAlign w:val="center"/>
                </w:tcPr>
                <w:p>
                  <w:pPr>
                    <w:rPr>
                      <w:rFonts w:ascii="宋体" w:hAnsi="宋体"/>
                    </w:rPr>
                  </w:pPr>
                  <w:r>
                    <w:rPr>
                      <w:rFonts w:hint="eastAsia" w:ascii="宋体" w:hAnsi="宋体"/>
                    </w:rPr>
                    <w:t>包装分类</w:t>
                  </w:r>
                </w:p>
              </w:tc>
              <w:tc>
                <w:tcPr>
                  <w:tcW w:w="3861" w:type="dxa"/>
                  <w:gridSpan w:val="3"/>
                  <w:vAlign w:val="center"/>
                </w:tcPr>
                <w:p>
                  <w:pPr>
                    <w:rPr>
                      <w:rFonts w:ascii="宋体" w:hAnsi="宋体"/>
                    </w:rPr>
                  </w:pPr>
                  <w:r>
                    <w:rPr>
                      <w:rFonts w:hint="eastAsia" w:ascii="宋体" w:hAnsi="宋体"/>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UN编号</w:t>
                  </w:r>
                </w:p>
              </w:tc>
              <w:tc>
                <w:tcPr>
                  <w:tcW w:w="1927" w:type="dxa"/>
                  <w:gridSpan w:val="3"/>
                  <w:vAlign w:val="center"/>
                </w:tcPr>
                <w:p>
                  <w:pPr>
                    <w:rPr>
                      <w:rFonts w:ascii="宋体" w:hAnsi="宋体"/>
                    </w:rPr>
                  </w:pPr>
                  <w:r>
                    <w:rPr>
                      <w:rFonts w:hint="eastAsia" w:ascii="宋体" w:hAnsi="宋体"/>
                    </w:rPr>
                    <w:t>1016</w:t>
                  </w:r>
                </w:p>
              </w:tc>
              <w:tc>
                <w:tcPr>
                  <w:tcW w:w="1870" w:type="dxa"/>
                  <w:gridSpan w:val="4"/>
                  <w:vAlign w:val="center"/>
                </w:tcPr>
                <w:p>
                  <w:pPr>
                    <w:rPr>
                      <w:rFonts w:ascii="宋体" w:hAnsi="宋体"/>
                    </w:rPr>
                  </w:pPr>
                  <w:r>
                    <w:rPr>
                      <w:rFonts w:hint="eastAsia" w:ascii="宋体" w:hAnsi="宋体"/>
                    </w:rPr>
                    <w:t>危险货物编号</w:t>
                  </w:r>
                </w:p>
              </w:tc>
              <w:tc>
                <w:tcPr>
                  <w:tcW w:w="3861" w:type="dxa"/>
                  <w:gridSpan w:val="3"/>
                  <w:vAlign w:val="center"/>
                </w:tcPr>
                <w:p>
                  <w:pPr>
                    <w:rPr>
                      <w:rFonts w:ascii="宋体" w:hAnsi="宋体"/>
                    </w:rPr>
                  </w:pPr>
                  <w:r>
                    <w:rPr>
                      <w:rFonts w:hint="eastAsia" w:ascii="宋体" w:hAnsi="宋体"/>
                    </w:rPr>
                    <w:t>21005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化学类别</w:t>
                  </w:r>
                </w:p>
              </w:tc>
              <w:tc>
                <w:tcPr>
                  <w:tcW w:w="1927" w:type="dxa"/>
                  <w:gridSpan w:val="3"/>
                  <w:vAlign w:val="center"/>
                </w:tcPr>
                <w:p>
                  <w:pPr>
                    <w:rPr>
                      <w:rFonts w:ascii="宋体" w:hAnsi="宋体"/>
                    </w:rPr>
                  </w:pPr>
                  <w:r>
                    <w:rPr>
                      <w:rFonts w:hint="eastAsia" w:ascii="宋体" w:hAnsi="宋体"/>
                    </w:rPr>
                    <w:t>非属氧化物</w:t>
                  </w:r>
                </w:p>
              </w:tc>
              <w:tc>
                <w:tcPr>
                  <w:tcW w:w="1870" w:type="dxa"/>
                  <w:gridSpan w:val="4"/>
                  <w:vAlign w:val="center"/>
                </w:tcPr>
                <w:p>
                  <w:pPr>
                    <w:rPr>
                      <w:rFonts w:ascii="宋体" w:hAnsi="宋体"/>
                    </w:rPr>
                  </w:pPr>
                </w:p>
              </w:tc>
              <w:tc>
                <w:tcPr>
                  <w:tcW w:w="3861"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restart"/>
                  <w:vAlign w:val="center"/>
                </w:tcPr>
                <w:p>
                  <w:pPr>
                    <w:jc w:val="center"/>
                    <w:rPr>
                      <w:rFonts w:ascii="宋体" w:hAnsi="宋体"/>
                    </w:rPr>
                  </w:pPr>
                  <w:r>
                    <w:rPr>
                      <w:rFonts w:hint="eastAsia" w:ascii="宋体" w:hAnsi="宋体"/>
                    </w:rPr>
                    <w:t>理化性质</w:t>
                  </w:r>
                </w:p>
              </w:tc>
              <w:tc>
                <w:tcPr>
                  <w:tcW w:w="1341" w:type="dxa"/>
                  <w:vAlign w:val="center"/>
                </w:tcPr>
                <w:p>
                  <w:pPr>
                    <w:rPr>
                      <w:rFonts w:ascii="宋体" w:hAnsi="宋体"/>
                    </w:rPr>
                  </w:pPr>
                  <w:r>
                    <w:rPr>
                      <w:rFonts w:hint="eastAsia" w:ascii="宋体" w:hAnsi="宋体"/>
                    </w:rPr>
                    <w:t>外观与性状</w:t>
                  </w:r>
                </w:p>
              </w:tc>
              <w:tc>
                <w:tcPr>
                  <w:tcW w:w="7658" w:type="dxa"/>
                  <w:gridSpan w:val="10"/>
                  <w:vAlign w:val="center"/>
                </w:tcPr>
                <w:p>
                  <w:pPr>
                    <w:rPr>
                      <w:rFonts w:ascii="宋体" w:hAnsi="宋体"/>
                    </w:rPr>
                  </w:pPr>
                  <w:r>
                    <w:rPr>
                      <w:rFonts w:hint="eastAsia" w:ascii="宋体" w:hAnsi="宋体"/>
                    </w:rPr>
                    <w:t>无色无臭气体。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溶解性</w:t>
                  </w:r>
                </w:p>
              </w:tc>
              <w:tc>
                <w:tcPr>
                  <w:tcW w:w="7658" w:type="dxa"/>
                  <w:gridSpan w:val="10"/>
                  <w:vAlign w:val="center"/>
                </w:tcPr>
                <w:p>
                  <w:pPr>
                    <w:rPr>
                      <w:rFonts w:ascii="宋体" w:hAnsi="宋体"/>
                    </w:rPr>
                  </w:pPr>
                  <w:r>
                    <w:rPr>
                      <w:rFonts w:hint="eastAsia" w:ascii="宋体" w:hAnsi="宋体"/>
                    </w:rPr>
                    <w:t>微溶于水，溶于乙醇、苯等多数有机溶剂。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主要用途</w:t>
                  </w:r>
                </w:p>
              </w:tc>
              <w:tc>
                <w:tcPr>
                  <w:tcW w:w="7658" w:type="dxa"/>
                  <w:gridSpan w:val="10"/>
                  <w:vAlign w:val="center"/>
                </w:tcPr>
                <w:p>
                  <w:pPr>
                    <w:rPr>
                      <w:rFonts w:ascii="宋体" w:hAnsi="宋体"/>
                    </w:rPr>
                  </w:pPr>
                  <w:r>
                    <w:rPr>
                      <w:rFonts w:hint="eastAsia" w:ascii="宋体" w:hAnsi="宋体"/>
                    </w:rPr>
                    <w:t>主要用于化学合成，如合成甲醇、光气等，用作精炼金属的还原剂。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熔点（℃）</w:t>
                  </w:r>
                </w:p>
              </w:tc>
              <w:tc>
                <w:tcPr>
                  <w:tcW w:w="2044" w:type="dxa"/>
                  <w:gridSpan w:val="4"/>
                  <w:vAlign w:val="center"/>
                </w:tcPr>
                <w:p>
                  <w:pPr>
                    <w:rPr>
                      <w:rFonts w:ascii="宋体" w:hAnsi="宋体"/>
                    </w:rPr>
                  </w:pPr>
                  <w:r>
                    <w:rPr>
                      <w:rFonts w:hint="eastAsia" w:ascii="宋体" w:hAnsi="宋体"/>
                    </w:rPr>
                    <w:t>-199.1</w:t>
                  </w:r>
                </w:p>
              </w:tc>
              <w:tc>
                <w:tcPr>
                  <w:tcW w:w="2526" w:type="dxa"/>
                  <w:gridSpan w:val="4"/>
                  <w:vAlign w:val="center"/>
                </w:tcPr>
                <w:p>
                  <w:pPr>
                    <w:rPr>
                      <w:rFonts w:ascii="宋体" w:hAnsi="宋体"/>
                    </w:rPr>
                  </w:pPr>
                  <w:r>
                    <w:rPr>
                      <w:rFonts w:hint="eastAsia" w:ascii="宋体" w:hAnsi="宋体"/>
                    </w:rPr>
                    <w:t>相对密度（水＝1）</w:t>
                  </w:r>
                </w:p>
              </w:tc>
              <w:tc>
                <w:tcPr>
                  <w:tcW w:w="3088" w:type="dxa"/>
                  <w:gridSpan w:val="2"/>
                  <w:vAlign w:val="center"/>
                </w:tcPr>
                <w:p>
                  <w:pPr>
                    <w:rPr>
                      <w:rFonts w:ascii="宋体" w:hAnsi="宋体"/>
                    </w:rPr>
                  </w:pPr>
                  <w:r>
                    <w:rPr>
                      <w:rFonts w:hint="eastAsia" w:ascii="宋体" w:hAnsi="宋体"/>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沸点（℃）</w:t>
                  </w:r>
                </w:p>
              </w:tc>
              <w:tc>
                <w:tcPr>
                  <w:tcW w:w="2044" w:type="dxa"/>
                  <w:gridSpan w:val="4"/>
                  <w:vAlign w:val="center"/>
                </w:tcPr>
                <w:p>
                  <w:pPr>
                    <w:rPr>
                      <w:rFonts w:ascii="宋体" w:hAnsi="宋体"/>
                    </w:rPr>
                  </w:pPr>
                  <w:r>
                    <w:rPr>
                      <w:rFonts w:hint="eastAsia" w:ascii="宋体" w:hAnsi="宋体"/>
                    </w:rPr>
                    <w:t>-191.4</w:t>
                  </w:r>
                </w:p>
              </w:tc>
              <w:tc>
                <w:tcPr>
                  <w:tcW w:w="2526" w:type="dxa"/>
                  <w:gridSpan w:val="4"/>
                  <w:vAlign w:val="center"/>
                </w:tcPr>
                <w:p>
                  <w:pPr>
                    <w:rPr>
                      <w:rFonts w:ascii="宋体" w:hAnsi="宋体"/>
                    </w:rPr>
                  </w:pPr>
                  <w:r>
                    <w:rPr>
                      <w:rFonts w:hint="eastAsia" w:ascii="宋体" w:hAnsi="宋体"/>
                    </w:rPr>
                    <w:t>相对密度（空气＝1）</w:t>
                  </w:r>
                </w:p>
              </w:tc>
              <w:tc>
                <w:tcPr>
                  <w:tcW w:w="3088" w:type="dxa"/>
                  <w:gridSpan w:val="2"/>
                  <w:vAlign w:val="center"/>
                </w:tcPr>
                <w:p>
                  <w:pPr>
                    <w:rPr>
                      <w:rFonts w:ascii="宋体" w:hAnsi="宋体"/>
                    </w:rPr>
                  </w:pPr>
                  <w:r>
                    <w:rPr>
                      <w:rFonts w:hint="eastAsia" w:ascii="宋体" w:hAnsi="宋体"/>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870" w:type="dxa"/>
                  <w:gridSpan w:val="2"/>
                  <w:vAlign w:val="center"/>
                </w:tcPr>
                <w:p>
                  <w:pPr>
                    <w:rPr>
                      <w:rFonts w:ascii="宋体" w:hAnsi="宋体"/>
                    </w:rPr>
                  </w:pPr>
                  <w:r>
                    <w:rPr>
                      <w:rFonts w:hint="eastAsia" w:ascii="宋体" w:hAnsi="宋体"/>
                    </w:rPr>
                    <w:t>饱和蒸气压（KPa）</w:t>
                  </w:r>
                </w:p>
              </w:tc>
              <w:tc>
                <w:tcPr>
                  <w:tcW w:w="1515" w:type="dxa"/>
                  <w:gridSpan w:val="3"/>
                  <w:vAlign w:val="center"/>
                </w:tcPr>
                <w:p>
                  <w:pPr>
                    <w:rPr>
                      <w:rFonts w:ascii="宋体" w:hAnsi="宋体"/>
                    </w:rPr>
                  </w:pPr>
                  <w:r>
                    <w:rPr>
                      <w:rFonts w:hint="eastAsia" w:ascii="宋体" w:hAnsi="宋体"/>
                    </w:rPr>
                    <w:t>无资料</w:t>
                  </w:r>
                </w:p>
              </w:tc>
              <w:tc>
                <w:tcPr>
                  <w:tcW w:w="2809" w:type="dxa"/>
                  <w:gridSpan w:val="5"/>
                  <w:vAlign w:val="center"/>
                </w:tcPr>
                <w:p>
                  <w:pPr>
                    <w:rPr>
                      <w:rFonts w:ascii="宋体" w:hAnsi="宋体"/>
                    </w:rPr>
                  </w:pPr>
                  <w:r>
                    <w:rPr>
                      <w:rFonts w:hint="eastAsia" w:ascii="宋体" w:hAnsi="宋体"/>
                    </w:rPr>
                    <w:t>辛醇/水分配系数的对数值</w:t>
                  </w:r>
                </w:p>
              </w:tc>
              <w:tc>
                <w:tcPr>
                  <w:tcW w:w="280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870" w:type="dxa"/>
                  <w:gridSpan w:val="2"/>
                  <w:vAlign w:val="center"/>
                </w:tcPr>
                <w:p>
                  <w:pPr>
                    <w:rPr>
                      <w:rFonts w:ascii="宋体" w:hAnsi="宋体"/>
                    </w:rPr>
                  </w:pPr>
                  <w:r>
                    <w:rPr>
                      <w:rFonts w:hint="eastAsia" w:ascii="宋体" w:hAnsi="宋体"/>
                    </w:rPr>
                    <w:t>燃烧热（KJ/mol）</w:t>
                  </w:r>
                </w:p>
              </w:tc>
              <w:tc>
                <w:tcPr>
                  <w:tcW w:w="1515" w:type="dxa"/>
                  <w:gridSpan w:val="3"/>
                  <w:vAlign w:val="center"/>
                </w:tcPr>
                <w:p>
                  <w:pPr>
                    <w:rPr>
                      <w:rFonts w:ascii="宋体" w:hAnsi="宋体"/>
                    </w:rPr>
                  </w:pPr>
                  <w:r>
                    <w:rPr>
                      <w:rFonts w:hint="eastAsia" w:ascii="宋体" w:hAnsi="宋体"/>
                    </w:rPr>
                    <w:t>无资料</w:t>
                  </w:r>
                </w:p>
              </w:tc>
              <w:tc>
                <w:tcPr>
                  <w:tcW w:w="2809" w:type="dxa"/>
                  <w:gridSpan w:val="5"/>
                  <w:vAlign w:val="center"/>
                </w:tcPr>
                <w:p>
                  <w:pPr>
                    <w:rPr>
                      <w:rFonts w:ascii="宋体" w:hAnsi="宋体"/>
                    </w:rPr>
                  </w:pPr>
                  <w:r>
                    <w:rPr>
                      <w:rFonts w:hint="eastAsia" w:ascii="宋体" w:hAnsi="宋体"/>
                    </w:rPr>
                    <w:t>临界温度（℃）</w:t>
                  </w:r>
                </w:p>
              </w:tc>
              <w:tc>
                <w:tcPr>
                  <w:tcW w:w="2805" w:type="dxa"/>
                  <w:vAlign w:val="center"/>
                </w:tcPr>
                <w:p>
                  <w:pPr>
                    <w:rPr>
                      <w:rFonts w:ascii="宋体" w:hAnsi="宋体"/>
                    </w:rPr>
                  </w:pPr>
                  <w:r>
                    <w:rPr>
                      <w:rFonts w:hint="eastAsia" w:ascii="宋体" w:hAnsi="宋体"/>
                    </w:rPr>
                    <w:t>-140.2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870" w:type="dxa"/>
                  <w:gridSpan w:val="2"/>
                  <w:vAlign w:val="center"/>
                </w:tcPr>
                <w:p>
                  <w:pPr>
                    <w:rPr>
                      <w:rFonts w:ascii="宋体" w:hAnsi="宋体"/>
                    </w:rPr>
                  </w:pPr>
                  <w:r>
                    <w:rPr>
                      <w:rFonts w:hint="eastAsia" w:ascii="宋体" w:hAnsi="宋体"/>
                    </w:rPr>
                    <w:t>临界压力（MPa）</w:t>
                  </w:r>
                </w:p>
              </w:tc>
              <w:tc>
                <w:tcPr>
                  <w:tcW w:w="1515" w:type="dxa"/>
                  <w:gridSpan w:val="3"/>
                  <w:vAlign w:val="center"/>
                </w:tcPr>
                <w:p>
                  <w:pPr>
                    <w:rPr>
                      <w:rFonts w:ascii="宋体" w:hAnsi="宋体"/>
                    </w:rPr>
                  </w:pPr>
                  <w:r>
                    <w:rPr>
                      <w:rFonts w:hint="eastAsia" w:ascii="宋体" w:hAnsi="宋体"/>
                    </w:rPr>
                    <w:t>3.50</w:t>
                  </w:r>
                </w:p>
              </w:tc>
              <w:tc>
                <w:tcPr>
                  <w:tcW w:w="2809" w:type="dxa"/>
                  <w:gridSpan w:val="5"/>
                  <w:vAlign w:val="center"/>
                </w:tcPr>
                <w:p>
                  <w:pPr>
                    <w:rPr>
                      <w:rFonts w:ascii="宋体" w:hAnsi="宋体"/>
                    </w:rPr>
                  </w:pPr>
                  <w:r>
                    <w:rPr>
                      <w:rFonts w:hint="eastAsia" w:ascii="宋体" w:hAnsi="宋体"/>
                    </w:rPr>
                    <w:t>折射率</w:t>
                  </w:r>
                </w:p>
              </w:tc>
              <w:tc>
                <w:tcPr>
                  <w:tcW w:w="280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restart"/>
                  <w:vAlign w:val="center"/>
                </w:tcPr>
                <w:p>
                  <w:pPr>
                    <w:jc w:val="center"/>
                    <w:rPr>
                      <w:rFonts w:ascii="宋体" w:hAnsi="宋体"/>
                    </w:rPr>
                  </w:pPr>
                  <w:r>
                    <w:rPr>
                      <w:rFonts w:hint="eastAsia" w:ascii="宋体" w:hAnsi="宋体"/>
                    </w:rPr>
                    <w:t>毒性</w:t>
                  </w:r>
                </w:p>
              </w:tc>
              <w:tc>
                <w:tcPr>
                  <w:tcW w:w="1341" w:type="dxa"/>
                  <w:vMerge w:val="restart"/>
                  <w:vAlign w:val="center"/>
                </w:tcPr>
                <w:p>
                  <w:pPr>
                    <w:rPr>
                      <w:rFonts w:ascii="宋体" w:hAnsi="宋体"/>
                    </w:rPr>
                  </w:pPr>
                  <w:r>
                    <w:rPr>
                      <w:rFonts w:hint="eastAsia" w:ascii="宋体" w:hAnsi="宋体"/>
                    </w:rPr>
                    <w:t>接触限值</w:t>
                  </w:r>
                </w:p>
              </w:tc>
              <w:tc>
                <w:tcPr>
                  <w:tcW w:w="2044" w:type="dxa"/>
                  <w:gridSpan w:val="4"/>
                  <w:vAlign w:val="center"/>
                </w:tcPr>
                <w:p>
                  <w:pPr>
                    <w:rPr>
                      <w:rFonts w:ascii="宋体" w:hAnsi="宋体"/>
                    </w:rPr>
                  </w:pPr>
                  <w:r>
                    <w:rPr>
                      <w:rFonts w:hint="eastAsia" w:ascii="宋体" w:hAnsi="宋体"/>
                    </w:rPr>
                    <w:t>中国MAC（mg/m</w:t>
                  </w:r>
                  <w:r>
                    <w:rPr>
                      <w:rFonts w:hint="eastAsia" w:ascii="宋体" w:hAnsi="宋体"/>
                      <w:vertAlign w:val="superscript"/>
                    </w:rPr>
                    <w:t>3</w:t>
                  </w:r>
                  <w:r>
                    <w:rPr>
                      <w:rFonts w:hint="eastAsia" w:ascii="宋体" w:hAnsi="宋体"/>
                    </w:rPr>
                    <w:t>）</w:t>
                  </w:r>
                </w:p>
              </w:tc>
              <w:tc>
                <w:tcPr>
                  <w:tcW w:w="5614" w:type="dxa"/>
                  <w:gridSpan w:val="6"/>
                  <w:vAlign w:val="center"/>
                </w:tcPr>
                <w:p>
                  <w:pPr>
                    <w:rPr>
                      <w:rFonts w:ascii="宋体" w:hAnsi="宋体"/>
                    </w:rPr>
                  </w:pPr>
                  <w:r>
                    <w:rPr>
                      <w:rFonts w:hint="eastAsia" w:ascii="宋体" w:hAnsi="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Merge w:val="continue"/>
                  <w:vAlign w:val="center"/>
                </w:tcPr>
                <w:p>
                  <w:pPr>
                    <w:rPr>
                      <w:rFonts w:ascii="宋体" w:hAnsi="宋体"/>
                    </w:rPr>
                  </w:pPr>
                </w:p>
              </w:tc>
              <w:tc>
                <w:tcPr>
                  <w:tcW w:w="2044" w:type="dxa"/>
                  <w:gridSpan w:val="4"/>
                  <w:vAlign w:val="center"/>
                </w:tcPr>
                <w:p>
                  <w:pPr>
                    <w:rPr>
                      <w:rFonts w:ascii="宋体" w:hAnsi="宋体"/>
                    </w:rPr>
                  </w:pPr>
                  <w:r>
                    <w:rPr>
                      <w:rFonts w:hint="eastAsia" w:ascii="宋体" w:hAnsi="宋体"/>
                    </w:rPr>
                    <w:t>前苏联MAC（mg/m</w:t>
                  </w:r>
                  <w:r>
                    <w:rPr>
                      <w:rFonts w:hint="eastAsia" w:ascii="宋体" w:hAnsi="宋体"/>
                      <w:vertAlign w:val="superscript"/>
                    </w:rPr>
                    <w:t>3</w:t>
                  </w:r>
                  <w:r>
                    <w:rPr>
                      <w:rFonts w:hint="eastAsia" w:ascii="宋体" w:hAnsi="宋体"/>
                    </w:rPr>
                    <w:t>）</w:t>
                  </w:r>
                </w:p>
              </w:tc>
              <w:tc>
                <w:tcPr>
                  <w:tcW w:w="5614" w:type="dxa"/>
                  <w:gridSpan w:val="6"/>
                  <w:vAlign w:val="center"/>
                </w:tcPr>
                <w:p>
                  <w:pPr>
                    <w:rPr>
                      <w:rFonts w:ascii="宋体" w:hAnsi="宋体"/>
                    </w:rPr>
                  </w:pPr>
                  <w:r>
                    <w:rPr>
                      <w:rFonts w:hint="eastAsia" w:ascii="宋体" w:hAnsi="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Merge w:val="continue"/>
                  <w:vAlign w:val="center"/>
                </w:tcPr>
                <w:p>
                  <w:pPr>
                    <w:rPr>
                      <w:rFonts w:ascii="宋体" w:hAnsi="宋体"/>
                    </w:rPr>
                  </w:pPr>
                </w:p>
              </w:tc>
              <w:tc>
                <w:tcPr>
                  <w:tcW w:w="2044" w:type="dxa"/>
                  <w:gridSpan w:val="4"/>
                  <w:vAlign w:val="center"/>
                </w:tcPr>
                <w:p>
                  <w:pPr>
                    <w:rPr>
                      <w:rFonts w:ascii="宋体" w:hAnsi="宋体"/>
                    </w:rPr>
                  </w:pPr>
                  <w:r>
                    <w:rPr>
                      <w:rFonts w:hint="eastAsia" w:ascii="宋体" w:hAnsi="宋体"/>
                    </w:rPr>
                    <w:t>美国TWA</w:t>
                  </w:r>
                </w:p>
              </w:tc>
              <w:tc>
                <w:tcPr>
                  <w:tcW w:w="5614" w:type="dxa"/>
                  <w:gridSpan w:val="6"/>
                  <w:vAlign w:val="center"/>
                </w:tcPr>
                <w:p>
                  <w:pPr>
                    <w:rPr>
                      <w:rFonts w:ascii="宋体" w:hAnsi="宋体"/>
                    </w:rPr>
                  </w:pPr>
                  <w:r>
                    <w:rPr>
                      <w:rFonts w:hint="eastAsia" w:ascii="宋体" w:hAnsi="宋体"/>
                    </w:rPr>
                    <w:t>OSHA 50ppm，57mg/m</w:t>
                  </w:r>
                  <w:r>
                    <w:rPr>
                      <w:rFonts w:hint="eastAsia" w:ascii="宋体" w:hAnsi="宋体"/>
                      <w:vertAlign w:val="superscript"/>
                    </w:rPr>
                    <w:t>3</w:t>
                  </w:r>
                  <w:r>
                    <w:rPr>
                      <w:rFonts w:hint="eastAsia" w:ascii="宋体" w:hAnsi="宋体"/>
                    </w:rPr>
                    <w:t>〔皮〕；</w:t>
                  </w:r>
                </w:p>
                <w:p>
                  <w:pPr>
                    <w:rPr>
                      <w:rFonts w:ascii="宋体" w:hAnsi="宋体"/>
                    </w:rPr>
                  </w:pPr>
                  <w:r>
                    <w:rPr>
                      <w:rFonts w:hint="eastAsia" w:ascii="宋体" w:hAnsi="宋体"/>
                    </w:rPr>
                    <w:t>ACGIH 25ppm，29mg/m</w:t>
                  </w:r>
                  <w:r>
                    <w:rPr>
                      <w:rFonts w:hint="eastAsia" w:ascii="宋体" w:hAnsi="宋体"/>
                      <w:vertAlign w:val="superscript"/>
                    </w:rPr>
                    <w:t>3</w:t>
                  </w:r>
                  <w:r>
                    <w:rPr>
                      <w:rFonts w:hint="eastAsia" w:ascii="宋体" w:hAnsi="宋体"/>
                    </w:rPr>
                    <w:t>〔皮〕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Merge w:val="continue"/>
                  <w:vAlign w:val="center"/>
                </w:tcPr>
                <w:p>
                  <w:pPr>
                    <w:rPr>
                      <w:rFonts w:ascii="宋体" w:hAnsi="宋体"/>
                    </w:rPr>
                  </w:pPr>
                </w:p>
              </w:tc>
              <w:tc>
                <w:tcPr>
                  <w:tcW w:w="2044" w:type="dxa"/>
                  <w:gridSpan w:val="4"/>
                  <w:vAlign w:val="center"/>
                </w:tcPr>
                <w:p>
                  <w:pPr>
                    <w:rPr>
                      <w:rFonts w:ascii="宋体" w:hAnsi="宋体"/>
                    </w:rPr>
                  </w:pPr>
                  <w:r>
                    <w:rPr>
                      <w:rFonts w:hint="eastAsia" w:ascii="宋体" w:hAnsi="宋体"/>
                    </w:rPr>
                    <w:t>美国TLV-STEL</w:t>
                  </w:r>
                </w:p>
              </w:tc>
              <w:tc>
                <w:tcPr>
                  <w:tcW w:w="5614" w:type="dxa"/>
                  <w:gridSpan w:val="6"/>
                  <w:vAlign w:val="center"/>
                </w:tcPr>
                <w:p>
                  <w:pPr>
                    <w:rPr>
                      <w:rFonts w:ascii="宋体" w:hAnsi="宋体"/>
                    </w:rPr>
                  </w:pPr>
                  <w:r>
                    <w:rPr>
                      <w:rFonts w:hint="eastAsia" w:ascii="宋体" w:hAnsi="宋体"/>
                    </w:rPr>
                    <w:t xml:space="preserve"> 未制定标准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急性毒性</w:t>
                  </w:r>
                </w:p>
              </w:tc>
              <w:tc>
                <w:tcPr>
                  <w:tcW w:w="7658" w:type="dxa"/>
                  <w:gridSpan w:val="10"/>
                  <w:vAlign w:val="center"/>
                </w:tcPr>
                <w:p>
                  <w:pPr>
                    <w:rPr>
                      <w:rFonts w:ascii="宋体" w:hAnsi="宋体"/>
                    </w:rPr>
                  </w:pPr>
                  <w:r>
                    <w:rPr>
                      <w:rFonts w:hint="eastAsia" w:ascii="宋体" w:hAnsi="宋体"/>
                    </w:rPr>
                    <w:t>LD</w:t>
                  </w:r>
                  <w:r>
                    <w:rPr>
                      <w:rFonts w:hint="eastAsia" w:ascii="宋体" w:hAnsi="宋体"/>
                      <w:vertAlign w:val="subscript"/>
                    </w:rPr>
                    <w:t>50</w:t>
                  </w:r>
                  <w:r>
                    <w:rPr>
                      <w:rFonts w:hint="eastAsia" w:ascii="宋体" w:hAnsi="宋体"/>
                    </w:rPr>
                    <w:t xml:space="preserve">    </w:t>
                  </w:r>
                </w:p>
                <w:p>
                  <w:pPr>
                    <w:rPr>
                      <w:rFonts w:ascii="宋体" w:hAnsi="宋体"/>
                    </w:rPr>
                  </w:pPr>
                  <w:r>
                    <w:rPr>
                      <w:rFonts w:hint="eastAsia" w:ascii="宋体" w:hAnsi="宋体"/>
                    </w:rPr>
                    <w:t>LC</w:t>
                  </w:r>
                  <w:r>
                    <w:rPr>
                      <w:rFonts w:hint="eastAsia" w:ascii="宋体" w:hAnsi="宋体"/>
                      <w:vertAlign w:val="subscript"/>
                    </w:rPr>
                    <w:t>50</w:t>
                  </w:r>
                  <w:r>
                    <w:rPr>
                      <w:rFonts w:hint="eastAsia" w:ascii="宋体" w:hAnsi="宋体"/>
                    </w:rPr>
                    <w:t xml:space="preserve">    2069mg/m</w:t>
                  </w:r>
                  <w:r>
                    <w:rPr>
                      <w:rFonts w:hint="eastAsia" w:ascii="宋体" w:hAnsi="宋体"/>
                      <w:vertAlign w:val="superscript"/>
                    </w:rPr>
                    <w:t>3</w:t>
                  </w:r>
                  <w:r>
                    <w:rPr>
                      <w:rFonts w:hint="eastAsia" w:ascii="宋体" w:hAnsi="宋体"/>
                    </w:rPr>
                    <w:t>，4小时（小鼠吸入）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生殖毒性</w:t>
                  </w:r>
                </w:p>
              </w:tc>
              <w:tc>
                <w:tcPr>
                  <w:tcW w:w="7658" w:type="dxa"/>
                  <w:gridSpan w:val="10"/>
                  <w:vAlign w:val="center"/>
                </w:tcPr>
                <w:p>
                  <w:pPr>
                    <w:rPr>
                      <w:rFonts w:ascii="宋体" w:hAnsi="宋体"/>
                    </w:rPr>
                  </w:pPr>
                  <w:r>
                    <w:rPr>
                      <w:rFonts w:hint="eastAsia" w:ascii="宋体" w:hAnsi="宋体"/>
                    </w:rPr>
                    <w:t>大鼠吸入最低中毒浓度（TCL</w:t>
                  </w:r>
                  <w:r>
                    <w:rPr>
                      <w:rFonts w:hint="eastAsia" w:ascii="宋体" w:hAnsi="宋体"/>
                      <w:vertAlign w:val="subscript"/>
                    </w:rPr>
                    <w:t>0</w:t>
                  </w:r>
                  <w:r>
                    <w:rPr>
                      <w:rFonts w:hint="eastAsia" w:ascii="宋体" w:hAnsi="宋体"/>
                    </w:rPr>
                    <w:t>）：150ppm（24小时，孕1～22天），引起心血管（循环）系统异常。小鼠吸入最低中毒浓度（TCL</w:t>
                  </w:r>
                  <w:r>
                    <w:rPr>
                      <w:rFonts w:hint="eastAsia" w:ascii="宋体" w:hAnsi="宋体"/>
                      <w:vertAlign w:val="subscript"/>
                    </w:rPr>
                    <w:t>0</w:t>
                  </w:r>
                  <w:r>
                    <w:rPr>
                      <w:rFonts w:hint="eastAsia" w:ascii="宋体" w:hAnsi="宋体"/>
                    </w:rPr>
                    <w:t>）；125ppm（24小时，孕7～18天），致胚胎毒性。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亚急性和漫性毒性</w:t>
                  </w:r>
                </w:p>
              </w:tc>
              <w:tc>
                <w:tcPr>
                  <w:tcW w:w="7658" w:type="dxa"/>
                  <w:gridSpan w:val="10"/>
                  <w:vAlign w:val="center"/>
                </w:tcPr>
                <w:p>
                  <w:pPr>
                    <w:rPr>
                      <w:rFonts w:ascii="宋体" w:hAnsi="宋体"/>
                    </w:rPr>
                  </w:pPr>
                  <w:r>
                    <w:rPr>
                      <w:rFonts w:hint="eastAsia" w:ascii="宋体" w:hAnsi="宋体"/>
                    </w:rPr>
                    <w:t>大鼠吸入0.047～0.053mg/L，4～8小时/天，30天，出现生长缓慢，血红蛋白及红细胞数增高，肝脏的琥珀酸脱氢酶及细胞色素氧化酶的活性受到破坏。猴吸入0.11mg/L，经3～6个月引起心肌损伤。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restart"/>
                  <w:vAlign w:val="center"/>
                </w:tcPr>
                <w:p>
                  <w:pPr>
                    <w:jc w:val="center"/>
                    <w:rPr>
                      <w:rFonts w:ascii="宋体" w:hAnsi="宋体"/>
                    </w:rPr>
                  </w:pPr>
                  <w:r>
                    <w:rPr>
                      <w:rFonts w:hint="eastAsia" w:ascii="宋体" w:hAnsi="宋体"/>
                    </w:rPr>
                    <w:t>健康危害</w:t>
                  </w:r>
                </w:p>
              </w:tc>
              <w:tc>
                <w:tcPr>
                  <w:tcW w:w="1341" w:type="dxa"/>
                  <w:vAlign w:val="center"/>
                </w:tcPr>
                <w:p>
                  <w:pPr>
                    <w:rPr>
                      <w:rFonts w:ascii="宋体" w:hAnsi="宋体"/>
                    </w:rPr>
                  </w:pPr>
                  <w:r>
                    <w:rPr>
                      <w:rFonts w:hint="eastAsia" w:ascii="宋体" w:hAnsi="宋体"/>
                    </w:rPr>
                    <w:t>侵入途径</w:t>
                  </w:r>
                </w:p>
              </w:tc>
              <w:tc>
                <w:tcPr>
                  <w:tcW w:w="7658" w:type="dxa"/>
                  <w:gridSpan w:val="10"/>
                  <w:vAlign w:val="center"/>
                </w:tcPr>
                <w:p>
                  <w:pPr>
                    <w:rPr>
                      <w:rFonts w:ascii="宋体" w:hAnsi="宋体"/>
                    </w:rPr>
                  </w:pPr>
                  <w:r>
                    <w:rPr>
                      <w:rFonts w:hint="eastAsia" w:ascii="宋体" w:hAnsi="宋体"/>
                    </w:rPr>
                    <w:t>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健康危险</w:t>
                  </w:r>
                </w:p>
              </w:tc>
              <w:tc>
                <w:tcPr>
                  <w:tcW w:w="7658" w:type="dxa"/>
                  <w:gridSpan w:val="10"/>
                  <w:vAlign w:val="center"/>
                </w:tcPr>
                <w:p>
                  <w:pPr>
                    <w:rPr>
                      <w:rFonts w:ascii="宋体" w:hAnsi="宋体"/>
                    </w:rPr>
                  </w:pPr>
                  <w:r>
                    <w:rPr>
                      <w:rFonts w:hint="eastAsia" w:ascii="宋体" w:hAnsi="宋体"/>
                    </w:rPr>
                    <w:t>一氧化碳在血中与血红蛋白结合而造成组织缺氧。</w:t>
                  </w:r>
                </w:p>
                <w:p>
                  <w:pPr>
                    <w:rPr>
                      <w:rFonts w:ascii="宋体" w:hAnsi="宋体"/>
                    </w:rPr>
                  </w:pPr>
                  <w:r>
                    <w:rPr>
                      <w:rFonts w:hint="eastAsia" w:ascii="宋体" w:hAnsi="宋体"/>
                    </w:rPr>
                    <w:t>急性中毒：轻度中毒者出现头痛、头晕、耳鸣、心悸、恶心、呕吐、无力、血液碳氧血红蛋白浓度可高于10％；中度中毒者除上述症状外，还有皮肤粘膜呈栅红工、脉快、烦躁、步态不稳、浅至中度昏迷，血液碳氧血红蛋白浓度可高于30％；重度患者深度昏迷、瞳孔缩小、肌张力增强、频繁抽搐、大小便失禁、休克、肺水肿、严重心肌损害等，血液碳氧血红蛋白可高于50％。部分患者昏迷苏醒后，约经2～60天的症状缓解期后，又可能出现迟发性脑病，以意识精神障碍、锥体系或锥体外系损害为主。</w:t>
                  </w:r>
                </w:p>
                <w:p>
                  <w:pPr>
                    <w:rPr>
                      <w:rFonts w:ascii="宋体" w:hAnsi="宋体"/>
                    </w:rPr>
                  </w:pPr>
                  <w:r>
                    <w:rPr>
                      <w:rFonts w:hint="eastAsia" w:ascii="宋体" w:hAnsi="宋体"/>
                    </w:rPr>
                    <w:t>慢性影响：能否造成慢性中毒及对心血管影响无定论。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72" w:type="dxa"/>
                  <w:vMerge w:val="restart"/>
                  <w:vAlign w:val="center"/>
                </w:tcPr>
                <w:p>
                  <w:pPr>
                    <w:jc w:val="center"/>
                    <w:rPr>
                      <w:rFonts w:ascii="宋体" w:hAnsi="宋体"/>
                    </w:rPr>
                  </w:pPr>
                  <w:r>
                    <w:rPr>
                      <w:rFonts w:hint="eastAsia" w:ascii="宋体" w:hAnsi="宋体"/>
                    </w:rPr>
                    <w:t>燃烧爆炸危险性</w:t>
                  </w:r>
                </w:p>
                <w:p>
                  <w:pPr>
                    <w:jc w:val="center"/>
                    <w:rPr>
                      <w:rFonts w:ascii="宋体" w:hAnsi="宋体"/>
                    </w:rPr>
                  </w:pPr>
                </w:p>
              </w:tc>
              <w:tc>
                <w:tcPr>
                  <w:tcW w:w="1341" w:type="dxa"/>
                  <w:vAlign w:val="center"/>
                </w:tcPr>
                <w:p>
                  <w:pPr>
                    <w:rPr>
                      <w:rFonts w:ascii="宋体" w:hAnsi="宋体"/>
                    </w:rPr>
                  </w:pPr>
                  <w:r>
                    <w:rPr>
                      <w:rFonts w:hint="eastAsia" w:ascii="宋体" w:hAnsi="宋体"/>
                    </w:rPr>
                    <w:t>燃烧性</w:t>
                  </w:r>
                </w:p>
              </w:tc>
              <w:tc>
                <w:tcPr>
                  <w:tcW w:w="2467" w:type="dxa"/>
                  <w:gridSpan w:val="5"/>
                  <w:vAlign w:val="center"/>
                </w:tcPr>
                <w:p>
                  <w:pPr>
                    <w:rPr>
                      <w:rFonts w:ascii="宋体" w:hAnsi="宋体"/>
                    </w:rPr>
                  </w:pPr>
                  <w:r>
                    <w:rPr>
                      <w:rFonts w:hint="eastAsia" w:ascii="宋体" w:hAnsi="宋体"/>
                    </w:rPr>
                    <w:t>易燃</w:t>
                  </w:r>
                </w:p>
              </w:tc>
              <w:tc>
                <w:tcPr>
                  <w:tcW w:w="2103" w:type="dxa"/>
                  <w:gridSpan w:val="3"/>
                  <w:vAlign w:val="center"/>
                </w:tcPr>
                <w:p>
                  <w:pPr>
                    <w:rPr>
                      <w:rFonts w:ascii="宋体" w:hAnsi="宋体"/>
                    </w:rPr>
                  </w:pPr>
                  <w:r>
                    <w:rPr>
                      <w:rFonts w:hint="eastAsia" w:ascii="宋体" w:hAnsi="宋体"/>
                    </w:rPr>
                    <w:t>最大爆炸压力（MPa）</w:t>
                  </w:r>
                </w:p>
              </w:tc>
              <w:tc>
                <w:tcPr>
                  <w:tcW w:w="3088" w:type="dxa"/>
                  <w:gridSpan w:val="2"/>
                  <w:vAlign w:val="center"/>
                </w:tcPr>
                <w:p>
                  <w:pPr>
                    <w:rPr>
                      <w:rFonts w:ascii="宋体" w:hAnsi="宋体"/>
                    </w:rPr>
                  </w:pPr>
                  <w:r>
                    <w:rPr>
                      <w:rFonts w:hint="eastAsia" w:ascii="宋体" w:hAnsi="宋体"/>
                    </w:rPr>
                    <w:t>0.813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闪点（℃）</w:t>
                  </w:r>
                </w:p>
              </w:tc>
              <w:tc>
                <w:tcPr>
                  <w:tcW w:w="2467" w:type="dxa"/>
                  <w:gridSpan w:val="5"/>
                  <w:vAlign w:val="center"/>
                </w:tcPr>
                <w:p>
                  <w:pPr>
                    <w:rPr>
                      <w:rFonts w:ascii="宋体" w:hAnsi="宋体"/>
                    </w:rPr>
                  </w:pPr>
                  <w:r>
                    <w:rPr>
                      <w:rFonts w:hint="eastAsia" w:ascii="宋体" w:hAnsi="宋体"/>
                    </w:rPr>
                    <w:t>＜-50</w:t>
                  </w:r>
                </w:p>
              </w:tc>
              <w:tc>
                <w:tcPr>
                  <w:tcW w:w="2103" w:type="dxa"/>
                  <w:gridSpan w:val="3"/>
                  <w:vAlign w:val="center"/>
                </w:tcPr>
                <w:p>
                  <w:pPr>
                    <w:rPr>
                      <w:rFonts w:ascii="宋体" w:hAnsi="宋体"/>
                    </w:rPr>
                  </w:pPr>
                  <w:r>
                    <w:rPr>
                      <w:rFonts w:hint="eastAsia" w:ascii="宋体" w:hAnsi="宋体"/>
                    </w:rPr>
                    <w:t>爆炸下限（V％）</w:t>
                  </w:r>
                </w:p>
              </w:tc>
              <w:tc>
                <w:tcPr>
                  <w:tcW w:w="3088" w:type="dxa"/>
                  <w:gridSpan w:val="2"/>
                  <w:vAlign w:val="center"/>
                </w:tcPr>
                <w:p>
                  <w:pPr>
                    <w:rPr>
                      <w:rFonts w:ascii="宋体" w:hAnsi="宋体"/>
                    </w:rPr>
                  </w:pPr>
                  <w:r>
                    <w:rPr>
                      <w:rFonts w:hint="eastAsia" w:ascii="宋体" w:hAnsi="宋体"/>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引燃温度（℃）</w:t>
                  </w:r>
                </w:p>
              </w:tc>
              <w:tc>
                <w:tcPr>
                  <w:tcW w:w="2467" w:type="dxa"/>
                  <w:gridSpan w:val="5"/>
                  <w:vAlign w:val="center"/>
                </w:tcPr>
                <w:p>
                  <w:pPr>
                    <w:rPr>
                      <w:rFonts w:ascii="宋体" w:hAnsi="宋体"/>
                    </w:rPr>
                  </w:pPr>
                  <w:r>
                    <w:rPr>
                      <w:rFonts w:hint="eastAsia" w:ascii="宋体" w:hAnsi="宋体"/>
                    </w:rPr>
                    <w:t>610</w:t>
                  </w:r>
                </w:p>
              </w:tc>
              <w:tc>
                <w:tcPr>
                  <w:tcW w:w="2103" w:type="dxa"/>
                  <w:gridSpan w:val="3"/>
                  <w:vAlign w:val="center"/>
                </w:tcPr>
                <w:p>
                  <w:pPr>
                    <w:rPr>
                      <w:rFonts w:ascii="宋体" w:hAnsi="宋体"/>
                    </w:rPr>
                  </w:pPr>
                  <w:r>
                    <w:rPr>
                      <w:rFonts w:hint="eastAsia" w:ascii="宋体" w:hAnsi="宋体"/>
                    </w:rPr>
                    <w:t>爆炸上限（V％）</w:t>
                  </w:r>
                </w:p>
              </w:tc>
              <w:tc>
                <w:tcPr>
                  <w:tcW w:w="3088" w:type="dxa"/>
                  <w:gridSpan w:val="2"/>
                  <w:vAlign w:val="center"/>
                </w:tcPr>
                <w:p>
                  <w:pPr>
                    <w:rPr>
                      <w:rFonts w:ascii="宋体" w:hAnsi="宋体"/>
                    </w:rPr>
                  </w:pPr>
                  <w:r>
                    <w:rPr>
                      <w:rFonts w:hint="eastAsia" w:ascii="宋体" w:hAnsi="宋体"/>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72" w:type="dxa"/>
                  <w:vMerge w:val="continue"/>
                  <w:vAlign w:val="center"/>
                </w:tcPr>
                <w:p>
                  <w:pPr>
                    <w:jc w:val="center"/>
                    <w:rPr>
                      <w:rFonts w:ascii="宋体" w:hAnsi="宋体"/>
                    </w:rPr>
                  </w:pPr>
                </w:p>
              </w:tc>
              <w:tc>
                <w:tcPr>
                  <w:tcW w:w="3808" w:type="dxa"/>
                  <w:gridSpan w:val="6"/>
                  <w:vAlign w:val="center"/>
                </w:tcPr>
                <w:p>
                  <w:pPr>
                    <w:rPr>
                      <w:rFonts w:ascii="宋体" w:hAnsi="宋体"/>
                    </w:rPr>
                  </w:pPr>
                  <w:r>
                    <w:rPr>
                      <w:rFonts w:hint="eastAsia" w:ascii="宋体" w:hAnsi="宋体"/>
                    </w:rPr>
                    <w:t>最大爆炸压力（MPa）</w:t>
                  </w:r>
                </w:p>
              </w:tc>
              <w:tc>
                <w:tcPr>
                  <w:tcW w:w="5191" w:type="dxa"/>
                  <w:gridSpan w:val="5"/>
                  <w:vAlign w:val="center"/>
                </w:tcPr>
                <w:p>
                  <w:pPr>
                    <w:rPr>
                      <w:rFonts w:ascii="宋体" w:hAnsi="宋体"/>
                    </w:rPr>
                  </w:pPr>
                  <w:r>
                    <w:rPr>
                      <w:rFonts w:hint="eastAsia" w:ascii="宋体" w:hAnsi="宋体"/>
                    </w:rPr>
                    <w:t>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危险特性</w:t>
                  </w:r>
                </w:p>
              </w:tc>
              <w:tc>
                <w:tcPr>
                  <w:tcW w:w="7658" w:type="dxa"/>
                  <w:gridSpan w:val="10"/>
                  <w:vAlign w:val="center"/>
                </w:tcPr>
                <w:p>
                  <w:pPr>
                    <w:rPr>
                      <w:rFonts w:ascii="宋体" w:hAnsi="宋体"/>
                    </w:rPr>
                  </w:pPr>
                  <w:r>
                    <w:rPr>
                      <w:rFonts w:hint="eastAsia" w:ascii="宋体" w:hAnsi="宋体"/>
                    </w:rPr>
                    <w:t>是一种易燃易爆气体。与空气混合能形成爆炸性混合物，遇明火、高热能引起燃烧爆炸。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稳定性</w:t>
                  </w:r>
                </w:p>
              </w:tc>
              <w:tc>
                <w:tcPr>
                  <w:tcW w:w="7658" w:type="dxa"/>
                  <w:gridSpan w:val="10"/>
                  <w:vAlign w:val="center"/>
                </w:tcPr>
                <w:p>
                  <w:pPr>
                    <w:rPr>
                      <w:rFonts w:ascii="宋体" w:hAnsi="宋体"/>
                    </w:rPr>
                  </w:pPr>
                  <w:r>
                    <w:rPr>
                      <w:rFonts w:hint="eastAsia" w:ascii="宋体" w:hAnsi="宋体"/>
                    </w:rPr>
                    <w:t>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聚合危害</w:t>
                  </w:r>
                </w:p>
              </w:tc>
              <w:tc>
                <w:tcPr>
                  <w:tcW w:w="7658" w:type="dxa"/>
                  <w:gridSpan w:val="10"/>
                  <w:vAlign w:val="center"/>
                </w:tcPr>
                <w:p>
                  <w:pPr>
                    <w:rPr>
                      <w:rFonts w:ascii="宋体" w:hAnsi="宋体"/>
                    </w:rPr>
                  </w:pPr>
                  <w:r>
                    <w:rPr>
                      <w:rFonts w:hint="eastAsia" w:ascii="宋体" w:hAnsi="宋体"/>
                    </w:rPr>
                    <w:t>不聚合。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禁忌物</w:t>
                  </w:r>
                </w:p>
              </w:tc>
              <w:tc>
                <w:tcPr>
                  <w:tcW w:w="7658" w:type="dxa"/>
                  <w:gridSpan w:val="10"/>
                  <w:vAlign w:val="center"/>
                </w:tcPr>
                <w:p>
                  <w:pPr>
                    <w:rPr>
                      <w:rFonts w:ascii="宋体" w:hAnsi="宋体"/>
                    </w:rPr>
                  </w:pPr>
                  <w:r>
                    <w:rPr>
                      <w:rFonts w:hint="eastAsia" w:ascii="宋体" w:hAnsi="宋体"/>
                    </w:rPr>
                    <w:t>强氧化剂、碱类。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燃烧（分解）产物</w:t>
                  </w:r>
                </w:p>
              </w:tc>
              <w:tc>
                <w:tcPr>
                  <w:tcW w:w="7658" w:type="dxa"/>
                  <w:gridSpan w:val="10"/>
                  <w:vAlign w:val="center"/>
                </w:tcPr>
                <w:p>
                  <w:pPr>
                    <w:rPr>
                      <w:rFonts w:ascii="宋体" w:hAnsi="宋体"/>
                    </w:rPr>
                  </w:pPr>
                  <w:r>
                    <w:rPr>
                      <w:rFonts w:hint="eastAsia" w:ascii="宋体" w:hAnsi="宋体"/>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灭火方法</w:t>
                  </w:r>
                </w:p>
              </w:tc>
              <w:tc>
                <w:tcPr>
                  <w:tcW w:w="7658" w:type="dxa"/>
                  <w:gridSpan w:val="10"/>
                  <w:vAlign w:val="center"/>
                </w:tcPr>
                <w:p>
                  <w:pPr>
                    <w:rPr>
                      <w:rFonts w:ascii="宋体" w:hAnsi="宋体"/>
                    </w:rPr>
                  </w:pPr>
                  <w:r>
                    <w:rPr>
                      <w:rFonts w:hint="eastAsia" w:ascii="宋体" w:hAnsi="宋体"/>
                    </w:rPr>
                    <w:t>切断气源。若不能立即切断气源，则不允许熄灭正在燃烧的气体。喷水冷却容器，可能的话将容器从火场移至空旷处。灭火剂：雾状水、泡沫、二氧化碳、干粉。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72" w:type="dxa"/>
                  <w:vMerge w:val="restart"/>
                  <w:vAlign w:val="center"/>
                </w:tcPr>
                <w:p>
                  <w:pPr>
                    <w:jc w:val="center"/>
                    <w:rPr>
                      <w:rFonts w:ascii="宋体" w:hAnsi="宋体"/>
                    </w:rPr>
                  </w:pPr>
                  <w:r>
                    <w:rPr>
                      <w:rFonts w:hint="eastAsia" w:ascii="宋体" w:hAnsi="宋体"/>
                    </w:rPr>
                    <w:t>包装储运</w:t>
                  </w:r>
                </w:p>
              </w:tc>
              <w:tc>
                <w:tcPr>
                  <w:tcW w:w="1341" w:type="dxa"/>
                  <w:vAlign w:val="center"/>
                </w:tcPr>
                <w:p>
                  <w:pPr>
                    <w:rPr>
                      <w:rFonts w:ascii="宋体" w:hAnsi="宋体"/>
                    </w:rPr>
                  </w:pPr>
                  <w:r>
                    <w:rPr>
                      <w:rFonts w:hint="eastAsia" w:ascii="宋体" w:hAnsi="宋体"/>
                    </w:rPr>
                    <w:t>危险性类别</w:t>
                  </w:r>
                </w:p>
              </w:tc>
              <w:tc>
                <w:tcPr>
                  <w:tcW w:w="7658" w:type="dxa"/>
                  <w:gridSpan w:val="10"/>
                  <w:vAlign w:val="center"/>
                </w:tcPr>
                <w:p>
                  <w:pPr>
                    <w:rPr>
                      <w:rFonts w:ascii="宋体" w:hAnsi="宋体"/>
                    </w:rPr>
                  </w:pPr>
                  <w:r>
                    <w:rPr>
                      <w:rFonts w:hint="eastAsia" w:ascii="宋体" w:hAnsi="宋体"/>
                    </w:rPr>
                    <w:t>第2.1类  易燃气体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货物包装标志</w:t>
                  </w:r>
                </w:p>
              </w:tc>
              <w:tc>
                <w:tcPr>
                  <w:tcW w:w="1828" w:type="dxa"/>
                  <w:gridSpan w:val="2"/>
                  <w:vAlign w:val="center"/>
                </w:tcPr>
                <w:p>
                  <w:pPr>
                    <w:rPr>
                      <w:rFonts w:ascii="宋体" w:hAnsi="宋体"/>
                    </w:rPr>
                  </w:pPr>
                  <w:r>
                    <w:rPr>
                      <w:rFonts w:hint="eastAsia" w:ascii="宋体" w:hAnsi="宋体"/>
                    </w:rPr>
                    <w:t>4，14</w:t>
                  </w:r>
                </w:p>
              </w:tc>
              <w:tc>
                <w:tcPr>
                  <w:tcW w:w="1519" w:type="dxa"/>
                  <w:gridSpan w:val="4"/>
                  <w:vAlign w:val="center"/>
                </w:tcPr>
                <w:p>
                  <w:pPr>
                    <w:rPr>
                      <w:rFonts w:ascii="宋体" w:hAnsi="宋体"/>
                    </w:rPr>
                  </w:pPr>
                  <w:r>
                    <w:rPr>
                      <w:rFonts w:hint="eastAsia" w:ascii="宋体" w:hAnsi="宋体"/>
                    </w:rPr>
                    <w:t>包装方法</w:t>
                  </w:r>
                </w:p>
              </w:tc>
              <w:tc>
                <w:tcPr>
                  <w:tcW w:w="4311" w:type="dxa"/>
                  <w:gridSpan w:val="4"/>
                  <w:vAlign w:val="center"/>
                </w:tcPr>
                <w:p>
                  <w:pPr>
                    <w:rPr>
                      <w:rFonts w:ascii="宋体" w:hAnsi="宋体"/>
                    </w:rPr>
                  </w:pPr>
                  <w:r>
                    <w:rPr>
                      <w:rFonts w:hint="eastAsia" w:ascii="宋体" w:hAnsi="宋体"/>
                    </w:rPr>
                    <w:t>钢质气瓶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5"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储运注意事项</w:t>
                  </w:r>
                </w:p>
              </w:tc>
              <w:tc>
                <w:tcPr>
                  <w:tcW w:w="7658" w:type="dxa"/>
                  <w:gridSpan w:val="10"/>
                  <w:vAlign w:val="center"/>
                </w:tcPr>
                <w:p>
                  <w:pPr>
                    <w:rPr>
                      <w:rFonts w:ascii="宋体" w:hAnsi="宋体"/>
                    </w:rPr>
                  </w:pPr>
                  <w:r>
                    <w:rPr>
                      <w:rFonts w:hint="eastAsia" w:ascii="宋体" w:hAnsi="宋体"/>
                    </w:rPr>
                    <w:t>易燃有毒的压缩气体。储存于阴凉、通风仓间内。仓内温度不宜超过30℃。远离火种、热源。防止阳光直射。应与氧气、压缩空气、氧化剂分开存放。储存间内的照明、通风等设施应采用防爆型，开关设在仓外。桶装堆垛不可过大，应留墙距、顶距、柱距及必要的防火检查走道。配界相应品种和数量的消防器材。禁止使用易产生火花的机械设备工具。验收时要注意品名，注意验瓶日期，先进仓的先发用。搬运时轻装轻卸，防止钢瓶及附件破损。运输按规定路线行驶，勿在居民区和人口稠密区停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72" w:type="dxa"/>
                  <w:vMerge w:val="restart"/>
                  <w:vAlign w:val="center"/>
                </w:tcPr>
                <w:p>
                  <w:pPr>
                    <w:jc w:val="center"/>
                    <w:rPr>
                      <w:rFonts w:ascii="宋体" w:hAnsi="宋体"/>
                    </w:rPr>
                  </w:pPr>
                  <w:r>
                    <w:rPr>
                      <w:rFonts w:hint="eastAsia" w:ascii="宋体" w:hAnsi="宋体"/>
                    </w:rPr>
                    <w:t>急救</w:t>
                  </w:r>
                </w:p>
              </w:tc>
              <w:tc>
                <w:tcPr>
                  <w:tcW w:w="1341" w:type="dxa"/>
                  <w:vAlign w:val="center"/>
                </w:tcPr>
                <w:p>
                  <w:pPr>
                    <w:rPr>
                      <w:rFonts w:ascii="宋体" w:hAnsi="宋体"/>
                    </w:rPr>
                  </w:pPr>
                  <w:r>
                    <w:rPr>
                      <w:rFonts w:hint="eastAsia" w:ascii="宋体" w:hAnsi="宋体"/>
                    </w:rPr>
                    <w:t>皮肤接触</w:t>
                  </w:r>
                </w:p>
              </w:tc>
              <w:tc>
                <w:tcPr>
                  <w:tcW w:w="7658" w:type="dxa"/>
                  <w:gridSpan w:val="1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眼睛接触</w:t>
                  </w:r>
                </w:p>
              </w:tc>
              <w:tc>
                <w:tcPr>
                  <w:tcW w:w="7658" w:type="dxa"/>
                  <w:gridSpan w:val="1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吸入</w:t>
                  </w:r>
                </w:p>
              </w:tc>
              <w:tc>
                <w:tcPr>
                  <w:tcW w:w="7658" w:type="dxa"/>
                  <w:gridSpan w:val="10"/>
                  <w:vAlign w:val="center"/>
                </w:tcPr>
                <w:p>
                  <w:pPr>
                    <w:rPr>
                      <w:rFonts w:ascii="宋体" w:hAnsi="宋体"/>
                    </w:rPr>
                  </w:pPr>
                  <w:r>
                    <w:rPr>
                      <w:rFonts w:hint="eastAsia" w:ascii="宋体" w:hAnsi="宋体"/>
                    </w:rPr>
                    <w:t>迅速脱离现场至空气新鲜处。保持呼吸道通畅。如呼吸困难，给输氧。如呼吸停止，立即进行人工呼吸和胸外心脏按压术。就医。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食入</w:t>
                  </w:r>
                </w:p>
              </w:tc>
              <w:tc>
                <w:tcPr>
                  <w:tcW w:w="7658" w:type="dxa"/>
                  <w:gridSpan w:val="1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restart"/>
                  <w:vAlign w:val="center"/>
                </w:tcPr>
                <w:p>
                  <w:pPr>
                    <w:jc w:val="center"/>
                    <w:rPr>
                      <w:rFonts w:ascii="宋体" w:hAnsi="宋体"/>
                    </w:rPr>
                  </w:pPr>
                  <w:r>
                    <w:rPr>
                      <w:rFonts w:hint="eastAsia" w:ascii="宋体" w:hAnsi="宋体"/>
                    </w:rPr>
                    <w:t>防护措施</w:t>
                  </w:r>
                </w:p>
              </w:tc>
              <w:tc>
                <w:tcPr>
                  <w:tcW w:w="1341" w:type="dxa"/>
                  <w:vAlign w:val="center"/>
                </w:tcPr>
                <w:p>
                  <w:pPr>
                    <w:rPr>
                      <w:rFonts w:ascii="宋体" w:hAnsi="宋体"/>
                    </w:rPr>
                  </w:pPr>
                  <w:r>
                    <w:rPr>
                      <w:rFonts w:hint="eastAsia" w:ascii="宋体" w:hAnsi="宋体"/>
                    </w:rPr>
                    <w:t>检测方法</w:t>
                  </w:r>
                </w:p>
              </w:tc>
              <w:tc>
                <w:tcPr>
                  <w:tcW w:w="7658" w:type="dxa"/>
                  <w:gridSpan w:val="10"/>
                  <w:vAlign w:val="center"/>
                </w:tcPr>
                <w:p>
                  <w:pPr>
                    <w:rPr>
                      <w:rFonts w:ascii="宋体" w:hAnsi="宋体"/>
                    </w:rPr>
                  </w:pPr>
                  <w:r>
                    <w:rPr>
                      <w:rFonts w:hint="eastAsia" w:ascii="宋体" w:hAnsi="宋体"/>
                    </w:rPr>
                    <w:t>气相色谱法。发烟硫酸-五氧化二碘检气管比长度法。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vAlign w:val="center"/>
                </w:tcPr>
                <w:p>
                  <w:pPr>
                    <w:jc w:val="center"/>
                    <w:rPr>
                      <w:rFonts w:ascii="宋体" w:hAnsi="宋体"/>
                    </w:rPr>
                  </w:pPr>
                </w:p>
              </w:tc>
              <w:tc>
                <w:tcPr>
                  <w:tcW w:w="1341" w:type="dxa"/>
                  <w:vAlign w:val="center"/>
                </w:tcPr>
                <w:p>
                  <w:pPr>
                    <w:rPr>
                      <w:rFonts w:ascii="宋体" w:hAnsi="宋体"/>
                    </w:rPr>
                  </w:pPr>
                  <w:r>
                    <w:rPr>
                      <w:rFonts w:hint="eastAsia" w:ascii="宋体" w:hAnsi="宋体"/>
                    </w:rPr>
                    <w:t>工程控制</w:t>
                  </w:r>
                </w:p>
              </w:tc>
              <w:tc>
                <w:tcPr>
                  <w:tcW w:w="7658" w:type="dxa"/>
                  <w:gridSpan w:val="10"/>
                  <w:vAlign w:val="center"/>
                </w:tcPr>
                <w:p>
                  <w:pPr>
                    <w:rPr>
                      <w:rFonts w:ascii="宋体" w:hAnsi="宋体"/>
                    </w:rPr>
                  </w:pPr>
                  <w:r>
                    <w:rPr>
                      <w:rFonts w:hint="eastAsia" w:ascii="宋体" w:hAnsi="宋体"/>
                    </w:rPr>
                    <w:t>严加密闭，提供充分的局部排风和全面通风。生产生活用气必须分路。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572" w:type="dxa"/>
                  <w:vMerge w:val="continue"/>
                </w:tcPr>
                <w:p>
                  <w:pPr>
                    <w:rPr>
                      <w:rFonts w:ascii="宋体" w:hAnsi="宋体"/>
                    </w:rPr>
                  </w:pPr>
                </w:p>
              </w:tc>
              <w:tc>
                <w:tcPr>
                  <w:tcW w:w="1341" w:type="dxa"/>
                  <w:vAlign w:val="center"/>
                </w:tcPr>
                <w:p>
                  <w:pPr>
                    <w:rPr>
                      <w:rFonts w:ascii="宋体" w:hAnsi="宋体"/>
                    </w:rPr>
                  </w:pPr>
                  <w:r>
                    <w:rPr>
                      <w:rFonts w:hint="eastAsia" w:ascii="宋体" w:hAnsi="宋体"/>
                    </w:rPr>
                    <w:t>呼吸系统防护</w:t>
                  </w:r>
                </w:p>
              </w:tc>
              <w:tc>
                <w:tcPr>
                  <w:tcW w:w="7658" w:type="dxa"/>
                  <w:gridSpan w:val="10"/>
                  <w:vAlign w:val="center"/>
                </w:tcPr>
                <w:p>
                  <w:pPr>
                    <w:rPr>
                      <w:rFonts w:ascii="宋体" w:hAnsi="宋体"/>
                    </w:rPr>
                  </w:pPr>
                  <w:r>
                    <w:rPr>
                      <w:rFonts w:hint="eastAsia" w:ascii="宋体" w:hAnsi="宋体"/>
                    </w:rPr>
                    <w:t>空气中浓度超标时，佩戴自吸过滤式防毒面具（半面罩）。紧急事态抢救哐撤离时，建议佩戴空气呼吸器、一氧化碳过滤式自救器。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tcPr>
                <w:p>
                  <w:pPr>
                    <w:rPr>
                      <w:rFonts w:ascii="宋体" w:hAnsi="宋体"/>
                    </w:rPr>
                  </w:pPr>
                </w:p>
              </w:tc>
              <w:tc>
                <w:tcPr>
                  <w:tcW w:w="1341" w:type="dxa"/>
                  <w:vAlign w:val="center"/>
                </w:tcPr>
                <w:p>
                  <w:pPr>
                    <w:rPr>
                      <w:rFonts w:ascii="宋体" w:hAnsi="宋体"/>
                    </w:rPr>
                  </w:pPr>
                  <w:r>
                    <w:rPr>
                      <w:rFonts w:hint="eastAsia" w:ascii="宋体" w:hAnsi="宋体"/>
                    </w:rPr>
                    <w:t>眼睛防护</w:t>
                  </w:r>
                </w:p>
              </w:tc>
              <w:tc>
                <w:tcPr>
                  <w:tcW w:w="7658" w:type="dxa"/>
                  <w:gridSpan w:val="10"/>
                  <w:vAlign w:val="center"/>
                </w:tcPr>
                <w:p>
                  <w:pPr>
                    <w:rPr>
                      <w:rFonts w:ascii="宋体" w:hAnsi="宋体"/>
                    </w:rPr>
                  </w:pPr>
                  <w:r>
                    <w:rPr>
                      <w:rFonts w:hint="eastAsia" w:ascii="宋体" w:hAnsi="宋体"/>
                    </w:rPr>
                    <w:t>一般不需要特殊防护，高浓度接触时可戴化学安全防护眼镜。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572" w:type="dxa"/>
                  <w:vMerge w:val="continue"/>
                </w:tcPr>
                <w:p>
                  <w:pPr>
                    <w:rPr>
                      <w:rFonts w:ascii="宋体" w:hAnsi="宋体"/>
                    </w:rPr>
                  </w:pPr>
                </w:p>
              </w:tc>
              <w:tc>
                <w:tcPr>
                  <w:tcW w:w="1341" w:type="dxa"/>
                  <w:vAlign w:val="center"/>
                </w:tcPr>
                <w:p>
                  <w:pPr>
                    <w:rPr>
                      <w:rFonts w:ascii="宋体" w:hAnsi="宋体"/>
                    </w:rPr>
                  </w:pPr>
                  <w:r>
                    <w:rPr>
                      <w:rFonts w:hint="eastAsia" w:ascii="宋体" w:hAnsi="宋体"/>
                    </w:rPr>
                    <w:t>身体防护</w:t>
                  </w:r>
                </w:p>
              </w:tc>
              <w:tc>
                <w:tcPr>
                  <w:tcW w:w="7658" w:type="dxa"/>
                  <w:gridSpan w:val="10"/>
                  <w:vAlign w:val="center"/>
                </w:tcPr>
                <w:p>
                  <w:pPr>
                    <w:rPr>
                      <w:rFonts w:ascii="宋体" w:hAnsi="宋体"/>
                    </w:rPr>
                  </w:pPr>
                  <w:r>
                    <w:rPr>
                      <w:rFonts w:hint="eastAsia" w:ascii="宋体" w:hAnsi="宋体"/>
                    </w:rPr>
                    <w:t>穿防静电工作服。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572" w:type="dxa"/>
                  <w:vMerge w:val="continue"/>
                </w:tcPr>
                <w:p>
                  <w:pPr>
                    <w:rPr>
                      <w:rFonts w:ascii="宋体" w:hAnsi="宋体"/>
                    </w:rPr>
                  </w:pPr>
                </w:p>
              </w:tc>
              <w:tc>
                <w:tcPr>
                  <w:tcW w:w="1341" w:type="dxa"/>
                  <w:vAlign w:val="center"/>
                </w:tcPr>
                <w:p>
                  <w:pPr>
                    <w:rPr>
                      <w:rFonts w:ascii="宋体" w:hAnsi="宋体"/>
                    </w:rPr>
                  </w:pPr>
                  <w:r>
                    <w:rPr>
                      <w:rFonts w:hint="eastAsia" w:ascii="宋体" w:hAnsi="宋体"/>
                    </w:rPr>
                    <w:t>手防护</w:t>
                  </w:r>
                </w:p>
              </w:tc>
              <w:tc>
                <w:tcPr>
                  <w:tcW w:w="7658" w:type="dxa"/>
                  <w:gridSpan w:val="10"/>
                  <w:vAlign w:val="center"/>
                </w:tcPr>
                <w:p>
                  <w:pPr>
                    <w:rPr>
                      <w:rFonts w:ascii="宋体" w:hAnsi="宋体"/>
                    </w:rPr>
                  </w:pPr>
                  <w:r>
                    <w:rPr>
                      <w:rFonts w:hint="eastAsia" w:ascii="宋体" w:hAnsi="宋体"/>
                    </w:rPr>
                    <w:t>戴一般作业防护手套。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572" w:type="dxa"/>
                  <w:vMerge w:val="continue"/>
                </w:tcPr>
                <w:p>
                  <w:pPr>
                    <w:rPr>
                      <w:rFonts w:ascii="宋体" w:hAnsi="宋体"/>
                    </w:rPr>
                  </w:pPr>
                </w:p>
              </w:tc>
              <w:tc>
                <w:tcPr>
                  <w:tcW w:w="1341" w:type="dxa"/>
                  <w:vAlign w:val="center"/>
                </w:tcPr>
                <w:p>
                  <w:pPr>
                    <w:rPr>
                      <w:rFonts w:ascii="宋体" w:hAnsi="宋体"/>
                    </w:rPr>
                  </w:pPr>
                  <w:r>
                    <w:rPr>
                      <w:rFonts w:hint="eastAsia" w:ascii="宋体" w:hAnsi="宋体"/>
                    </w:rPr>
                    <w:t>其它</w:t>
                  </w:r>
                </w:p>
              </w:tc>
              <w:tc>
                <w:tcPr>
                  <w:tcW w:w="7658" w:type="dxa"/>
                  <w:gridSpan w:val="10"/>
                  <w:vAlign w:val="center"/>
                </w:tcPr>
                <w:p>
                  <w:pPr>
                    <w:rPr>
                      <w:rFonts w:ascii="宋体" w:hAnsi="宋体"/>
                    </w:rPr>
                  </w:pPr>
                  <w:r>
                    <w:rPr>
                      <w:rFonts w:hint="eastAsia" w:ascii="宋体" w:hAnsi="宋体"/>
                    </w:rPr>
                    <w:t>工作再场严禁吸烟。实行就业前和定期的体检。避免高浓度吸入。进入罐、限制性空间或其它高浓度区作业，须有人监护。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0" w:hRule="atLeast"/>
                <w:jc w:val="center"/>
              </w:trPr>
              <w:tc>
                <w:tcPr>
                  <w:tcW w:w="572" w:type="dxa"/>
                </w:tcPr>
                <w:p>
                  <w:pPr>
                    <w:rPr>
                      <w:rFonts w:ascii="宋体" w:hAnsi="宋体"/>
                    </w:rPr>
                  </w:pPr>
                  <w:r>
                    <w:rPr>
                      <w:rFonts w:hint="eastAsia" w:ascii="宋体" w:hAnsi="宋体"/>
                    </w:rPr>
                    <w:t>泄漏处理</w:t>
                  </w:r>
                </w:p>
              </w:tc>
              <w:tc>
                <w:tcPr>
                  <w:tcW w:w="8999" w:type="dxa"/>
                  <w:gridSpan w:val="11"/>
                  <w:vAlign w:val="center"/>
                </w:tcPr>
                <w:p>
                  <w:pPr>
                    <w:rPr>
                      <w:rFonts w:ascii="宋体" w:hAnsi="宋体"/>
                    </w:rPr>
                  </w:pPr>
                  <w:r>
                    <w:rPr>
                      <w:rFonts w:hint="eastAsia" w:ascii="宋体" w:hAnsi="宋体"/>
                    </w:rPr>
                    <w:t>迅速撤离泄漏污染区人员至安全区，并立即隔离150m，严格限制出入。切断火源。建议应急处理人员戴自给正压式呼吸器。穿消防防护服。尽可能切断泄漏源。合理通风、加速扩散。喷雾状水稀释、溶解。构筑围堤或挖坑收容产生的大量废水。如有可能，将漏出气排风机送至空旷地方或装设适当喷头烧掉。也可以用管路导至炉中、凹地焚之。漏气容器要妥善处理，修复、检验后再用。</w:t>
                  </w:r>
                </w:p>
              </w:tc>
            </w:tr>
          </w:tbl>
          <w:p>
            <w:pPr>
              <w:autoSpaceDE w:val="0"/>
              <w:autoSpaceDN w:val="0"/>
              <w:adjustRightInd w:val="0"/>
              <w:spacing w:line="360" w:lineRule="auto"/>
              <w:jc w:val="center"/>
              <w:rPr>
                <w:rFonts w:ascii="宋体" w:hAnsi="宋体"/>
                <w:b/>
                <w:kern w:val="0"/>
                <w:sz w:val="24"/>
              </w:rPr>
            </w:pPr>
            <w:r>
              <w:rPr>
                <w:rFonts w:hint="eastAsia" w:ascii="宋体" w:hAnsi="宋体"/>
                <w:b/>
                <w:kern w:val="0"/>
                <w:sz w:val="24"/>
              </w:rPr>
              <w:t>表7</w:t>
            </w:r>
            <w:r>
              <w:rPr>
                <w:rFonts w:ascii="宋体" w:hAnsi="宋体"/>
                <w:b/>
                <w:kern w:val="0"/>
                <w:sz w:val="24"/>
              </w:rPr>
              <w:t>-14 氨气危险特性表</w:t>
            </w:r>
          </w:p>
          <w:tbl>
            <w:tblPr>
              <w:tblStyle w:val="53"/>
              <w:tblW w:w="93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102"/>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jc w:val="center"/>
              </w:trPr>
              <w:tc>
                <w:tcPr>
                  <w:tcW w:w="738" w:type="dxa"/>
                  <w:vMerge w:val="restart"/>
                  <w:vAlign w:val="center"/>
                </w:tcPr>
                <w:p>
                  <w:pPr>
                    <w:pStyle w:val="41"/>
                    <w:spacing w:line="240" w:lineRule="auto"/>
                    <w:ind w:firstLine="0" w:firstLineChars="0"/>
                    <w:rPr>
                      <w:rFonts w:hAnsi="宋体"/>
                      <w:sz w:val="21"/>
                    </w:rPr>
                  </w:pPr>
                  <w:r>
                    <w:rPr>
                      <w:rFonts w:hAnsi="宋体"/>
                      <w:sz w:val="21"/>
                    </w:rPr>
                    <w:t>标识</w:t>
                  </w:r>
                </w:p>
              </w:tc>
              <w:tc>
                <w:tcPr>
                  <w:tcW w:w="4102" w:type="dxa"/>
                  <w:vAlign w:val="center"/>
                </w:tcPr>
                <w:p>
                  <w:pPr>
                    <w:pStyle w:val="41"/>
                    <w:spacing w:line="240" w:lineRule="auto"/>
                    <w:ind w:firstLine="0" w:firstLineChars="0"/>
                    <w:rPr>
                      <w:rFonts w:hAnsi="宋体"/>
                      <w:sz w:val="21"/>
                    </w:rPr>
                  </w:pPr>
                  <w:r>
                    <w:rPr>
                      <w:rFonts w:hAnsi="宋体"/>
                      <w:sz w:val="21"/>
                    </w:rPr>
                    <w:t>中文名：</w:t>
                  </w:r>
                  <w:r>
                    <w:rPr>
                      <w:rFonts w:hint="eastAsia" w:hAnsi="宋体"/>
                      <w:sz w:val="21"/>
                    </w:rPr>
                    <w:t>氨</w:t>
                  </w:r>
                </w:p>
              </w:tc>
              <w:tc>
                <w:tcPr>
                  <w:tcW w:w="4545" w:type="dxa"/>
                  <w:vAlign w:val="center"/>
                </w:tcPr>
                <w:p>
                  <w:pPr>
                    <w:pStyle w:val="41"/>
                    <w:spacing w:line="240" w:lineRule="auto"/>
                    <w:ind w:firstLine="0" w:firstLineChars="0"/>
                    <w:rPr>
                      <w:rFonts w:hAnsi="宋体"/>
                      <w:sz w:val="21"/>
                    </w:rPr>
                  </w:pPr>
                  <w:r>
                    <w:rPr>
                      <w:rFonts w:hAnsi="宋体"/>
                      <w:sz w:val="21"/>
                    </w:rPr>
                    <w:t>英文名:</w:t>
                  </w:r>
                  <w:r>
                    <w:rPr>
                      <w:rFonts w:hint="eastAsia"/>
                      <w:sz w:val="21"/>
                      <w:szCs w:val="21"/>
                      <w:shd w:val="clear" w:color="auto" w:fill="FFFFFF"/>
                    </w:rPr>
                    <w:t xml:space="preserve"> ammonia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分子式：NH</w:t>
                  </w:r>
                  <w:r>
                    <w:rPr>
                      <w:rFonts w:hAnsi="宋体"/>
                      <w:sz w:val="21"/>
                      <w:vertAlign w:val="subscript"/>
                    </w:rPr>
                    <w:t>3</w:t>
                  </w:r>
                </w:p>
              </w:tc>
              <w:tc>
                <w:tcPr>
                  <w:tcW w:w="4545" w:type="dxa"/>
                  <w:vAlign w:val="center"/>
                </w:tcPr>
                <w:p>
                  <w:pPr>
                    <w:pStyle w:val="41"/>
                    <w:spacing w:line="240" w:lineRule="auto"/>
                    <w:ind w:firstLine="0" w:firstLineChars="0"/>
                    <w:rPr>
                      <w:rFonts w:hAnsi="宋体"/>
                      <w:sz w:val="21"/>
                    </w:rPr>
                  </w:pPr>
                  <w:r>
                    <w:rPr>
                      <w:rFonts w:hAnsi="宋体"/>
                      <w:sz w:val="21"/>
                    </w:rPr>
                    <w:t>分子量：</w:t>
                  </w:r>
                  <w:r>
                    <w:rPr>
                      <w:sz w:val="21"/>
                      <w:szCs w:val="21"/>
                      <w:shd w:val="clear" w:color="auto" w:fill="FFFFFF"/>
                    </w:rPr>
                    <w:t>17</w:t>
                  </w:r>
                  <w:r>
                    <w:rPr>
                      <w:rFonts w:hAnsi="宋体"/>
                      <w:sz w:val="21"/>
                    </w:rPr>
                    <w:t xml:space="preserve">.03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p>
              </w:tc>
              <w:tc>
                <w:tcPr>
                  <w:tcW w:w="4545" w:type="dxa"/>
                  <w:vAlign w:val="center"/>
                </w:tcPr>
                <w:p>
                  <w:pPr>
                    <w:pStyle w:val="41"/>
                    <w:spacing w:line="240" w:lineRule="auto"/>
                    <w:ind w:firstLine="0" w:firstLineChars="0"/>
                    <w:rPr>
                      <w:rFonts w:hAnsi="宋体"/>
                      <w:sz w:val="21"/>
                    </w:rPr>
                  </w:pPr>
                  <w:r>
                    <w:rPr>
                      <w:rFonts w:hAnsi="宋体"/>
                      <w:sz w:val="21"/>
                    </w:rPr>
                    <w:t>PTECS号：           CAS号:</w:t>
                  </w:r>
                  <w:r>
                    <w:rPr>
                      <w:rFonts w:hint="eastAsia"/>
                      <w:sz w:val="21"/>
                      <w:szCs w:val="21"/>
                      <w:shd w:val="clear" w:color="auto" w:fill="FFFFFF"/>
                    </w:rPr>
                    <w:t xml:space="preserve"> 7664-41-7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jc w:val="center"/>
              </w:trPr>
              <w:tc>
                <w:tcPr>
                  <w:tcW w:w="738" w:type="dxa"/>
                  <w:vMerge w:val="restart"/>
                  <w:vAlign w:val="center"/>
                </w:tcPr>
                <w:p>
                  <w:pPr>
                    <w:pStyle w:val="41"/>
                    <w:spacing w:line="240" w:lineRule="auto"/>
                    <w:ind w:firstLine="0" w:firstLineChars="0"/>
                    <w:rPr>
                      <w:rFonts w:hAnsi="宋体"/>
                      <w:sz w:val="21"/>
                    </w:rPr>
                  </w:pPr>
                  <w:r>
                    <w:rPr>
                      <w:rFonts w:hAnsi="宋体"/>
                      <w:sz w:val="21"/>
                    </w:rPr>
                    <w:t>理化性质</w:t>
                  </w:r>
                </w:p>
              </w:tc>
              <w:tc>
                <w:tcPr>
                  <w:tcW w:w="4102" w:type="dxa"/>
                  <w:vAlign w:val="center"/>
                </w:tcPr>
                <w:p>
                  <w:pPr>
                    <w:pStyle w:val="41"/>
                    <w:spacing w:line="240" w:lineRule="auto"/>
                    <w:ind w:firstLine="0" w:firstLineChars="0"/>
                    <w:rPr>
                      <w:rFonts w:hAnsi="宋体"/>
                      <w:sz w:val="21"/>
                    </w:rPr>
                  </w:pPr>
                  <w:r>
                    <w:rPr>
                      <w:rFonts w:hAnsi="宋体"/>
                      <w:sz w:val="21"/>
                    </w:rPr>
                    <w:t>闪点（℃）:</w:t>
                  </w:r>
                  <w:r>
                    <w:rPr>
                      <w:rFonts w:hint="eastAsia" w:hAnsi="宋体"/>
                      <w:sz w:val="21"/>
                    </w:rPr>
                    <w:t>无意义</w:t>
                  </w:r>
                </w:p>
              </w:tc>
              <w:tc>
                <w:tcPr>
                  <w:tcW w:w="4545" w:type="dxa"/>
                  <w:vAlign w:val="center"/>
                </w:tcPr>
                <w:p>
                  <w:pPr>
                    <w:pStyle w:val="41"/>
                    <w:spacing w:line="240" w:lineRule="auto"/>
                    <w:ind w:firstLine="0" w:firstLineChars="0"/>
                    <w:rPr>
                      <w:rFonts w:hAnsi="宋体"/>
                      <w:sz w:val="21"/>
                    </w:rPr>
                  </w:pPr>
                  <w:r>
                    <w:rPr>
                      <w:rFonts w:hAnsi="宋体"/>
                      <w:sz w:val="21"/>
                    </w:rPr>
                    <w:t>引燃温度（℃）</w:t>
                  </w:r>
                  <w:r>
                    <w:rPr>
                      <w:rFonts w:hint="eastAsia" w:hAnsi="宋体"/>
                      <w:sz w:val="21"/>
                    </w:rPr>
                    <w:t>：6</w:t>
                  </w:r>
                  <w:r>
                    <w:rPr>
                      <w:rFonts w:hAnsi="宋体"/>
                      <w:sz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 w:hRule="atLeast"/>
                <w:jc w:val="center"/>
              </w:trPr>
              <w:tc>
                <w:tcPr>
                  <w:tcW w:w="738" w:type="dxa"/>
                  <w:vMerge w:val="continue"/>
                  <w:vAlign w:val="center"/>
                </w:tcPr>
                <w:p>
                  <w:pPr>
                    <w:pStyle w:val="41"/>
                    <w:spacing w:line="240" w:lineRule="auto"/>
                    <w:ind w:firstLine="0" w:firstLineChars="0"/>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最小点火能（mJ）:</w:t>
                  </w:r>
                  <w:r>
                    <w:rPr>
                      <w:rFonts w:hint="eastAsia" w:hAnsi="宋体"/>
                      <w:sz w:val="21"/>
                    </w:rPr>
                    <w:t>无意义</w:t>
                  </w:r>
                </w:p>
              </w:tc>
              <w:tc>
                <w:tcPr>
                  <w:tcW w:w="4545" w:type="dxa"/>
                  <w:vAlign w:val="center"/>
                </w:tcPr>
                <w:p>
                  <w:pPr>
                    <w:pStyle w:val="41"/>
                    <w:spacing w:line="240" w:lineRule="auto"/>
                    <w:ind w:firstLine="0" w:firstLineChars="0"/>
                    <w:rPr>
                      <w:rFonts w:hAnsi="宋体"/>
                      <w:sz w:val="21"/>
                    </w:rPr>
                  </w:pPr>
                  <w:r>
                    <w:rPr>
                      <w:rFonts w:hAnsi="宋体"/>
                      <w:sz w:val="21"/>
                    </w:rPr>
                    <w:t>最大爆炸压力（Mpa）:</w:t>
                  </w:r>
                  <w:r>
                    <w:rPr>
                      <w:rFonts w:hint="eastAsia" w:hAnsi="宋体"/>
                      <w:sz w:val="21"/>
                    </w:rPr>
                    <w:t>无意义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 w:hRule="atLeast"/>
                <w:jc w:val="center"/>
              </w:trPr>
              <w:tc>
                <w:tcPr>
                  <w:tcW w:w="738" w:type="dxa"/>
                  <w:vMerge w:val="continue"/>
                  <w:vAlign w:val="center"/>
                </w:tcPr>
                <w:p>
                  <w:pPr>
                    <w:pStyle w:val="41"/>
                    <w:spacing w:line="240" w:lineRule="auto"/>
                    <w:ind w:firstLine="0" w:firstLineChars="0"/>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爆炸下限（%）:</w:t>
                  </w:r>
                  <w:r>
                    <w:rPr>
                      <w:rFonts w:hint="eastAsia" w:hAnsi="宋体"/>
                      <w:sz w:val="21"/>
                    </w:rPr>
                    <w:t>1</w:t>
                  </w:r>
                  <w:r>
                    <w:rPr>
                      <w:rFonts w:hAnsi="宋体"/>
                      <w:sz w:val="21"/>
                    </w:rPr>
                    <w:t>5.7</w:t>
                  </w:r>
                </w:p>
              </w:tc>
              <w:tc>
                <w:tcPr>
                  <w:tcW w:w="4545" w:type="dxa"/>
                  <w:vAlign w:val="center"/>
                </w:tcPr>
                <w:p>
                  <w:pPr>
                    <w:pStyle w:val="41"/>
                    <w:spacing w:line="240" w:lineRule="auto"/>
                    <w:ind w:firstLine="0" w:firstLineChars="0"/>
                    <w:rPr>
                      <w:rFonts w:hAnsi="宋体"/>
                      <w:sz w:val="21"/>
                    </w:rPr>
                  </w:pPr>
                  <w:r>
                    <w:rPr>
                      <w:rFonts w:hAnsi="宋体"/>
                      <w:sz w:val="21"/>
                    </w:rPr>
                    <w:t>爆炸上限（%）:</w:t>
                  </w:r>
                  <w:r>
                    <w:rPr>
                      <w:rFonts w:hint="eastAsia" w:hAnsi="宋体"/>
                      <w:sz w:val="21"/>
                    </w:rPr>
                    <w:t>2</w:t>
                  </w:r>
                  <w:r>
                    <w:rPr>
                      <w:rFonts w:hAnsi="宋体"/>
                      <w:sz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熔点（℃）：</w:t>
                  </w:r>
                  <w:r>
                    <w:rPr>
                      <w:rFonts w:hint="eastAsia" w:hAnsi="宋体"/>
                      <w:sz w:val="21"/>
                    </w:rPr>
                    <w:t>-</w:t>
                  </w:r>
                  <w:r>
                    <w:rPr>
                      <w:rFonts w:hAnsi="宋体"/>
                      <w:sz w:val="21"/>
                    </w:rPr>
                    <w:t>77.7</w:t>
                  </w:r>
                </w:p>
              </w:tc>
              <w:tc>
                <w:tcPr>
                  <w:tcW w:w="4545" w:type="dxa"/>
                  <w:vAlign w:val="center"/>
                </w:tcPr>
                <w:p>
                  <w:pPr>
                    <w:pStyle w:val="41"/>
                    <w:spacing w:line="240" w:lineRule="auto"/>
                    <w:ind w:firstLine="0" w:firstLineChars="0"/>
                    <w:rPr>
                      <w:rFonts w:hAnsi="宋体"/>
                      <w:sz w:val="21"/>
                    </w:rPr>
                  </w:pPr>
                  <w:r>
                    <w:rPr>
                      <w:rFonts w:hAnsi="宋体"/>
                      <w:sz w:val="21"/>
                    </w:rPr>
                    <w:t>相对密度（水=1）：0.82</w:t>
                  </w:r>
                  <w:r>
                    <w:rPr>
                      <w:rFonts w:hint="eastAsia" w:hAnsi="宋体"/>
                      <w:sz w:val="21"/>
                    </w:rPr>
                    <w:t>（-</w:t>
                  </w:r>
                  <w:r>
                    <w:rPr>
                      <w:rFonts w:hAnsi="宋体"/>
                      <w:sz w:val="21"/>
                    </w:rPr>
                    <w:t>79</w:t>
                  </w:r>
                  <w:r>
                    <w:rPr>
                      <w:rFonts w:hint="eastAsia" w:hAnsi="宋体"/>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沸点（℃）：</w:t>
                  </w:r>
                  <w:r>
                    <w:rPr>
                      <w:rFonts w:hint="eastAsia" w:hAnsi="宋体"/>
                      <w:sz w:val="21"/>
                    </w:rPr>
                    <w:t>-</w:t>
                  </w:r>
                  <w:r>
                    <w:rPr>
                      <w:rFonts w:hAnsi="宋体"/>
                      <w:sz w:val="21"/>
                    </w:rPr>
                    <w:t>33.5</w:t>
                  </w:r>
                </w:p>
              </w:tc>
              <w:tc>
                <w:tcPr>
                  <w:tcW w:w="4545" w:type="dxa"/>
                  <w:vAlign w:val="center"/>
                </w:tcPr>
                <w:p>
                  <w:pPr>
                    <w:pStyle w:val="41"/>
                    <w:spacing w:line="240" w:lineRule="auto"/>
                    <w:ind w:firstLine="0" w:firstLineChars="0"/>
                    <w:rPr>
                      <w:rFonts w:hAnsi="宋体"/>
                      <w:sz w:val="21"/>
                    </w:rPr>
                  </w:pPr>
                  <w:r>
                    <w:rPr>
                      <w:rFonts w:hAnsi="宋体"/>
                      <w:sz w:val="21"/>
                    </w:rPr>
                    <w:t>相对密度（空气=1）：</w:t>
                  </w:r>
                  <w:r>
                    <w:rPr>
                      <w:rFonts w:hint="eastAsia" w:hAnsi="宋体"/>
                      <w:sz w:val="21"/>
                    </w:rPr>
                    <w:t>0</w:t>
                  </w:r>
                  <w:r>
                    <w:rPr>
                      <w:rFonts w:hAnsi="宋体"/>
                      <w:sz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饱和蒸气压/Kpa：</w:t>
                  </w:r>
                  <w:r>
                    <w:rPr>
                      <w:rFonts w:hint="eastAsia" w:hAnsi="宋体"/>
                      <w:sz w:val="21"/>
                    </w:rPr>
                    <w:t>5</w:t>
                  </w:r>
                  <w:r>
                    <w:rPr>
                      <w:rFonts w:hAnsi="宋体"/>
                      <w:sz w:val="21"/>
                    </w:rPr>
                    <w:t>06.62</w:t>
                  </w:r>
                  <w:r>
                    <w:rPr>
                      <w:rFonts w:hint="eastAsia" w:hAnsi="宋体"/>
                      <w:sz w:val="21"/>
                    </w:rPr>
                    <w:t>（4</w:t>
                  </w:r>
                  <w:r>
                    <w:rPr>
                      <w:rFonts w:hAnsi="宋体"/>
                      <w:sz w:val="21"/>
                    </w:rPr>
                    <w:t>.7</w:t>
                  </w:r>
                  <w:r>
                    <w:rPr>
                      <w:rFonts w:hint="eastAsia" w:hAnsi="宋体"/>
                      <w:sz w:val="21"/>
                    </w:rPr>
                    <w:t>℃）</w:t>
                  </w:r>
                </w:p>
              </w:tc>
              <w:tc>
                <w:tcPr>
                  <w:tcW w:w="4545" w:type="dxa"/>
                  <w:vAlign w:val="center"/>
                </w:tcPr>
                <w:p>
                  <w:pPr>
                    <w:pStyle w:val="41"/>
                    <w:spacing w:line="240" w:lineRule="auto"/>
                    <w:ind w:firstLine="0" w:firstLineChars="0"/>
                    <w:rPr>
                      <w:rFonts w:hAnsi="宋体"/>
                      <w:sz w:val="21"/>
                    </w:rPr>
                  </w:pPr>
                  <w:r>
                    <w:rPr>
                      <w:rFonts w:hAnsi="宋体"/>
                      <w:sz w:val="21"/>
                    </w:rPr>
                    <w:t xml:space="preserve">燃烧热： </w:t>
                  </w:r>
                  <w:r>
                    <w:rPr>
                      <w:rFonts w:hint="eastAsia" w:hAnsi="宋体"/>
                      <w:sz w:val="21"/>
                    </w:rPr>
                    <w:t>无意义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atLeast"/>
                <w:jc w:val="center"/>
              </w:trPr>
              <w:tc>
                <w:tcPr>
                  <w:tcW w:w="738" w:type="dxa"/>
                  <w:vMerge w:val="continue"/>
                  <w:vAlign w:val="center"/>
                </w:tcPr>
                <w:p>
                  <w:pPr>
                    <w:pStyle w:val="41"/>
                    <w:spacing w:line="240" w:lineRule="auto"/>
                    <w:ind w:firstLine="315"/>
                    <w:rPr>
                      <w:rFonts w:hAnsi="宋体"/>
                      <w:sz w:val="21"/>
                    </w:rPr>
                  </w:pPr>
                </w:p>
              </w:tc>
              <w:tc>
                <w:tcPr>
                  <w:tcW w:w="4102" w:type="dxa"/>
                  <w:vAlign w:val="center"/>
                </w:tcPr>
                <w:p>
                  <w:pPr>
                    <w:pStyle w:val="41"/>
                    <w:spacing w:line="240" w:lineRule="auto"/>
                    <w:ind w:firstLine="0" w:firstLineChars="0"/>
                    <w:rPr>
                      <w:rFonts w:hAnsi="宋体"/>
                      <w:sz w:val="21"/>
                    </w:rPr>
                  </w:pPr>
                  <w:r>
                    <w:rPr>
                      <w:rFonts w:hAnsi="宋体"/>
                      <w:sz w:val="21"/>
                    </w:rPr>
                    <w:t>监界压力（Mpa）:11.40</w:t>
                  </w:r>
                </w:p>
              </w:tc>
              <w:tc>
                <w:tcPr>
                  <w:tcW w:w="4545" w:type="dxa"/>
                  <w:vAlign w:val="center"/>
                </w:tcPr>
                <w:p>
                  <w:pPr>
                    <w:pStyle w:val="41"/>
                    <w:spacing w:line="240" w:lineRule="auto"/>
                    <w:ind w:left="1319" w:hanging="840" w:hangingChars="400"/>
                    <w:rPr>
                      <w:rFonts w:hAnsi="宋体"/>
                      <w:sz w:val="21"/>
                    </w:rPr>
                  </w:pPr>
                  <w:r>
                    <w:rPr>
                      <w:rFonts w:hAnsi="宋体"/>
                      <w:sz w:val="21"/>
                    </w:rPr>
                    <w:t>溶解性：易溶于水</w:t>
                  </w:r>
                  <w:r>
                    <w:rPr>
                      <w:rFonts w:hint="eastAsia" w:hAnsi="宋体"/>
                      <w:sz w:val="21"/>
                    </w:rPr>
                    <w:t>、乙醇、乙醚。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 w:hRule="atLeast"/>
                <w:jc w:val="center"/>
              </w:trPr>
              <w:tc>
                <w:tcPr>
                  <w:tcW w:w="738" w:type="dxa"/>
                  <w:vAlign w:val="center"/>
                </w:tcPr>
                <w:p>
                  <w:pPr>
                    <w:pStyle w:val="41"/>
                    <w:spacing w:line="240" w:lineRule="auto"/>
                    <w:ind w:firstLine="0" w:firstLineChars="0"/>
                    <w:rPr>
                      <w:rFonts w:hAnsi="宋体"/>
                      <w:sz w:val="21"/>
                    </w:rPr>
                  </w:pPr>
                  <w:r>
                    <w:rPr>
                      <w:rFonts w:hAnsi="宋体"/>
                      <w:sz w:val="21"/>
                    </w:rPr>
                    <w:t>性状</w:t>
                  </w:r>
                </w:p>
              </w:tc>
              <w:tc>
                <w:tcPr>
                  <w:tcW w:w="8647" w:type="dxa"/>
                  <w:gridSpan w:val="2"/>
                  <w:vAlign w:val="center"/>
                </w:tcPr>
                <w:p>
                  <w:pPr>
                    <w:pStyle w:val="41"/>
                    <w:spacing w:line="240" w:lineRule="auto"/>
                    <w:ind w:firstLine="0" w:firstLineChars="0"/>
                    <w:rPr>
                      <w:rFonts w:hAnsi="宋体"/>
                      <w:sz w:val="21"/>
                    </w:rPr>
                  </w:pPr>
                  <w:r>
                    <w:rPr>
                      <w:rFonts w:hint="eastAsia" w:hAnsi="宋体"/>
                      <w:sz w:val="21"/>
                    </w:rPr>
                    <w:t>无色、</w:t>
                  </w:r>
                  <w:r>
                    <w:rPr>
                      <w:rFonts w:hAnsi="宋体"/>
                      <w:sz w:val="21"/>
                    </w:rPr>
                    <w:t>有刺激性恶臭的气体</w:t>
                  </w:r>
                  <w:r>
                    <w:rPr>
                      <w:rFonts w:hint="eastAsia" w:hAnsi="宋体"/>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jc w:val="center"/>
              </w:trPr>
              <w:tc>
                <w:tcPr>
                  <w:tcW w:w="738" w:type="dxa"/>
                  <w:vMerge w:val="restart"/>
                  <w:vAlign w:val="center"/>
                </w:tcPr>
                <w:p>
                  <w:pPr>
                    <w:pStyle w:val="41"/>
                    <w:spacing w:line="240" w:lineRule="auto"/>
                    <w:ind w:firstLine="0" w:firstLineChars="0"/>
                    <w:rPr>
                      <w:rFonts w:hAnsi="宋体"/>
                      <w:sz w:val="21"/>
                    </w:rPr>
                  </w:pPr>
                  <w:r>
                    <w:rPr>
                      <w:rFonts w:hAnsi="宋体"/>
                      <w:sz w:val="21"/>
                    </w:rPr>
                    <w:t>健康危害</w:t>
                  </w:r>
                </w:p>
              </w:tc>
              <w:tc>
                <w:tcPr>
                  <w:tcW w:w="8647" w:type="dxa"/>
                  <w:gridSpan w:val="2"/>
                  <w:vAlign w:val="center"/>
                </w:tcPr>
                <w:p>
                  <w:pPr>
                    <w:pStyle w:val="41"/>
                    <w:spacing w:line="240" w:lineRule="auto"/>
                    <w:ind w:firstLine="0" w:firstLineChars="0"/>
                    <w:rPr>
                      <w:rFonts w:hAnsi="宋体"/>
                      <w:sz w:val="21"/>
                    </w:rPr>
                  </w:pPr>
                  <w:r>
                    <w:rPr>
                      <w:rFonts w:hAnsi="宋体"/>
                      <w:sz w:val="21"/>
                    </w:rPr>
                    <w:t>侵入途径：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jc w:val="center"/>
              </w:trPr>
              <w:tc>
                <w:tcPr>
                  <w:tcW w:w="738" w:type="dxa"/>
                  <w:vMerge w:val="continue"/>
                  <w:vAlign w:val="center"/>
                </w:tcPr>
                <w:p>
                  <w:pPr>
                    <w:pStyle w:val="41"/>
                    <w:spacing w:line="240" w:lineRule="auto"/>
                    <w:ind w:firstLine="0" w:firstLineChars="0"/>
                    <w:rPr>
                      <w:rFonts w:hAnsi="宋体"/>
                      <w:sz w:val="21"/>
                    </w:rPr>
                  </w:pPr>
                </w:p>
              </w:tc>
              <w:tc>
                <w:tcPr>
                  <w:tcW w:w="8647" w:type="dxa"/>
                  <w:gridSpan w:val="2"/>
                  <w:vAlign w:val="center"/>
                </w:tcPr>
                <w:p>
                  <w:pPr>
                    <w:pStyle w:val="41"/>
                    <w:spacing w:line="240" w:lineRule="auto"/>
                    <w:ind w:firstLine="0" w:firstLineChars="0"/>
                    <w:rPr>
                      <w:rFonts w:hAnsi="宋体"/>
                      <w:sz w:val="21"/>
                    </w:rPr>
                  </w:pPr>
                  <w:r>
                    <w:rPr>
                      <w:rFonts w:hAnsi="宋体"/>
                      <w:sz w:val="21"/>
                    </w:rPr>
                    <w:t>健康危害：</w:t>
                  </w:r>
                  <w:r>
                    <w:rPr>
                      <w:rFonts w:hint="eastAsia"/>
                      <w:sz w:val="21"/>
                      <w:szCs w:val="21"/>
                      <w:shd w:val="clear" w:color="auto" w:fill="FFFFFF"/>
                    </w:rPr>
                    <w:t>低浓度氨对粘膜有刺激作用，高浓度可造成组织溶解坏死。 急性中毒：轻度者出现流泪、咽痛、声音嘶哑、咳嗽、咯痰等；眼结膜、鼻粘膜、咽部充血、水肿；胸部 X线征象符合支气管炎或支气管周围炎。中度中毒上述症状加剧，出现呼吸困难、紫绀；胸部 X线征象符合肺炎或间质性肺炎。严重者可发生中毒性肺水肿，或有呼吸窘迫综合征，患者剧烈咳嗽、咯大量粉红色泡沫痰、呼吸窘迫、谵妄、昏迷、休克等。可发生喉头水肿或支气管粘膜坏死脱落窒息。高浓度氨可引起反射性呼吸停止。 液氨或高浓度氨可致眼灼伤；液氨可致皮肤灼伤。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jc w:val="center"/>
              </w:trPr>
              <w:tc>
                <w:tcPr>
                  <w:tcW w:w="738" w:type="dxa"/>
                  <w:tcBorders>
                    <w:bottom w:val="single" w:color="auto" w:sz="4" w:space="0"/>
                  </w:tcBorders>
                  <w:vAlign w:val="center"/>
                </w:tcPr>
                <w:p>
                  <w:pPr>
                    <w:pStyle w:val="41"/>
                    <w:spacing w:line="240" w:lineRule="auto"/>
                    <w:ind w:firstLine="0" w:firstLineChars="0"/>
                    <w:rPr>
                      <w:rFonts w:hAnsi="宋体"/>
                      <w:sz w:val="21"/>
                    </w:rPr>
                  </w:pPr>
                  <w:r>
                    <w:rPr>
                      <w:rFonts w:hAnsi="宋体"/>
                      <w:sz w:val="21"/>
                    </w:rPr>
                    <w:t>毒性资料</w:t>
                  </w:r>
                </w:p>
              </w:tc>
              <w:tc>
                <w:tcPr>
                  <w:tcW w:w="8647" w:type="dxa"/>
                  <w:gridSpan w:val="2"/>
                  <w:tcBorders>
                    <w:bottom w:val="single" w:color="auto" w:sz="4" w:space="0"/>
                  </w:tcBorders>
                  <w:vAlign w:val="center"/>
                </w:tcPr>
                <w:p>
                  <w:pPr>
                    <w:pStyle w:val="41"/>
                    <w:spacing w:line="240" w:lineRule="auto"/>
                    <w:ind w:left="1529" w:hanging="1050" w:hangingChars="500"/>
                    <w:rPr>
                      <w:sz w:val="21"/>
                      <w:szCs w:val="21"/>
                      <w:shd w:val="clear" w:color="auto" w:fill="FFFFFF"/>
                    </w:rPr>
                  </w:pPr>
                  <w:r>
                    <w:rPr>
                      <w:rFonts w:hint="eastAsia"/>
                      <w:sz w:val="21"/>
                      <w:szCs w:val="21"/>
                      <w:shd w:val="clear" w:color="auto" w:fill="FFFFFF"/>
                    </w:rPr>
                    <w:t xml:space="preserve">急性毒性 </w:t>
                  </w:r>
                  <w:r>
                    <w:rPr>
                      <w:sz w:val="21"/>
                      <w:szCs w:val="21"/>
                      <w:shd w:val="clear" w:color="auto" w:fill="FFFFFF"/>
                    </w:rPr>
                    <w:t xml:space="preserve"> </w:t>
                  </w:r>
                  <w:r>
                    <w:rPr>
                      <w:rFonts w:hint="eastAsia"/>
                      <w:sz w:val="21"/>
                      <w:szCs w:val="21"/>
                      <w:shd w:val="clear" w:color="auto" w:fill="FFFFFF"/>
                    </w:rPr>
                    <w:t>LD50：350 mg/kg(大鼠经口)</w:t>
                  </w:r>
                  <w:r>
                    <w:rPr>
                      <w:rFonts w:hint="eastAsia"/>
                      <w:sz w:val="21"/>
                      <w:szCs w:val="21"/>
                    </w:rPr>
                    <w:br w:type="textWrapping"/>
                  </w:r>
                  <w:r>
                    <w:rPr>
                      <w:rFonts w:hint="eastAsia"/>
                      <w:sz w:val="21"/>
                      <w:szCs w:val="21"/>
                      <w:shd w:val="clear" w:color="auto" w:fill="FFFFFF"/>
                    </w:rPr>
                    <w:t>LC50：1390mg/m3，4小时(大鼠吸入)</w:t>
                  </w:r>
                </w:p>
                <w:p>
                  <w:pPr>
                    <w:pStyle w:val="41"/>
                    <w:spacing w:line="240" w:lineRule="auto"/>
                    <w:ind w:left="1529" w:hanging="1050" w:hangingChars="500"/>
                    <w:rPr>
                      <w:rFonts w:hAnsi="宋体"/>
                      <w:sz w:val="21"/>
                    </w:rPr>
                  </w:pPr>
                  <w:r>
                    <w:rPr>
                      <w:sz w:val="21"/>
                      <w:szCs w:val="21"/>
                      <w:shd w:val="clear" w:color="auto" w:fill="FFFFFF"/>
                    </w:rPr>
                    <w:t>刺激性</w:t>
                  </w:r>
                  <w:r>
                    <w:rPr>
                      <w:rFonts w:hint="eastAsia"/>
                      <w:sz w:val="21"/>
                      <w:szCs w:val="21"/>
                      <w:shd w:val="clear" w:color="auto" w:fill="FFFFFF"/>
                    </w:rPr>
                    <w:t xml:space="preserve"> </w:t>
                  </w:r>
                  <w:r>
                    <w:rPr>
                      <w:sz w:val="21"/>
                      <w:szCs w:val="21"/>
                      <w:shd w:val="clear" w:color="auto" w:fill="FFFFFF"/>
                    </w:rPr>
                    <w:t xml:space="preserve">  家兔经眼</w:t>
                  </w:r>
                  <w:r>
                    <w:rPr>
                      <w:rFonts w:hint="eastAsia"/>
                      <w:sz w:val="21"/>
                      <w:szCs w:val="21"/>
                      <w:shd w:val="clear" w:color="auto" w:fill="FFFFFF"/>
                    </w:rPr>
                    <w:t>：1</w:t>
                  </w:r>
                  <w:r>
                    <w:rPr>
                      <w:sz w:val="21"/>
                      <w:szCs w:val="21"/>
                      <w:shd w:val="clear" w:color="auto" w:fill="FFFFFF"/>
                    </w:rPr>
                    <w:t>00mg</w:t>
                  </w:r>
                  <w:r>
                    <w:rPr>
                      <w:rFonts w:hint="eastAsia"/>
                      <w:sz w:val="21"/>
                      <w:szCs w:val="21"/>
                      <w:shd w:val="clear" w:color="auto" w:fill="FFFFFF"/>
                    </w:rPr>
                    <w:t>，</w:t>
                  </w:r>
                  <w:r>
                    <w:rPr>
                      <w:sz w:val="21"/>
                      <w:szCs w:val="21"/>
                      <w:shd w:val="clear" w:color="auto" w:fill="FFFFFF"/>
                    </w:rPr>
                    <w:t>重度刺激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6" w:hRule="atLeast"/>
                <w:jc w:val="center"/>
              </w:trPr>
              <w:tc>
                <w:tcPr>
                  <w:tcW w:w="738" w:type="dxa"/>
                  <w:vAlign w:val="center"/>
                </w:tcPr>
                <w:p>
                  <w:pPr>
                    <w:pStyle w:val="41"/>
                    <w:spacing w:line="240" w:lineRule="auto"/>
                    <w:ind w:firstLine="0" w:firstLineChars="0"/>
                    <w:rPr>
                      <w:rFonts w:hAnsi="宋体"/>
                      <w:sz w:val="21"/>
                    </w:rPr>
                  </w:pPr>
                  <w:r>
                    <w:rPr>
                      <w:rFonts w:hAnsi="宋体"/>
                      <w:sz w:val="21"/>
                    </w:rPr>
                    <w:t>危险特性</w:t>
                  </w:r>
                </w:p>
              </w:tc>
              <w:tc>
                <w:tcPr>
                  <w:tcW w:w="8647" w:type="dxa"/>
                  <w:gridSpan w:val="2"/>
                  <w:vAlign w:val="center"/>
                </w:tcPr>
                <w:p>
                  <w:pPr>
                    <w:pStyle w:val="41"/>
                    <w:spacing w:line="240" w:lineRule="auto"/>
                    <w:ind w:firstLine="0" w:firstLineChars="0"/>
                    <w:rPr>
                      <w:rFonts w:hAnsi="宋体"/>
                      <w:sz w:val="21"/>
                    </w:rPr>
                  </w:pPr>
                  <w:r>
                    <w:rPr>
                      <w:rFonts w:hint="eastAsia"/>
                      <w:sz w:val="21"/>
                      <w:szCs w:val="21"/>
                      <w:shd w:val="clear" w:color="auto" w:fill="FFFFFF"/>
                    </w:rPr>
                    <w:t>与空气混合能形成爆炸性混合物。遇明火、高热能引起燃烧爆炸。与氟、氯等接触会发生剧烈的化学反应。若遇高热，容器内压增大，有开裂和爆炸的危险。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38" w:type="dxa"/>
                  <w:vAlign w:val="center"/>
                </w:tcPr>
                <w:p>
                  <w:pPr>
                    <w:pStyle w:val="41"/>
                    <w:spacing w:line="240" w:lineRule="auto"/>
                    <w:ind w:firstLine="0" w:firstLineChars="0"/>
                    <w:rPr>
                      <w:rFonts w:hAnsi="宋体"/>
                      <w:sz w:val="21"/>
                    </w:rPr>
                  </w:pPr>
                  <w:r>
                    <w:rPr>
                      <w:rFonts w:hAnsi="宋体"/>
                      <w:sz w:val="21"/>
                    </w:rPr>
                    <w:t>灭火方法</w:t>
                  </w:r>
                </w:p>
              </w:tc>
              <w:tc>
                <w:tcPr>
                  <w:tcW w:w="8647" w:type="dxa"/>
                  <w:gridSpan w:val="2"/>
                  <w:vAlign w:val="center"/>
                </w:tcPr>
                <w:p>
                  <w:pPr>
                    <w:pStyle w:val="41"/>
                    <w:spacing w:line="240" w:lineRule="auto"/>
                    <w:ind w:firstLine="0" w:firstLineChars="0"/>
                    <w:rPr>
                      <w:rFonts w:hAnsi="宋体"/>
                      <w:sz w:val="21"/>
                    </w:rPr>
                  </w:pPr>
                  <w:r>
                    <w:rPr>
                      <w:rFonts w:hint="eastAsia"/>
                      <w:sz w:val="21"/>
                      <w:szCs w:val="21"/>
                      <w:shd w:val="clear" w:color="auto" w:fill="FFFFFF"/>
                    </w:rPr>
                    <w:t>消防人员必须穿全身防火防毒服，在上风向灭火。切断气源。若不能切断气源，则不允许熄灭泄漏处的火焰。喷水冷却容器，可能的话将容器从火场移至空旷处。灭火剂：雾状水、抗溶性泡沫、二氧化碳、砂土。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738" w:type="dxa"/>
                  <w:vMerge w:val="restart"/>
                  <w:vAlign w:val="center"/>
                </w:tcPr>
                <w:p>
                  <w:pPr>
                    <w:pStyle w:val="41"/>
                    <w:spacing w:line="240" w:lineRule="auto"/>
                    <w:ind w:firstLine="0" w:firstLineChars="0"/>
                    <w:rPr>
                      <w:rFonts w:hAnsi="宋体"/>
                      <w:sz w:val="21"/>
                    </w:rPr>
                  </w:pPr>
                  <w:r>
                    <w:rPr>
                      <w:rFonts w:hAnsi="宋体"/>
                      <w:sz w:val="21"/>
                    </w:rPr>
                    <w:t>急救</w:t>
                  </w:r>
                </w:p>
              </w:tc>
              <w:tc>
                <w:tcPr>
                  <w:tcW w:w="8647" w:type="dxa"/>
                  <w:gridSpan w:val="2"/>
                  <w:vAlign w:val="center"/>
                </w:tcPr>
                <w:p>
                  <w:pPr>
                    <w:pStyle w:val="41"/>
                    <w:spacing w:line="240" w:lineRule="auto"/>
                    <w:ind w:firstLine="0" w:firstLineChars="0"/>
                    <w:rPr>
                      <w:rFonts w:hAnsi="宋体"/>
                      <w:sz w:val="21"/>
                    </w:rPr>
                  </w:pPr>
                  <w:r>
                    <w:rPr>
                      <w:rFonts w:hAnsi="宋体"/>
                      <w:sz w:val="21"/>
                    </w:rPr>
                    <w:t>皮肤接触：</w:t>
                  </w:r>
                  <w:r>
                    <w:rPr>
                      <w:rFonts w:hint="eastAsia"/>
                      <w:sz w:val="21"/>
                      <w:szCs w:val="21"/>
                      <w:shd w:val="clear" w:color="auto" w:fill="FFFFFF"/>
                    </w:rPr>
                    <w:t>立即脱去污染的衣着，应用2%硼酸液或大量清水彻底冲洗。就医。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 w:hRule="atLeast"/>
                <w:jc w:val="center"/>
              </w:trPr>
              <w:tc>
                <w:tcPr>
                  <w:tcW w:w="738" w:type="dxa"/>
                  <w:vMerge w:val="continue"/>
                  <w:vAlign w:val="center"/>
                </w:tcPr>
                <w:p>
                  <w:pPr>
                    <w:pStyle w:val="41"/>
                    <w:spacing w:line="240" w:lineRule="auto"/>
                    <w:ind w:firstLine="0" w:firstLineChars="0"/>
                    <w:rPr>
                      <w:rFonts w:hAnsi="宋体"/>
                      <w:sz w:val="21"/>
                    </w:rPr>
                  </w:pPr>
                </w:p>
              </w:tc>
              <w:tc>
                <w:tcPr>
                  <w:tcW w:w="8647" w:type="dxa"/>
                  <w:gridSpan w:val="2"/>
                  <w:vAlign w:val="center"/>
                </w:tcPr>
                <w:p>
                  <w:pPr>
                    <w:pStyle w:val="41"/>
                    <w:spacing w:line="240" w:lineRule="auto"/>
                    <w:ind w:firstLine="0" w:firstLineChars="0"/>
                    <w:rPr>
                      <w:rFonts w:hAnsi="宋体"/>
                      <w:sz w:val="21"/>
                    </w:rPr>
                  </w:pPr>
                  <w:r>
                    <w:rPr>
                      <w:rFonts w:hAnsi="宋体"/>
                      <w:sz w:val="21"/>
                    </w:rPr>
                    <w:t>眼睛接触：</w:t>
                  </w:r>
                  <w:r>
                    <w:rPr>
                      <w:rFonts w:hint="eastAsia"/>
                      <w:sz w:val="21"/>
                      <w:szCs w:val="21"/>
                      <w:shd w:val="clear" w:color="auto" w:fill="FFFFFF"/>
                    </w:rPr>
                    <w:t>立即提起眼睑，用大量流动清水或生理盐水彻底冲洗至少15分钟。就医。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jc w:val="center"/>
              </w:trPr>
              <w:tc>
                <w:tcPr>
                  <w:tcW w:w="738" w:type="dxa"/>
                  <w:vMerge w:val="continue"/>
                  <w:vAlign w:val="center"/>
                </w:tcPr>
                <w:p>
                  <w:pPr>
                    <w:pStyle w:val="41"/>
                    <w:spacing w:line="240" w:lineRule="auto"/>
                    <w:ind w:firstLine="0" w:firstLineChars="0"/>
                    <w:rPr>
                      <w:rFonts w:hAnsi="宋体"/>
                      <w:sz w:val="21"/>
                    </w:rPr>
                  </w:pPr>
                </w:p>
              </w:tc>
              <w:tc>
                <w:tcPr>
                  <w:tcW w:w="8647" w:type="dxa"/>
                  <w:gridSpan w:val="2"/>
                  <w:vAlign w:val="center"/>
                </w:tcPr>
                <w:p>
                  <w:pPr>
                    <w:pStyle w:val="41"/>
                    <w:spacing w:line="240" w:lineRule="auto"/>
                    <w:ind w:firstLine="0" w:firstLineChars="0"/>
                    <w:rPr>
                      <w:rFonts w:hAnsi="宋体"/>
                      <w:sz w:val="21"/>
                    </w:rPr>
                  </w:pPr>
                  <w:r>
                    <w:rPr>
                      <w:rFonts w:hAnsi="宋体"/>
                      <w:sz w:val="21"/>
                    </w:rPr>
                    <w:t>吸入：</w:t>
                  </w:r>
                  <w:r>
                    <w:rPr>
                      <w:rFonts w:hint="eastAsia"/>
                      <w:sz w:val="21"/>
                      <w:szCs w:val="21"/>
                      <w:shd w:val="clear" w:color="auto" w:fill="FFFFFF"/>
                    </w:rPr>
                    <w:t>迅速脱离现场至空气新鲜处。保持呼吸道通畅。如呼吸困难，给输氧。如呼吸停止，立即进行人工呼吸。就医。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 w:hRule="atLeast"/>
                <w:jc w:val="center"/>
              </w:trPr>
              <w:tc>
                <w:tcPr>
                  <w:tcW w:w="738" w:type="dxa"/>
                  <w:vMerge w:val="continue"/>
                  <w:vAlign w:val="center"/>
                </w:tcPr>
                <w:p>
                  <w:pPr>
                    <w:pStyle w:val="41"/>
                    <w:spacing w:line="240" w:lineRule="auto"/>
                    <w:ind w:firstLine="0" w:firstLineChars="0"/>
                    <w:rPr>
                      <w:rFonts w:hAnsi="宋体"/>
                      <w:sz w:val="21"/>
                    </w:rPr>
                  </w:pPr>
                </w:p>
              </w:tc>
              <w:tc>
                <w:tcPr>
                  <w:tcW w:w="8647" w:type="dxa"/>
                  <w:gridSpan w:val="2"/>
                  <w:vAlign w:val="center"/>
                </w:tcPr>
                <w:p>
                  <w:pPr>
                    <w:pStyle w:val="41"/>
                    <w:spacing w:line="240" w:lineRule="auto"/>
                    <w:ind w:firstLine="0" w:firstLineChars="0"/>
                    <w:rPr>
                      <w:rFonts w:hAnsi="宋体"/>
                      <w:sz w:val="21"/>
                    </w:rPr>
                  </w:pPr>
                  <w:r>
                    <w:rPr>
                      <w:rFonts w:hAnsi="宋体"/>
                      <w:sz w:val="21"/>
                    </w:rPr>
                    <w:t xml:space="preserve">食入：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738" w:type="dxa"/>
                  <w:vMerge w:val="restart"/>
                  <w:vAlign w:val="center"/>
                </w:tcPr>
                <w:p>
                  <w:pPr>
                    <w:pStyle w:val="41"/>
                    <w:spacing w:line="240" w:lineRule="auto"/>
                    <w:ind w:firstLine="0" w:firstLineChars="0"/>
                    <w:rPr>
                      <w:rFonts w:hAnsi="宋体"/>
                      <w:sz w:val="21"/>
                    </w:rPr>
                  </w:pPr>
                  <w:r>
                    <w:rPr>
                      <w:rFonts w:hAnsi="宋体"/>
                      <w:sz w:val="21"/>
                    </w:rPr>
                    <w:t>防护措施</w:t>
                  </w:r>
                </w:p>
              </w:tc>
              <w:tc>
                <w:tcPr>
                  <w:tcW w:w="8647" w:type="dxa"/>
                  <w:gridSpan w:val="2"/>
                  <w:vAlign w:val="center"/>
                </w:tcPr>
                <w:p>
                  <w:pPr>
                    <w:pStyle w:val="41"/>
                    <w:spacing w:line="240" w:lineRule="auto"/>
                    <w:ind w:firstLine="0" w:firstLineChars="0"/>
                    <w:rPr>
                      <w:rFonts w:hAnsi="宋体"/>
                      <w:sz w:val="21"/>
                    </w:rPr>
                  </w:pPr>
                  <w:r>
                    <w:rPr>
                      <w:rFonts w:hAnsi="宋体"/>
                      <w:sz w:val="21"/>
                    </w:rPr>
                    <w:t>工程控制：</w:t>
                  </w:r>
                  <w:r>
                    <w:rPr>
                      <w:rFonts w:hint="eastAsia"/>
                      <w:sz w:val="21"/>
                      <w:szCs w:val="21"/>
                      <w:shd w:val="clear" w:color="auto" w:fill="FFFFFF"/>
                    </w:rPr>
                    <w:t>严加密闭，提供充分的局部排风和全面通风。提供安全淋浴和洗眼设备。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738" w:type="dxa"/>
                  <w:vMerge w:val="continue"/>
                  <w:vAlign w:val="center"/>
                </w:tcPr>
                <w:p>
                  <w:pPr>
                    <w:pStyle w:val="41"/>
                    <w:spacing w:line="240" w:lineRule="auto"/>
                    <w:ind w:firstLine="315"/>
                    <w:rPr>
                      <w:rFonts w:hAnsi="宋体"/>
                      <w:sz w:val="21"/>
                    </w:rPr>
                  </w:pPr>
                </w:p>
              </w:tc>
              <w:tc>
                <w:tcPr>
                  <w:tcW w:w="8647" w:type="dxa"/>
                  <w:gridSpan w:val="2"/>
                  <w:vAlign w:val="center"/>
                </w:tcPr>
                <w:p>
                  <w:pPr>
                    <w:pStyle w:val="41"/>
                    <w:spacing w:line="240" w:lineRule="auto"/>
                    <w:ind w:firstLine="0" w:firstLineChars="0"/>
                    <w:rPr>
                      <w:rFonts w:hAnsi="宋体"/>
                      <w:sz w:val="21"/>
                    </w:rPr>
                  </w:pPr>
                  <w:r>
                    <w:rPr>
                      <w:rFonts w:hAnsi="宋体"/>
                      <w:sz w:val="21"/>
                    </w:rPr>
                    <w:t>呼吸系统防护：</w:t>
                  </w:r>
                  <w:r>
                    <w:rPr>
                      <w:rFonts w:hint="eastAsia"/>
                      <w:sz w:val="21"/>
                      <w:szCs w:val="21"/>
                      <w:shd w:val="clear" w:color="auto" w:fill="FFFFFF"/>
                    </w:rPr>
                    <w:t>空气中浓度超标时，建议佩戴过滤式防毒面具（半面罩）。紧急事态抢救或撤离时，必须佩戴空气呼吸器。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 w:hRule="atLeast"/>
                <w:jc w:val="center"/>
              </w:trPr>
              <w:tc>
                <w:tcPr>
                  <w:tcW w:w="738" w:type="dxa"/>
                  <w:vMerge w:val="continue"/>
                  <w:tcBorders>
                    <w:bottom w:val="single" w:color="auto" w:sz="4" w:space="0"/>
                  </w:tcBorders>
                  <w:vAlign w:val="center"/>
                </w:tcPr>
                <w:p>
                  <w:pPr>
                    <w:pStyle w:val="41"/>
                    <w:spacing w:line="240" w:lineRule="auto"/>
                    <w:ind w:firstLine="315"/>
                    <w:rPr>
                      <w:rFonts w:hAnsi="宋体"/>
                      <w:sz w:val="21"/>
                    </w:rPr>
                  </w:pPr>
                </w:p>
              </w:tc>
              <w:tc>
                <w:tcPr>
                  <w:tcW w:w="8647" w:type="dxa"/>
                  <w:gridSpan w:val="2"/>
                  <w:tcBorders>
                    <w:bottom w:val="single" w:color="auto" w:sz="4" w:space="0"/>
                  </w:tcBorders>
                  <w:vAlign w:val="center"/>
                </w:tcPr>
                <w:p>
                  <w:pPr>
                    <w:pStyle w:val="41"/>
                    <w:spacing w:line="240" w:lineRule="auto"/>
                    <w:ind w:firstLine="0" w:firstLineChars="0"/>
                    <w:rPr>
                      <w:rFonts w:hAnsi="宋体"/>
                      <w:sz w:val="21"/>
                    </w:rPr>
                  </w:pPr>
                  <w:r>
                    <w:rPr>
                      <w:rFonts w:hAnsi="宋体"/>
                      <w:sz w:val="21"/>
                    </w:rPr>
                    <w:t>眼睛防护：</w:t>
                  </w:r>
                  <w:r>
                    <w:rPr>
                      <w:rFonts w:hint="eastAsia" w:hAnsi="宋体"/>
                      <w:sz w:val="21"/>
                    </w:rPr>
                    <w:tab/>
                  </w:r>
                  <w:r>
                    <w:rPr>
                      <w:rFonts w:hint="eastAsia" w:hAnsi="宋体"/>
                      <w:sz w:val="21"/>
                    </w:rPr>
                    <w:t>戴化学安全防护眼镜。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 w:hRule="atLeast"/>
                <w:jc w:val="center"/>
              </w:trPr>
              <w:tc>
                <w:tcPr>
                  <w:tcW w:w="738" w:type="dxa"/>
                  <w:vMerge w:val="continue"/>
                  <w:tcBorders>
                    <w:bottom w:val="single" w:color="auto" w:sz="4" w:space="0"/>
                  </w:tcBorders>
                  <w:vAlign w:val="center"/>
                </w:tcPr>
                <w:p>
                  <w:pPr>
                    <w:pStyle w:val="41"/>
                    <w:spacing w:line="240" w:lineRule="auto"/>
                    <w:ind w:firstLine="315"/>
                    <w:rPr>
                      <w:rFonts w:hAnsi="宋体"/>
                      <w:sz w:val="21"/>
                    </w:rPr>
                  </w:pPr>
                </w:p>
              </w:tc>
              <w:tc>
                <w:tcPr>
                  <w:tcW w:w="8647" w:type="dxa"/>
                  <w:gridSpan w:val="2"/>
                  <w:tcBorders>
                    <w:bottom w:val="single" w:color="auto" w:sz="4" w:space="0"/>
                  </w:tcBorders>
                  <w:vAlign w:val="center"/>
                </w:tcPr>
                <w:p>
                  <w:pPr>
                    <w:pStyle w:val="41"/>
                    <w:spacing w:line="240" w:lineRule="auto"/>
                    <w:ind w:firstLine="0" w:firstLineChars="0"/>
                    <w:rPr>
                      <w:rFonts w:hAnsi="宋体"/>
                      <w:sz w:val="21"/>
                    </w:rPr>
                  </w:pPr>
                  <w:r>
                    <w:rPr>
                      <w:rFonts w:hAnsi="宋体"/>
                      <w:sz w:val="21"/>
                    </w:rPr>
                    <w:t>身体防护：</w:t>
                  </w:r>
                  <w:r>
                    <w:rPr>
                      <w:rFonts w:hint="eastAsia"/>
                      <w:sz w:val="21"/>
                      <w:szCs w:val="21"/>
                      <w:shd w:val="clear" w:color="auto" w:fill="FFFFFF"/>
                    </w:rPr>
                    <w:t>穿防静电工作服。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 w:hRule="atLeast"/>
                <w:jc w:val="center"/>
              </w:trPr>
              <w:tc>
                <w:tcPr>
                  <w:tcW w:w="738" w:type="dxa"/>
                  <w:vMerge w:val="continue"/>
                  <w:tcBorders>
                    <w:bottom w:val="single" w:color="auto" w:sz="4" w:space="0"/>
                  </w:tcBorders>
                  <w:vAlign w:val="center"/>
                </w:tcPr>
                <w:p>
                  <w:pPr>
                    <w:pStyle w:val="41"/>
                    <w:spacing w:line="240" w:lineRule="auto"/>
                    <w:ind w:firstLine="315"/>
                    <w:rPr>
                      <w:rFonts w:hAnsi="宋体"/>
                      <w:sz w:val="21"/>
                    </w:rPr>
                  </w:pPr>
                </w:p>
              </w:tc>
              <w:tc>
                <w:tcPr>
                  <w:tcW w:w="8647" w:type="dxa"/>
                  <w:gridSpan w:val="2"/>
                  <w:tcBorders>
                    <w:bottom w:val="single" w:color="auto" w:sz="4" w:space="0"/>
                  </w:tcBorders>
                  <w:vAlign w:val="center"/>
                </w:tcPr>
                <w:p>
                  <w:pPr>
                    <w:pStyle w:val="41"/>
                    <w:spacing w:line="240" w:lineRule="auto"/>
                    <w:ind w:firstLine="0" w:firstLineChars="0"/>
                    <w:rPr>
                      <w:rFonts w:hAnsi="宋体"/>
                      <w:sz w:val="21"/>
                    </w:rPr>
                  </w:pPr>
                  <w:r>
                    <w:rPr>
                      <w:rFonts w:hAnsi="宋体"/>
                      <w:sz w:val="21"/>
                    </w:rPr>
                    <w:t>手防护：</w:t>
                  </w:r>
                  <w:r>
                    <w:rPr>
                      <w:rFonts w:hint="eastAsia"/>
                      <w:sz w:val="21"/>
                      <w:szCs w:val="21"/>
                      <w:shd w:val="clear" w:color="auto" w:fill="FFFFFF"/>
                    </w:rPr>
                    <w:t>戴橡胶手套。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738" w:type="dxa"/>
                  <w:vMerge w:val="continue"/>
                  <w:tcBorders>
                    <w:bottom w:val="single" w:color="auto" w:sz="4" w:space="0"/>
                  </w:tcBorders>
                  <w:vAlign w:val="center"/>
                </w:tcPr>
                <w:p>
                  <w:pPr>
                    <w:pStyle w:val="41"/>
                    <w:spacing w:line="240" w:lineRule="auto"/>
                    <w:ind w:firstLine="315"/>
                    <w:rPr>
                      <w:rFonts w:hAnsi="宋体"/>
                      <w:sz w:val="21"/>
                    </w:rPr>
                  </w:pPr>
                </w:p>
              </w:tc>
              <w:tc>
                <w:tcPr>
                  <w:tcW w:w="8647" w:type="dxa"/>
                  <w:gridSpan w:val="2"/>
                  <w:tcBorders>
                    <w:bottom w:val="single" w:color="auto" w:sz="4" w:space="0"/>
                  </w:tcBorders>
                  <w:vAlign w:val="center"/>
                </w:tcPr>
                <w:p>
                  <w:pPr>
                    <w:pStyle w:val="41"/>
                    <w:spacing w:line="240" w:lineRule="auto"/>
                    <w:ind w:firstLine="0" w:firstLineChars="0"/>
                    <w:rPr>
                      <w:rFonts w:hAnsi="宋体"/>
                      <w:sz w:val="21"/>
                    </w:rPr>
                  </w:pPr>
                  <w:r>
                    <w:rPr>
                      <w:rFonts w:hAnsi="宋体"/>
                      <w:sz w:val="21"/>
                    </w:rPr>
                    <w:t>其它：</w:t>
                  </w:r>
                  <w:r>
                    <w:rPr>
                      <w:rFonts w:hint="eastAsia"/>
                      <w:sz w:val="21"/>
                      <w:szCs w:val="21"/>
                      <w:shd w:val="clear" w:color="auto" w:fill="FFFFFF"/>
                    </w:rPr>
                    <w:t>工作现场禁止吸烟、进食和饮水。工作完毕，淋浴更衣。保持良好的卫生习惯。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38" w:type="dxa"/>
                  <w:vAlign w:val="center"/>
                </w:tcPr>
                <w:p>
                  <w:pPr>
                    <w:pStyle w:val="41"/>
                    <w:spacing w:line="240" w:lineRule="auto"/>
                    <w:ind w:firstLine="0" w:firstLineChars="0"/>
                    <w:rPr>
                      <w:rFonts w:hAnsi="宋体"/>
                      <w:sz w:val="21"/>
                    </w:rPr>
                  </w:pPr>
                  <w:r>
                    <w:rPr>
                      <w:rFonts w:hAnsi="宋体"/>
                      <w:sz w:val="21"/>
                    </w:rPr>
                    <w:t>包装方法</w:t>
                  </w:r>
                </w:p>
              </w:tc>
              <w:tc>
                <w:tcPr>
                  <w:tcW w:w="8647" w:type="dxa"/>
                  <w:gridSpan w:val="2"/>
                  <w:vAlign w:val="center"/>
                </w:tcPr>
                <w:p>
                  <w:pPr>
                    <w:pStyle w:val="41"/>
                    <w:spacing w:line="240" w:lineRule="auto"/>
                    <w:ind w:firstLine="0" w:firstLineChars="0"/>
                    <w:rPr>
                      <w:rFonts w:hAnsi="宋体"/>
                      <w:sz w:val="21"/>
                    </w:rPr>
                  </w:pPr>
                  <w:r>
                    <w:rPr>
                      <w:rFonts w:hint="eastAsia"/>
                      <w:sz w:val="21"/>
                      <w:szCs w:val="21"/>
                      <w:shd w:val="clear" w:color="auto" w:fill="FFFFFF"/>
                    </w:rPr>
                    <w:t>钢质气瓶。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9" w:hRule="atLeast"/>
                <w:jc w:val="center"/>
              </w:trPr>
              <w:tc>
                <w:tcPr>
                  <w:tcW w:w="738" w:type="dxa"/>
                  <w:vAlign w:val="center"/>
                </w:tcPr>
                <w:p>
                  <w:pPr>
                    <w:pStyle w:val="41"/>
                    <w:spacing w:line="240" w:lineRule="auto"/>
                    <w:ind w:firstLine="0" w:firstLineChars="0"/>
                    <w:rPr>
                      <w:rFonts w:hAnsi="宋体"/>
                      <w:sz w:val="21"/>
                    </w:rPr>
                  </w:pPr>
                  <w:r>
                    <w:rPr>
                      <w:rFonts w:hint="eastAsia" w:hAnsi="宋体"/>
                      <w:sz w:val="21"/>
                    </w:rPr>
                    <w:t>储运条件</w:t>
                  </w:r>
                </w:p>
              </w:tc>
              <w:tc>
                <w:tcPr>
                  <w:tcW w:w="8647" w:type="dxa"/>
                  <w:gridSpan w:val="2"/>
                  <w:vAlign w:val="center"/>
                </w:tcPr>
                <w:p>
                  <w:pPr>
                    <w:pStyle w:val="41"/>
                    <w:spacing w:line="240" w:lineRule="auto"/>
                    <w:ind w:firstLine="0" w:firstLineChars="0"/>
                    <w:rPr>
                      <w:sz w:val="21"/>
                      <w:szCs w:val="21"/>
                      <w:shd w:val="clear" w:color="auto" w:fill="FFFFFF"/>
                    </w:rPr>
                  </w:pPr>
                  <w:r>
                    <w:rPr>
                      <w:rFonts w:hint="eastAsia"/>
                      <w:sz w:val="21"/>
                      <w:szCs w:val="21"/>
                      <w:shd w:val="clear" w:color="auto" w:fill="FFFFFF"/>
                    </w:rPr>
                    <w:t>储存于阴凉、通风的库房。远离火种、热源。库温不宜超过30℃。应与氧化剂、酸类、卤素、食用化学品分开存放，切忌混储。采用防爆型照明、通风设施。禁止使用易产生火花的机械设备和工具。储区应备有泄漏应急处理设备。</w:t>
                  </w:r>
                </w:p>
                <w:p>
                  <w:pPr>
                    <w:pStyle w:val="41"/>
                    <w:spacing w:line="240" w:lineRule="auto"/>
                    <w:ind w:firstLine="0" w:firstLineChars="0"/>
                    <w:rPr>
                      <w:rFonts w:hAnsi="宋体"/>
                      <w:sz w:val="21"/>
                    </w:rPr>
                  </w:pPr>
                  <w:r>
                    <w:rPr>
                      <w:rFonts w:hint="eastAsia"/>
                      <w:sz w:val="21"/>
                      <w:szCs w:val="21"/>
                      <w:shd w:val="clear" w:color="auto" w:fill="FFFFFF"/>
                    </w:rPr>
                    <w:t>本品铁路运输时限使用耐压液化气企业自备罐车装运，装运前需报有关部门批准。采用钢瓶运输时必须戴好钢瓶上的安全帽。钢瓶一般平放，并应将瓶口朝同一方向，不可交叉；高度不得超过车辆的防护栏板，并用三角木垫卡牢，防止滚动。运输时运输车辆应配备相应品种和数量的消防器材。装运该物品的车辆排气管必须配备阻火装置，禁止使用易产生火花的机械设备和工具装卸。严禁与氧化剂、酸类、卤素、食用化学品等混装混运。夏季应早晚运输，防止日光曝晒。中途停留时应远离火种、热源。公路运输时要按规定路线行驶，禁止在居民区和人口稠密区停留。铁路运输时要禁止溜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8" w:hRule="atLeast"/>
                <w:jc w:val="center"/>
              </w:trPr>
              <w:tc>
                <w:tcPr>
                  <w:tcW w:w="738" w:type="dxa"/>
                  <w:vAlign w:val="center"/>
                </w:tcPr>
                <w:p>
                  <w:pPr>
                    <w:pStyle w:val="41"/>
                    <w:spacing w:line="240" w:lineRule="auto"/>
                    <w:ind w:firstLine="0" w:firstLineChars="0"/>
                    <w:rPr>
                      <w:rFonts w:hAnsi="宋体"/>
                      <w:sz w:val="21"/>
                    </w:rPr>
                  </w:pPr>
                  <w:r>
                    <w:rPr>
                      <w:rFonts w:hAnsi="宋体"/>
                      <w:sz w:val="21"/>
                    </w:rPr>
                    <w:t>泄漏处理</w:t>
                  </w:r>
                </w:p>
              </w:tc>
              <w:tc>
                <w:tcPr>
                  <w:tcW w:w="8647" w:type="dxa"/>
                  <w:gridSpan w:val="2"/>
                  <w:vAlign w:val="center"/>
                </w:tcPr>
                <w:p>
                  <w:pPr>
                    <w:pStyle w:val="41"/>
                    <w:spacing w:line="240" w:lineRule="auto"/>
                    <w:ind w:firstLine="0" w:firstLineChars="0"/>
                    <w:rPr>
                      <w:rFonts w:hAnsi="宋体"/>
                      <w:sz w:val="21"/>
                    </w:rPr>
                  </w:pPr>
                  <w:r>
                    <w:rPr>
                      <w:rFonts w:hint="eastAsia"/>
                      <w:sz w:val="21"/>
                      <w:szCs w:val="21"/>
                      <w:shd w:val="clear" w:color="auto" w:fill="FFFFFF"/>
                    </w:rPr>
                    <w:t>迅速撤离泄漏污染区人员至上风处，并立即隔离150m，严格限制出入。切断火源。建议应急处理人员戴自给正压式呼吸器，穿防静电工作服。尽可能切断泄漏源。合理通风，加速扩散。高浓度泄漏区，喷含盐酸的雾状水中和、稀释、溶解。构筑围堤或挖坑收容产生的大量废水。如有可能，将残余气或漏出气用排风机送至水洗塔或与塔相连的通风橱内。储罐区最好设稀酸喷洒设施。漏气容器要妥善处理，修复、检验后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 w:hRule="atLeast"/>
                <w:jc w:val="center"/>
              </w:trPr>
              <w:tc>
                <w:tcPr>
                  <w:tcW w:w="738" w:type="dxa"/>
                  <w:vAlign w:val="center"/>
                </w:tcPr>
                <w:p>
                  <w:pPr>
                    <w:pStyle w:val="41"/>
                    <w:spacing w:line="240" w:lineRule="auto"/>
                    <w:ind w:firstLine="0" w:firstLineChars="0"/>
                    <w:rPr>
                      <w:rFonts w:hAnsi="宋体"/>
                      <w:sz w:val="21"/>
                    </w:rPr>
                  </w:pPr>
                  <w:r>
                    <w:rPr>
                      <w:rFonts w:hAnsi="宋体"/>
                      <w:sz w:val="21"/>
                    </w:rPr>
                    <w:t>废弃</w:t>
                  </w:r>
                </w:p>
              </w:tc>
              <w:tc>
                <w:tcPr>
                  <w:tcW w:w="8647" w:type="dxa"/>
                  <w:gridSpan w:val="2"/>
                  <w:vAlign w:val="center"/>
                </w:tcPr>
                <w:p>
                  <w:pPr>
                    <w:pStyle w:val="41"/>
                    <w:spacing w:line="240" w:lineRule="auto"/>
                    <w:ind w:firstLine="0" w:firstLineChars="0"/>
                    <w:rPr>
                      <w:rFonts w:hAnsi="宋体"/>
                      <w:sz w:val="21"/>
                    </w:rPr>
                  </w:pPr>
                  <w:r>
                    <w:rPr>
                      <w:rFonts w:hint="eastAsia"/>
                      <w:sz w:val="21"/>
                      <w:szCs w:val="21"/>
                      <w:shd w:val="clear" w:color="auto" w:fill="FFFFFF"/>
                    </w:rPr>
                    <w:t>先用水稀释，再加盐酸中和，然后放入废水系统。</w:t>
                  </w:r>
                </w:p>
              </w:tc>
            </w:tr>
          </w:tbl>
          <w:p>
            <w:pPr>
              <w:autoSpaceDE w:val="0"/>
              <w:autoSpaceDN w:val="0"/>
              <w:adjustRightInd w:val="0"/>
              <w:spacing w:line="360" w:lineRule="auto"/>
              <w:ind w:firstLine="480" w:firstLineChars="200"/>
              <w:rPr>
                <w:rFonts w:ascii="宋体" w:hAnsi="宋体"/>
                <w:kern w:val="0"/>
                <w:sz w:val="24"/>
              </w:rPr>
            </w:pPr>
            <w:r>
              <w:rPr>
                <w:rFonts w:hint="eastAsia" w:ascii="宋体" w:hAnsi="宋体"/>
                <w:kern w:val="0"/>
                <w:sz w:val="24"/>
              </w:rPr>
              <w:t>（2）风险识别结果</w:t>
            </w:r>
          </w:p>
          <w:p>
            <w:pPr>
              <w:autoSpaceDE w:val="0"/>
              <w:autoSpaceDN w:val="0"/>
              <w:adjustRightInd w:val="0"/>
              <w:spacing w:line="360" w:lineRule="auto"/>
              <w:jc w:val="center"/>
              <w:rPr>
                <w:rFonts w:ascii="宋体" w:hAnsi="宋体"/>
                <w:b/>
                <w:kern w:val="0"/>
                <w:sz w:val="24"/>
              </w:rPr>
            </w:pPr>
            <w:r>
              <w:rPr>
                <w:rFonts w:ascii="宋体" w:hAnsi="宋体"/>
                <w:b/>
                <w:kern w:val="0"/>
                <w:sz w:val="24"/>
              </w:rPr>
              <w:t>表</w:t>
            </w:r>
            <w:r>
              <w:rPr>
                <w:rFonts w:hint="eastAsia" w:ascii="宋体" w:hAnsi="宋体"/>
                <w:b/>
                <w:kern w:val="0"/>
                <w:sz w:val="24"/>
              </w:rPr>
              <w:t>7</w:t>
            </w:r>
            <w:r>
              <w:rPr>
                <w:rFonts w:ascii="宋体" w:hAnsi="宋体"/>
                <w:b/>
                <w:kern w:val="0"/>
                <w:sz w:val="24"/>
              </w:rPr>
              <w:t>-15 风险识别结果表</w:t>
            </w:r>
          </w:p>
          <w:tbl>
            <w:tblPr>
              <w:tblStyle w:val="5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883"/>
              <w:gridCol w:w="1883"/>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3" w:type="dxa"/>
                </w:tcPr>
                <w:p>
                  <w:pPr>
                    <w:autoSpaceDE w:val="0"/>
                    <w:autoSpaceDN w:val="0"/>
                    <w:adjustRightInd w:val="0"/>
                    <w:rPr>
                      <w:rFonts w:ascii="宋体" w:hAnsi="宋体"/>
                      <w:kern w:val="0"/>
                      <w:szCs w:val="21"/>
                    </w:rPr>
                  </w:pPr>
                  <w:r>
                    <w:rPr>
                      <w:rFonts w:hint="eastAsia" w:ascii="宋体" w:hAnsi="宋体"/>
                      <w:kern w:val="0"/>
                      <w:szCs w:val="21"/>
                    </w:rPr>
                    <w:t>类别</w:t>
                  </w:r>
                </w:p>
              </w:tc>
              <w:tc>
                <w:tcPr>
                  <w:tcW w:w="1883" w:type="dxa"/>
                </w:tcPr>
                <w:p>
                  <w:pPr>
                    <w:autoSpaceDE w:val="0"/>
                    <w:autoSpaceDN w:val="0"/>
                    <w:adjustRightInd w:val="0"/>
                    <w:rPr>
                      <w:rFonts w:ascii="宋体" w:hAnsi="宋体"/>
                      <w:kern w:val="0"/>
                      <w:szCs w:val="21"/>
                    </w:rPr>
                  </w:pPr>
                  <w:r>
                    <w:rPr>
                      <w:rFonts w:hint="eastAsia" w:ascii="宋体" w:hAnsi="宋体"/>
                      <w:kern w:val="0"/>
                      <w:szCs w:val="21"/>
                    </w:rPr>
                    <w:t>场所或设备</w:t>
                  </w:r>
                </w:p>
              </w:tc>
              <w:tc>
                <w:tcPr>
                  <w:tcW w:w="1883" w:type="dxa"/>
                </w:tcPr>
                <w:p>
                  <w:pPr>
                    <w:autoSpaceDE w:val="0"/>
                    <w:autoSpaceDN w:val="0"/>
                    <w:adjustRightInd w:val="0"/>
                    <w:rPr>
                      <w:rFonts w:ascii="宋体" w:hAnsi="宋体"/>
                      <w:kern w:val="0"/>
                      <w:szCs w:val="21"/>
                    </w:rPr>
                  </w:pPr>
                  <w:r>
                    <w:rPr>
                      <w:rFonts w:hint="eastAsia" w:ascii="宋体" w:hAnsi="宋体"/>
                      <w:kern w:val="0"/>
                      <w:szCs w:val="21"/>
                    </w:rPr>
                    <w:t>事故隐患</w:t>
                  </w:r>
                </w:p>
              </w:tc>
              <w:tc>
                <w:tcPr>
                  <w:tcW w:w="3418" w:type="dxa"/>
                </w:tcPr>
                <w:p>
                  <w:pPr>
                    <w:autoSpaceDE w:val="0"/>
                    <w:autoSpaceDN w:val="0"/>
                    <w:adjustRightInd w:val="0"/>
                    <w:rPr>
                      <w:rFonts w:ascii="宋体" w:hAnsi="宋体"/>
                      <w:kern w:val="0"/>
                      <w:szCs w:val="21"/>
                    </w:rPr>
                  </w:pPr>
                  <w:r>
                    <w:rPr>
                      <w:rFonts w:hint="eastAsia" w:ascii="宋体" w:hAnsi="宋体"/>
                      <w:kern w:val="0"/>
                      <w:szCs w:val="21"/>
                    </w:rPr>
                    <w:t>涉及的主要危险物质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3" w:type="dxa"/>
                  <w:vMerge w:val="restart"/>
                </w:tcPr>
                <w:p>
                  <w:pPr>
                    <w:autoSpaceDE w:val="0"/>
                    <w:autoSpaceDN w:val="0"/>
                    <w:adjustRightInd w:val="0"/>
                    <w:rPr>
                      <w:rFonts w:ascii="宋体" w:hAnsi="宋体"/>
                      <w:kern w:val="0"/>
                      <w:szCs w:val="21"/>
                    </w:rPr>
                  </w:pPr>
                  <w:r>
                    <w:rPr>
                      <w:rFonts w:hint="eastAsia" w:ascii="宋体" w:hAnsi="宋体"/>
                      <w:kern w:val="0"/>
                      <w:szCs w:val="21"/>
                    </w:rPr>
                    <w:t>生产线</w:t>
                  </w:r>
                </w:p>
              </w:tc>
              <w:tc>
                <w:tcPr>
                  <w:tcW w:w="1883" w:type="dxa"/>
                  <w:vMerge w:val="restart"/>
                </w:tcPr>
                <w:p>
                  <w:pPr>
                    <w:autoSpaceDE w:val="0"/>
                    <w:autoSpaceDN w:val="0"/>
                    <w:adjustRightInd w:val="0"/>
                    <w:rPr>
                      <w:rFonts w:ascii="宋体" w:hAnsi="宋体"/>
                      <w:kern w:val="0"/>
                      <w:szCs w:val="21"/>
                    </w:rPr>
                  </w:pPr>
                  <w:r>
                    <w:rPr>
                      <w:rFonts w:hint="eastAsia" w:ascii="宋体" w:hAnsi="宋体"/>
                      <w:kern w:val="0"/>
                      <w:szCs w:val="21"/>
                    </w:rPr>
                    <w:t>氮化炉</w:t>
                  </w:r>
                </w:p>
              </w:tc>
              <w:tc>
                <w:tcPr>
                  <w:tcW w:w="1883" w:type="dxa"/>
                </w:tcPr>
                <w:p>
                  <w:pPr>
                    <w:autoSpaceDE w:val="0"/>
                    <w:autoSpaceDN w:val="0"/>
                    <w:adjustRightInd w:val="0"/>
                    <w:rPr>
                      <w:rFonts w:ascii="宋体" w:hAnsi="宋体"/>
                      <w:kern w:val="0"/>
                      <w:szCs w:val="21"/>
                    </w:rPr>
                  </w:pPr>
                  <w:r>
                    <w:rPr>
                      <w:rFonts w:hint="eastAsia" w:ascii="宋体" w:hAnsi="宋体"/>
                      <w:kern w:val="0"/>
                      <w:szCs w:val="21"/>
                    </w:rPr>
                    <w:t>泄漏</w:t>
                  </w:r>
                </w:p>
              </w:tc>
              <w:tc>
                <w:tcPr>
                  <w:tcW w:w="3418" w:type="dxa"/>
                </w:tcPr>
                <w:p>
                  <w:pPr>
                    <w:autoSpaceDE w:val="0"/>
                    <w:autoSpaceDN w:val="0"/>
                    <w:adjustRightInd w:val="0"/>
                    <w:rPr>
                      <w:rFonts w:ascii="宋体" w:hAnsi="宋体"/>
                      <w:kern w:val="0"/>
                      <w:szCs w:val="21"/>
                    </w:rPr>
                  </w:pPr>
                  <w:r>
                    <w:rPr>
                      <w:rFonts w:hint="eastAsia" w:ascii="宋体" w:hAnsi="宋体"/>
                      <w:kern w:val="0"/>
                      <w:szCs w:val="21"/>
                    </w:rPr>
                    <w:t>N</w:t>
                  </w:r>
                  <w:r>
                    <w:rPr>
                      <w:rFonts w:ascii="宋体" w:hAnsi="宋体"/>
                      <w:kern w:val="0"/>
                      <w:szCs w:val="21"/>
                    </w:rPr>
                    <w:t>aCN</w:t>
                  </w:r>
                  <w:r>
                    <w:rPr>
                      <w:rFonts w:hint="eastAsia" w:ascii="宋体" w:hAnsi="宋体"/>
                      <w:kern w:val="0"/>
                      <w:szCs w:val="21"/>
                    </w:rPr>
                    <w:t>、</w:t>
                  </w:r>
                  <w:r>
                    <w:rPr>
                      <w:rFonts w:ascii="宋体" w:hAnsi="宋体"/>
                      <w:kern w:val="0"/>
                      <w:szCs w:val="21"/>
                    </w:rPr>
                    <w:t>KCN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3" w:type="dxa"/>
                  <w:vMerge w:val="continue"/>
                </w:tcPr>
                <w:p>
                  <w:pPr>
                    <w:autoSpaceDE w:val="0"/>
                    <w:autoSpaceDN w:val="0"/>
                    <w:adjustRightInd w:val="0"/>
                    <w:rPr>
                      <w:rFonts w:ascii="宋体" w:hAnsi="宋体"/>
                      <w:kern w:val="0"/>
                      <w:szCs w:val="21"/>
                    </w:rPr>
                  </w:pPr>
                </w:p>
              </w:tc>
              <w:tc>
                <w:tcPr>
                  <w:tcW w:w="1883" w:type="dxa"/>
                  <w:vMerge w:val="continue"/>
                </w:tcPr>
                <w:p>
                  <w:pPr>
                    <w:autoSpaceDE w:val="0"/>
                    <w:autoSpaceDN w:val="0"/>
                    <w:adjustRightInd w:val="0"/>
                    <w:rPr>
                      <w:rFonts w:ascii="宋体" w:hAnsi="宋体"/>
                      <w:kern w:val="0"/>
                      <w:szCs w:val="21"/>
                    </w:rPr>
                  </w:pPr>
                </w:p>
              </w:tc>
              <w:tc>
                <w:tcPr>
                  <w:tcW w:w="1883" w:type="dxa"/>
                </w:tcPr>
                <w:p>
                  <w:pPr>
                    <w:autoSpaceDE w:val="0"/>
                    <w:autoSpaceDN w:val="0"/>
                    <w:adjustRightInd w:val="0"/>
                    <w:rPr>
                      <w:rFonts w:ascii="宋体" w:hAnsi="宋体"/>
                      <w:kern w:val="0"/>
                      <w:szCs w:val="21"/>
                    </w:rPr>
                  </w:pPr>
                  <w:r>
                    <w:rPr>
                      <w:rFonts w:hint="eastAsia" w:ascii="宋体" w:hAnsi="宋体"/>
                      <w:kern w:val="0"/>
                      <w:szCs w:val="21"/>
                    </w:rPr>
                    <w:t>泄漏</w:t>
                  </w:r>
                </w:p>
              </w:tc>
              <w:tc>
                <w:tcPr>
                  <w:tcW w:w="3418" w:type="dxa"/>
                </w:tcPr>
                <w:p>
                  <w:pPr>
                    <w:autoSpaceDE w:val="0"/>
                    <w:autoSpaceDN w:val="0"/>
                    <w:adjustRightInd w:val="0"/>
                    <w:rPr>
                      <w:rFonts w:ascii="宋体" w:hAnsi="宋体"/>
                      <w:kern w:val="0"/>
                      <w:szCs w:val="21"/>
                    </w:rPr>
                  </w:pPr>
                  <w:r>
                    <w:rPr>
                      <w:rFonts w:hint="eastAsia" w:ascii="宋体" w:hAnsi="宋体"/>
                      <w:kern w:val="0"/>
                      <w:szCs w:val="21"/>
                    </w:rPr>
                    <w:t>氨气、C</w:t>
                  </w:r>
                  <w:r>
                    <w:rPr>
                      <w:rFonts w:ascii="宋体" w:hAnsi="宋体"/>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3" w:type="dxa"/>
                </w:tcPr>
                <w:p>
                  <w:pPr>
                    <w:autoSpaceDE w:val="0"/>
                    <w:autoSpaceDN w:val="0"/>
                    <w:adjustRightInd w:val="0"/>
                    <w:rPr>
                      <w:rFonts w:ascii="宋体" w:hAnsi="宋体"/>
                      <w:kern w:val="0"/>
                      <w:szCs w:val="21"/>
                    </w:rPr>
                  </w:pPr>
                  <w:r>
                    <w:rPr>
                      <w:rFonts w:ascii="宋体" w:hAnsi="宋体"/>
                      <w:kern w:val="0"/>
                      <w:szCs w:val="21"/>
                    </w:rPr>
                    <w:t>环保设备</w:t>
                  </w:r>
                </w:p>
              </w:tc>
              <w:tc>
                <w:tcPr>
                  <w:tcW w:w="1883" w:type="dxa"/>
                </w:tcPr>
                <w:p>
                  <w:pPr>
                    <w:autoSpaceDE w:val="0"/>
                    <w:autoSpaceDN w:val="0"/>
                    <w:adjustRightInd w:val="0"/>
                    <w:rPr>
                      <w:rFonts w:ascii="宋体" w:hAnsi="宋体"/>
                      <w:kern w:val="0"/>
                      <w:szCs w:val="21"/>
                    </w:rPr>
                  </w:pPr>
                  <w:r>
                    <w:rPr>
                      <w:rFonts w:hint="eastAsia" w:ascii="宋体" w:hAnsi="宋体"/>
                      <w:kern w:val="0"/>
                      <w:szCs w:val="21"/>
                    </w:rPr>
                    <w:t>废气处理装置</w:t>
                  </w:r>
                </w:p>
              </w:tc>
              <w:tc>
                <w:tcPr>
                  <w:tcW w:w="1883" w:type="dxa"/>
                </w:tcPr>
                <w:p>
                  <w:pPr>
                    <w:autoSpaceDE w:val="0"/>
                    <w:autoSpaceDN w:val="0"/>
                    <w:adjustRightInd w:val="0"/>
                    <w:rPr>
                      <w:rFonts w:ascii="宋体" w:hAnsi="宋体"/>
                      <w:kern w:val="0"/>
                      <w:szCs w:val="21"/>
                    </w:rPr>
                  </w:pPr>
                  <w:r>
                    <w:rPr>
                      <w:rFonts w:hint="eastAsia" w:ascii="宋体" w:hAnsi="宋体"/>
                      <w:kern w:val="0"/>
                      <w:szCs w:val="21"/>
                    </w:rPr>
                    <w:t>运行故障</w:t>
                  </w:r>
                </w:p>
              </w:tc>
              <w:tc>
                <w:tcPr>
                  <w:tcW w:w="3418" w:type="dxa"/>
                </w:tcPr>
                <w:p>
                  <w:pPr>
                    <w:autoSpaceDE w:val="0"/>
                    <w:autoSpaceDN w:val="0"/>
                    <w:adjustRightInd w:val="0"/>
                    <w:rPr>
                      <w:rFonts w:ascii="宋体" w:hAnsi="宋体"/>
                      <w:kern w:val="0"/>
                      <w:szCs w:val="21"/>
                    </w:rPr>
                  </w:pPr>
                  <w:r>
                    <w:rPr>
                      <w:rFonts w:hint="eastAsia" w:ascii="宋体" w:hAnsi="宋体"/>
                      <w:kern w:val="0"/>
                      <w:szCs w:val="21"/>
                    </w:rPr>
                    <w:t>氨气</w:t>
                  </w:r>
                </w:p>
              </w:tc>
            </w:tr>
          </w:tbl>
          <w:p>
            <w:pPr>
              <w:spacing w:line="360" w:lineRule="auto"/>
              <w:ind w:firstLine="482" w:firstLineChars="200"/>
              <w:rPr>
                <w:rFonts w:ascii="宋体" w:hAnsi="宋体"/>
                <w:b/>
                <w:sz w:val="24"/>
              </w:rPr>
            </w:pPr>
            <w:r>
              <w:rPr>
                <w:rFonts w:hint="eastAsia" w:ascii="宋体" w:hAnsi="宋体"/>
                <w:b/>
                <w:sz w:val="24"/>
              </w:rPr>
              <w:t>4）环境风险分析</w:t>
            </w:r>
          </w:p>
          <w:p>
            <w:pPr>
              <w:spacing w:line="360" w:lineRule="auto"/>
              <w:ind w:firstLine="480" w:firstLineChars="200"/>
              <w:rPr>
                <w:rFonts w:ascii="宋体" w:hAnsi="宋体"/>
                <w:sz w:val="24"/>
              </w:rPr>
            </w:pPr>
            <w:r>
              <w:rPr>
                <w:rFonts w:ascii="宋体" w:hAnsi="宋体"/>
                <w:sz w:val="24"/>
              </w:rPr>
              <w:t>生产过程中若废气处理设施故障</w:t>
            </w:r>
            <w:r>
              <w:rPr>
                <w:rFonts w:hint="eastAsia" w:ascii="宋体" w:hAnsi="宋体"/>
                <w:sz w:val="24"/>
              </w:rPr>
              <w:t>，</w:t>
            </w:r>
            <w:r>
              <w:rPr>
                <w:rFonts w:ascii="宋体" w:hAnsi="宋体"/>
                <w:sz w:val="24"/>
              </w:rPr>
              <w:t>如</w:t>
            </w:r>
            <w:r>
              <w:rPr>
                <w:rFonts w:hint="eastAsia" w:ascii="宋体" w:hAnsi="宋体"/>
                <w:sz w:val="24"/>
              </w:rPr>
              <w:t>机泵、</w:t>
            </w:r>
            <w:r>
              <w:rPr>
                <w:rFonts w:ascii="宋体" w:hAnsi="宋体"/>
                <w:sz w:val="24"/>
              </w:rPr>
              <w:t>阀门</w:t>
            </w:r>
            <w:r>
              <w:rPr>
                <w:rFonts w:hint="eastAsia" w:ascii="宋体" w:hAnsi="宋体"/>
                <w:sz w:val="24"/>
              </w:rPr>
              <w:t>、</w:t>
            </w:r>
            <w:r>
              <w:rPr>
                <w:rFonts w:ascii="宋体" w:hAnsi="宋体"/>
                <w:sz w:val="24"/>
              </w:rPr>
              <w:t>电气等在运行中发生故障</w:t>
            </w:r>
            <w:r>
              <w:rPr>
                <w:rFonts w:hint="eastAsia" w:ascii="宋体" w:hAnsi="宋体"/>
                <w:sz w:val="24"/>
              </w:rPr>
              <w:t>，</w:t>
            </w:r>
            <w:r>
              <w:rPr>
                <w:rFonts w:ascii="宋体" w:hAnsi="宋体"/>
                <w:sz w:val="24"/>
              </w:rPr>
              <w:t>导致本项目产生废气未处理或处理浓度不达标就排放</w:t>
            </w:r>
            <w:r>
              <w:rPr>
                <w:rFonts w:hint="eastAsia" w:ascii="宋体" w:hAnsi="宋体"/>
                <w:sz w:val="24"/>
              </w:rPr>
              <w:t>，</w:t>
            </w:r>
            <w:r>
              <w:rPr>
                <w:rFonts w:ascii="宋体" w:hAnsi="宋体"/>
                <w:sz w:val="24"/>
              </w:rPr>
              <w:t>导致污染物无法得到有效治理而对周边环境造成影响</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厂房的负压</w:t>
            </w:r>
            <w:r>
              <w:rPr>
                <w:rFonts w:hint="eastAsia" w:ascii="宋体" w:hAnsi="宋体"/>
                <w:sz w:val="24"/>
              </w:rPr>
              <w:t>收集</w:t>
            </w:r>
            <w:r>
              <w:rPr>
                <w:rFonts w:ascii="宋体" w:hAnsi="宋体"/>
                <w:sz w:val="24"/>
              </w:rPr>
              <w:t>系统发生故障</w:t>
            </w:r>
            <w:r>
              <w:rPr>
                <w:rFonts w:hint="eastAsia" w:ascii="宋体" w:hAnsi="宋体"/>
                <w:sz w:val="24"/>
              </w:rPr>
              <w:t>，</w:t>
            </w:r>
            <w:r>
              <w:rPr>
                <w:rFonts w:ascii="宋体" w:hAnsi="宋体"/>
                <w:sz w:val="24"/>
              </w:rPr>
              <w:t>导致恶臭等气体无组织方式排入大气</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含氨废气收集或处理设备如管道法兰连接处发生泄漏</w:t>
            </w:r>
            <w:r>
              <w:rPr>
                <w:rFonts w:hint="eastAsia" w:ascii="宋体" w:hAnsi="宋体"/>
                <w:sz w:val="24"/>
              </w:rPr>
              <w:t>，</w:t>
            </w:r>
            <w:r>
              <w:rPr>
                <w:rFonts w:ascii="宋体" w:hAnsi="宋体"/>
                <w:sz w:val="24"/>
              </w:rPr>
              <w:t>导致氨气泄漏</w:t>
            </w:r>
            <w:r>
              <w:rPr>
                <w:rFonts w:hint="eastAsia" w:ascii="宋体" w:hAnsi="宋体"/>
                <w:sz w:val="24"/>
              </w:rPr>
              <w:t>，</w:t>
            </w:r>
            <w:r>
              <w:rPr>
                <w:rFonts w:ascii="宋体" w:hAnsi="宋体"/>
                <w:sz w:val="24"/>
              </w:rPr>
              <w:t>若泄漏时遇点火源则会发生火灾或爆炸事故</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原辅料堆放不规范，管理混乱，出现原辅料的乱堆乱放，若流入水体会对当地水体造成影响。</w:t>
            </w:r>
          </w:p>
          <w:p>
            <w:pPr>
              <w:spacing w:line="360" w:lineRule="auto"/>
              <w:ind w:firstLine="480" w:firstLineChars="200"/>
              <w:rPr>
                <w:rFonts w:ascii="宋体" w:hAnsi="宋体"/>
                <w:sz w:val="24"/>
              </w:rPr>
            </w:pPr>
            <w:r>
              <w:rPr>
                <w:rFonts w:ascii="宋体" w:hAnsi="宋体"/>
                <w:sz w:val="24"/>
              </w:rPr>
              <w:t>检修废油暂存期间出现容器破裂</w:t>
            </w:r>
            <w:r>
              <w:rPr>
                <w:rFonts w:hint="eastAsia" w:ascii="宋体" w:hAnsi="宋体"/>
                <w:sz w:val="24"/>
              </w:rPr>
              <w:t>，</w:t>
            </w:r>
            <w:r>
              <w:rPr>
                <w:rFonts w:ascii="宋体" w:hAnsi="宋体"/>
                <w:sz w:val="24"/>
              </w:rPr>
              <w:t>导致检修废油泄漏对地下水环境造成影响</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清洗废水收集设施出现泄漏</w:t>
            </w:r>
            <w:r>
              <w:rPr>
                <w:rFonts w:hint="eastAsia" w:ascii="宋体" w:hAnsi="宋体"/>
                <w:sz w:val="24"/>
              </w:rPr>
              <w:t>，</w:t>
            </w:r>
            <w:r>
              <w:rPr>
                <w:rFonts w:ascii="宋体" w:hAnsi="宋体"/>
                <w:sz w:val="24"/>
              </w:rPr>
              <w:t>对地下水环境造成影响</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5）环境风险防范措施及应急要求</w:t>
            </w:r>
          </w:p>
          <w:p>
            <w:pPr>
              <w:spacing w:line="360" w:lineRule="auto"/>
              <w:ind w:firstLine="480" w:firstLineChars="200"/>
              <w:rPr>
                <w:rFonts w:ascii="宋体" w:hAnsi="宋体"/>
                <w:sz w:val="24"/>
              </w:rPr>
            </w:pPr>
            <w:r>
              <w:rPr>
                <w:rFonts w:hint="eastAsia" w:ascii="宋体" w:hAnsi="宋体"/>
                <w:sz w:val="24"/>
              </w:rPr>
              <w:t>（1）原辅料储存</w:t>
            </w:r>
          </w:p>
          <w:p>
            <w:pPr>
              <w:spacing w:line="360" w:lineRule="auto"/>
              <w:ind w:firstLine="480" w:firstLineChars="200"/>
              <w:rPr>
                <w:rFonts w:ascii="宋体" w:hAnsi="宋体"/>
                <w:sz w:val="24"/>
              </w:rPr>
            </w:pPr>
            <w:r>
              <w:rPr>
                <w:rFonts w:hint="eastAsia" w:ascii="宋体" w:hAnsi="宋体"/>
                <w:sz w:val="24"/>
              </w:rPr>
              <w:t>原辅料应实行分类分区存放，对氧化盐存放区进行重点防渗处理；</w:t>
            </w:r>
          </w:p>
          <w:p>
            <w:pPr>
              <w:spacing w:line="360" w:lineRule="auto"/>
              <w:ind w:firstLine="480" w:firstLineChars="200"/>
              <w:rPr>
                <w:rFonts w:ascii="宋体" w:hAnsi="宋体"/>
                <w:sz w:val="24"/>
              </w:rPr>
            </w:pPr>
            <w:r>
              <w:rPr>
                <w:rFonts w:hint="eastAsia" w:ascii="宋体" w:hAnsi="宋体"/>
                <w:sz w:val="24"/>
              </w:rPr>
              <w:t>氢氧化钠的储存应注意：储存于阴凉、干燥、通风良好的库房。远离火种、热源。库内湿度最好不大于85％。包装必须密封，切勿受潮。应与易（可）燃物、酸类等分开存放，切忌混储。</w:t>
            </w:r>
          </w:p>
          <w:p>
            <w:pPr>
              <w:spacing w:line="360" w:lineRule="auto"/>
              <w:ind w:firstLine="480" w:firstLineChars="200"/>
              <w:rPr>
                <w:rFonts w:ascii="宋体" w:hAnsi="宋体"/>
                <w:sz w:val="24"/>
              </w:rPr>
            </w:pPr>
            <w:r>
              <w:rPr>
                <w:rFonts w:ascii="宋体" w:hAnsi="宋体"/>
                <w:sz w:val="24"/>
              </w:rPr>
              <w:t>亚硝酸钠储存应注意</w:t>
            </w:r>
            <w:r>
              <w:rPr>
                <w:rFonts w:hint="eastAsia" w:ascii="宋体" w:hAnsi="宋体"/>
                <w:sz w:val="24"/>
              </w:rPr>
              <w:t>：储存于阴凉、通风的库房。远离火种、热源。库温不超过30℃，相对湿度不超过80％。包装要求密封，不可与空气接触。应与还原剂、活性金属粉末、酸类、食用化学品分开存放，切忌混储。</w:t>
            </w:r>
          </w:p>
          <w:p>
            <w:pPr>
              <w:spacing w:line="360" w:lineRule="auto"/>
              <w:ind w:firstLine="480" w:firstLineChars="200"/>
              <w:rPr>
                <w:rFonts w:ascii="宋体" w:hAnsi="宋体"/>
                <w:sz w:val="24"/>
              </w:rPr>
            </w:pPr>
            <w:r>
              <w:rPr>
                <w:rFonts w:hint="eastAsia" w:ascii="宋体" w:hAnsi="宋体"/>
                <w:sz w:val="24"/>
              </w:rPr>
              <w:t>（2）项目废气处理设施应严格按照相关要求进行设计、施工，运营过程中应定期巡检，并及时进行维护保养，减少设备故障率。一旦发现设备故障应及时维修。</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经废气处理系统处理的废气，必须满足《大气污染物综合排放标准》以及《恶臭污染物排放标准》中的标准要求才允许外排。如果一旦发生处理后排放气体不达标的情况，马上停止生产，以限制处理系统的进气，知道处理后排气满足排放标准的要求。</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rPr>
              <w:t>项目污染物防治措施如</w:t>
            </w:r>
            <w:r>
              <w:rPr>
                <w:rFonts w:hint="eastAsia" w:ascii="宋体" w:hAnsi="宋体"/>
                <w:sz w:val="24"/>
              </w:rPr>
              <w:t>废气、</w:t>
            </w:r>
            <w:r>
              <w:rPr>
                <w:rFonts w:ascii="宋体" w:hAnsi="宋体"/>
                <w:sz w:val="24"/>
              </w:rPr>
              <w:t>废水处理设施应设置备用电源</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本项目主要分为重点防渗、一般防渗。重点防渗区域包括工件氮化氧化工序所在的氮化氧化区、五级清洗所在清洗区、水喷淋塔所在的喷淋区、固体盐回收系统所在的固体盐回收区、危废暂存间、自动清洗线所在的自动清洗区、原辅料（氮化盐、调整盐、氧化盐）存放区域等，其余区域为一般防渗，具体分区情况见分区防渗图。</w:t>
            </w:r>
          </w:p>
          <w:p>
            <w:pPr>
              <w:pStyle w:val="21"/>
              <w:ind w:firstLine="480"/>
            </w:pPr>
            <w:r>
              <w:rPr>
                <w:rFonts w:hint="eastAsia" w:ascii="宋体" w:hAnsi="宋体"/>
              </w:rPr>
              <w:t>（6）危险废物暂存：</w:t>
            </w:r>
            <w:r>
              <w:t>厂区</w:t>
            </w:r>
            <w:r>
              <w:rPr>
                <w:rFonts w:hint="eastAsia"/>
              </w:rPr>
              <w:t>内</w:t>
            </w:r>
            <w:r>
              <w:t>设置危废专用贮存场所，并设置专用的容器进行存贮。禁止不相容的危险废物在同一容器中混装，应单独设置专用容器进行储存</w:t>
            </w:r>
            <w:r>
              <w:rPr>
                <w:rFonts w:hint="eastAsia"/>
              </w:rPr>
              <w:t>，且设置围堰</w:t>
            </w:r>
            <w:r>
              <w:t>。对贮存场所和容器贴标签注明，且应用醒目的字迹和颜色表示，设置专人对危废进行管理，严禁进入周围环境。建立危险废物转运台账</w:t>
            </w:r>
          </w:p>
          <w:p>
            <w:pPr>
              <w:pStyle w:val="21"/>
              <w:ind w:firstLine="480"/>
            </w:pPr>
            <w:r>
              <w:rPr>
                <w:rFonts w:hint="eastAsia" w:ascii="宋体" w:hAnsi="宋体"/>
              </w:rPr>
              <w:t>（</w:t>
            </w:r>
            <w:r>
              <w:rPr>
                <w:rFonts w:ascii="宋体" w:hAnsi="宋体"/>
              </w:rPr>
              <w:t>7</w:t>
            </w:r>
            <w:r>
              <w:rPr>
                <w:rFonts w:hint="eastAsia" w:ascii="宋体" w:hAnsi="宋体"/>
              </w:rPr>
              <w:t>）本项目应设置清洗废水应急收集设施，一旦固体盐回收系统发生故障，至少能储存一天的清洗废水（1</w:t>
            </w:r>
            <w:r>
              <w:rPr>
                <w:rFonts w:ascii="宋体" w:hAnsi="宋体"/>
              </w:rPr>
              <w:t>.6</w:t>
            </w:r>
            <w:r>
              <w:rPr>
                <w:szCs w:val="21"/>
              </w:rPr>
              <w:t xml:space="preserve"> m</w:t>
            </w:r>
            <w:r>
              <w:rPr>
                <w:szCs w:val="21"/>
                <w:vertAlign w:val="superscript"/>
              </w:rPr>
              <w:t>3</w:t>
            </w:r>
            <w:r>
              <w:rPr>
                <w:szCs w:val="21"/>
              </w:rPr>
              <w:t>/d</w:t>
            </w:r>
            <w:r>
              <w:rPr>
                <w:rFonts w:hint="eastAsia" w:ascii="宋体" w:hAnsi="宋体"/>
              </w:rPr>
              <w:t>）。</w:t>
            </w:r>
          </w:p>
          <w:p>
            <w:pPr>
              <w:pStyle w:val="21"/>
              <w:ind w:firstLine="480"/>
            </w:pPr>
            <w:r>
              <w:rPr>
                <w:rFonts w:hint="eastAsia" w:ascii="宋体" w:hAnsi="宋体"/>
              </w:rPr>
              <w:t>（</w:t>
            </w:r>
            <w:r>
              <w:rPr>
                <w:rFonts w:ascii="宋体" w:hAnsi="宋体"/>
              </w:rPr>
              <w:t>8</w:t>
            </w:r>
            <w:r>
              <w:rPr>
                <w:rFonts w:hint="eastAsia" w:ascii="宋体" w:hAnsi="宋体"/>
              </w:rPr>
              <w:t>）</w:t>
            </w:r>
            <w:r>
              <w:t>项目严格执行本评价提出的防范措施以及按照国家《危险废物贮存污染控制标准》（GB18597-2001）相关标准对厂区产生的危废进行控制和管理，则厂区危废进入周围环境概率较小，不会对周围环境造成较大影响。</w:t>
            </w:r>
          </w:p>
          <w:p>
            <w:pPr>
              <w:pStyle w:val="21"/>
              <w:ind w:firstLine="480"/>
            </w:pPr>
            <w:r>
              <w:rPr>
                <w:rFonts w:hint="eastAsia" w:ascii="宋体" w:hAnsi="宋体"/>
              </w:rPr>
              <w:t>（</w:t>
            </w:r>
            <w:r>
              <w:rPr>
                <w:rFonts w:ascii="宋体" w:hAnsi="宋体"/>
              </w:rPr>
              <w:t>9</w:t>
            </w:r>
            <w:r>
              <w:rPr>
                <w:rFonts w:hint="eastAsia" w:ascii="宋体" w:hAnsi="宋体"/>
              </w:rPr>
              <w:t>）</w:t>
            </w:r>
            <w:r>
              <w:t>提高认识、完善制度、严格检查</w:t>
            </w:r>
          </w:p>
          <w:p>
            <w:pPr>
              <w:pStyle w:val="21"/>
              <w:ind w:firstLine="480"/>
            </w:pPr>
            <w:r>
              <w:t>企业领导应该提高对突发性事故的警觉和认识，做到警钟长鸣。建议企业建立安全与环保科，并有企业领导直接领导，全权负责。主要负责检查和监督全长的安全生产和环保设施的正常运转情况。对安全和环保应建立严格的防范措施，制定严格的管理规章制度，列出潜在危险的过程、设备等清单，严格执行设备检验和报废制度。</w:t>
            </w:r>
          </w:p>
          <w:p>
            <w:pPr>
              <w:pStyle w:val="21"/>
              <w:ind w:firstLine="480"/>
            </w:pPr>
            <w:r>
              <w:rPr>
                <w:rFonts w:hint="eastAsia" w:ascii="宋体" w:hAnsi="宋体"/>
              </w:rPr>
              <w:t>（1</w:t>
            </w:r>
            <w:r>
              <w:rPr>
                <w:rFonts w:ascii="宋体" w:hAnsi="宋体"/>
              </w:rPr>
              <w:t>0</w:t>
            </w:r>
            <w:r>
              <w:rPr>
                <w:rFonts w:hint="eastAsia" w:ascii="宋体" w:hAnsi="宋体"/>
              </w:rPr>
              <w:t>）</w:t>
            </w:r>
            <w:r>
              <w:t>加强劳动防护，保证职工人身安全</w:t>
            </w:r>
          </w:p>
          <w:p>
            <w:pPr>
              <w:pStyle w:val="21"/>
              <w:ind w:firstLine="480"/>
            </w:pPr>
            <w:r>
              <w:rPr>
                <w:rFonts w:hint="eastAsia"/>
              </w:rPr>
              <w:t>生产车间</w:t>
            </w:r>
            <w:r>
              <w:t>空气中浓度超标时</w:t>
            </w:r>
            <w:r>
              <w:rPr>
                <w:rFonts w:hint="eastAsia"/>
              </w:rPr>
              <w:t>，</w:t>
            </w:r>
            <w:r>
              <w:t>职工应佩戴过滤式防毒面具（平面罩），紧急事态抢救或撤离时戴正压式呼吸器。</w:t>
            </w:r>
          </w:p>
          <w:p>
            <w:pPr>
              <w:pStyle w:val="21"/>
              <w:ind w:firstLine="480"/>
            </w:pPr>
            <w:r>
              <w:t>另外，职工还可采取佩戴化学品眼镜，穿防毒物渗透工作服，戴耐油橡胶手套等劳动防护措施。</w:t>
            </w:r>
          </w:p>
          <w:p>
            <w:pPr>
              <w:pStyle w:val="21"/>
              <w:ind w:firstLine="480"/>
            </w:pPr>
            <w:r>
              <w:t>工作现场禁止吸烟，进食、饮水。工作前避免饮用酒精性饮料。工作后，淋浴更衣。进行就业前和定期体检。</w:t>
            </w:r>
          </w:p>
          <w:p>
            <w:pPr>
              <w:pStyle w:val="21"/>
              <w:ind w:firstLine="480"/>
            </w:pPr>
            <w:r>
              <w:rPr>
                <w:rFonts w:hint="eastAsia" w:ascii="宋体" w:hAnsi="宋体"/>
              </w:rPr>
              <w:t>（1</w:t>
            </w:r>
            <w:r>
              <w:rPr>
                <w:rFonts w:ascii="宋体" w:hAnsi="宋体"/>
              </w:rPr>
              <w:t>1</w:t>
            </w:r>
            <w:r>
              <w:rPr>
                <w:rFonts w:hint="eastAsia" w:ascii="宋体" w:hAnsi="宋体"/>
              </w:rPr>
              <w:t>）</w:t>
            </w:r>
            <w:r>
              <w:t>加强技术培训，提高职工安全环保意识</w:t>
            </w:r>
          </w:p>
          <w:p>
            <w:pPr>
              <w:pStyle w:val="21"/>
              <w:ind w:firstLine="480"/>
            </w:pPr>
            <w:r>
              <w:t>职工的安全生产环保意识不足，一定程度上会增加事故发生的概率，因此企业对生产操作工作必须进行上岗前专业技术培训和安装生产培训，严格管理，提高职工的安全环保意识。</w:t>
            </w:r>
          </w:p>
          <w:p>
            <w:pPr>
              <w:pStyle w:val="21"/>
              <w:ind w:firstLine="480"/>
            </w:pPr>
            <w:r>
              <w:rPr>
                <w:rFonts w:hint="eastAsia" w:ascii="宋体" w:hAnsi="宋体"/>
              </w:rPr>
              <w:t>（1</w:t>
            </w:r>
            <w:r>
              <w:rPr>
                <w:rFonts w:ascii="宋体" w:hAnsi="宋体"/>
              </w:rPr>
              <w:t>2</w:t>
            </w:r>
            <w:r>
              <w:rPr>
                <w:rFonts w:hint="eastAsia" w:ascii="宋体" w:hAnsi="宋体"/>
              </w:rPr>
              <w:t>）</w:t>
            </w:r>
            <w:r>
              <w:t>提高事故应急处理能力</w:t>
            </w:r>
          </w:p>
          <w:p>
            <w:pPr>
              <w:pStyle w:val="21"/>
              <w:ind w:firstLine="480"/>
            </w:pPr>
            <w:r>
              <w:t>企业对具有高危害设备设置保险措施，对危险车间可设置消防装置等必备设施，并辅以适当的通讯工具，定期进行安全环保宣传教育以及紧急事故模拟演习，提高事故应变能力。</w:t>
            </w:r>
          </w:p>
          <w:p>
            <w:pPr>
              <w:spacing w:line="360" w:lineRule="auto"/>
              <w:ind w:firstLine="480" w:firstLineChars="200"/>
              <w:rPr>
                <w:rFonts w:ascii="宋体" w:hAnsi="宋体"/>
                <w:sz w:val="24"/>
              </w:rPr>
            </w:pPr>
            <w:r>
              <w:rPr>
                <w:rFonts w:hint="eastAsia"/>
                <w:sz w:val="24"/>
              </w:rPr>
              <w:t>（1</w:t>
            </w:r>
            <w:r>
              <w:rPr>
                <w:sz w:val="24"/>
              </w:rPr>
              <w:t>3</w:t>
            </w:r>
            <w:r>
              <w:rPr>
                <w:rFonts w:hint="eastAsia"/>
                <w:sz w:val="24"/>
              </w:rPr>
              <w:t>）</w:t>
            </w:r>
            <w:r>
              <w:rPr>
                <w:rFonts w:hint="eastAsia" w:ascii="宋体" w:hAnsi="宋体"/>
                <w:sz w:val="24"/>
              </w:rPr>
              <w:t>应急预案</w:t>
            </w:r>
          </w:p>
          <w:p>
            <w:pPr>
              <w:spacing w:line="360" w:lineRule="auto"/>
              <w:ind w:firstLine="480" w:firstLineChars="200"/>
              <w:rPr>
                <w:rFonts w:ascii="宋体" w:hAnsi="宋体"/>
                <w:sz w:val="24"/>
              </w:rPr>
            </w:pPr>
            <w:r>
              <w:rPr>
                <w:rFonts w:hint="eastAsia" w:ascii="宋体" w:hAnsi="宋体"/>
                <w:sz w:val="24"/>
              </w:rPr>
              <w:t>为了预防突发性的自然灾害、操作失控、污染事故、危险品大量泄漏等重、特大事故的发生，确保国家财产和人民生命的安全，在突发性事故发生时，能迅速、准确地处理和控制事故扩大，把事故损失及危害降到最小程度，有效地应急救援行动是唯一可以抵御事故灾害蔓延和减缓灾害后果的有力措施。</w:t>
            </w:r>
          </w:p>
          <w:p>
            <w:pPr>
              <w:spacing w:line="360" w:lineRule="auto"/>
              <w:ind w:firstLine="480" w:firstLineChars="200"/>
              <w:rPr>
                <w:sz w:val="24"/>
              </w:rPr>
            </w:pPr>
            <w:r>
              <w:rPr>
                <w:rFonts w:hint="eastAsia" w:ascii="宋体" w:hAnsi="宋体"/>
                <w:sz w:val="24"/>
              </w:rPr>
              <w:t>一般应急预案应包括</w:t>
            </w:r>
            <w:r>
              <w:rPr>
                <w:rFonts w:hint="eastAsia"/>
                <w:sz w:val="24"/>
              </w:rPr>
              <w:t>以下内容，见下表：</w:t>
            </w:r>
          </w:p>
          <w:p>
            <w:pPr>
              <w:spacing w:line="360" w:lineRule="auto"/>
              <w:jc w:val="center"/>
              <w:rPr>
                <w:b/>
                <w:sz w:val="24"/>
              </w:rPr>
            </w:pPr>
            <w:r>
              <w:rPr>
                <w:rFonts w:hAnsi="宋体"/>
                <w:b/>
                <w:sz w:val="24"/>
              </w:rPr>
              <w:t>表</w:t>
            </w:r>
            <w:r>
              <w:rPr>
                <w:b/>
                <w:sz w:val="24"/>
              </w:rPr>
              <w:t xml:space="preserve">7-16 </w:t>
            </w:r>
            <w:r>
              <w:rPr>
                <w:rFonts w:hAnsi="宋体"/>
                <w:b/>
                <w:sz w:val="24"/>
              </w:rPr>
              <w:t>一般应急预案内容</w:t>
            </w:r>
          </w:p>
          <w:tbl>
            <w:tblPr>
              <w:tblStyle w:val="53"/>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988"/>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vAlign w:val="center"/>
                </w:tcPr>
                <w:p>
                  <w:pPr>
                    <w:jc w:val="center"/>
                    <w:rPr>
                      <w:rFonts w:ascii="宋体" w:hAnsi="宋体"/>
                      <w:szCs w:val="21"/>
                    </w:rPr>
                  </w:pPr>
                  <w:r>
                    <w:rPr>
                      <w:rFonts w:hint="eastAsia" w:ascii="宋体" w:hAnsi="宋体"/>
                      <w:szCs w:val="21"/>
                    </w:rPr>
                    <w:t>序号</w:t>
                  </w:r>
                </w:p>
              </w:tc>
              <w:tc>
                <w:tcPr>
                  <w:tcW w:w="2988" w:type="dxa"/>
                  <w:vAlign w:val="center"/>
                </w:tcPr>
                <w:p>
                  <w:pPr>
                    <w:jc w:val="center"/>
                    <w:rPr>
                      <w:rFonts w:ascii="宋体" w:hAnsi="宋体"/>
                      <w:szCs w:val="21"/>
                    </w:rPr>
                  </w:pPr>
                  <w:r>
                    <w:rPr>
                      <w:rFonts w:hint="eastAsia" w:ascii="宋体" w:hAnsi="宋体"/>
                      <w:szCs w:val="21"/>
                    </w:rPr>
                    <w:t>项目</w:t>
                  </w:r>
                </w:p>
              </w:tc>
              <w:tc>
                <w:tcPr>
                  <w:tcW w:w="5153" w:type="dxa"/>
                  <w:vAlign w:val="center"/>
                </w:tcPr>
                <w:p>
                  <w:pPr>
                    <w:jc w:val="center"/>
                    <w:rPr>
                      <w:rFonts w:ascii="宋体" w:hAnsi="宋体"/>
                      <w:szCs w:val="21"/>
                    </w:rPr>
                  </w:pPr>
                  <w:r>
                    <w:rPr>
                      <w:rFonts w:hint="eastAsia" w:ascii="宋体" w:hAnsi="宋体"/>
                      <w:szCs w:val="21"/>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vAlign w:val="center"/>
                </w:tcPr>
                <w:p>
                  <w:pPr>
                    <w:jc w:val="center"/>
                    <w:rPr>
                      <w:rFonts w:ascii="宋体" w:hAnsi="宋体"/>
                      <w:szCs w:val="21"/>
                    </w:rPr>
                  </w:pPr>
                  <w:r>
                    <w:rPr>
                      <w:rFonts w:hint="eastAsia" w:ascii="宋体" w:hAnsi="宋体"/>
                      <w:szCs w:val="21"/>
                    </w:rPr>
                    <w:t>1</w:t>
                  </w:r>
                </w:p>
              </w:tc>
              <w:tc>
                <w:tcPr>
                  <w:tcW w:w="2988" w:type="dxa"/>
                  <w:vAlign w:val="center"/>
                </w:tcPr>
                <w:p>
                  <w:pPr>
                    <w:jc w:val="center"/>
                    <w:rPr>
                      <w:rFonts w:ascii="宋体" w:hAnsi="宋体"/>
                      <w:szCs w:val="21"/>
                    </w:rPr>
                  </w:pPr>
                  <w:r>
                    <w:rPr>
                      <w:rFonts w:hint="eastAsia" w:ascii="宋体" w:hAnsi="宋体"/>
                      <w:szCs w:val="21"/>
                    </w:rPr>
                    <w:t>应急计划区</w:t>
                  </w:r>
                </w:p>
              </w:tc>
              <w:tc>
                <w:tcPr>
                  <w:tcW w:w="5153" w:type="dxa"/>
                  <w:vAlign w:val="center"/>
                </w:tcPr>
                <w:p>
                  <w:pPr>
                    <w:jc w:val="center"/>
                    <w:rPr>
                      <w:rFonts w:ascii="宋体" w:hAnsi="宋体"/>
                      <w:szCs w:val="21"/>
                    </w:rPr>
                  </w:pPr>
                  <w:r>
                    <w:rPr>
                      <w:rFonts w:hint="eastAsia" w:ascii="宋体" w:hAnsi="宋体"/>
                      <w:szCs w:val="21"/>
                    </w:rPr>
                    <w:t>危险目标：废气处理设施、环境保护目标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vAlign w:val="center"/>
                </w:tcPr>
                <w:p>
                  <w:pPr>
                    <w:jc w:val="center"/>
                    <w:rPr>
                      <w:rFonts w:ascii="宋体" w:hAnsi="宋体"/>
                      <w:szCs w:val="21"/>
                    </w:rPr>
                  </w:pPr>
                  <w:r>
                    <w:rPr>
                      <w:rFonts w:hint="eastAsia" w:ascii="宋体" w:hAnsi="宋体"/>
                      <w:szCs w:val="21"/>
                    </w:rPr>
                    <w:t>2</w:t>
                  </w:r>
                </w:p>
              </w:tc>
              <w:tc>
                <w:tcPr>
                  <w:tcW w:w="2988" w:type="dxa"/>
                  <w:vAlign w:val="center"/>
                </w:tcPr>
                <w:p>
                  <w:pPr>
                    <w:jc w:val="center"/>
                    <w:rPr>
                      <w:rFonts w:ascii="宋体" w:hAnsi="宋体"/>
                      <w:szCs w:val="21"/>
                    </w:rPr>
                  </w:pPr>
                  <w:r>
                    <w:rPr>
                      <w:rFonts w:hint="eastAsia" w:ascii="宋体" w:hAnsi="宋体"/>
                      <w:szCs w:val="21"/>
                    </w:rPr>
                    <w:t>应急组织机构、人员</w:t>
                  </w:r>
                </w:p>
              </w:tc>
              <w:tc>
                <w:tcPr>
                  <w:tcW w:w="5153" w:type="dxa"/>
                  <w:vAlign w:val="center"/>
                </w:tcPr>
                <w:p>
                  <w:pPr>
                    <w:jc w:val="center"/>
                    <w:rPr>
                      <w:rFonts w:ascii="宋体" w:hAnsi="宋体"/>
                      <w:szCs w:val="21"/>
                    </w:rPr>
                  </w:pPr>
                  <w:r>
                    <w:rPr>
                      <w:rFonts w:hint="eastAsia" w:ascii="宋体" w:hAnsi="宋体"/>
                      <w:szCs w:val="21"/>
                    </w:rPr>
                    <w:t>工厂、地区应急组织机构、人员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vAlign w:val="center"/>
                </w:tcPr>
                <w:p>
                  <w:pPr>
                    <w:jc w:val="center"/>
                    <w:rPr>
                      <w:rFonts w:ascii="宋体" w:hAnsi="宋体"/>
                      <w:szCs w:val="21"/>
                    </w:rPr>
                  </w:pPr>
                  <w:r>
                    <w:rPr>
                      <w:rFonts w:hint="eastAsia" w:ascii="宋体" w:hAnsi="宋体"/>
                      <w:szCs w:val="21"/>
                    </w:rPr>
                    <w:t>3</w:t>
                  </w:r>
                </w:p>
              </w:tc>
              <w:tc>
                <w:tcPr>
                  <w:tcW w:w="2988" w:type="dxa"/>
                  <w:vAlign w:val="center"/>
                </w:tcPr>
                <w:p>
                  <w:pPr>
                    <w:jc w:val="center"/>
                    <w:rPr>
                      <w:rFonts w:ascii="宋体" w:hAnsi="宋体"/>
                      <w:szCs w:val="21"/>
                    </w:rPr>
                  </w:pPr>
                  <w:r>
                    <w:rPr>
                      <w:rFonts w:hint="eastAsia" w:ascii="宋体" w:hAnsi="宋体"/>
                      <w:szCs w:val="21"/>
                    </w:rPr>
                    <w:t>预案分级响应条件</w:t>
                  </w:r>
                </w:p>
              </w:tc>
              <w:tc>
                <w:tcPr>
                  <w:tcW w:w="5153" w:type="dxa"/>
                  <w:vAlign w:val="center"/>
                </w:tcPr>
                <w:p>
                  <w:pPr>
                    <w:jc w:val="center"/>
                    <w:rPr>
                      <w:rFonts w:ascii="宋体" w:hAnsi="宋体"/>
                      <w:szCs w:val="21"/>
                    </w:rPr>
                  </w:pPr>
                  <w:r>
                    <w:rPr>
                      <w:rFonts w:hint="eastAsia" w:ascii="宋体" w:hAnsi="宋体"/>
                      <w:szCs w:val="21"/>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vAlign w:val="center"/>
                </w:tcPr>
                <w:p>
                  <w:pPr>
                    <w:jc w:val="center"/>
                    <w:rPr>
                      <w:rFonts w:ascii="宋体" w:hAnsi="宋体"/>
                      <w:szCs w:val="21"/>
                    </w:rPr>
                  </w:pPr>
                  <w:r>
                    <w:rPr>
                      <w:rFonts w:hint="eastAsia" w:ascii="宋体" w:hAnsi="宋体"/>
                      <w:szCs w:val="21"/>
                    </w:rPr>
                    <w:t>4</w:t>
                  </w:r>
                </w:p>
              </w:tc>
              <w:tc>
                <w:tcPr>
                  <w:tcW w:w="2988" w:type="dxa"/>
                  <w:vAlign w:val="center"/>
                </w:tcPr>
                <w:p>
                  <w:pPr>
                    <w:jc w:val="center"/>
                    <w:rPr>
                      <w:rFonts w:ascii="宋体" w:hAnsi="宋体"/>
                      <w:szCs w:val="21"/>
                    </w:rPr>
                  </w:pPr>
                  <w:r>
                    <w:rPr>
                      <w:rFonts w:hint="eastAsia" w:ascii="宋体" w:hAnsi="宋体"/>
                      <w:szCs w:val="21"/>
                    </w:rPr>
                    <w:t>应急救援保障</w:t>
                  </w:r>
                </w:p>
              </w:tc>
              <w:tc>
                <w:tcPr>
                  <w:tcW w:w="5153" w:type="dxa"/>
                  <w:vAlign w:val="center"/>
                </w:tcPr>
                <w:p>
                  <w:pPr>
                    <w:jc w:val="center"/>
                    <w:rPr>
                      <w:rFonts w:ascii="宋体" w:hAnsi="宋体"/>
                      <w:szCs w:val="21"/>
                    </w:rPr>
                  </w:pPr>
                  <w:r>
                    <w:rPr>
                      <w:rFonts w:hint="eastAsia" w:ascii="宋体" w:hAnsi="宋体"/>
                      <w:szCs w:val="21"/>
                    </w:rPr>
                    <w:t>应急设施，设备和器材等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vAlign w:val="center"/>
                </w:tcPr>
                <w:p>
                  <w:pPr>
                    <w:jc w:val="center"/>
                    <w:rPr>
                      <w:rFonts w:ascii="宋体" w:hAnsi="宋体"/>
                      <w:szCs w:val="21"/>
                    </w:rPr>
                  </w:pPr>
                  <w:r>
                    <w:rPr>
                      <w:rFonts w:hint="eastAsia" w:ascii="宋体" w:hAnsi="宋体"/>
                      <w:szCs w:val="21"/>
                    </w:rPr>
                    <w:t>5</w:t>
                  </w:r>
                </w:p>
              </w:tc>
              <w:tc>
                <w:tcPr>
                  <w:tcW w:w="2988" w:type="dxa"/>
                  <w:vAlign w:val="center"/>
                </w:tcPr>
                <w:p>
                  <w:pPr>
                    <w:jc w:val="center"/>
                    <w:rPr>
                      <w:rFonts w:ascii="宋体" w:hAnsi="宋体"/>
                      <w:szCs w:val="21"/>
                    </w:rPr>
                  </w:pPr>
                  <w:r>
                    <w:rPr>
                      <w:rFonts w:hint="eastAsia" w:ascii="宋体" w:hAnsi="宋体"/>
                      <w:szCs w:val="21"/>
                    </w:rPr>
                    <w:t>报警、通讯联络方式</w:t>
                  </w:r>
                </w:p>
              </w:tc>
              <w:tc>
                <w:tcPr>
                  <w:tcW w:w="5153" w:type="dxa"/>
                  <w:vAlign w:val="center"/>
                </w:tcPr>
                <w:p>
                  <w:pPr>
                    <w:jc w:val="center"/>
                    <w:rPr>
                      <w:rFonts w:ascii="宋体" w:hAnsi="宋体"/>
                      <w:szCs w:val="21"/>
                    </w:rPr>
                  </w:pPr>
                  <w:r>
                    <w:rPr>
                      <w:rFonts w:hint="eastAsia" w:ascii="宋体" w:hAnsi="宋体"/>
                      <w:szCs w:val="21"/>
                    </w:rPr>
                    <w:t>规定应急状态下的报警通讯方式、通知方式和交通保障、管制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vAlign w:val="center"/>
                </w:tcPr>
                <w:p>
                  <w:pPr>
                    <w:jc w:val="center"/>
                    <w:rPr>
                      <w:rFonts w:ascii="宋体" w:hAnsi="宋体"/>
                      <w:szCs w:val="21"/>
                    </w:rPr>
                  </w:pPr>
                  <w:r>
                    <w:rPr>
                      <w:rFonts w:hint="eastAsia" w:ascii="宋体" w:hAnsi="宋体"/>
                      <w:szCs w:val="21"/>
                    </w:rPr>
                    <w:t>6</w:t>
                  </w:r>
                </w:p>
              </w:tc>
              <w:tc>
                <w:tcPr>
                  <w:tcW w:w="2988" w:type="dxa"/>
                  <w:vAlign w:val="center"/>
                </w:tcPr>
                <w:p>
                  <w:pPr>
                    <w:jc w:val="center"/>
                    <w:rPr>
                      <w:rFonts w:ascii="宋体" w:hAnsi="宋体"/>
                      <w:szCs w:val="21"/>
                    </w:rPr>
                  </w:pPr>
                  <w:r>
                    <w:rPr>
                      <w:rFonts w:hint="eastAsia" w:ascii="宋体" w:hAnsi="宋体"/>
                      <w:szCs w:val="21"/>
                    </w:rPr>
                    <w:t>应急环境监测、抢险、救援及控制措施</w:t>
                  </w:r>
                </w:p>
              </w:tc>
              <w:tc>
                <w:tcPr>
                  <w:tcW w:w="5153" w:type="dxa"/>
                  <w:vAlign w:val="center"/>
                </w:tcPr>
                <w:p>
                  <w:pPr>
                    <w:jc w:val="center"/>
                    <w:rPr>
                      <w:rFonts w:ascii="宋体" w:hAnsi="宋体"/>
                      <w:szCs w:val="21"/>
                    </w:rPr>
                  </w:pPr>
                  <w:r>
                    <w:rPr>
                      <w:rFonts w:hint="eastAsia" w:ascii="宋体" w:hAnsi="宋体"/>
                      <w:szCs w:val="21"/>
                    </w:rPr>
                    <w:t>有专业队伍负责对事故现场进行侦察监测，对事故性质、参数与后果进行评估，为指挥部门提供决策依据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vAlign w:val="center"/>
                </w:tcPr>
                <w:p>
                  <w:pPr>
                    <w:jc w:val="center"/>
                    <w:rPr>
                      <w:rFonts w:ascii="宋体" w:hAnsi="宋体"/>
                      <w:szCs w:val="21"/>
                    </w:rPr>
                  </w:pPr>
                  <w:r>
                    <w:rPr>
                      <w:rFonts w:hint="eastAsia" w:ascii="宋体" w:hAnsi="宋体"/>
                      <w:szCs w:val="21"/>
                    </w:rPr>
                    <w:t>7</w:t>
                  </w:r>
                </w:p>
              </w:tc>
              <w:tc>
                <w:tcPr>
                  <w:tcW w:w="2988" w:type="dxa"/>
                  <w:vAlign w:val="center"/>
                </w:tcPr>
                <w:p>
                  <w:pPr>
                    <w:jc w:val="center"/>
                    <w:rPr>
                      <w:rFonts w:ascii="宋体" w:hAnsi="宋体"/>
                      <w:szCs w:val="21"/>
                    </w:rPr>
                  </w:pPr>
                  <w:r>
                    <w:rPr>
                      <w:rFonts w:hint="eastAsia" w:ascii="宋体" w:hAnsi="宋体"/>
                      <w:szCs w:val="21"/>
                    </w:rPr>
                    <w:t>应急检测、防护措施、清除泄漏措施和器材</w:t>
                  </w:r>
                </w:p>
              </w:tc>
              <w:tc>
                <w:tcPr>
                  <w:tcW w:w="5153" w:type="dxa"/>
                  <w:vAlign w:val="center"/>
                </w:tcPr>
                <w:p>
                  <w:pPr>
                    <w:jc w:val="center"/>
                    <w:rPr>
                      <w:rFonts w:ascii="宋体" w:hAnsi="宋体"/>
                      <w:szCs w:val="21"/>
                    </w:rPr>
                  </w:pPr>
                  <w:r>
                    <w:rPr>
                      <w:rFonts w:hint="eastAsia" w:ascii="宋体" w:hAnsi="宋体"/>
                      <w:szCs w:val="21"/>
                    </w:rPr>
                    <w:t>事故现场、邻近区域、控制防火区域、控制和清除污染措施及相应设备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vAlign w:val="center"/>
                </w:tcPr>
                <w:p>
                  <w:pPr>
                    <w:jc w:val="center"/>
                    <w:rPr>
                      <w:rFonts w:ascii="宋体" w:hAnsi="宋体"/>
                      <w:szCs w:val="21"/>
                    </w:rPr>
                  </w:pPr>
                  <w:r>
                    <w:rPr>
                      <w:rFonts w:hint="eastAsia" w:ascii="宋体" w:hAnsi="宋体"/>
                      <w:szCs w:val="21"/>
                    </w:rPr>
                    <w:t>8</w:t>
                  </w:r>
                </w:p>
              </w:tc>
              <w:tc>
                <w:tcPr>
                  <w:tcW w:w="2988" w:type="dxa"/>
                  <w:vAlign w:val="center"/>
                </w:tcPr>
                <w:p>
                  <w:pPr>
                    <w:jc w:val="center"/>
                    <w:rPr>
                      <w:rFonts w:ascii="宋体" w:hAnsi="宋体"/>
                      <w:szCs w:val="21"/>
                    </w:rPr>
                  </w:pPr>
                  <w:r>
                    <w:rPr>
                      <w:rFonts w:hint="eastAsia" w:ascii="宋体" w:hAnsi="宋体"/>
                      <w:szCs w:val="21"/>
                    </w:rPr>
                    <w:t>人员紧急撤离、疏散，应急剂量控制、撤离组织计划</w:t>
                  </w:r>
                </w:p>
              </w:tc>
              <w:tc>
                <w:tcPr>
                  <w:tcW w:w="5153" w:type="dxa"/>
                  <w:vAlign w:val="center"/>
                </w:tcPr>
                <w:p>
                  <w:pPr>
                    <w:jc w:val="center"/>
                    <w:rPr>
                      <w:rFonts w:ascii="宋体" w:hAnsi="宋体"/>
                      <w:szCs w:val="21"/>
                    </w:rPr>
                  </w:pPr>
                  <w:r>
                    <w:rPr>
                      <w:rFonts w:hint="eastAsia" w:ascii="宋体" w:hAnsi="宋体"/>
                      <w:szCs w:val="21"/>
                    </w:rPr>
                    <w:t>事故现场、工厂邻近区、受事故影响的区域人员及公众对毒物应急剂量控制规定，撤离组织计划和救护、医疗救护与公众健康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vAlign w:val="center"/>
                </w:tcPr>
                <w:p>
                  <w:pPr>
                    <w:jc w:val="center"/>
                    <w:rPr>
                      <w:rFonts w:ascii="宋体" w:hAnsi="宋体"/>
                      <w:szCs w:val="21"/>
                    </w:rPr>
                  </w:pPr>
                  <w:r>
                    <w:rPr>
                      <w:rFonts w:hint="eastAsia" w:ascii="宋体" w:hAnsi="宋体"/>
                      <w:szCs w:val="21"/>
                    </w:rPr>
                    <w:t>9</w:t>
                  </w:r>
                </w:p>
              </w:tc>
              <w:tc>
                <w:tcPr>
                  <w:tcW w:w="2988" w:type="dxa"/>
                  <w:vAlign w:val="center"/>
                </w:tcPr>
                <w:p>
                  <w:pPr>
                    <w:jc w:val="center"/>
                    <w:rPr>
                      <w:rFonts w:ascii="宋体" w:hAnsi="宋体"/>
                      <w:szCs w:val="21"/>
                    </w:rPr>
                  </w:pPr>
                  <w:r>
                    <w:rPr>
                      <w:rFonts w:hint="eastAsia" w:ascii="宋体" w:hAnsi="宋体"/>
                      <w:szCs w:val="21"/>
                    </w:rPr>
                    <w:t>事故应急救援关闭程序与恢复措施</w:t>
                  </w:r>
                </w:p>
              </w:tc>
              <w:tc>
                <w:tcPr>
                  <w:tcW w:w="5153" w:type="dxa"/>
                  <w:vAlign w:val="center"/>
                </w:tcPr>
                <w:p>
                  <w:pPr>
                    <w:jc w:val="center"/>
                    <w:rPr>
                      <w:rFonts w:ascii="宋体" w:hAnsi="宋体"/>
                      <w:szCs w:val="21"/>
                    </w:rPr>
                  </w:pPr>
                  <w:r>
                    <w:rPr>
                      <w:rFonts w:hint="eastAsia" w:ascii="宋体" w:hAnsi="宋体"/>
                      <w:szCs w:val="21"/>
                    </w:rPr>
                    <w:t>规定应急状态终止程序</w:t>
                  </w:r>
                </w:p>
                <w:p>
                  <w:pPr>
                    <w:jc w:val="center"/>
                    <w:rPr>
                      <w:rFonts w:ascii="宋体" w:hAnsi="宋体"/>
                      <w:szCs w:val="21"/>
                    </w:rPr>
                  </w:pPr>
                  <w:r>
                    <w:rPr>
                      <w:rFonts w:hint="eastAsia" w:ascii="宋体" w:hAnsi="宋体"/>
                      <w:szCs w:val="21"/>
                    </w:rPr>
                    <w:t>事故现场善后处理，恢复措施</w:t>
                  </w:r>
                </w:p>
                <w:p>
                  <w:pPr>
                    <w:jc w:val="center"/>
                    <w:rPr>
                      <w:rFonts w:ascii="宋体" w:hAnsi="宋体"/>
                      <w:szCs w:val="21"/>
                    </w:rPr>
                  </w:pPr>
                  <w:r>
                    <w:rPr>
                      <w:rFonts w:hint="eastAsia" w:ascii="宋体" w:hAnsi="宋体"/>
                      <w:szCs w:val="21"/>
                    </w:rPr>
                    <w:t>邻近区域解除事故警戒及善后恢复措施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vAlign w:val="center"/>
                </w:tcPr>
                <w:p>
                  <w:pPr>
                    <w:jc w:val="center"/>
                    <w:rPr>
                      <w:rFonts w:ascii="宋体" w:hAnsi="宋体"/>
                      <w:szCs w:val="21"/>
                    </w:rPr>
                  </w:pPr>
                  <w:r>
                    <w:rPr>
                      <w:rFonts w:hint="eastAsia" w:ascii="宋体" w:hAnsi="宋体"/>
                      <w:szCs w:val="21"/>
                    </w:rPr>
                    <w:t>10</w:t>
                  </w:r>
                </w:p>
              </w:tc>
              <w:tc>
                <w:tcPr>
                  <w:tcW w:w="2988" w:type="dxa"/>
                  <w:vAlign w:val="center"/>
                </w:tcPr>
                <w:p>
                  <w:pPr>
                    <w:jc w:val="center"/>
                    <w:rPr>
                      <w:rFonts w:ascii="宋体" w:hAnsi="宋体"/>
                      <w:szCs w:val="21"/>
                    </w:rPr>
                  </w:pPr>
                  <w:r>
                    <w:rPr>
                      <w:rFonts w:hint="eastAsia" w:ascii="宋体" w:hAnsi="宋体"/>
                      <w:szCs w:val="21"/>
                    </w:rPr>
                    <w:t>应急培训计划</w:t>
                  </w:r>
                </w:p>
              </w:tc>
              <w:tc>
                <w:tcPr>
                  <w:tcW w:w="5153" w:type="dxa"/>
                  <w:vAlign w:val="center"/>
                </w:tcPr>
                <w:p>
                  <w:pPr>
                    <w:jc w:val="center"/>
                    <w:rPr>
                      <w:rFonts w:ascii="宋体" w:hAnsi="宋体"/>
                      <w:szCs w:val="21"/>
                    </w:rPr>
                  </w:pPr>
                  <w:r>
                    <w:rPr>
                      <w:rFonts w:hint="eastAsia" w:ascii="宋体" w:hAnsi="宋体"/>
                      <w:szCs w:val="21"/>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vAlign w:val="center"/>
                </w:tcPr>
                <w:p>
                  <w:pPr>
                    <w:jc w:val="center"/>
                    <w:rPr>
                      <w:rFonts w:ascii="宋体" w:hAnsi="宋体"/>
                      <w:szCs w:val="21"/>
                    </w:rPr>
                  </w:pPr>
                  <w:r>
                    <w:rPr>
                      <w:rFonts w:hint="eastAsia" w:ascii="宋体" w:hAnsi="宋体"/>
                      <w:szCs w:val="21"/>
                    </w:rPr>
                    <w:t>11</w:t>
                  </w:r>
                </w:p>
              </w:tc>
              <w:tc>
                <w:tcPr>
                  <w:tcW w:w="2988" w:type="dxa"/>
                  <w:vAlign w:val="center"/>
                </w:tcPr>
                <w:p>
                  <w:pPr>
                    <w:jc w:val="center"/>
                    <w:rPr>
                      <w:rFonts w:ascii="宋体" w:hAnsi="宋体"/>
                      <w:szCs w:val="21"/>
                    </w:rPr>
                  </w:pPr>
                  <w:r>
                    <w:rPr>
                      <w:rFonts w:hint="eastAsia" w:ascii="宋体" w:hAnsi="宋体"/>
                      <w:szCs w:val="21"/>
                    </w:rPr>
                    <w:t>公共教育和信息</w:t>
                  </w:r>
                </w:p>
              </w:tc>
              <w:tc>
                <w:tcPr>
                  <w:tcW w:w="5153" w:type="dxa"/>
                  <w:vAlign w:val="center"/>
                </w:tcPr>
                <w:p>
                  <w:pPr>
                    <w:jc w:val="center"/>
                    <w:rPr>
                      <w:rFonts w:ascii="宋体" w:hAnsi="宋体"/>
                      <w:szCs w:val="21"/>
                    </w:rPr>
                  </w:pPr>
                  <w:r>
                    <w:rPr>
                      <w:rFonts w:hint="eastAsia" w:ascii="宋体" w:hAnsi="宋体"/>
                      <w:szCs w:val="21"/>
                    </w:rPr>
                    <w:t>对工厂邻近地区开展公众教育、培训和发布有关信息</w:t>
                  </w:r>
                </w:p>
              </w:tc>
            </w:tr>
          </w:tbl>
          <w:p>
            <w:pPr>
              <w:spacing w:line="360" w:lineRule="auto"/>
              <w:ind w:firstLine="570"/>
              <w:rPr>
                <w:rFonts w:ascii="宋体" w:hAnsi="宋体"/>
                <w:sz w:val="24"/>
              </w:rPr>
            </w:pPr>
            <w:r>
              <w:rPr>
                <w:rFonts w:hint="eastAsia" w:ascii="宋体" w:hAnsi="宋体"/>
                <w:sz w:val="24"/>
              </w:rPr>
              <w:t>6）分析结论</w:t>
            </w:r>
          </w:p>
          <w:p>
            <w:pPr>
              <w:spacing w:line="360" w:lineRule="auto"/>
              <w:ind w:firstLine="570"/>
              <w:rPr>
                <w:rFonts w:ascii="宋体" w:hAnsi="宋体"/>
                <w:sz w:val="24"/>
              </w:rPr>
            </w:pPr>
            <w:r>
              <w:rPr>
                <w:rFonts w:hint="eastAsia" w:ascii="宋体" w:hAnsi="宋体"/>
                <w:sz w:val="24"/>
              </w:rPr>
              <w:t>综上所述，项目运营过程中风险是存在的，但只要加强管理，建立健全相应的风险防范措施、应急措施，并在设计、施工、管理及运行中认真落实安全评估报告提出的措施和相关安全管理规定、环境风险评价中提出的措施和相关环保规定，在得到安监、环保管理部门许可后再运营，其上述风险事故隐患可防控。</w:t>
            </w:r>
          </w:p>
          <w:p>
            <w:pPr>
              <w:adjustRightInd w:val="0"/>
              <w:snapToGrid w:val="0"/>
              <w:spacing w:line="500" w:lineRule="exact"/>
              <w:jc w:val="center"/>
              <w:textAlignment w:val="center"/>
              <w:rPr>
                <w:b/>
                <w:sz w:val="24"/>
              </w:rPr>
            </w:pPr>
            <w:r>
              <w:rPr>
                <w:b/>
                <w:sz w:val="24"/>
              </w:rPr>
              <w:t>表</w:t>
            </w:r>
            <w:r>
              <w:rPr>
                <w:rFonts w:hint="eastAsia"/>
                <w:b/>
                <w:sz w:val="24"/>
              </w:rPr>
              <w:t>7</w:t>
            </w:r>
            <w:r>
              <w:rPr>
                <w:b/>
                <w:sz w:val="24"/>
              </w:rPr>
              <w:t>-17 建设项目环境风险分析内容表</w:t>
            </w:r>
          </w:p>
          <w:tbl>
            <w:tblPr>
              <w:tblStyle w:val="53"/>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00"/>
              <w:gridCol w:w="1368"/>
              <w:gridCol w:w="1276"/>
              <w:gridCol w:w="425"/>
              <w:gridCol w:w="425"/>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adjustRightInd w:val="0"/>
                    <w:snapToGrid w:val="0"/>
                    <w:textAlignment w:val="center"/>
                    <w:rPr>
                      <w:szCs w:val="21"/>
                    </w:rPr>
                  </w:pPr>
                  <w:r>
                    <w:rPr>
                      <w:rFonts w:hint="eastAsia"/>
                      <w:szCs w:val="21"/>
                    </w:rPr>
                    <w:t>建设项目名称</w:t>
                  </w:r>
                </w:p>
              </w:tc>
              <w:tc>
                <w:tcPr>
                  <w:tcW w:w="7321" w:type="dxa"/>
                  <w:gridSpan w:val="6"/>
                </w:tcPr>
                <w:p>
                  <w:pPr>
                    <w:adjustRightInd w:val="0"/>
                    <w:snapToGrid w:val="0"/>
                    <w:textAlignment w:val="center"/>
                    <w:rPr>
                      <w:szCs w:val="21"/>
                    </w:rPr>
                  </w:pPr>
                  <w:r>
                    <w:rPr>
                      <w:rFonts w:hint="eastAsia"/>
                      <w:szCs w:val="21"/>
                    </w:rPr>
                    <w:t>提高铸铁锅表面防锈性能技术改造升级项目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adjustRightInd w:val="0"/>
                    <w:snapToGrid w:val="0"/>
                    <w:textAlignment w:val="center"/>
                    <w:rPr>
                      <w:szCs w:val="21"/>
                    </w:rPr>
                  </w:pPr>
                  <w:r>
                    <w:rPr>
                      <w:rFonts w:hint="eastAsia"/>
                      <w:szCs w:val="21"/>
                    </w:rPr>
                    <w:t>建设地点</w:t>
                  </w:r>
                </w:p>
              </w:tc>
              <w:tc>
                <w:tcPr>
                  <w:tcW w:w="900" w:type="dxa"/>
                </w:tcPr>
                <w:p>
                  <w:pPr>
                    <w:adjustRightInd w:val="0"/>
                    <w:snapToGrid w:val="0"/>
                    <w:textAlignment w:val="center"/>
                    <w:rPr>
                      <w:szCs w:val="21"/>
                    </w:rPr>
                  </w:pPr>
                  <w:r>
                    <w:rPr>
                      <w:rFonts w:hint="eastAsia"/>
                      <w:szCs w:val="21"/>
                    </w:rPr>
                    <w:t>四川省</w:t>
                  </w:r>
                </w:p>
              </w:tc>
              <w:tc>
                <w:tcPr>
                  <w:tcW w:w="1368" w:type="dxa"/>
                </w:tcPr>
                <w:p>
                  <w:pPr>
                    <w:adjustRightInd w:val="0"/>
                    <w:snapToGrid w:val="0"/>
                    <w:textAlignment w:val="center"/>
                    <w:rPr>
                      <w:szCs w:val="21"/>
                    </w:rPr>
                  </w:pPr>
                  <w:r>
                    <w:rPr>
                      <w:rFonts w:hint="eastAsia"/>
                      <w:szCs w:val="21"/>
                    </w:rPr>
                    <w:t>乐山市</w:t>
                  </w:r>
                </w:p>
              </w:tc>
              <w:tc>
                <w:tcPr>
                  <w:tcW w:w="1276" w:type="dxa"/>
                </w:tcPr>
                <w:p>
                  <w:pPr>
                    <w:adjustRightInd w:val="0"/>
                    <w:snapToGrid w:val="0"/>
                    <w:textAlignment w:val="center"/>
                    <w:rPr>
                      <w:szCs w:val="21"/>
                    </w:rPr>
                  </w:pPr>
                  <w:r>
                    <w:rPr>
                      <w:rFonts w:hint="eastAsia"/>
                      <w:szCs w:val="21"/>
                    </w:rPr>
                    <w:t>市中区</w:t>
                  </w:r>
                </w:p>
              </w:tc>
              <w:tc>
                <w:tcPr>
                  <w:tcW w:w="850" w:type="dxa"/>
                  <w:gridSpan w:val="2"/>
                </w:tcPr>
                <w:p>
                  <w:pPr>
                    <w:adjustRightInd w:val="0"/>
                    <w:snapToGrid w:val="0"/>
                    <w:textAlignment w:val="center"/>
                    <w:rPr>
                      <w:szCs w:val="21"/>
                    </w:rPr>
                  </w:pPr>
                  <w:r>
                    <w:rPr>
                      <w:rFonts w:hint="eastAsia"/>
                      <w:szCs w:val="21"/>
                    </w:rPr>
                    <w:t>/</w:t>
                  </w:r>
                </w:p>
              </w:tc>
              <w:tc>
                <w:tcPr>
                  <w:tcW w:w="2927" w:type="dxa"/>
                </w:tcPr>
                <w:p>
                  <w:pPr>
                    <w:adjustRightInd w:val="0"/>
                    <w:snapToGrid w:val="0"/>
                    <w:textAlignment w:val="center"/>
                    <w:rPr>
                      <w:szCs w:val="21"/>
                    </w:rPr>
                  </w:pPr>
                  <w:r>
                    <w:rPr>
                      <w:rFonts w:hint="eastAsia"/>
                      <w:szCs w:val="21"/>
                    </w:rPr>
                    <w:t>乐山市市中区工业集中区水口-罗汉工业园区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adjustRightInd w:val="0"/>
                    <w:snapToGrid w:val="0"/>
                    <w:textAlignment w:val="center"/>
                    <w:rPr>
                      <w:szCs w:val="21"/>
                    </w:rPr>
                  </w:pPr>
                  <w:r>
                    <w:rPr>
                      <w:rFonts w:hint="eastAsia"/>
                      <w:szCs w:val="21"/>
                    </w:rPr>
                    <w:t>地理坐标</w:t>
                  </w:r>
                </w:p>
              </w:tc>
              <w:tc>
                <w:tcPr>
                  <w:tcW w:w="900" w:type="dxa"/>
                </w:tcPr>
                <w:p>
                  <w:pPr>
                    <w:adjustRightInd w:val="0"/>
                    <w:snapToGrid w:val="0"/>
                    <w:textAlignment w:val="center"/>
                    <w:rPr>
                      <w:szCs w:val="21"/>
                    </w:rPr>
                  </w:pPr>
                  <w:r>
                    <w:rPr>
                      <w:szCs w:val="21"/>
                    </w:rPr>
                    <w:t>经度</w:t>
                  </w:r>
                </w:p>
              </w:tc>
              <w:tc>
                <w:tcPr>
                  <w:tcW w:w="1368" w:type="dxa"/>
                </w:tcPr>
                <w:p>
                  <w:pPr>
                    <w:adjustRightInd w:val="0"/>
                    <w:snapToGrid w:val="0"/>
                    <w:textAlignment w:val="center"/>
                    <w:rPr>
                      <w:szCs w:val="21"/>
                    </w:rPr>
                  </w:pPr>
                  <w:r>
                    <w:rPr>
                      <w:rFonts w:hint="eastAsia" w:ascii="宋体" w:hAnsi="宋体"/>
                      <w:szCs w:val="21"/>
                    </w:rPr>
                    <w:t>103.</w:t>
                  </w:r>
                  <w:r>
                    <w:rPr>
                      <w:rFonts w:ascii="宋体" w:hAnsi="宋体"/>
                      <w:szCs w:val="21"/>
                    </w:rPr>
                    <w:t>7215</w:t>
                  </w:r>
                  <w:r>
                    <w:rPr>
                      <w:rFonts w:hint="eastAsia" w:ascii="宋体" w:hAnsi="宋体"/>
                      <w:szCs w:val="21"/>
                    </w:rPr>
                    <w:t>°</w:t>
                  </w:r>
                </w:p>
              </w:tc>
              <w:tc>
                <w:tcPr>
                  <w:tcW w:w="1701" w:type="dxa"/>
                  <w:gridSpan w:val="2"/>
                </w:tcPr>
                <w:p>
                  <w:pPr>
                    <w:adjustRightInd w:val="0"/>
                    <w:snapToGrid w:val="0"/>
                    <w:textAlignment w:val="center"/>
                    <w:rPr>
                      <w:szCs w:val="21"/>
                    </w:rPr>
                  </w:pPr>
                  <w:r>
                    <w:rPr>
                      <w:rFonts w:hint="eastAsia"/>
                      <w:szCs w:val="21"/>
                    </w:rPr>
                    <w:t>纬度</w:t>
                  </w:r>
                </w:p>
              </w:tc>
              <w:tc>
                <w:tcPr>
                  <w:tcW w:w="3352" w:type="dxa"/>
                  <w:gridSpan w:val="2"/>
                </w:tcPr>
                <w:p>
                  <w:pPr>
                    <w:adjustRightInd w:val="0"/>
                    <w:snapToGrid w:val="0"/>
                    <w:textAlignment w:val="center"/>
                    <w:rPr>
                      <w:szCs w:val="21"/>
                    </w:rPr>
                  </w:pPr>
                  <w:r>
                    <w:rPr>
                      <w:rFonts w:hint="eastAsia" w:ascii="宋体" w:hAnsi="宋体"/>
                      <w:szCs w:val="21"/>
                    </w:rPr>
                    <w:t>29.</w:t>
                  </w:r>
                  <w:r>
                    <w:rPr>
                      <w:rFonts w:ascii="宋体" w:hAnsi="宋体"/>
                      <w:szCs w:val="21"/>
                    </w:rPr>
                    <w:t>6183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adjustRightInd w:val="0"/>
                    <w:snapToGrid w:val="0"/>
                    <w:textAlignment w:val="center"/>
                    <w:rPr>
                      <w:szCs w:val="21"/>
                    </w:rPr>
                  </w:pPr>
                  <w:r>
                    <w:rPr>
                      <w:rFonts w:hint="eastAsia"/>
                      <w:szCs w:val="21"/>
                    </w:rPr>
                    <w:t>主要危险物质及分布</w:t>
                  </w:r>
                </w:p>
              </w:tc>
              <w:tc>
                <w:tcPr>
                  <w:tcW w:w="7321" w:type="dxa"/>
                  <w:gridSpan w:val="6"/>
                </w:tcPr>
                <w:p>
                  <w:pPr>
                    <w:adjustRightInd w:val="0"/>
                    <w:snapToGrid w:val="0"/>
                    <w:textAlignment w:val="center"/>
                    <w:rPr>
                      <w:szCs w:val="21"/>
                    </w:rPr>
                  </w:pPr>
                  <w:r>
                    <w:rPr>
                      <w:rFonts w:hint="eastAsia"/>
                      <w:szCs w:val="21"/>
                    </w:rPr>
                    <w:t>主要危险物质为氰化钠、氰化钾、氰酸钾、氨气、一氧化碳，主要分布在生产区及废气处理设备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adjustRightInd w:val="0"/>
                    <w:snapToGrid w:val="0"/>
                    <w:textAlignment w:val="center"/>
                    <w:rPr>
                      <w:szCs w:val="21"/>
                    </w:rPr>
                  </w:pPr>
                  <w:r>
                    <w:rPr>
                      <w:rFonts w:hint="eastAsia"/>
                      <w:szCs w:val="21"/>
                    </w:rPr>
                    <w:t>环境影响途径及危害后果</w:t>
                  </w:r>
                </w:p>
              </w:tc>
              <w:tc>
                <w:tcPr>
                  <w:tcW w:w="7321" w:type="dxa"/>
                  <w:gridSpan w:val="6"/>
                </w:tcPr>
                <w:p>
                  <w:pPr>
                    <w:adjustRightInd w:val="0"/>
                    <w:snapToGrid w:val="0"/>
                    <w:textAlignment w:val="center"/>
                    <w:rPr>
                      <w:szCs w:val="21"/>
                    </w:rPr>
                  </w:pPr>
                  <w:r>
                    <w:rPr>
                      <w:rFonts w:hint="eastAsia"/>
                      <w:szCs w:val="21"/>
                    </w:rPr>
                    <w:t>废气处理设备故障，造成含氨废气泄漏或不达标排放；含氨废气泄漏遇点火源造成火灾爆炸。检修废油泄漏对地下水造成影响。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adjustRightInd w:val="0"/>
                    <w:snapToGrid w:val="0"/>
                    <w:textAlignment w:val="center"/>
                    <w:rPr>
                      <w:szCs w:val="21"/>
                    </w:rPr>
                  </w:pPr>
                  <w:r>
                    <w:rPr>
                      <w:rFonts w:hint="eastAsia"/>
                      <w:szCs w:val="21"/>
                    </w:rPr>
                    <w:t>风险防范措施等</w:t>
                  </w:r>
                </w:p>
              </w:tc>
              <w:tc>
                <w:tcPr>
                  <w:tcW w:w="7321" w:type="dxa"/>
                  <w:gridSpan w:val="6"/>
                </w:tcPr>
                <w:p>
                  <w:pPr>
                    <w:adjustRightInd w:val="0"/>
                    <w:snapToGrid w:val="0"/>
                    <w:textAlignment w:val="center"/>
                    <w:rPr>
                      <w:szCs w:val="21"/>
                    </w:rPr>
                  </w:pPr>
                  <w:r>
                    <w:rPr>
                      <w:rFonts w:hint="eastAsia"/>
                      <w:szCs w:val="21"/>
                    </w:rPr>
                    <w:t>设置备用电源；对污染物治理措施定期进行维护保养；设置独立的危废暂存间并进行重点防渗处理，设置围堰；配备消防设施。对库房、厂房进行分区防渗。原辅料分类分区存放。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adjustRightInd w:val="0"/>
                    <w:snapToGrid w:val="0"/>
                    <w:textAlignment w:val="center"/>
                    <w:rPr>
                      <w:szCs w:val="21"/>
                    </w:rPr>
                  </w:pPr>
                  <w:r>
                    <w:rPr>
                      <w:rFonts w:hint="eastAsia"/>
                      <w:szCs w:val="21"/>
                    </w:rPr>
                    <w:t>填表说明</w:t>
                  </w:r>
                </w:p>
              </w:tc>
              <w:tc>
                <w:tcPr>
                  <w:tcW w:w="7321" w:type="dxa"/>
                  <w:gridSpan w:val="6"/>
                </w:tcPr>
                <w:p>
                  <w:pPr>
                    <w:adjustRightInd w:val="0"/>
                    <w:snapToGrid w:val="0"/>
                    <w:textAlignment w:val="center"/>
                    <w:rPr>
                      <w:szCs w:val="21"/>
                    </w:rPr>
                  </w:pPr>
                  <w:r>
                    <w:rPr>
                      <w:szCs w:val="21"/>
                    </w:rPr>
                    <w:t>乐山豪森锅具有限公司</w:t>
                  </w:r>
                  <w:r>
                    <w:rPr>
                      <w:rFonts w:hint="eastAsia"/>
                      <w:szCs w:val="21"/>
                    </w:rPr>
                    <w:t>“提高铸铁锅表面防锈性能技术改造升级项目”项目的建设内容为</w:t>
                  </w:r>
                  <w:r>
                    <w:rPr>
                      <w:szCs w:val="21"/>
                    </w:rPr>
                    <w:t>在现有场地内</w:t>
                  </w:r>
                  <w:r>
                    <w:rPr>
                      <w:rFonts w:hint="eastAsia"/>
                      <w:szCs w:val="21"/>
                    </w:rPr>
                    <w:t>，</w:t>
                  </w:r>
                  <w:r>
                    <w:rPr>
                      <w:szCs w:val="21"/>
                    </w:rPr>
                    <w:t>拟建年处理</w:t>
                  </w:r>
                  <w:r>
                    <w:rPr>
                      <w:rFonts w:hint="eastAsia"/>
                      <w:szCs w:val="21"/>
                    </w:rPr>
                    <w:t>2</w:t>
                  </w:r>
                  <w:r>
                    <w:rPr>
                      <w:szCs w:val="21"/>
                    </w:rPr>
                    <w:t>00万口铸铁锅表面防锈生产线一条</w:t>
                  </w:r>
                  <w:r>
                    <w:rPr>
                      <w:rFonts w:hint="eastAsia"/>
                      <w:szCs w:val="21"/>
                    </w:rPr>
                    <w:t>。</w:t>
                  </w:r>
                </w:p>
              </w:tc>
            </w:tr>
          </w:tbl>
          <w:p>
            <w:pPr>
              <w:spacing w:line="360" w:lineRule="auto"/>
              <w:rPr>
                <w:rFonts w:ascii="宋体" w:hAnsi="宋体" w:cs="宋体"/>
                <w:b/>
                <w:sz w:val="24"/>
              </w:rPr>
            </w:pPr>
            <w:r>
              <w:rPr>
                <w:rFonts w:hint="eastAsia" w:ascii="宋体" w:hAnsi="宋体" w:cs="宋体"/>
                <w:b/>
                <w:sz w:val="24"/>
              </w:rPr>
              <w:t>6、环境管理与监测计划</w:t>
            </w:r>
          </w:p>
          <w:p>
            <w:pPr>
              <w:spacing w:line="360" w:lineRule="auto"/>
              <w:ind w:firstLine="236" w:firstLineChars="98"/>
              <w:outlineLvl w:val="1"/>
              <w:rPr>
                <w:rFonts w:ascii="宋体" w:hAnsi="宋体" w:cs="宋体"/>
                <w:b/>
                <w:sz w:val="24"/>
              </w:rPr>
            </w:pPr>
            <w:bookmarkStart w:id="15" w:name="_Toc483491339"/>
            <w:r>
              <w:rPr>
                <w:rFonts w:hint="eastAsia" w:ascii="宋体" w:hAnsi="宋体" w:cs="宋体"/>
                <w:b/>
                <w:sz w:val="24"/>
              </w:rPr>
              <w:t>（1）环境管理</w:t>
            </w:r>
            <w:bookmarkEnd w:id="15"/>
          </w:p>
          <w:p>
            <w:pPr>
              <w:spacing w:line="360" w:lineRule="auto"/>
              <w:ind w:firstLine="480" w:firstLineChars="200"/>
              <w:rPr>
                <w:rFonts w:ascii="宋体" w:hAnsi="宋体" w:cs="宋体"/>
                <w:sz w:val="24"/>
              </w:rPr>
            </w:pPr>
            <w:r>
              <w:rPr>
                <w:rFonts w:hint="eastAsia" w:ascii="宋体" w:hAnsi="宋体" w:cs="宋体"/>
                <w:sz w:val="24"/>
              </w:rPr>
              <w:t>环境管理是企业管理中的重要组成部分，加大环境监督、管理力度，是实现环境效益、社会效益、经济效益协调发展和坚持走可持续发展道路的重要措施。因此制定严格的环境管理和环境监测计划，确保建设项目在工程施工和运行期间各项环保治理措施能得到认真落实，做到最大限度地减少污染。</w:t>
            </w:r>
          </w:p>
          <w:p>
            <w:pPr>
              <w:spacing w:line="360" w:lineRule="auto"/>
              <w:ind w:firstLine="354" w:firstLineChars="147"/>
              <w:rPr>
                <w:rFonts w:ascii="宋体" w:hAnsi="宋体" w:cs="宋体"/>
                <w:b/>
                <w:sz w:val="24"/>
              </w:rPr>
            </w:pPr>
            <w:r>
              <w:rPr>
                <w:rFonts w:hint="eastAsia" w:ascii="宋体" w:hAnsi="宋体" w:cs="宋体"/>
                <w:b/>
                <w:sz w:val="24"/>
              </w:rPr>
              <w:t>1）环境管理机构设置的目的</w:t>
            </w:r>
          </w:p>
          <w:p>
            <w:pPr>
              <w:tabs>
                <w:tab w:val="left" w:pos="360"/>
              </w:tabs>
              <w:spacing w:line="360" w:lineRule="auto"/>
              <w:ind w:firstLine="360" w:firstLineChars="150"/>
              <w:rPr>
                <w:rStyle w:val="340"/>
                <w:rFonts w:hint="eastAsia" w:cs="宋体"/>
              </w:rPr>
            </w:pPr>
            <w:r>
              <w:rPr>
                <w:rStyle w:val="340"/>
                <w:rFonts w:cs="宋体"/>
              </w:rPr>
              <w:t>环境管理机构的设置，是为了贯彻执行中华人民共和国环境保护法的有关法律、法规，全面落实《国务院关于环境保护若干问题的决定》的有关规定，对项目“三废”排放实行监控，确保建设项目经济、环境和社会效益协调发展；协调地方环保部门工作，为企业的生产管理和环境管理提供保证，针对本项目的具体情况，为加强严格管理，企业应设置环境管理机构，并尽相应的职责。</w:t>
            </w:r>
          </w:p>
          <w:p>
            <w:pPr>
              <w:spacing w:line="360" w:lineRule="auto"/>
              <w:ind w:firstLine="354" w:firstLineChars="147"/>
              <w:rPr>
                <w:rFonts w:ascii="宋体" w:hAnsi="宋体" w:cs="宋体"/>
                <w:b/>
                <w:sz w:val="24"/>
              </w:rPr>
            </w:pPr>
            <w:r>
              <w:rPr>
                <w:rFonts w:hint="eastAsia" w:ascii="宋体" w:hAnsi="宋体" w:cs="宋体"/>
                <w:b/>
                <w:sz w:val="24"/>
              </w:rPr>
              <w:t>2）环境管理机构的设置</w:t>
            </w:r>
          </w:p>
          <w:p>
            <w:pPr>
              <w:tabs>
                <w:tab w:val="left" w:pos="360"/>
              </w:tabs>
              <w:spacing w:line="360" w:lineRule="auto"/>
              <w:ind w:firstLine="360" w:firstLineChars="150"/>
              <w:rPr>
                <w:rFonts w:ascii="宋体" w:hAnsi="宋体" w:cs="宋体"/>
                <w:sz w:val="24"/>
              </w:rPr>
            </w:pPr>
            <w:r>
              <w:rPr>
                <w:rFonts w:hint="eastAsia" w:ascii="宋体" w:hAnsi="宋体" w:cs="宋体"/>
                <w:sz w:val="24"/>
              </w:rPr>
              <w:t>a、机构组成</w:t>
            </w:r>
          </w:p>
          <w:p>
            <w:pPr>
              <w:tabs>
                <w:tab w:val="left" w:pos="360"/>
              </w:tabs>
              <w:spacing w:line="360" w:lineRule="auto"/>
              <w:ind w:firstLine="360" w:firstLineChars="150"/>
              <w:rPr>
                <w:rFonts w:ascii="宋体" w:hAnsi="宋体" w:cs="宋体"/>
                <w:sz w:val="24"/>
              </w:rPr>
            </w:pPr>
            <w:r>
              <w:rPr>
                <w:rFonts w:hint="eastAsia" w:ascii="宋体" w:hAnsi="宋体" w:cs="宋体"/>
                <w:sz w:val="24"/>
              </w:rPr>
              <w:t>根据本工程的实际情况，在建设施工阶段，工程指挥部应设专人负责环境保护事宜。工程投入运营后，环境管理机构由后勤管理部门负责，下设环境管理小组对该项目环境管理和环境监控负责，并接受项目主管单位及环保局的监督指导。</w:t>
            </w:r>
          </w:p>
          <w:p>
            <w:pPr>
              <w:tabs>
                <w:tab w:val="left" w:pos="360"/>
              </w:tabs>
              <w:spacing w:line="360" w:lineRule="auto"/>
              <w:ind w:firstLine="360" w:firstLineChars="150"/>
              <w:rPr>
                <w:rFonts w:ascii="宋体" w:hAnsi="宋体" w:cs="宋体"/>
                <w:sz w:val="24"/>
              </w:rPr>
            </w:pPr>
            <w:r>
              <w:rPr>
                <w:rFonts w:hint="eastAsia" w:ascii="宋体" w:hAnsi="宋体" w:cs="宋体"/>
                <w:sz w:val="24"/>
              </w:rPr>
              <w:t>b、环保机构定员</w:t>
            </w:r>
          </w:p>
          <w:p>
            <w:pPr>
              <w:tabs>
                <w:tab w:val="left" w:pos="360"/>
              </w:tabs>
              <w:spacing w:line="360" w:lineRule="auto"/>
              <w:ind w:firstLine="360" w:firstLineChars="150"/>
              <w:rPr>
                <w:rStyle w:val="340"/>
                <w:rFonts w:hint="eastAsia" w:cs="宋体"/>
              </w:rPr>
            </w:pPr>
            <w:r>
              <w:rPr>
                <w:rFonts w:hint="eastAsia" w:ascii="宋体" w:hAnsi="宋体" w:cs="宋体"/>
                <w:sz w:val="24"/>
              </w:rPr>
              <w:t>运营期应在后勤管理部门下设专门的环保机构，并设专职的环保管理人员1名，垃圾处置人员1名。</w:t>
            </w:r>
          </w:p>
          <w:p>
            <w:pPr>
              <w:spacing w:line="360" w:lineRule="auto"/>
              <w:ind w:firstLine="472" w:firstLineChars="196"/>
              <w:rPr>
                <w:rFonts w:ascii="宋体" w:hAnsi="宋体" w:cs="宋体"/>
                <w:b/>
                <w:sz w:val="24"/>
              </w:rPr>
            </w:pPr>
            <w:r>
              <w:rPr>
                <w:rFonts w:hint="eastAsia" w:ascii="宋体" w:hAnsi="宋体" w:cs="宋体"/>
                <w:b/>
                <w:sz w:val="24"/>
              </w:rPr>
              <w:t>3)环境管理机构的职责</w:t>
            </w:r>
          </w:p>
          <w:p>
            <w:pPr>
              <w:spacing w:line="360" w:lineRule="auto"/>
              <w:ind w:firstLine="480"/>
              <w:rPr>
                <w:rFonts w:ascii="宋体" w:hAnsi="宋体" w:cs="宋体"/>
                <w:sz w:val="24"/>
              </w:rPr>
            </w:pPr>
            <w:r>
              <w:rPr>
                <w:rFonts w:hint="eastAsia" w:ascii="宋体" w:hAnsi="宋体" w:cs="宋体"/>
                <w:sz w:val="24"/>
              </w:rPr>
              <w:t>为加强企业的环境保护管理工作，发挥环保人员的作用，明确其环境管理的主要职责为：</w:t>
            </w:r>
          </w:p>
          <w:p>
            <w:pPr>
              <w:spacing w:line="360" w:lineRule="auto"/>
              <w:ind w:firstLine="480"/>
              <w:rPr>
                <w:rFonts w:ascii="宋体" w:hAnsi="宋体" w:cs="宋体"/>
                <w:sz w:val="24"/>
              </w:rPr>
            </w:pPr>
            <w:r>
              <w:rPr>
                <w:rFonts w:hint="eastAsia" w:ascii="宋体" w:hAnsi="宋体" w:cs="宋体"/>
                <w:sz w:val="24"/>
              </w:rPr>
              <w:t>a、及时了解国家与地方的环保法规，相关标准及环境监测要求，并贯彻执行国家、地方环境保护法规和标准。</w:t>
            </w:r>
          </w:p>
          <w:p>
            <w:pPr>
              <w:spacing w:line="360" w:lineRule="auto"/>
              <w:ind w:firstLine="480"/>
              <w:rPr>
                <w:rFonts w:ascii="宋体" w:hAnsi="宋体" w:cs="宋体"/>
                <w:sz w:val="24"/>
              </w:rPr>
            </w:pPr>
            <w:r>
              <w:rPr>
                <w:rFonts w:hint="eastAsia" w:ascii="宋体" w:hAnsi="宋体" w:cs="宋体"/>
                <w:sz w:val="24"/>
              </w:rPr>
              <w:t>b、制定明确的环境方针，包括对污染预防的承诺、对有关环境法律、法规及其应遵守的规定和承诺。</w:t>
            </w:r>
          </w:p>
          <w:p>
            <w:pPr>
              <w:spacing w:line="360" w:lineRule="auto"/>
              <w:ind w:firstLine="480"/>
              <w:rPr>
                <w:rFonts w:ascii="宋体" w:hAnsi="宋体" w:cs="宋体"/>
                <w:sz w:val="24"/>
              </w:rPr>
            </w:pPr>
            <w:r>
              <w:rPr>
                <w:rFonts w:hint="eastAsia" w:ascii="宋体" w:hAnsi="宋体" w:cs="宋体"/>
                <w:sz w:val="24"/>
              </w:rPr>
              <w:t>c、定期组织污染源调查，弄清污染状况，建立污染档案。并优化污染防治措施。按照上级环保部门的规范建立本企业有关“三废”排放量、排放浓度、噪声情况、固体废物综合利用、污染控制效果等情况的档案，并按有关规定编制各种报告与报表，负责向上级领导及环保部门呈报。</w:t>
            </w:r>
          </w:p>
          <w:p>
            <w:pPr>
              <w:spacing w:line="360" w:lineRule="auto"/>
              <w:ind w:firstLine="480"/>
              <w:rPr>
                <w:rFonts w:ascii="宋体" w:hAnsi="宋体" w:cs="宋体"/>
                <w:sz w:val="24"/>
              </w:rPr>
            </w:pPr>
            <w:r>
              <w:rPr>
                <w:rFonts w:hint="eastAsia" w:ascii="宋体" w:hAnsi="宋体" w:cs="宋体"/>
                <w:sz w:val="24"/>
              </w:rPr>
              <w:t>d、加强废水、废气、噪声等治理设施监督管理，确保项目废水不外排，废气达标排放，场界噪声达标。</w:t>
            </w:r>
          </w:p>
          <w:p>
            <w:pPr>
              <w:spacing w:line="360" w:lineRule="auto"/>
              <w:ind w:firstLine="480"/>
              <w:rPr>
                <w:rFonts w:ascii="宋体" w:hAnsi="宋体" w:cs="宋体"/>
                <w:sz w:val="24"/>
              </w:rPr>
            </w:pPr>
            <w:r>
              <w:rPr>
                <w:rFonts w:hint="eastAsia" w:ascii="宋体" w:hAnsi="宋体" w:cs="宋体"/>
                <w:sz w:val="24"/>
              </w:rPr>
              <w:t>e、搞好环境保护宣传和职工环境意识教育及技术培训等工作。</w:t>
            </w:r>
          </w:p>
          <w:p>
            <w:pPr>
              <w:spacing w:line="360" w:lineRule="auto"/>
              <w:ind w:firstLine="480"/>
              <w:rPr>
                <w:rFonts w:ascii="宋体" w:hAnsi="宋体" w:cs="宋体"/>
                <w:sz w:val="24"/>
              </w:rPr>
            </w:pPr>
            <w:r>
              <w:rPr>
                <w:rFonts w:hint="eastAsia" w:ascii="宋体" w:hAnsi="宋体" w:cs="宋体"/>
                <w:sz w:val="24"/>
              </w:rPr>
              <w:t>f、检查环境管理工作中的问题和不足，对发现的问题和不足，提出改进意见。协同当地环保部门处理与改扩建工程有关的环境问题，维护好公众的利益。</w:t>
            </w:r>
          </w:p>
          <w:p>
            <w:pPr>
              <w:spacing w:line="360" w:lineRule="auto"/>
              <w:ind w:firstLine="472" w:firstLineChars="196"/>
              <w:rPr>
                <w:rFonts w:ascii="宋体" w:hAnsi="宋体" w:cs="宋体"/>
                <w:b/>
                <w:sz w:val="24"/>
              </w:rPr>
            </w:pPr>
            <w:r>
              <w:rPr>
                <w:rFonts w:hint="eastAsia" w:ascii="宋体" w:hAnsi="宋体" w:cs="宋体"/>
                <w:b/>
                <w:sz w:val="24"/>
              </w:rPr>
              <w:t>4)营运期环境管理计划</w:t>
            </w:r>
          </w:p>
          <w:p>
            <w:pPr>
              <w:spacing w:line="360" w:lineRule="auto"/>
              <w:ind w:firstLine="480"/>
              <w:rPr>
                <w:rFonts w:ascii="宋体" w:hAnsi="宋体" w:cs="宋体"/>
                <w:sz w:val="24"/>
              </w:rPr>
            </w:pPr>
            <w:bookmarkStart w:id="16" w:name="_Toc472602714"/>
            <w:r>
              <w:rPr>
                <w:rFonts w:hint="eastAsia" w:ascii="宋体" w:hAnsi="宋体" w:cs="宋体"/>
                <w:sz w:val="24"/>
              </w:rPr>
              <w:t>项目运营期及复垦期的环境管理工作主要为：</w:t>
            </w:r>
          </w:p>
          <w:p>
            <w:pPr>
              <w:spacing w:line="360" w:lineRule="auto"/>
              <w:ind w:firstLine="480"/>
              <w:rPr>
                <w:rFonts w:ascii="宋体" w:hAnsi="宋体" w:cs="宋体"/>
                <w:sz w:val="24"/>
              </w:rPr>
            </w:pPr>
            <w:r>
              <w:rPr>
                <w:rFonts w:hint="eastAsia" w:ascii="宋体" w:hAnsi="宋体" w:cs="宋体"/>
                <w:sz w:val="24"/>
              </w:rPr>
              <w:t>a、制定项目的环境保护管理制度和明确的符合本项目特点的环境保护方针，承诺对污染问题预防的态度，并遵守执行国家、地方的有关法律法规。</w:t>
            </w:r>
          </w:p>
          <w:p>
            <w:pPr>
              <w:spacing w:line="360" w:lineRule="auto"/>
              <w:ind w:firstLine="480"/>
              <w:rPr>
                <w:rFonts w:ascii="宋体" w:hAnsi="宋体" w:cs="宋体"/>
                <w:sz w:val="24"/>
              </w:rPr>
            </w:pPr>
            <w:r>
              <w:rPr>
                <w:rFonts w:hint="eastAsia" w:ascii="宋体" w:hAnsi="宋体" w:cs="宋体"/>
                <w:sz w:val="24"/>
              </w:rPr>
              <w:t>b、根据制定的环境保护方针，确认环境保护目标。</w:t>
            </w:r>
          </w:p>
          <w:p>
            <w:pPr>
              <w:spacing w:line="360" w:lineRule="auto"/>
              <w:ind w:firstLine="480"/>
              <w:rPr>
                <w:rFonts w:ascii="宋体" w:hAnsi="宋体" w:cs="宋体"/>
                <w:sz w:val="24"/>
              </w:rPr>
            </w:pPr>
            <w:r>
              <w:rPr>
                <w:rFonts w:hint="eastAsia" w:ascii="宋体" w:hAnsi="宋体" w:cs="宋体"/>
                <w:sz w:val="24"/>
              </w:rPr>
              <w:t>c、建立健全的生产过程中污染源档案、环境保护设施的处理工艺流程和设备档案，切实掌握环保设施的运行状况，保证其安全正常运行，掌握其在运行过程中潜在的不利因素，及时提出改进措施和建议。</w:t>
            </w:r>
          </w:p>
          <w:p>
            <w:pPr>
              <w:spacing w:line="360" w:lineRule="auto"/>
              <w:ind w:firstLine="480"/>
              <w:rPr>
                <w:rFonts w:ascii="宋体" w:hAnsi="宋体" w:cs="宋体"/>
                <w:sz w:val="24"/>
              </w:rPr>
            </w:pPr>
            <w:r>
              <w:rPr>
                <w:rFonts w:hint="eastAsia" w:ascii="宋体" w:hAnsi="宋体" w:cs="宋体"/>
                <w:sz w:val="24"/>
              </w:rPr>
              <w:t>d、制定环境保护管理的规章制度，做好环境保护宣传工作，以及职工环境保护意识教育和技术培训等工作。环保负责人员应定期对环保设施进行检查和维护，保证高效、正常运行，并检查无组织尘源的抑尘措施是否确实得到实施。</w:t>
            </w:r>
          </w:p>
          <w:p>
            <w:pPr>
              <w:spacing w:line="360" w:lineRule="auto"/>
              <w:ind w:firstLine="480"/>
              <w:rPr>
                <w:rFonts w:ascii="宋体" w:hAnsi="宋体" w:cs="宋体"/>
                <w:sz w:val="24"/>
              </w:rPr>
            </w:pPr>
            <w:r>
              <w:rPr>
                <w:rFonts w:hint="eastAsia" w:ascii="宋体" w:hAnsi="宋体" w:cs="宋体"/>
                <w:sz w:val="24"/>
              </w:rPr>
              <w:t>e、为了掌握生产过程中的环保工作情况，了解管理体系中可能存在的问题，厂区应每年进行一次内部评审，检查环境保护管理工作的问题和不足，及时提出改进意见。</w:t>
            </w:r>
          </w:p>
          <w:p>
            <w:pPr>
              <w:spacing w:line="360" w:lineRule="auto"/>
              <w:ind w:firstLine="480"/>
              <w:rPr>
                <w:rFonts w:ascii="宋体" w:hAnsi="宋体" w:cs="宋体"/>
                <w:sz w:val="24"/>
              </w:rPr>
            </w:pPr>
            <w:r>
              <w:rPr>
                <w:rFonts w:hint="eastAsia" w:ascii="宋体" w:hAnsi="宋体" w:cs="宋体"/>
                <w:sz w:val="24"/>
              </w:rPr>
              <w:t>f、每月统计环境保护的有关数据报表，建立逐月环保状况档案，如污染物排放、环保设施运行状况的完整记录。按照公司环保管理和监测计划，配合环境监测部门对厂区内各污水、废气污染源进行监测。</w:t>
            </w:r>
          </w:p>
          <w:p>
            <w:pPr>
              <w:spacing w:line="360" w:lineRule="auto"/>
              <w:ind w:firstLine="354" w:firstLineChars="147"/>
              <w:outlineLvl w:val="1"/>
              <w:rPr>
                <w:rFonts w:ascii="宋体" w:hAnsi="宋体" w:cs="宋体"/>
                <w:b/>
                <w:sz w:val="24"/>
              </w:rPr>
            </w:pPr>
            <w:bookmarkStart w:id="17" w:name="_Toc483491340"/>
            <w:r>
              <w:rPr>
                <w:rFonts w:hint="eastAsia" w:ascii="宋体" w:hAnsi="宋体" w:cs="宋体"/>
                <w:b/>
                <w:sz w:val="24"/>
              </w:rPr>
              <w:t>(2)环境监测</w:t>
            </w:r>
            <w:bookmarkEnd w:id="16"/>
            <w:bookmarkEnd w:id="17"/>
          </w:p>
          <w:p>
            <w:pPr>
              <w:spacing w:line="360" w:lineRule="auto"/>
              <w:ind w:firstLine="480" w:firstLineChars="200"/>
              <w:rPr>
                <w:rFonts w:ascii="宋体" w:hAnsi="宋体" w:cs="宋体"/>
                <w:sz w:val="24"/>
              </w:rPr>
            </w:pPr>
            <w:r>
              <w:rPr>
                <w:rFonts w:hint="eastAsia" w:ascii="宋体" w:hAnsi="宋体" w:cs="宋体"/>
                <w:sz w:val="24"/>
              </w:rPr>
              <w:t>《中华人民共和国环境保护法》明确规定，环境影响评价应对建设项目“提出跟踪监测的方法和制度”。监测的目的在于检查污染源排放的有害物质是否符合国家现行的排放标准；评价污染物的净化、处理装置的性能和使用情况，污染防治措施的效益，为环境管理和评价提供科学依据。</w:t>
            </w:r>
          </w:p>
          <w:p>
            <w:pPr>
              <w:spacing w:line="360" w:lineRule="auto"/>
              <w:ind w:firstLine="480" w:firstLineChars="200"/>
              <w:rPr>
                <w:rFonts w:ascii="宋体" w:hAnsi="宋体" w:cs="宋体"/>
                <w:sz w:val="24"/>
              </w:rPr>
            </w:pPr>
            <w:r>
              <w:rPr>
                <w:rFonts w:hint="eastAsia" w:ascii="宋体" w:hAnsi="宋体" w:cs="宋体"/>
                <w:sz w:val="24"/>
              </w:rPr>
              <w:t>为检查落实国家和地方的各项环保法规、标准的执行情况，建议项目业本项目环境监测工作采用环保部门与企业自己监测相结合的方式。建设单位设置环保工作管理机构，并配备专(兼)职环保管理人员1</w:t>
            </w:r>
            <w:r>
              <w:rPr>
                <w:rFonts w:ascii="Calibri" w:hAnsi="Calibri" w:cs="宋体"/>
                <w:sz w:val="24"/>
              </w:rPr>
              <w:t>~</w:t>
            </w:r>
            <w:r>
              <w:rPr>
                <w:rFonts w:hint="eastAsia" w:ascii="宋体" w:hAnsi="宋体" w:cs="宋体"/>
                <w:sz w:val="24"/>
              </w:rPr>
              <w:t>2人，并按要求定期进行采样监测和协助当地环保管理部门及监测机构的例行监测工作。</w:t>
            </w:r>
          </w:p>
          <w:p>
            <w:pPr>
              <w:spacing w:line="360" w:lineRule="auto"/>
              <w:ind w:firstLine="472" w:firstLineChars="196"/>
              <w:rPr>
                <w:rFonts w:ascii="宋体" w:hAnsi="宋体" w:cs="宋体"/>
                <w:b/>
                <w:sz w:val="24"/>
              </w:rPr>
            </w:pPr>
            <w:r>
              <w:rPr>
                <w:rFonts w:hint="eastAsia" w:ascii="宋体" w:hAnsi="宋体" w:cs="宋体"/>
                <w:b/>
                <w:sz w:val="24"/>
              </w:rPr>
              <w:t>1)环境监测的主要任务</w:t>
            </w:r>
          </w:p>
          <w:p>
            <w:pPr>
              <w:spacing w:line="360" w:lineRule="auto"/>
              <w:ind w:firstLine="480" w:firstLineChars="200"/>
              <w:rPr>
                <w:rFonts w:ascii="宋体" w:hAnsi="宋体" w:cs="宋体"/>
                <w:sz w:val="24"/>
              </w:rPr>
            </w:pPr>
            <w:r>
              <w:rPr>
                <w:rFonts w:hint="eastAsia" w:ascii="宋体" w:hAnsi="宋体" w:cs="宋体"/>
                <w:sz w:val="24"/>
              </w:rPr>
              <w:t>项目环境监测以项目污染源源强排放监测为重点，环境监测的主要任务是：</w:t>
            </w:r>
          </w:p>
          <w:p>
            <w:pPr>
              <w:spacing w:line="360" w:lineRule="auto"/>
              <w:ind w:firstLine="480" w:firstLineChars="200"/>
              <w:rPr>
                <w:rFonts w:ascii="宋体" w:hAnsi="宋体" w:cs="宋体"/>
                <w:sz w:val="24"/>
              </w:rPr>
            </w:pPr>
            <w:r>
              <w:rPr>
                <w:rFonts w:hint="eastAsia" w:ascii="宋体" w:hAnsi="宋体" w:cs="宋体"/>
                <w:sz w:val="24"/>
              </w:rPr>
              <w:t>a、规范设置定点取样口和采样监测平台，附近地面醒目处设置环保图形标志牌，标明排污口尺寸、高度、污染物种类等。</w:t>
            </w:r>
          </w:p>
          <w:p>
            <w:pPr>
              <w:spacing w:line="360" w:lineRule="auto"/>
              <w:ind w:firstLine="480" w:firstLineChars="200"/>
              <w:rPr>
                <w:rFonts w:ascii="宋体" w:hAnsi="宋体" w:cs="宋体"/>
                <w:sz w:val="24"/>
              </w:rPr>
            </w:pPr>
            <w:r>
              <w:rPr>
                <w:rFonts w:hint="eastAsia" w:ascii="宋体" w:hAnsi="宋体" w:cs="宋体"/>
                <w:sz w:val="24"/>
              </w:rPr>
              <w:t>b、定期对废气处理装置的废气排放口进行监测；</w:t>
            </w:r>
          </w:p>
          <w:p>
            <w:pPr>
              <w:spacing w:line="360" w:lineRule="auto"/>
              <w:ind w:firstLine="480" w:firstLineChars="200"/>
              <w:rPr>
                <w:rFonts w:ascii="宋体" w:hAnsi="宋体" w:cs="宋体"/>
                <w:sz w:val="24"/>
              </w:rPr>
            </w:pPr>
            <w:r>
              <w:rPr>
                <w:rFonts w:hint="eastAsia" w:ascii="宋体" w:hAnsi="宋体" w:cs="宋体"/>
                <w:sz w:val="24"/>
              </w:rPr>
              <w:t>c、定期对场界噪声、主要噪声源进行监测；</w:t>
            </w:r>
          </w:p>
          <w:p>
            <w:pPr>
              <w:spacing w:line="360" w:lineRule="auto"/>
              <w:ind w:firstLine="480" w:firstLineChars="200"/>
              <w:rPr>
                <w:rFonts w:ascii="宋体" w:hAnsi="宋体" w:cs="宋体"/>
                <w:sz w:val="24"/>
              </w:rPr>
            </w:pPr>
            <w:r>
              <w:rPr>
                <w:rFonts w:hint="eastAsia" w:ascii="宋体" w:hAnsi="宋体" w:cs="宋体"/>
                <w:sz w:val="24"/>
              </w:rPr>
              <w:t>d、 对环保治理设施的运行情况进行监测，以便及时对设施的设计和处理效</w:t>
            </w:r>
            <w:r>
              <w:rPr>
                <w:rFonts w:hint="eastAsia" w:ascii="宋体" w:hAnsi="宋体" w:cs="宋体"/>
                <w:sz w:val="24"/>
              </w:rPr>
              <w:br w:type="textWrapping"/>
            </w:r>
            <w:r>
              <w:rPr>
                <w:rFonts w:hint="eastAsia" w:ascii="宋体" w:hAnsi="宋体" w:cs="宋体"/>
                <w:sz w:val="24"/>
              </w:rPr>
              <w:t>果进行比较；发现问题及时报告有关部门；</w:t>
            </w:r>
          </w:p>
          <w:p>
            <w:pPr>
              <w:spacing w:line="360" w:lineRule="auto"/>
              <w:ind w:firstLine="480" w:firstLineChars="200"/>
              <w:rPr>
                <w:rFonts w:ascii="宋体" w:hAnsi="宋体" w:cs="宋体"/>
                <w:sz w:val="24"/>
              </w:rPr>
            </w:pPr>
            <w:r>
              <w:rPr>
                <w:rFonts w:hint="eastAsia" w:ascii="宋体" w:hAnsi="宋体" w:cs="宋体"/>
                <w:sz w:val="24"/>
              </w:rPr>
              <w:t>e、当发生污染事故时，进行应急监测，为采取处理措施提供第一手资料；</w:t>
            </w:r>
          </w:p>
          <w:p>
            <w:pPr>
              <w:spacing w:line="360" w:lineRule="auto"/>
              <w:ind w:firstLine="480" w:firstLineChars="200"/>
              <w:rPr>
                <w:rFonts w:ascii="宋体" w:hAnsi="宋体" w:cs="宋体"/>
                <w:sz w:val="24"/>
              </w:rPr>
            </w:pPr>
            <w:r>
              <w:rPr>
                <w:rFonts w:hint="eastAsia" w:ascii="宋体" w:hAnsi="宋体" w:cs="宋体"/>
                <w:sz w:val="24"/>
              </w:rPr>
              <w:t>f、编制环境监测季报或年报，及时上报县、市环保主管部门。</w:t>
            </w:r>
          </w:p>
          <w:p>
            <w:pPr>
              <w:spacing w:line="360" w:lineRule="auto"/>
              <w:ind w:firstLine="472" w:firstLineChars="196"/>
              <w:rPr>
                <w:rFonts w:ascii="宋体" w:hAnsi="宋体" w:cs="宋体"/>
                <w:b/>
                <w:sz w:val="24"/>
              </w:rPr>
            </w:pPr>
            <w:r>
              <w:rPr>
                <w:rFonts w:hint="eastAsia" w:ascii="宋体" w:hAnsi="宋体" w:cs="宋体"/>
                <w:b/>
                <w:sz w:val="24"/>
              </w:rPr>
              <w:t>2)环境监测计划</w:t>
            </w:r>
          </w:p>
          <w:p>
            <w:pPr>
              <w:spacing w:line="360" w:lineRule="auto"/>
              <w:ind w:firstLine="480" w:firstLineChars="200"/>
              <w:rPr>
                <w:rFonts w:ascii="宋体" w:hAnsi="宋体" w:cs="宋体"/>
                <w:sz w:val="24"/>
              </w:rPr>
            </w:pPr>
            <w:r>
              <w:rPr>
                <w:rFonts w:hint="eastAsia" w:ascii="宋体" w:hAnsi="宋体" w:cs="宋体"/>
                <w:sz w:val="24"/>
              </w:rPr>
              <w:t>本项目排放的主要污染物是：废气、废水、设备产生的噪声、固废等。</w:t>
            </w:r>
          </w:p>
          <w:p>
            <w:pPr>
              <w:spacing w:line="360" w:lineRule="auto"/>
              <w:ind w:firstLine="480" w:firstLineChars="200"/>
              <w:rPr>
                <w:rFonts w:ascii="宋体" w:hAnsi="宋体" w:cs="宋体"/>
                <w:sz w:val="24"/>
              </w:rPr>
            </w:pPr>
            <w:r>
              <w:rPr>
                <w:rFonts w:hint="eastAsia" w:ascii="宋体" w:hAnsi="宋体" w:cs="宋体"/>
                <w:sz w:val="24"/>
              </w:rPr>
              <w:t>为切实控制本工程治理设施的有效地运行和“达标排放”，落实排污总量控制制度，根据《建设项目环境保护管理条例》第八条的规定，本环评对拟建项目实施环境监测建议建设项目营运期环境监控主要目的是为了项目建成后的环境监测，防止污染事故发生，为环境管理提供依据。</w:t>
            </w:r>
          </w:p>
          <w:p>
            <w:pPr>
              <w:spacing w:line="360" w:lineRule="auto"/>
              <w:ind w:firstLine="480"/>
              <w:rPr>
                <w:rFonts w:ascii="宋体" w:hAnsi="宋体" w:cs="宋体"/>
                <w:sz w:val="24"/>
              </w:rPr>
            </w:pPr>
            <w:bookmarkStart w:id="18" w:name="_Toc472602715"/>
            <w:r>
              <w:rPr>
                <w:rFonts w:hint="eastAsia" w:ascii="宋体" w:hAnsi="宋体" w:cs="宋体"/>
                <w:sz w:val="24"/>
              </w:rPr>
              <w:t>项目运行期间应对周边环境、主要污染物及污染治理设施定时进行监测。本项目监测可委托当地环境监测部门承担。</w:t>
            </w:r>
          </w:p>
          <w:p>
            <w:pPr>
              <w:spacing w:line="360" w:lineRule="auto"/>
              <w:ind w:firstLine="480"/>
              <w:rPr>
                <w:rFonts w:ascii="宋体" w:hAnsi="宋体" w:cs="宋体"/>
                <w:b/>
                <w:sz w:val="24"/>
              </w:rPr>
            </w:pPr>
            <w:r>
              <w:rPr>
                <w:rFonts w:hint="eastAsia" w:ascii="宋体" w:hAnsi="宋体" w:cs="宋体"/>
                <w:b/>
                <w:sz w:val="24"/>
              </w:rPr>
              <w:t>a、大气环境监测</w:t>
            </w:r>
          </w:p>
          <w:p>
            <w:pPr>
              <w:spacing w:line="360" w:lineRule="auto"/>
              <w:ind w:firstLine="480"/>
              <w:rPr>
                <w:rFonts w:ascii="宋体" w:hAnsi="宋体" w:cs="宋体"/>
                <w:sz w:val="24"/>
              </w:rPr>
            </w:pPr>
            <w:r>
              <w:rPr>
                <w:rFonts w:hint="eastAsia" w:ascii="宋体" w:hAnsi="宋体" w:cs="宋体"/>
                <w:sz w:val="24"/>
              </w:rPr>
              <w:t>监测项目：有组织排放：氨气</w:t>
            </w:r>
          </w:p>
          <w:p>
            <w:pPr>
              <w:spacing w:line="360" w:lineRule="auto"/>
              <w:ind w:firstLine="480"/>
              <w:rPr>
                <w:rFonts w:ascii="宋体" w:hAnsi="宋体" w:cs="宋体"/>
                <w:sz w:val="24"/>
              </w:rPr>
            </w:pPr>
            <w:r>
              <w:rPr>
                <w:rFonts w:hint="eastAsia" w:ascii="宋体" w:hAnsi="宋体" w:cs="宋体"/>
                <w:sz w:val="24"/>
              </w:rPr>
              <w:t xml:space="preserve"> </w:t>
            </w:r>
            <w:r>
              <w:rPr>
                <w:rFonts w:ascii="宋体" w:hAnsi="宋体" w:cs="宋体"/>
                <w:sz w:val="24"/>
              </w:rPr>
              <w:t xml:space="preserve">         无组织排放</w:t>
            </w:r>
            <w:r>
              <w:rPr>
                <w:rFonts w:hint="eastAsia" w:ascii="宋体" w:hAnsi="宋体" w:cs="宋体"/>
                <w:sz w:val="24"/>
              </w:rPr>
              <w:t>：</w:t>
            </w:r>
            <w:r>
              <w:rPr>
                <w:rFonts w:ascii="宋体" w:hAnsi="宋体" w:cs="宋体"/>
                <w:sz w:val="24"/>
              </w:rPr>
              <w:t>氨气</w:t>
            </w:r>
            <w:r>
              <w:rPr>
                <w:rFonts w:hint="eastAsia" w:ascii="宋体" w:hAnsi="宋体" w:cs="宋体"/>
                <w:sz w:val="24"/>
              </w:rPr>
              <w:t>、</w:t>
            </w:r>
            <w:r>
              <w:rPr>
                <w:rFonts w:ascii="宋体" w:hAnsi="宋体" w:cs="宋体"/>
                <w:sz w:val="24"/>
              </w:rPr>
              <w:t>颗粒物</w:t>
            </w:r>
          </w:p>
          <w:p>
            <w:pPr>
              <w:spacing w:line="360" w:lineRule="auto"/>
              <w:ind w:firstLine="480"/>
              <w:rPr>
                <w:rFonts w:ascii="宋体" w:hAnsi="宋体" w:cs="宋体"/>
                <w:sz w:val="24"/>
              </w:rPr>
            </w:pPr>
            <w:r>
              <w:rPr>
                <w:rFonts w:hint="eastAsia" w:ascii="宋体" w:hAnsi="宋体" w:cs="宋体"/>
                <w:sz w:val="24"/>
              </w:rPr>
              <w:t>监测点：有组织排放：位为含氨废气排气筒排放口；</w:t>
            </w:r>
          </w:p>
          <w:p>
            <w:pPr>
              <w:spacing w:line="360" w:lineRule="auto"/>
              <w:ind w:firstLine="1440" w:firstLineChars="600"/>
              <w:rPr>
                <w:rFonts w:ascii="宋体" w:hAnsi="宋体" w:cs="宋体"/>
                <w:sz w:val="24"/>
              </w:rPr>
            </w:pPr>
            <w:r>
              <w:rPr>
                <w:rFonts w:ascii="宋体" w:hAnsi="宋体" w:cs="宋体"/>
                <w:sz w:val="24"/>
              </w:rPr>
              <w:t>无组织排放</w:t>
            </w:r>
            <w:r>
              <w:rPr>
                <w:rFonts w:hint="eastAsia" w:ascii="宋体" w:hAnsi="宋体" w:cs="宋体"/>
                <w:sz w:val="24"/>
              </w:rPr>
              <w:t>：</w:t>
            </w:r>
            <w:r>
              <w:rPr>
                <w:rFonts w:ascii="宋体" w:hAnsi="宋体" w:cs="宋体"/>
                <w:sz w:val="24"/>
              </w:rPr>
              <w:t>厂界上风向</w:t>
            </w:r>
            <w:r>
              <w:rPr>
                <w:rFonts w:hint="eastAsia" w:ascii="宋体" w:hAnsi="宋体" w:cs="宋体"/>
                <w:sz w:val="24"/>
              </w:rPr>
              <w:t>、</w:t>
            </w:r>
            <w:r>
              <w:rPr>
                <w:rFonts w:ascii="宋体" w:hAnsi="宋体" w:cs="宋体"/>
                <w:sz w:val="24"/>
              </w:rPr>
              <w:t>下风向以及侧风向</w:t>
            </w:r>
          </w:p>
          <w:p>
            <w:pPr>
              <w:spacing w:line="360" w:lineRule="auto"/>
              <w:ind w:firstLine="480"/>
              <w:rPr>
                <w:rFonts w:ascii="宋体" w:hAnsi="宋体" w:cs="宋体"/>
                <w:sz w:val="24"/>
              </w:rPr>
            </w:pPr>
            <w:r>
              <w:rPr>
                <w:rFonts w:ascii="宋体" w:hAnsi="宋体" w:cs="宋体"/>
                <w:sz w:val="24"/>
              </w:rPr>
              <w:t>监测频率</w:t>
            </w:r>
            <w:r>
              <w:rPr>
                <w:rFonts w:hint="eastAsia" w:ascii="宋体" w:hAnsi="宋体" w:cs="宋体"/>
                <w:sz w:val="24"/>
              </w:rPr>
              <w:t>：每年一次</w:t>
            </w:r>
          </w:p>
          <w:p>
            <w:pPr>
              <w:spacing w:line="360" w:lineRule="auto"/>
              <w:ind w:firstLine="480"/>
              <w:rPr>
                <w:rFonts w:ascii="宋体" w:hAnsi="宋体" w:cs="宋体"/>
                <w:b/>
                <w:sz w:val="24"/>
              </w:rPr>
            </w:pPr>
            <w:r>
              <w:rPr>
                <w:rFonts w:hint="eastAsia" w:ascii="宋体" w:hAnsi="宋体" w:cs="宋体"/>
                <w:b/>
              </w:rPr>
              <w:t>b、</w:t>
            </w:r>
            <w:r>
              <w:rPr>
                <w:rFonts w:hint="eastAsia" w:ascii="宋体" w:hAnsi="宋体" w:cs="宋体"/>
                <w:b/>
                <w:sz w:val="24"/>
              </w:rPr>
              <w:t>声环境监测</w:t>
            </w:r>
          </w:p>
          <w:p>
            <w:pPr>
              <w:spacing w:line="360" w:lineRule="auto"/>
              <w:ind w:firstLine="480"/>
              <w:rPr>
                <w:rFonts w:ascii="宋体" w:hAnsi="宋体" w:cs="宋体"/>
                <w:sz w:val="24"/>
              </w:rPr>
            </w:pPr>
            <w:r>
              <w:rPr>
                <w:rFonts w:hint="eastAsia" w:ascii="宋体" w:hAnsi="宋体" w:cs="宋体"/>
                <w:sz w:val="24"/>
              </w:rPr>
              <w:t>监测项目：主要对场界噪声的监测。</w:t>
            </w:r>
          </w:p>
          <w:p>
            <w:pPr>
              <w:spacing w:line="360" w:lineRule="auto"/>
              <w:ind w:firstLine="480"/>
              <w:rPr>
                <w:rFonts w:ascii="宋体" w:hAnsi="宋体" w:cs="宋体"/>
                <w:sz w:val="24"/>
              </w:rPr>
            </w:pPr>
            <w:r>
              <w:rPr>
                <w:rFonts w:hint="eastAsia" w:ascii="宋体" w:hAnsi="宋体" w:cs="宋体"/>
                <w:sz w:val="24"/>
              </w:rPr>
              <w:t>监测点：厂区界四周各设一个监测点。</w:t>
            </w:r>
          </w:p>
          <w:p>
            <w:pPr>
              <w:spacing w:line="360" w:lineRule="auto"/>
              <w:ind w:firstLine="480"/>
              <w:rPr>
                <w:rFonts w:ascii="宋体" w:hAnsi="宋体" w:cs="宋体"/>
                <w:sz w:val="24"/>
              </w:rPr>
            </w:pPr>
            <w:r>
              <w:rPr>
                <w:rFonts w:hint="eastAsia" w:ascii="宋体" w:hAnsi="宋体" w:cs="宋体"/>
                <w:sz w:val="24"/>
              </w:rPr>
              <w:t>监测频率：每季度监测一次。</w:t>
            </w:r>
            <w:bookmarkStart w:id="19" w:name="_Toc483491341"/>
          </w:p>
          <w:p>
            <w:pPr>
              <w:spacing w:line="360" w:lineRule="auto"/>
              <w:ind w:firstLine="590" w:firstLineChars="245"/>
              <w:outlineLvl w:val="1"/>
              <w:rPr>
                <w:rFonts w:ascii="宋体" w:hAnsi="宋体" w:cs="宋体"/>
                <w:b/>
                <w:sz w:val="24"/>
              </w:rPr>
            </w:pPr>
            <w:r>
              <w:rPr>
                <w:rFonts w:hint="eastAsia" w:ascii="宋体" w:hAnsi="宋体" w:cs="宋体"/>
                <w:b/>
                <w:sz w:val="24"/>
              </w:rPr>
              <w:t>3)环境监测管理</w:t>
            </w:r>
            <w:bookmarkEnd w:id="18"/>
            <w:bookmarkEnd w:id="19"/>
          </w:p>
          <w:p>
            <w:pPr>
              <w:spacing w:line="360" w:lineRule="auto"/>
              <w:ind w:firstLine="525" w:firstLineChars="250"/>
              <w:rPr>
                <w:rFonts w:ascii="宋体" w:hAnsi="宋体" w:cs="宋体"/>
                <w:sz w:val="24"/>
              </w:rPr>
            </w:pPr>
            <w:r>
              <w:rPr>
                <w:rFonts w:hint="eastAsia" w:ascii="宋体" w:hAnsi="宋体" w:cs="宋体"/>
              </w:rPr>
              <w:t>a、</w:t>
            </w:r>
            <w:r>
              <w:rPr>
                <w:rFonts w:hint="eastAsia" w:ascii="宋体" w:hAnsi="宋体" w:cs="宋体"/>
                <w:sz w:val="24"/>
              </w:rPr>
              <w:t xml:space="preserve"> 加强管理，定期对设备和治污设施进行检修和维护。</w:t>
            </w:r>
          </w:p>
          <w:p>
            <w:pPr>
              <w:spacing w:line="360" w:lineRule="auto"/>
              <w:ind w:firstLine="525" w:firstLineChars="250"/>
              <w:rPr>
                <w:rFonts w:ascii="宋体" w:hAnsi="宋体" w:cs="宋体"/>
                <w:sz w:val="24"/>
              </w:rPr>
            </w:pPr>
            <w:r>
              <w:rPr>
                <w:rFonts w:hint="eastAsia" w:ascii="宋体" w:hAnsi="宋体" w:cs="宋体"/>
              </w:rPr>
              <w:t>b、</w:t>
            </w:r>
            <w:r>
              <w:rPr>
                <w:rFonts w:hint="eastAsia" w:ascii="宋体" w:hAnsi="宋体" w:cs="宋体"/>
                <w:sz w:val="24"/>
              </w:rPr>
              <w:t>监测人员应经过培训后方可上岗或在当地环境监测部门技术人员的指导下进行监测工作，以保证监测数据的有效性。</w:t>
            </w:r>
          </w:p>
          <w:p>
            <w:pPr>
              <w:spacing w:line="360" w:lineRule="auto"/>
              <w:ind w:firstLine="420" w:firstLineChars="200"/>
              <w:rPr>
                <w:rFonts w:ascii="宋体" w:hAnsi="宋体" w:cs="宋体"/>
                <w:sz w:val="24"/>
              </w:rPr>
            </w:pPr>
            <w:r>
              <w:rPr>
                <w:rFonts w:hint="eastAsia" w:ascii="宋体" w:hAnsi="宋体" w:cs="宋体"/>
              </w:rPr>
              <w:t>c、</w:t>
            </w:r>
            <w:r>
              <w:rPr>
                <w:rFonts w:hint="eastAsia" w:ascii="宋体" w:hAnsi="宋体" w:cs="宋体"/>
                <w:sz w:val="24"/>
              </w:rPr>
              <w:t>提供的监测数据应当具有代表性、完整性、准确性、可比性和可验证性。</w:t>
            </w:r>
          </w:p>
          <w:p>
            <w:pPr>
              <w:spacing w:line="360" w:lineRule="auto"/>
              <w:ind w:firstLine="420" w:firstLineChars="200"/>
              <w:rPr>
                <w:rFonts w:ascii="宋体" w:hAnsi="宋体" w:cs="宋体"/>
                <w:sz w:val="24"/>
              </w:rPr>
            </w:pPr>
            <w:r>
              <w:rPr>
                <w:rFonts w:hint="eastAsia" w:ascii="宋体" w:hAnsi="宋体" w:cs="宋体"/>
              </w:rPr>
              <w:t>e、</w:t>
            </w:r>
            <w:r>
              <w:rPr>
                <w:rFonts w:hint="eastAsia" w:ascii="宋体" w:hAnsi="宋体" w:cs="宋体"/>
                <w:sz w:val="24"/>
              </w:rPr>
              <w:t xml:space="preserve"> 建立原始记录、监测分析以及实验数据的档案库。</w:t>
            </w:r>
          </w:p>
          <w:p>
            <w:pPr>
              <w:spacing w:line="360" w:lineRule="auto"/>
              <w:ind w:firstLine="420" w:firstLineChars="200"/>
              <w:rPr>
                <w:rFonts w:ascii="宋体" w:hAnsi="宋体" w:cs="宋体"/>
                <w:sz w:val="24"/>
              </w:rPr>
            </w:pPr>
            <w:r>
              <w:rPr>
                <w:rFonts w:hint="eastAsia" w:ascii="宋体" w:hAnsi="宋体" w:cs="宋体"/>
              </w:rPr>
              <w:t>f、</w:t>
            </w:r>
            <w:r>
              <w:rPr>
                <w:rFonts w:hint="eastAsia" w:ascii="宋体" w:hAnsi="宋体" w:cs="宋体"/>
                <w:sz w:val="24"/>
              </w:rPr>
              <w:t>取得的各种数据应有专人保管，原始记录应当至少保存一年以上，监测数据及实验分析数据应当长期保存。</w:t>
            </w:r>
          </w:p>
          <w:p>
            <w:pPr>
              <w:spacing w:line="360" w:lineRule="auto"/>
              <w:ind w:firstLine="420" w:firstLineChars="200"/>
              <w:rPr>
                <w:rFonts w:ascii="宋体" w:hAnsi="宋体" w:cs="宋体"/>
                <w:sz w:val="24"/>
              </w:rPr>
            </w:pPr>
            <w:r>
              <w:rPr>
                <w:rFonts w:hint="eastAsia" w:ascii="宋体" w:hAnsi="宋体" w:cs="宋体"/>
              </w:rPr>
              <w:t>g、</w:t>
            </w:r>
            <w:r>
              <w:rPr>
                <w:rFonts w:hint="eastAsia" w:ascii="宋体" w:hAnsi="宋体" w:cs="宋体"/>
                <w:sz w:val="24"/>
              </w:rPr>
              <w:t xml:space="preserve"> 数据必须经核实及技术负责人签字后方可保存或上报。</w:t>
            </w:r>
          </w:p>
          <w:p>
            <w:pPr>
              <w:spacing w:line="360" w:lineRule="auto"/>
              <w:ind w:firstLine="420" w:firstLineChars="200"/>
              <w:rPr>
                <w:rFonts w:ascii="宋体" w:hAnsi="宋体" w:cs="宋体"/>
                <w:sz w:val="24"/>
              </w:rPr>
            </w:pPr>
            <w:r>
              <w:rPr>
                <w:rFonts w:hint="eastAsia" w:ascii="宋体" w:hAnsi="宋体" w:cs="宋体"/>
              </w:rPr>
              <w:t>h、</w:t>
            </w:r>
            <w:r>
              <w:rPr>
                <w:rFonts w:hint="eastAsia" w:ascii="宋体" w:hAnsi="宋体" w:cs="宋体"/>
                <w:sz w:val="24"/>
              </w:rPr>
              <w:t>做好各项环保设施的规划与建设，确保污染物达标排放。</w:t>
            </w:r>
          </w:p>
          <w:p>
            <w:pPr>
              <w:spacing w:line="360" w:lineRule="auto"/>
              <w:ind w:firstLine="472" w:firstLineChars="196"/>
              <w:outlineLvl w:val="1"/>
              <w:rPr>
                <w:rFonts w:ascii="宋体" w:hAnsi="宋体" w:cs="宋体"/>
                <w:b/>
                <w:sz w:val="24"/>
              </w:rPr>
            </w:pPr>
            <w:bookmarkStart w:id="20" w:name="_Toc472602716"/>
            <w:bookmarkStart w:id="21" w:name="_Toc483491342"/>
            <w:r>
              <w:rPr>
                <w:rFonts w:hint="eastAsia" w:ascii="宋体" w:hAnsi="宋体" w:cs="宋体"/>
                <w:b/>
                <w:sz w:val="24"/>
              </w:rPr>
              <w:t>4)环保设施竣工验收监测建议</w:t>
            </w:r>
            <w:bookmarkEnd w:id="20"/>
            <w:bookmarkEnd w:id="21"/>
          </w:p>
          <w:p>
            <w:pPr>
              <w:spacing w:line="360" w:lineRule="auto"/>
              <w:ind w:firstLine="480" w:firstLineChars="200"/>
              <w:rPr>
                <w:rFonts w:ascii="宋体" w:hAnsi="宋体" w:cs="宋体"/>
                <w:sz w:val="24"/>
              </w:rPr>
            </w:pPr>
            <w:r>
              <w:rPr>
                <w:rFonts w:hint="eastAsia" w:ascii="宋体" w:hAnsi="宋体" w:cs="宋体"/>
                <w:sz w:val="24"/>
              </w:rPr>
              <w:t>根据《建设项目环境保护管理条例》规定，建设项目需要配套建设的环保设施，必须与主体工程同时设计、同时施工、同时投产使用。项目竣工后，项目业主应严格遵循《建设项目竣工环境保护验收管理办法》，自主进行环保设施竣工验收。竣工验收重点是验收国家有排放标准的项目，同时，应将事故防范措施和应急监测设施作为验收内容，具体方案由验收单位确定。本环评建议项目竣工环保验收主要内容如表7-18。</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jc w:val="center"/>
              <w:rPr>
                <w:rFonts w:ascii="宋体" w:hAnsi="宋体" w:cs="宋体"/>
                <w:b/>
                <w:sz w:val="24"/>
              </w:rPr>
            </w:pPr>
            <w:r>
              <w:rPr>
                <w:rFonts w:hint="eastAsia" w:ascii="宋体" w:hAnsi="宋体" w:cs="宋体"/>
                <w:b/>
                <w:sz w:val="24"/>
              </w:rPr>
              <w:t>表7-18 项目竣工环保验收主要内容</w:t>
            </w:r>
          </w:p>
          <w:tbl>
            <w:tblPr>
              <w:tblStyle w:val="53"/>
              <w:tblW w:w="9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29"/>
              <w:gridCol w:w="2171"/>
              <w:gridCol w:w="1918"/>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jc w:val="center"/>
              </w:trPr>
              <w:tc>
                <w:tcPr>
                  <w:tcW w:w="2543" w:type="dxa"/>
                  <w:gridSpan w:val="2"/>
                  <w:vAlign w:val="center"/>
                </w:tcPr>
                <w:p>
                  <w:pPr>
                    <w:pStyle w:val="87"/>
                    <w:adjustRightInd w:val="0"/>
                    <w:snapToGrid w:val="0"/>
                    <w:spacing w:line="240" w:lineRule="auto"/>
                    <w:jc w:val="both"/>
                    <w:rPr>
                      <w:rFonts w:cs="宋体"/>
                      <w:szCs w:val="21"/>
                    </w:rPr>
                  </w:pPr>
                  <w:bookmarkStart w:id="22" w:name="_Toc134367928"/>
                  <w:bookmarkStart w:id="23" w:name="_Toc134369105"/>
                  <w:bookmarkStart w:id="24" w:name="_Toc134369179"/>
                  <w:bookmarkStart w:id="25" w:name="_Toc134434667"/>
                  <w:bookmarkStart w:id="26" w:name="_Toc136328231"/>
                  <w:r>
                    <w:rPr>
                      <w:rFonts w:hint="eastAsia" w:cs="宋体"/>
                      <w:szCs w:val="21"/>
                    </w:rPr>
                    <w:t>验收项目</w:t>
                  </w:r>
                </w:p>
              </w:tc>
              <w:tc>
                <w:tcPr>
                  <w:tcW w:w="2171" w:type="dxa"/>
                  <w:vAlign w:val="center"/>
                </w:tcPr>
                <w:p>
                  <w:pPr>
                    <w:pStyle w:val="87"/>
                    <w:adjustRightInd w:val="0"/>
                    <w:snapToGrid w:val="0"/>
                    <w:spacing w:line="240" w:lineRule="auto"/>
                    <w:jc w:val="both"/>
                    <w:rPr>
                      <w:rFonts w:cs="宋体"/>
                      <w:szCs w:val="21"/>
                    </w:rPr>
                  </w:pPr>
                  <w:r>
                    <w:rPr>
                      <w:rFonts w:hint="eastAsia" w:cs="宋体"/>
                      <w:szCs w:val="21"/>
                    </w:rPr>
                    <w:t>验收内容</w:t>
                  </w:r>
                </w:p>
              </w:tc>
              <w:tc>
                <w:tcPr>
                  <w:tcW w:w="1918" w:type="dxa"/>
                  <w:vAlign w:val="center"/>
                </w:tcPr>
                <w:p>
                  <w:pPr>
                    <w:pStyle w:val="87"/>
                    <w:adjustRightInd w:val="0"/>
                    <w:snapToGrid w:val="0"/>
                    <w:spacing w:line="240" w:lineRule="auto"/>
                    <w:jc w:val="both"/>
                    <w:rPr>
                      <w:rFonts w:cs="宋体"/>
                      <w:szCs w:val="21"/>
                    </w:rPr>
                  </w:pPr>
                  <w:r>
                    <w:rPr>
                      <w:rFonts w:hint="eastAsia" w:cs="宋体"/>
                      <w:szCs w:val="21"/>
                    </w:rPr>
                    <w:t>验收指标</w:t>
                  </w:r>
                </w:p>
              </w:tc>
              <w:tc>
                <w:tcPr>
                  <w:tcW w:w="2588" w:type="dxa"/>
                  <w:vAlign w:val="center"/>
                </w:tcPr>
                <w:p>
                  <w:pPr>
                    <w:pStyle w:val="87"/>
                    <w:adjustRightInd w:val="0"/>
                    <w:snapToGrid w:val="0"/>
                    <w:spacing w:line="240" w:lineRule="auto"/>
                    <w:jc w:val="both"/>
                    <w:rPr>
                      <w:rFonts w:cs="宋体"/>
                      <w:szCs w:val="21"/>
                    </w:rPr>
                  </w:pPr>
                  <w:r>
                    <w:rPr>
                      <w:rFonts w:hint="eastAsia" w:cs="宋体"/>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714" w:type="dxa"/>
                  <w:vMerge w:val="restart"/>
                  <w:vAlign w:val="center"/>
                </w:tcPr>
                <w:p>
                  <w:pPr>
                    <w:pStyle w:val="87"/>
                    <w:adjustRightInd w:val="0"/>
                    <w:snapToGrid w:val="0"/>
                    <w:spacing w:line="240" w:lineRule="auto"/>
                    <w:jc w:val="both"/>
                    <w:rPr>
                      <w:rFonts w:cs="宋体"/>
                      <w:szCs w:val="21"/>
                    </w:rPr>
                  </w:pPr>
                  <w:r>
                    <w:rPr>
                      <w:rFonts w:hint="eastAsia" w:cs="宋体"/>
                      <w:szCs w:val="21"/>
                    </w:rPr>
                    <w:t>废气</w:t>
                  </w:r>
                </w:p>
              </w:tc>
              <w:tc>
                <w:tcPr>
                  <w:tcW w:w="1829" w:type="dxa"/>
                  <w:vAlign w:val="center"/>
                </w:tcPr>
                <w:p>
                  <w:pPr>
                    <w:adjustRightInd w:val="0"/>
                    <w:snapToGrid w:val="0"/>
                    <w:jc w:val="center"/>
                    <w:rPr>
                      <w:szCs w:val="21"/>
                    </w:rPr>
                  </w:pPr>
                  <w:r>
                    <w:rPr>
                      <w:rFonts w:hint="eastAsia"/>
                      <w:szCs w:val="21"/>
                    </w:rPr>
                    <w:t>含氨废气</w:t>
                  </w:r>
                </w:p>
              </w:tc>
              <w:tc>
                <w:tcPr>
                  <w:tcW w:w="2171" w:type="dxa"/>
                  <w:vAlign w:val="center"/>
                </w:tcPr>
                <w:p>
                  <w:pPr>
                    <w:pStyle w:val="87"/>
                    <w:adjustRightInd w:val="0"/>
                    <w:snapToGrid w:val="0"/>
                    <w:spacing w:line="240" w:lineRule="auto"/>
                    <w:jc w:val="both"/>
                    <w:rPr>
                      <w:rFonts w:cs="宋体"/>
                      <w:szCs w:val="21"/>
                    </w:rPr>
                  </w:pPr>
                  <w:r>
                    <w:rPr>
                      <w:rFonts w:hint="eastAsia" w:cs="宋体"/>
                      <w:szCs w:val="21"/>
                    </w:rPr>
                    <w:t>集气罩+负压抽风+水喷淋+光氧催化+1根</w:t>
                  </w:r>
                  <w:r>
                    <w:rPr>
                      <w:rFonts w:cs="宋体"/>
                      <w:szCs w:val="21"/>
                    </w:rPr>
                    <w:t>15</w:t>
                  </w:r>
                  <w:r>
                    <w:rPr>
                      <w:rFonts w:hint="eastAsia" w:cs="宋体"/>
                      <w:szCs w:val="21"/>
                    </w:rPr>
                    <w:t>m高排气筒</w:t>
                  </w:r>
                </w:p>
              </w:tc>
              <w:tc>
                <w:tcPr>
                  <w:tcW w:w="1918" w:type="dxa"/>
                  <w:vAlign w:val="center"/>
                </w:tcPr>
                <w:p>
                  <w:pPr>
                    <w:pStyle w:val="87"/>
                    <w:adjustRightInd w:val="0"/>
                    <w:snapToGrid w:val="0"/>
                    <w:spacing w:line="240" w:lineRule="auto"/>
                    <w:jc w:val="both"/>
                    <w:rPr>
                      <w:rFonts w:cs="宋体"/>
                      <w:szCs w:val="21"/>
                    </w:rPr>
                  </w:pPr>
                  <w:r>
                    <w:rPr>
                      <w:rFonts w:hint="eastAsia" w:cs="宋体"/>
                      <w:szCs w:val="21"/>
                    </w:rPr>
                    <w:t>排放速率≤</w:t>
                  </w:r>
                  <w:r>
                    <w:rPr>
                      <w:rFonts w:cs="宋体"/>
                      <w:szCs w:val="21"/>
                    </w:rPr>
                    <w:t>8.7kg/h</w:t>
                  </w:r>
                </w:p>
              </w:tc>
              <w:tc>
                <w:tcPr>
                  <w:tcW w:w="2588" w:type="dxa"/>
                  <w:vAlign w:val="center"/>
                </w:tcPr>
                <w:p>
                  <w:pPr>
                    <w:pStyle w:val="87"/>
                    <w:adjustRightInd w:val="0"/>
                    <w:snapToGrid w:val="0"/>
                    <w:spacing w:line="240" w:lineRule="auto"/>
                    <w:jc w:val="both"/>
                    <w:rPr>
                      <w:rFonts w:cs="宋体"/>
                      <w:szCs w:val="21"/>
                    </w:rPr>
                  </w:pPr>
                  <w:r>
                    <w:rPr>
                      <w:rFonts w:hint="eastAsia" w:cs="宋体"/>
                      <w:szCs w:val="21"/>
                    </w:rPr>
                    <w:t>《恶臭污染物排放标准》</w:t>
                  </w:r>
                  <w:r>
                    <w:rPr>
                      <w:rFonts w:cs="宋体"/>
                      <w:szCs w:val="21"/>
                    </w:rPr>
                    <w:t>GB14554-93</w:t>
                  </w:r>
                  <w:r>
                    <w:rPr>
                      <w:rFonts w:hint="eastAsia" w:cs="宋体"/>
                      <w:szCs w:val="21"/>
                    </w:rPr>
                    <w:t>中有组织排放浓度限值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714" w:type="dxa"/>
                  <w:vMerge w:val="continue"/>
                  <w:vAlign w:val="center"/>
                </w:tcPr>
                <w:p>
                  <w:pPr>
                    <w:pStyle w:val="87"/>
                    <w:adjustRightInd w:val="0"/>
                    <w:snapToGrid w:val="0"/>
                    <w:spacing w:line="240" w:lineRule="auto"/>
                    <w:jc w:val="both"/>
                    <w:rPr>
                      <w:rFonts w:cs="宋体"/>
                      <w:szCs w:val="21"/>
                    </w:rPr>
                  </w:pPr>
                </w:p>
              </w:tc>
              <w:tc>
                <w:tcPr>
                  <w:tcW w:w="1829" w:type="dxa"/>
                  <w:vAlign w:val="center"/>
                </w:tcPr>
                <w:p>
                  <w:pPr>
                    <w:adjustRightInd w:val="0"/>
                    <w:snapToGrid w:val="0"/>
                    <w:jc w:val="center"/>
                    <w:rPr>
                      <w:szCs w:val="21"/>
                    </w:rPr>
                  </w:pPr>
                  <w:r>
                    <w:rPr>
                      <w:rFonts w:hint="eastAsia"/>
                      <w:szCs w:val="21"/>
                    </w:rPr>
                    <w:t>颗粒物</w:t>
                  </w:r>
                </w:p>
              </w:tc>
              <w:tc>
                <w:tcPr>
                  <w:tcW w:w="2171" w:type="dxa"/>
                  <w:vAlign w:val="center"/>
                </w:tcPr>
                <w:p>
                  <w:pPr>
                    <w:pStyle w:val="87"/>
                    <w:adjustRightInd w:val="0"/>
                    <w:snapToGrid w:val="0"/>
                    <w:spacing w:line="240" w:lineRule="auto"/>
                    <w:jc w:val="both"/>
                    <w:rPr>
                      <w:rFonts w:cs="宋体"/>
                      <w:szCs w:val="21"/>
                    </w:rPr>
                  </w:pPr>
                  <w:r>
                    <w:rPr>
                      <w:rFonts w:hint="eastAsia" w:cs="宋体"/>
                      <w:szCs w:val="21"/>
                    </w:rPr>
                    <w:t>布袋除尘</w:t>
                  </w:r>
                </w:p>
              </w:tc>
              <w:tc>
                <w:tcPr>
                  <w:tcW w:w="1918" w:type="dxa"/>
                  <w:vAlign w:val="center"/>
                </w:tcPr>
                <w:p>
                  <w:pPr>
                    <w:pStyle w:val="87"/>
                    <w:adjustRightInd w:val="0"/>
                    <w:snapToGrid w:val="0"/>
                    <w:spacing w:line="240" w:lineRule="auto"/>
                    <w:jc w:val="both"/>
                    <w:rPr>
                      <w:rFonts w:cs="宋体"/>
                      <w:szCs w:val="21"/>
                    </w:rPr>
                  </w:pPr>
                  <w:r>
                    <w:rPr>
                      <w:rFonts w:hint="eastAsia" w:cs="宋体"/>
                      <w:szCs w:val="21"/>
                    </w:rPr>
                    <w:t>周界外浓度最高点1</w:t>
                  </w:r>
                  <w:r>
                    <w:rPr>
                      <w:rFonts w:cs="宋体"/>
                      <w:szCs w:val="21"/>
                    </w:rPr>
                    <w:t>.0mg/m</w:t>
                  </w:r>
                  <w:r>
                    <w:rPr>
                      <w:rFonts w:cs="宋体"/>
                      <w:szCs w:val="21"/>
                      <w:vertAlign w:val="superscript"/>
                    </w:rPr>
                    <w:t>3</w:t>
                  </w:r>
                </w:p>
              </w:tc>
              <w:tc>
                <w:tcPr>
                  <w:tcW w:w="2588" w:type="dxa"/>
                  <w:vAlign w:val="center"/>
                </w:tcPr>
                <w:p>
                  <w:pPr>
                    <w:pStyle w:val="87"/>
                    <w:adjustRightInd w:val="0"/>
                    <w:snapToGrid w:val="0"/>
                    <w:spacing w:line="240" w:lineRule="auto"/>
                    <w:jc w:val="both"/>
                    <w:rPr>
                      <w:rFonts w:cs="宋体"/>
                      <w:szCs w:val="21"/>
                    </w:rPr>
                  </w:pPr>
                  <w:r>
                    <w:rPr>
                      <w:rFonts w:hint="eastAsia" w:cs="宋体"/>
                      <w:szCs w:val="21"/>
                    </w:rPr>
                    <w:t>《大气污染物综合排放标准》G</w:t>
                  </w:r>
                  <w:r>
                    <w:rPr>
                      <w:rFonts w:cs="宋体"/>
                      <w:szCs w:val="21"/>
                    </w:rPr>
                    <w:t>B16297-1996中无组织排放标准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714" w:type="dxa"/>
                  <w:vAlign w:val="center"/>
                </w:tcPr>
                <w:p>
                  <w:pPr>
                    <w:pStyle w:val="87"/>
                    <w:adjustRightInd w:val="0"/>
                    <w:snapToGrid w:val="0"/>
                    <w:spacing w:line="240" w:lineRule="auto"/>
                    <w:jc w:val="both"/>
                    <w:rPr>
                      <w:rFonts w:cs="宋体"/>
                      <w:szCs w:val="21"/>
                    </w:rPr>
                  </w:pPr>
                  <w:r>
                    <w:rPr>
                      <w:rFonts w:hint="eastAsia" w:cs="宋体"/>
                      <w:szCs w:val="21"/>
                    </w:rPr>
                    <w:t>废水</w:t>
                  </w:r>
                </w:p>
              </w:tc>
              <w:tc>
                <w:tcPr>
                  <w:tcW w:w="1829" w:type="dxa"/>
                  <w:vAlign w:val="center"/>
                </w:tcPr>
                <w:p>
                  <w:pPr>
                    <w:pStyle w:val="87"/>
                    <w:adjustRightInd w:val="0"/>
                    <w:snapToGrid w:val="0"/>
                    <w:spacing w:line="240" w:lineRule="auto"/>
                    <w:jc w:val="both"/>
                    <w:rPr>
                      <w:rFonts w:cs="宋体"/>
                      <w:szCs w:val="21"/>
                    </w:rPr>
                  </w:pPr>
                  <w:r>
                    <w:rPr>
                      <w:rFonts w:hint="eastAsia" w:cs="宋体"/>
                      <w:szCs w:val="21"/>
                    </w:rPr>
                    <w:t>生活污水</w:t>
                  </w:r>
                </w:p>
              </w:tc>
              <w:tc>
                <w:tcPr>
                  <w:tcW w:w="2171" w:type="dxa"/>
                  <w:vAlign w:val="center"/>
                </w:tcPr>
                <w:p>
                  <w:r>
                    <w:rPr>
                      <w:rFonts w:hint="eastAsia"/>
                    </w:rPr>
                    <w:t>本项目不新增生活污水</w:t>
                  </w:r>
                </w:p>
              </w:tc>
              <w:tc>
                <w:tcPr>
                  <w:tcW w:w="1918" w:type="dxa"/>
                  <w:vAlign w:val="center"/>
                </w:tcPr>
                <w:p>
                  <w:pPr>
                    <w:adjustRightInd w:val="0"/>
                    <w:snapToGrid w:val="0"/>
                    <w:rPr>
                      <w:rFonts w:ascii="宋体" w:hAnsi="宋体" w:cs="宋体"/>
                      <w:szCs w:val="21"/>
                    </w:rPr>
                  </w:pPr>
                  <w:r>
                    <w:rPr>
                      <w:rFonts w:hint="eastAsia" w:ascii="宋体" w:hAnsi="宋体" w:cs="宋体"/>
                      <w:szCs w:val="21"/>
                    </w:rPr>
                    <w:t>/</w:t>
                  </w:r>
                </w:p>
              </w:tc>
              <w:tc>
                <w:tcPr>
                  <w:tcW w:w="2588" w:type="dxa"/>
                  <w:vAlign w:val="center"/>
                </w:tcPr>
                <w:p>
                  <w:pPr>
                    <w:pStyle w:val="87"/>
                    <w:adjustRightInd w:val="0"/>
                    <w:snapToGrid w:val="0"/>
                    <w:spacing w:line="240" w:lineRule="auto"/>
                    <w:jc w:val="both"/>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9" w:hRule="atLeast"/>
                <w:jc w:val="center"/>
              </w:trPr>
              <w:tc>
                <w:tcPr>
                  <w:tcW w:w="714" w:type="dxa"/>
                  <w:vAlign w:val="center"/>
                </w:tcPr>
                <w:p>
                  <w:pPr>
                    <w:pStyle w:val="87"/>
                    <w:adjustRightInd w:val="0"/>
                    <w:snapToGrid w:val="0"/>
                    <w:spacing w:line="240" w:lineRule="auto"/>
                    <w:jc w:val="both"/>
                    <w:rPr>
                      <w:rFonts w:cs="宋体"/>
                      <w:szCs w:val="21"/>
                    </w:rPr>
                  </w:pPr>
                  <w:r>
                    <w:rPr>
                      <w:rFonts w:hint="eastAsia" w:cs="宋体"/>
                      <w:szCs w:val="21"/>
                    </w:rPr>
                    <w:t>噪声</w:t>
                  </w:r>
                </w:p>
              </w:tc>
              <w:tc>
                <w:tcPr>
                  <w:tcW w:w="1829" w:type="dxa"/>
                  <w:vAlign w:val="center"/>
                </w:tcPr>
                <w:p>
                  <w:pPr>
                    <w:pStyle w:val="87"/>
                    <w:adjustRightInd w:val="0"/>
                    <w:snapToGrid w:val="0"/>
                    <w:spacing w:line="240" w:lineRule="auto"/>
                    <w:jc w:val="both"/>
                    <w:rPr>
                      <w:rFonts w:cs="宋体"/>
                      <w:szCs w:val="21"/>
                    </w:rPr>
                  </w:pPr>
                  <w:r>
                    <w:rPr>
                      <w:rFonts w:hint="eastAsia" w:cs="宋体"/>
                      <w:szCs w:val="21"/>
                    </w:rPr>
                    <w:t>生产设备设备</w:t>
                  </w:r>
                </w:p>
              </w:tc>
              <w:tc>
                <w:tcPr>
                  <w:tcW w:w="2171" w:type="dxa"/>
                  <w:vAlign w:val="center"/>
                </w:tcPr>
                <w:p>
                  <w:pPr>
                    <w:adjustRightInd w:val="0"/>
                    <w:snapToGrid w:val="0"/>
                    <w:rPr>
                      <w:rFonts w:ascii="宋体" w:hAnsi="宋体" w:cs="宋体"/>
                      <w:szCs w:val="21"/>
                    </w:rPr>
                  </w:pPr>
                  <w:r>
                    <w:rPr>
                      <w:rFonts w:hint="eastAsia" w:ascii="宋体" w:hAnsi="宋体" w:cs="宋体"/>
                      <w:szCs w:val="21"/>
                    </w:rPr>
                    <w:t>采用低噪声设备、厂房隔声、设备减振</w:t>
                  </w:r>
                </w:p>
              </w:tc>
              <w:tc>
                <w:tcPr>
                  <w:tcW w:w="1918" w:type="dxa"/>
                  <w:vAlign w:val="center"/>
                </w:tcPr>
                <w:p>
                  <w:pPr>
                    <w:pStyle w:val="87"/>
                    <w:adjustRightInd w:val="0"/>
                    <w:snapToGrid w:val="0"/>
                    <w:spacing w:line="240" w:lineRule="auto"/>
                    <w:jc w:val="both"/>
                    <w:rPr>
                      <w:rFonts w:cs="宋体"/>
                      <w:szCs w:val="21"/>
                    </w:rPr>
                  </w:pPr>
                  <w:r>
                    <w:rPr>
                      <w:rFonts w:hint="eastAsia" w:cs="宋体"/>
                      <w:szCs w:val="21"/>
                    </w:rPr>
                    <w:t>场界噪声</w:t>
                  </w:r>
                </w:p>
                <w:p>
                  <w:pPr>
                    <w:pStyle w:val="87"/>
                    <w:adjustRightInd w:val="0"/>
                    <w:snapToGrid w:val="0"/>
                    <w:spacing w:line="240" w:lineRule="auto"/>
                    <w:jc w:val="both"/>
                    <w:rPr>
                      <w:rFonts w:cs="宋体"/>
                      <w:szCs w:val="21"/>
                    </w:rPr>
                  </w:pPr>
                  <w:r>
                    <w:rPr>
                      <w:rFonts w:hint="eastAsia" w:cs="宋体"/>
                      <w:szCs w:val="21"/>
                    </w:rPr>
                    <w:t>昼间≤65B</w:t>
                  </w:r>
                </w:p>
                <w:p>
                  <w:pPr>
                    <w:pStyle w:val="87"/>
                    <w:adjustRightInd w:val="0"/>
                    <w:snapToGrid w:val="0"/>
                    <w:spacing w:line="240" w:lineRule="auto"/>
                    <w:jc w:val="both"/>
                    <w:rPr>
                      <w:rFonts w:cs="宋体"/>
                      <w:szCs w:val="21"/>
                    </w:rPr>
                  </w:pPr>
                  <w:r>
                    <w:rPr>
                      <w:rFonts w:hint="eastAsia" w:cs="宋体"/>
                      <w:szCs w:val="21"/>
                    </w:rPr>
                    <w:t>夜间≤55B</w:t>
                  </w:r>
                </w:p>
              </w:tc>
              <w:tc>
                <w:tcPr>
                  <w:tcW w:w="2588" w:type="dxa"/>
                  <w:vAlign w:val="center"/>
                </w:tcPr>
                <w:p>
                  <w:pPr>
                    <w:pStyle w:val="87"/>
                    <w:adjustRightInd w:val="0"/>
                    <w:snapToGrid w:val="0"/>
                    <w:spacing w:line="240" w:lineRule="auto"/>
                    <w:jc w:val="both"/>
                    <w:rPr>
                      <w:rFonts w:cs="宋体"/>
                      <w:szCs w:val="21"/>
                    </w:rPr>
                  </w:pPr>
                  <w:r>
                    <w:rPr>
                      <w:rFonts w:hint="eastAsia" w:cs="宋体"/>
                      <w:szCs w:val="21"/>
                    </w:rPr>
                    <w:t>《工业企业厂界环境噪声排放标准》GB12348-2008）</w:t>
                  </w:r>
                </w:p>
                <w:p>
                  <w:pPr>
                    <w:pStyle w:val="87"/>
                    <w:adjustRightInd w:val="0"/>
                    <w:snapToGrid w:val="0"/>
                    <w:spacing w:line="240" w:lineRule="auto"/>
                    <w:jc w:val="both"/>
                    <w:rPr>
                      <w:rFonts w:cs="宋体"/>
                      <w:szCs w:val="21"/>
                    </w:rPr>
                  </w:pPr>
                  <w:r>
                    <w:rPr>
                      <w:rFonts w:hint="eastAsia" w:cs="宋体"/>
                      <w:szCs w:val="21"/>
                    </w:rPr>
                    <w:t>3准限值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14" w:type="dxa"/>
                  <w:vMerge w:val="restart"/>
                  <w:vAlign w:val="center"/>
                </w:tcPr>
                <w:p>
                  <w:pPr>
                    <w:pStyle w:val="87"/>
                    <w:adjustRightInd w:val="0"/>
                    <w:snapToGrid w:val="0"/>
                    <w:spacing w:line="240" w:lineRule="auto"/>
                    <w:jc w:val="both"/>
                    <w:rPr>
                      <w:rFonts w:cs="宋体"/>
                      <w:b/>
                      <w:szCs w:val="21"/>
                    </w:rPr>
                  </w:pPr>
                  <w:r>
                    <w:rPr>
                      <w:rFonts w:hint="eastAsia" w:cs="宋体"/>
                      <w:bCs/>
                      <w:szCs w:val="21"/>
                    </w:rPr>
                    <w:t>固废</w:t>
                  </w:r>
                </w:p>
              </w:tc>
              <w:tc>
                <w:tcPr>
                  <w:tcW w:w="1829" w:type="dxa"/>
                  <w:tcBorders>
                    <w:bottom w:val="single" w:color="auto" w:sz="6" w:space="0"/>
                  </w:tcBorders>
                  <w:vAlign w:val="center"/>
                </w:tcPr>
                <w:p>
                  <w:pPr>
                    <w:adjustRightInd w:val="0"/>
                    <w:snapToGrid w:val="0"/>
                    <w:jc w:val="center"/>
                    <w:rPr>
                      <w:szCs w:val="21"/>
                    </w:rPr>
                  </w:pPr>
                  <w:r>
                    <w:rPr>
                      <w:rFonts w:hint="eastAsia"/>
                      <w:szCs w:val="21"/>
                    </w:rPr>
                    <w:t>铁屑</w:t>
                  </w:r>
                </w:p>
              </w:tc>
              <w:tc>
                <w:tcPr>
                  <w:tcW w:w="2171" w:type="dxa"/>
                  <w:tcBorders>
                    <w:bottom w:val="single" w:color="auto" w:sz="4" w:space="0"/>
                  </w:tcBorders>
                  <w:vAlign w:val="center"/>
                </w:tcPr>
                <w:p>
                  <w:pPr>
                    <w:adjustRightInd w:val="0"/>
                    <w:snapToGrid w:val="0"/>
                    <w:jc w:val="center"/>
                    <w:rPr>
                      <w:szCs w:val="21"/>
                    </w:rPr>
                  </w:pPr>
                  <w:r>
                    <w:rPr>
                      <w:rFonts w:hint="eastAsia"/>
                      <w:szCs w:val="21"/>
                    </w:rPr>
                    <w:t>统一收集后外卖</w:t>
                  </w:r>
                </w:p>
              </w:tc>
              <w:tc>
                <w:tcPr>
                  <w:tcW w:w="1918" w:type="dxa"/>
                  <w:vMerge w:val="restart"/>
                  <w:vAlign w:val="center"/>
                </w:tcPr>
                <w:p>
                  <w:pPr>
                    <w:pStyle w:val="87"/>
                    <w:adjustRightInd w:val="0"/>
                    <w:snapToGrid w:val="0"/>
                    <w:spacing w:line="240" w:lineRule="auto"/>
                    <w:jc w:val="both"/>
                    <w:rPr>
                      <w:rFonts w:cs="宋体"/>
                      <w:szCs w:val="21"/>
                    </w:rPr>
                  </w:pPr>
                  <w:r>
                    <w:rPr>
                      <w:rFonts w:hint="eastAsia" w:cs="宋体"/>
                      <w:szCs w:val="21"/>
                    </w:rPr>
                    <w:t>一般固废</w:t>
                  </w:r>
                </w:p>
                <w:p>
                  <w:pPr>
                    <w:pStyle w:val="87"/>
                    <w:adjustRightInd w:val="0"/>
                    <w:snapToGrid w:val="0"/>
                    <w:spacing w:line="240" w:lineRule="auto"/>
                    <w:jc w:val="both"/>
                    <w:rPr>
                      <w:rFonts w:cs="宋体"/>
                      <w:szCs w:val="21"/>
                    </w:rPr>
                  </w:pPr>
                  <w:r>
                    <w:rPr>
                      <w:rFonts w:hint="eastAsia" w:cs="宋体"/>
                      <w:szCs w:val="21"/>
                    </w:rPr>
                    <w:t>不得随意堆放污染环境</w:t>
                  </w:r>
                </w:p>
              </w:tc>
              <w:tc>
                <w:tcPr>
                  <w:tcW w:w="2588" w:type="dxa"/>
                  <w:vMerge w:val="restart"/>
                  <w:vAlign w:val="center"/>
                </w:tcPr>
                <w:p>
                  <w:pPr>
                    <w:pStyle w:val="87"/>
                    <w:adjustRightInd w:val="0"/>
                    <w:snapToGrid w:val="0"/>
                    <w:spacing w:line="240" w:lineRule="auto"/>
                    <w:jc w:val="both"/>
                    <w:rPr>
                      <w:rFonts w:cs="宋体"/>
                      <w:szCs w:val="21"/>
                    </w:rPr>
                  </w:pPr>
                  <w:r>
                    <w:rPr>
                      <w:rFonts w:hint="eastAsia" w:cs="宋体"/>
                      <w:szCs w:val="21"/>
                    </w:rPr>
                    <w:t>《一般工业固体废物贮存、处置场污染控制标准》（GB18599-2001）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714" w:type="dxa"/>
                  <w:vMerge w:val="continue"/>
                  <w:vAlign w:val="center"/>
                </w:tcPr>
                <w:p>
                  <w:pPr>
                    <w:pStyle w:val="87"/>
                    <w:adjustRightInd w:val="0"/>
                    <w:snapToGrid w:val="0"/>
                    <w:spacing w:line="240" w:lineRule="auto"/>
                    <w:jc w:val="both"/>
                    <w:rPr>
                      <w:rFonts w:cs="宋体"/>
                      <w:szCs w:val="21"/>
                    </w:rPr>
                  </w:pPr>
                </w:p>
              </w:tc>
              <w:tc>
                <w:tcPr>
                  <w:tcW w:w="1829" w:type="dxa"/>
                  <w:tcBorders>
                    <w:bottom w:val="single" w:color="auto" w:sz="6" w:space="0"/>
                  </w:tcBorders>
                  <w:vAlign w:val="center"/>
                </w:tcPr>
                <w:p>
                  <w:pPr>
                    <w:adjustRightInd w:val="0"/>
                    <w:snapToGrid w:val="0"/>
                    <w:jc w:val="center"/>
                    <w:rPr>
                      <w:szCs w:val="21"/>
                    </w:rPr>
                  </w:pPr>
                  <w:r>
                    <w:rPr>
                      <w:rFonts w:hint="eastAsia"/>
                      <w:szCs w:val="21"/>
                    </w:rPr>
                    <w:t>除尘设备收集粉尘</w:t>
                  </w:r>
                </w:p>
              </w:tc>
              <w:tc>
                <w:tcPr>
                  <w:tcW w:w="2171" w:type="dxa"/>
                  <w:vAlign w:val="center"/>
                </w:tcPr>
                <w:p>
                  <w:pPr>
                    <w:adjustRightInd w:val="0"/>
                    <w:snapToGrid w:val="0"/>
                    <w:jc w:val="center"/>
                    <w:rPr>
                      <w:szCs w:val="21"/>
                    </w:rPr>
                  </w:pPr>
                  <w:r>
                    <w:rPr>
                      <w:rFonts w:hint="eastAsia"/>
                      <w:szCs w:val="21"/>
                    </w:rPr>
                    <w:t>交由有资质单位进行处理</w:t>
                  </w:r>
                </w:p>
              </w:tc>
              <w:tc>
                <w:tcPr>
                  <w:tcW w:w="1918" w:type="dxa"/>
                  <w:vMerge w:val="continue"/>
                  <w:vAlign w:val="center"/>
                </w:tcPr>
                <w:p>
                  <w:pPr>
                    <w:pStyle w:val="87"/>
                    <w:adjustRightInd w:val="0"/>
                    <w:snapToGrid w:val="0"/>
                    <w:spacing w:line="240" w:lineRule="auto"/>
                    <w:jc w:val="both"/>
                    <w:rPr>
                      <w:rFonts w:cs="宋体"/>
                      <w:szCs w:val="21"/>
                    </w:rPr>
                  </w:pPr>
                </w:p>
              </w:tc>
              <w:tc>
                <w:tcPr>
                  <w:tcW w:w="2588" w:type="dxa"/>
                  <w:vMerge w:val="continue"/>
                  <w:vAlign w:val="center"/>
                </w:tcPr>
                <w:p>
                  <w:pPr>
                    <w:pStyle w:val="87"/>
                    <w:adjustRightInd w:val="0"/>
                    <w:snapToGrid w:val="0"/>
                    <w:spacing w:line="240" w:lineRule="auto"/>
                    <w:jc w:val="both"/>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jc w:val="center"/>
              </w:trPr>
              <w:tc>
                <w:tcPr>
                  <w:tcW w:w="714" w:type="dxa"/>
                  <w:vMerge w:val="continue"/>
                  <w:vAlign w:val="center"/>
                </w:tcPr>
                <w:p>
                  <w:pPr>
                    <w:pStyle w:val="87"/>
                    <w:adjustRightInd w:val="0"/>
                    <w:snapToGrid w:val="0"/>
                    <w:spacing w:line="240" w:lineRule="auto"/>
                    <w:jc w:val="both"/>
                    <w:rPr>
                      <w:rFonts w:cs="宋体"/>
                      <w:szCs w:val="21"/>
                    </w:rPr>
                  </w:pPr>
                </w:p>
              </w:tc>
              <w:tc>
                <w:tcPr>
                  <w:tcW w:w="1829" w:type="dxa"/>
                  <w:tcBorders>
                    <w:bottom w:val="single" w:color="auto" w:sz="6" w:space="0"/>
                  </w:tcBorders>
                  <w:vAlign w:val="center"/>
                </w:tcPr>
                <w:p>
                  <w:pPr>
                    <w:adjustRightInd w:val="0"/>
                    <w:snapToGrid w:val="0"/>
                    <w:jc w:val="center"/>
                    <w:rPr>
                      <w:szCs w:val="21"/>
                    </w:rPr>
                  </w:pPr>
                  <w:r>
                    <w:rPr>
                      <w:rFonts w:hint="eastAsia"/>
                      <w:szCs w:val="21"/>
                    </w:rPr>
                    <w:t>过滤废渣</w:t>
                  </w:r>
                </w:p>
              </w:tc>
              <w:tc>
                <w:tcPr>
                  <w:tcW w:w="2171" w:type="dxa"/>
                  <w:vAlign w:val="center"/>
                </w:tcPr>
                <w:p>
                  <w:pPr>
                    <w:adjustRightInd w:val="0"/>
                    <w:snapToGrid w:val="0"/>
                    <w:jc w:val="center"/>
                    <w:rPr>
                      <w:szCs w:val="21"/>
                    </w:rPr>
                  </w:pPr>
                  <w:r>
                    <w:rPr>
                      <w:rFonts w:hint="eastAsia"/>
                      <w:szCs w:val="21"/>
                    </w:rPr>
                    <w:t>收集后作为原料回用</w:t>
                  </w:r>
                </w:p>
              </w:tc>
              <w:tc>
                <w:tcPr>
                  <w:tcW w:w="1918" w:type="dxa"/>
                  <w:vMerge w:val="continue"/>
                  <w:vAlign w:val="center"/>
                </w:tcPr>
                <w:p>
                  <w:pPr>
                    <w:pStyle w:val="87"/>
                    <w:adjustRightInd w:val="0"/>
                    <w:snapToGrid w:val="0"/>
                    <w:spacing w:line="240" w:lineRule="auto"/>
                    <w:jc w:val="both"/>
                    <w:rPr>
                      <w:rFonts w:cs="宋体"/>
                      <w:szCs w:val="21"/>
                    </w:rPr>
                  </w:pPr>
                </w:p>
              </w:tc>
              <w:tc>
                <w:tcPr>
                  <w:tcW w:w="2588" w:type="dxa"/>
                  <w:vMerge w:val="continue"/>
                  <w:vAlign w:val="center"/>
                </w:tcPr>
                <w:p>
                  <w:pPr>
                    <w:pStyle w:val="87"/>
                    <w:adjustRightInd w:val="0"/>
                    <w:snapToGrid w:val="0"/>
                    <w:spacing w:line="240" w:lineRule="auto"/>
                    <w:jc w:val="both"/>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jc w:val="center"/>
              </w:trPr>
              <w:tc>
                <w:tcPr>
                  <w:tcW w:w="714" w:type="dxa"/>
                  <w:vMerge w:val="continue"/>
                  <w:vAlign w:val="center"/>
                </w:tcPr>
                <w:p>
                  <w:pPr>
                    <w:pStyle w:val="87"/>
                    <w:adjustRightInd w:val="0"/>
                    <w:snapToGrid w:val="0"/>
                    <w:spacing w:line="240" w:lineRule="auto"/>
                    <w:jc w:val="both"/>
                    <w:rPr>
                      <w:rFonts w:cs="宋体"/>
                      <w:szCs w:val="21"/>
                    </w:rPr>
                  </w:pPr>
                </w:p>
              </w:tc>
              <w:tc>
                <w:tcPr>
                  <w:tcW w:w="1829" w:type="dxa"/>
                  <w:tcBorders>
                    <w:bottom w:val="single" w:color="auto" w:sz="6" w:space="0"/>
                  </w:tcBorders>
                  <w:vAlign w:val="center"/>
                </w:tcPr>
                <w:p>
                  <w:pPr>
                    <w:adjustRightInd w:val="0"/>
                    <w:snapToGrid w:val="0"/>
                    <w:jc w:val="center"/>
                    <w:rPr>
                      <w:szCs w:val="21"/>
                    </w:rPr>
                  </w:pPr>
                  <w:r>
                    <w:rPr>
                      <w:rFonts w:hint="eastAsia"/>
                      <w:szCs w:val="21"/>
                    </w:rPr>
                    <w:t>氮化盐、调整盐废包装袋</w:t>
                  </w:r>
                </w:p>
              </w:tc>
              <w:tc>
                <w:tcPr>
                  <w:tcW w:w="2171" w:type="dxa"/>
                  <w:vAlign w:val="center"/>
                </w:tcPr>
                <w:p>
                  <w:pPr>
                    <w:adjustRightInd w:val="0"/>
                    <w:snapToGrid w:val="0"/>
                    <w:jc w:val="center"/>
                    <w:rPr>
                      <w:szCs w:val="21"/>
                    </w:rPr>
                  </w:pPr>
                  <w:r>
                    <w:rPr>
                      <w:rFonts w:hint="eastAsia"/>
                      <w:szCs w:val="21"/>
                    </w:rPr>
                    <w:t>收集后外卖</w:t>
                  </w:r>
                </w:p>
              </w:tc>
              <w:tc>
                <w:tcPr>
                  <w:tcW w:w="1918" w:type="dxa"/>
                  <w:vMerge w:val="continue"/>
                  <w:vAlign w:val="center"/>
                </w:tcPr>
                <w:p>
                  <w:pPr>
                    <w:pStyle w:val="87"/>
                    <w:adjustRightInd w:val="0"/>
                    <w:snapToGrid w:val="0"/>
                    <w:spacing w:line="240" w:lineRule="auto"/>
                    <w:jc w:val="both"/>
                    <w:rPr>
                      <w:rFonts w:cs="宋体"/>
                      <w:szCs w:val="21"/>
                    </w:rPr>
                  </w:pPr>
                </w:p>
              </w:tc>
              <w:tc>
                <w:tcPr>
                  <w:tcW w:w="2588" w:type="dxa"/>
                  <w:vMerge w:val="continue"/>
                  <w:vAlign w:val="center"/>
                </w:tcPr>
                <w:p>
                  <w:pPr>
                    <w:pStyle w:val="87"/>
                    <w:adjustRightInd w:val="0"/>
                    <w:snapToGrid w:val="0"/>
                    <w:spacing w:line="240" w:lineRule="auto"/>
                    <w:jc w:val="both"/>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jc w:val="center"/>
              </w:trPr>
              <w:tc>
                <w:tcPr>
                  <w:tcW w:w="714" w:type="dxa"/>
                  <w:vMerge w:val="continue"/>
                  <w:vAlign w:val="center"/>
                </w:tcPr>
                <w:p>
                  <w:pPr>
                    <w:pStyle w:val="87"/>
                    <w:adjustRightInd w:val="0"/>
                    <w:snapToGrid w:val="0"/>
                    <w:spacing w:line="240" w:lineRule="auto"/>
                    <w:jc w:val="both"/>
                    <w:rPr>
                      <w:rFonts w:cs="宋体"/>
                      <w:szCs w:val="21"/>
                    </w:rPr>
                  </w:pPr>
                </w:p>
              </w:tc>
              <w:tc>
                <w:tcPr>
                  <w:tcW w:w="1829" w:type="dxa"/>
                  <w:tcBorders>
                    <w:bottom w:val="single" w:color="auto" w:sz="6" w:space="0"/>
                  </w:tcBorders>
                  <w:vAlign w:val="center"/>
                </w:tcPr>
                <w:p>
                  <w:pPr>
                    <w:adjustRightInd w:val="0"/>
                    <w:snapToGrid w:val="0"/>
                    <w:jc w:val="center"/>
                    <w:rPr>
                      <w:szCs w:val="21"/>
                    </w:rPr>
                  </w:pPr>
                  <w:r>
                    <w:rPr>
                      <w:rFonts w:hint="eastAsia"/>
                      <w:szCs w:val="21"/>
                    </w:rPr>
                    <w:t>回收固体盐</w:t>
                  </w:r>
                </w:p>
              </w:tc>
              <w:tc>
                <w:tcPr>
                  <w:tcW w:w="2171" w:type="dxa"/>
                  <w:vAlign w:val="center"/>
                </w:tcPr>
                <w:p>
                  <w:pPr>
                    <w:adjustRightInd w:val="0"/>
                    <w:snapToGrid w:val="0"/>
                    <w:jc w:val="center"/>
                    <w:rPr>
                      <w:szCs w:val="21"/>
                    </w:rPr>
                  </w:pPr>
                  <w:r>
                    <w:rPr>
                      <w:rFonts w:hint="eastAsia"/>
                      <w:szCs w:val="21"/>
                    </w:rPr>
                    <w:t>作为氧化盐回用</w:t>
                  </w:r>
                </w:p>
              </w:tc>
              <w:tc>
                <w:tcPr>
                  <w:tcW w:w="1918" w:type="dxa"/>
                  <w:vMerge w:val="continue"/>
                  <w:vAlign w:val="center"/>
                </w:tcPr>
                <w:p>
                  <w:pPr>
                    <w:pStyle w:val="87"/>
                    <w:adjustRightInd w:val="0"/>
                    <w:snapToGrid w:val="0"/>
                    <w:spacing w:line="240" w:lineRule="auto"/>
                    <w:jc w:val="both"/>
                    <w:rPr>
                      <w:rFonts w:cs="宋体"/>
                      <w:szCs w:val="21"/>
                    </w:rPr>
                  </w:pPr>
                </w:p>
              </w:tc>
              <w:tc>
                <w:tcPr>
                  <w:tcW w:w="2588" w:type="dxa"/>
                  <w:vMerge w:val="continue"/>
                  <w:vAlign w:val="center"/>
                </w:tcPr>
                <w:p>
                  <w:pPr>
                    <w:pStyle w:val="87"/>
                    <w:adjustRightInd w:val="0"/>
                    <w:snapToGrid w:val="0"/>
                    <w:spacing w:line="240" w:lineRule="auto"/>
                    <w:jc w:val="both"/>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jc w:val="center"/>
              </w:trPr>
              <w:tc>
                <w:tcPr>
                  <w:tcW w:w="714" w:type="dxa"/>
                  <w:vMerge w:val="continue"/>
                  <w:vAlign w:val="center"/>
                </w:tcPr>
                <w:p>
                  <w:pPr>
                    <w:pStyle w:val="87"/>
                    <w:adjustRightInd w:val="0"/>
                    <w:snapToGrid w:val="0"/>
                    <w:spacing w:line="240" w:lineRule="auto"/>
                    <w:jc w:val="both"/>
                    <w:rPr>
                      <w:rFonts w:cs="宋体"/>
                      <w:szCs w:val="21"/>
                    </w:rPr>
                  </w:pPr>
                </w:p>
              </w:tc>
              <w:tc>
                <w:tcPr>
                  <w:tcW w:w="1829" w:type="dxa"/>
                  <w:tcBorders>
                    <w:top w:val="single" w:color="auto" w:sz="4" w:space="0"/>
                    <w:bottom w:val="single" w:color="auto" w:sz="4" w:space="0"/>
                  </w:tcBorders>
                  <w:vAlign w:val="center"/>
                </w:tcPr>
                <w:p>
                  <w:pPr>
                    <w:adjustRightInd w:val="0"/>
                    <w:snapToGrid w:val="0"/>
                    <w:jc w:val="center"/>
                    <w:rPr>
                      <w:szCs w:val="21"/>
                    </w:rPr>
                  </w:pPr>
                  <w:r>
                    <w:rPr>
                      <w:rFonts w:hint="eastAsia"/>
                      <w:szCs w:val="21"/>
                    </w:rPr>
                    <w:t>生活垃圾</w:t>
                  </w:r>
                </w:p>
              </w:tc>
              <w:tc>
                <w:tcPr>
                  <w:tcW w:w="2171" w:type="dxa"/>
                  <w:tcBorders>
                    <w:top w:val="single" w:color="auto" w:sz="4" w:space="0"/>
                  </w:tcBorders>
                  <w:vAlign w:val="center"/>
                </w:tcPr>
                <w:p>
                  <w:pPr>
                    <w:adjustRightInd w:val="0"/>
                    <w:snapToGrid w:val="0"/>
                    <w:jc w:val="center"/>
                    <w:rPr>
                      <w:szCs w:val="21"/>
                    </w:rPr>
                  </w:pPr>
                  <w:r>
                    <w:rPr>
                      <w:rFonts w:hint="eastAsia"/>
                      <w:szCs w:val="21"/>
                    </w:rPr>
                    <w:t>本项目不新增生活垃圾</w:t>
                  </w:r>
                </w:p>
              </w:tc>
              <w:tc>
                <w:tcPr>
                  <w:tcW w:w="1918" w:type="dxa"/>
                  <w:vMerge w:val="continue"/>
                  <w:vAlign w:val="center"/>
                </w:tcPr>
                <w:p>
                  <w:pPr>
                    <w:pStyle w:val="87"/>
                    <w:adjustRightInd w:val="0"/>
                    <w:snapToGrid w:val="0"/>
                    <w:spacing w:line="240" w:lineRule="auto"/>
                    <w:jc w:val="both"/>
                    <w:rPr>
                      <w:rFonts w:cs="宋体"/>
                      <w:szCs w:val="21"/>
                    </w:rPr>
                  </w:pPr>
                </w:p>
              </w:tc>
              <w:tc>
                <w:tcPr>
                  <w:tcW w:w="2588" w:type="dxa"/>
                  <w:vMerge w:val="continue"/>
                  <w:vAlign w:val="center"/>
                </w:tcPr>
                <w:p>
                  <w:pPr>
                    <w:pStyle w:val="87"/>
                    <w:adjustRightInd w:val="0"/>
                    <w:snapToGrid w:val="0"/>
                    <w:spacing w:line="240" w:lineRule="auto"/>
                    <w:jc w:val="both"/>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7" w:hRule="atLeast"/>
                <w:jc w:val="center"/>
              </w:trPr>
              <w:tc>
                <w:tcPr>
                  <w:tcW w:w="714" w:type="dxa"/>
                  <w:vMerge w:val="continue"/>
                  <w:vAlign w:val="center"/>
                </w:tcPr>
                <w:p>
                  <w:pPr>
                    <w:pStyle w:val="87"/>
                    <w:adjustRightInd w:val="0"/>
                    <w:snapToGrid w:val="0"/>
                    <w:spacing w:line="240" w:lineRule="auto"/>
                    <w:jc w:val="both"/>
                    <w:rPr>
                      <w:rFonts w:cs="宋体"/>
                      <w:szCs w:val="21"/>
                    </w:rPr>
                  </w:pPr>
                </w:p>
              </w:tc>
              <w:tc>
                <w:tcPr>
                  <w:tcW w:w="1829" w:type="dxa"/>
                  <w:tcBorders>
                    <w:top w:val="single" w:color="auto" w:sz="4" w:space="0"/>
                    <w:bottom w:val="single" w:color="auto" w:sz="4" w:space="0"/>
                  </w:tcBorders>
                  <w:vAlign w:val="center"/>
                </w:tcPr>
                <w:p>
                  <w:pPr>
                    <w:adjustRightInd w:val="0"/>
                    <w:snapToGrid w:val="0"/>
                    <w:jc w:val="center"/>
                    <w:rPr>
                      <w:szCs w:val="21"/>
                    </w:rPr>
                  </w:pPr>
                  <w:r>
                    <w:rPr>
                      <w:rFonts w:hint="eastAsia"/>
                      <w:szCs w:val="21"/>
                    </w:rPr>
                    <w:t>检修废油</w:t>
                  </w:r>
                </w:p>
              </w:tc>
              <w:tc>
                <w:tcPr>
                  <w:tcW w:w="2171" w:type="dxa"/>
                  <w:vMerge w:val="restart"/>
                  <w:tcBorders>
                    <w:top w:val="single" w:color="auto" w:sz="4" w:space="0"/>
                  </w:tcBorders>
                  <w:vAlign w:val="center"/>
                </w:tcPr>
                <w:p>
                  <w:pPr>
                    <w:adjustRightInd w:val="0"/>
                    <w:snapToGrid w:val="0"/>
                    <w:jc w:val="center"/>
                    <w:rPr>
                      <w:szCs w:val="21"/>
                    </w:rPr>
                  </w:pPr>
                  <w:r>
                    <w:rPr>
                      <w:rFonts w:hint="eastAsia"/>
                      <w:szCs w:val="21"/>
                    </w:rPr>
                    <w:t>收集后交由有资质单位进行处理</w:t>
                  </w:r>
                </w:p>
              </w:tc>
              <w:tc>
                <w:tcPr>
                  <w:tcW w:w="1918" w:type="dxa"/>
                  <w:vMerge w:val="restart"/>
                  <w:vAlign w:val="center"/>
                </w:tcPr>
                <w:p>
                  <w:pPr>
                    <w:pStyle w:val="87"/>
                    <w:adjustRightInd w:val="0"/>
                    <w:snapToGrid w:val="0"/>
                    <w:spacing w:line="240" w:lineRule="auto"/>
                    <w:jc w:val="both"/>
                    <w:rPr>
                      <w:rFonts w:cs="宋体"/>
                      <w:szCs w:val="21"/>
                    </w:rPr>
                  </w:pPr>
                  <w:r>
                    <w:rPr>
                      <w:rFonts w:hint="eastAsia" w:cs="宋体"/>
                      <w:szCs w:val="21"/>
                    </w:rPr>
                    <w:t>危险废物</w:t>
                  </w:r>
                </w:p>
              </w:tc>
              <w:tc>
                <w:tcPr>
                  <w:tcW w:w="2588" w:type="dxa"/>
                  <w:vMerge w:val="restart"/>
                  <w:vAlign w:val="center"/>
                </w:tcPr>
                <w:p>
                  <w:pPr>
                    <w:pStyle w:val="87"/>
                    <w:adjustRightInd w:val="0"/>
                    <w:snapToGrid w:val="0"/>
                    <w:spacing w:line="240" w:lineRule="auto"/>
                    <w:jc w:val="both"/>
                    <w:rPr>
                      <w:rFonts w:cs="宋体"/>
                      <w:szCs w:val="21"/>
                    </w:rPr>
                  </w:pPr>
                  <w:r>
                    <w:rPr>
                      <w:rFonts w:hint="eastAsia" w:cs="宋体"/>
                      <w:szCs w:val="21"/>
                    </w:rPr>
                    <w:t>《危险废物贮存污染控制标准》（GB18597-2001）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7" w:hRule="atLeast"/>
                <w:jc w:val="center"/>
              </w:trPr>
              <w:tc>
                <w:tcPr>
                  <w:tcW w:w="714" w:type="dxa"/>
                  <w:vMerge w:val="continue"/>
                  <w:vAlign w:val="center"/>
                </w:tcPr>
                <w:p>
                  <w:pPr>
                    <w:pStyle w:val="87"/>
                    <w:adjustRightInd w:val="0"/>
                    <w:snapToGrid w:val="0"/>
                    <w:spacing w:line="240" w:lineRule="auto"/>
                    <w:jc w:val="both"/>
                    <w:rPr>
                      <w:rFonts w:cs="宋体"/>
                      <w:szCs w:val="21"/>
                    </w:rPr>
                  </w:pPr>
                </w:p>
              </w:tc>
              <w:tc>
                <w:tcPr>
                  <w:tcW w:w="1829" w:type="dxa"/>
                  <w:tcBorders>
                    <w:top w:val="single" w:color="auto" w:sz="4" w:space="0"/>
                    <w:bottom w:val="single" w:color="auto" w:sz="4" w:space="0"/>
                  </w:tcBorders>
                  <w:vAlign w:val="center"/>
                </w:tcPr>
                <w:p>
                  <w:pPr>
                    <w:adjustRightInd w:val="0"/>
                    <w:snapToGrid w:val="0"/>
                    <w:jc w:val="center"/>
                    <w:rPr>
                      <w:szCs w:val="21"/>
                    </w:rPr>
                  </w:pPr>
                  <w:r>
                    <w:rPr>
                      <w:rFonts w:hint="eastAsia"/>
                      <w:szCs w:val="21"/>
                    </w:rPr>
                    <w:t>氧化盐废包装袋</w:t>
                  </w:r>
                </w:p>
              </w:tc>
              <w:tc>
                <w:tcPr>
                  <w:tcW w:w="2171" w:type="dxa"/>
                  <w:vMerge w:val="continue"/>
                  <w:vAlign w:val="center"/>
                </w:tcPr>
                <w:p>
                  <w:pPr>
                    <w:adjustRightInd w:val="0"/>
                    <w:snapToGrid w:val="0"/>
                    <w:jc w:val="center"/>
                    <w:rPr>
                      <w:szCs w:val="21"/>
                    </w:rPr>
                  </w:pPr>
                </w:p>
              </w:tc>
              <w:tc>
                <w:tcPr>
                  <w:tcW w:w="1918" w:type="dxa"/>
                  <w:vMerge w:val="continue"/>
                  <w:vAlign w:val="center"/>
                </w:tcPr>
                <w:p>
                  <w:pPr>
                    <w:pStyle w:val="87"/>
                    <w:adjustRightInd w:val="0"/>
                    <w:snapToGrid w:val="0"/>
                    <w:spacing w:line="240" w:lineRule="auto"/>
                    <w:jc w:val="both"/>
                    <w:rPr>
                      <w:rFonts w:cs="宋体"/>
                      <w:szCs w:val="21"/>
                    </w:rPr>
                  </w:pPr>
                </w:p>
              </w:tc>
              <w:tc>
                <w:tcPr>
                  <w:tcW w:w="2588" w:type="dxa"/>
                  <w:vMerge w:val="continue"/>
                  <w:vAlign w:val="center"/>
                </w:tcPr>
                <w:p>
                  <w:pPr>
                    <w:pStyle w:val="87"/>
                    <w:adjustRightInd w:val="0"/>
                    <w:snapToGrid w:val="0"/>
                    <w:spacing w:line="240" w:lineRule="auto"/>
                    <w:jc w:val="both"/>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7" w:hRule="atLeast"/>
                <w:jc w:val="center"/>
              </w:trPr>
              <w:tc>
                <w:tcPr>
                  <w:tcW w:w="714" w:type="dxa"/>
                  <w:vAlign w:val="center"/>
                </w:tcPr>
                <w:p>
                  <w:pPr>
                    <w:pStyle w:val="87"/>
                    <w:adjustRightInd w:val="0"/>
                    <w:snapToGrid w:val="0"/>
                    <w:spacing w:line="240" w:lineRule="auto"/>
                    <w:jc w:val="both"/>
                    <w:rPr>
                      <w:rFonts w:cs="宋体"/>
                      <w:szCs w:val="21"/>
                    </w:rPr>
                  </w:pPr>
                  <w:r>
                    <w:rPr>
                      <w:rFonts w:hint="eastAsia" w:cs="宋体"/>
                      <w:szCs w:val="21"/>
                    </w:rPr>
                    <w:t>风险防范</w:t>
                  </w:r>
                </w:p>
              </w:tc>
              <w:tc>
                <w:tcPr>
                  <w:tcW w:w="1829" w:type="dxa"/>
                  <w:tcBorders>
                    <w:top w:val="single" w:color="auto" w:sz="4" w:space="0"/>
                    <w:bottom w:val="single" w:color="auto" w:sz="4" w:space="0"/>
                  </w:tcBorders>
                  <w:vAlign w:val="center"/>
                </w:tcPr>
                <w:p>
                  <w:pPr>
                    <w:adjustRightInd w:val="0"/>
                    <w:snapToGrid w:val="0"/>
                    <w:jc w:val="center"/>
                    <w:rPr>
                      <w:szCs w:val="21"/>
                    </w:rPr>
                  </w:pPr>
                  <w:r>
                    <w:rPr>
                      <w:rFonts w:hint="eastAsia" w:ascii="宋体" w:hAnsi="宋体" w:cs="宋体"/>
                      <w:szCs w:val="21"/>
                    </w:rPr>
                    <w:t>风险防范</w:t>
                  </w:r>
                </w:p>
              </w:tc>
              <w:tc>
                <w:tcPr>
                  <w:tcW w:w="2171" w:type="dxa"/>
                  <w:vAlign w:val="center"/>
                </w:tcPr>
                <w:p>
                  <w:pPr>
                    <w:adjustRightInd w:val="0"/>
                    <w:snapToGrid w:val="0"/>
                    <w:jc w:val="center"/>
                    <w:rPr>
                      <w:szCs w:val="21"/>
                    </w:rPr>
                  </w:pPr>
                  <w:r>
                    <w:rPr>
                      <w:rFonts w:hint="eastAsia"/>
                      <w:szCs w:val="21"/>
                    </w:rPr>
                    <w:t>氧化清洗废水应急收集设施（容积</w:t>
                  </w:r>
                  <w:r>
                    <w:rPr>
                      <w:rFonts w:hint="eastAsia" w:ascii="宋体" w:hAnsi="宋体"/>
                      <w:szCs w:val="21"/>
                    </w:rPr>
                    <w:t>≥</w:t>
                  </w:r>
                  <w:r>
                    <w:rPr>
                      <w:rFonts w:hint="eastAsia"/>
                      <w:szCs w:val="21"/>
                    </w:rPr>
                    <w:t>1</w:t>
                  </w:r>
                  <w:r>
                    <w:rPr>
                      <w:szCs w:val="21"/>
                    </w:rPr>
                    <w:t>.6m</w:t>
                  </w:r>
                  <w:r>
                    <w:rPr>
                      <w:szCs w:val="21"/>
                      <w:vertAlign w:val="superscript"/>
                    </w:rPr>
                    <w:t>3</w:t>
                  </w:r>
                  <w:r>
                    <w:rPr>
                      <w:rFonts w:hint="eastAsia"/>
                      <w:szCs w:val="21"/>
                    </w:rPr>
                    <w:t>）</w:t>
                  </w:r>
                </w:p>
              </w:tc>
              <w:tc>
                <w:tcPr>
                  <w:tcW w:w="1918" w:type="dxa"/>
                  <w:vAlign w:val="center"/>
                </w:tcPr>
                <w:p>
                  <w:pPr>
                    <w:pStyle w:val="87"/>
                    <w:adjustRightInd w:val="0"/>
                    <w:snapToGrid w:val="0"/>
                    <w:spacing w:line="240" w:lineRule="auto"/>
                    <w:jc w:val="both"/>
                    <w:rPr>
                      <w:rFonts w:cs="宋体"/>
                      <w:szCs w:val="21"/>
                    </w:rPr>
                  </w:pPr>
                  <w:r>
                    <w:rPr>
                      <w:rFonts w:hint="eastAsia" w:cs="宋体"/>
                      <w:szCs w:val="21"/>
                    </w:rPr>
                    <w:t>/</w:t>
                  </w:r>
                </w:p>
              </w:tc>
              <w:tc>
                <w:tcPr>
                  <w:tcW w:w="2588" w:type="dxa"/>
                  <w:vAlign w:val="center"/>
                </w:tcPr>
                <w:p>
                  <w:pPr>
                    <w:pStyle w:val="87"/>
                    <w:adjustRightInd w:val="0"/>
                    <w:snapToGrid w:val="0"/>
                    <w:spacing w:line="240" w:lineRule="auto"/>
                    <w:jc w:val="both"/>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4" w:type="dxa"/>
                  <w:vAlign w:val="center"/>
                </w:tcPr>
                <w:p>
                  <w:pPr>
                    <w:pStyle w:val="87"/>
                    <w:adjustRightInd w:val="0"/>
                    <w:snapToGrid w:val="0"/>
                    <w:spacing w:line="240" w:lineRule="auto"/>
                    <w:jc w:val="both"/>
                    <w:rPr>
                      <w:rFonts w:cs="宋体"/>
                      <w:szCs w:val="21"/>
                    </w:rPr>
                  </w:pPr>
                  <w:r>
                    <w:rPr>
                      <w:rFonts w:hint="eastAsia" w:cs="宋体"/>
                      <w:szCs w:val="21"/>
                    </w:rPr>
                    <w:t>生态环境</w:t>
                  </w:r>
                </w:p>
              </w:tc>
              <w:tc>
                <w:tcPr>
                  <w:tcW w:w="1829" w:type="dxa"/>
                  <w:vAlign w:val="center"/>
                </w:tcPr>
                <w:p>
                  <w:pPr>
                    <w:pStyle w:val="87"/>
                    <w:adjustRightInd w:val="0"/>
                    <w:snapToGrid w:val="0"/>
                    <w:spacing w:line="240" w:lineRule="auto"/>
                    <w:jc w:val="both"/>
                    <w:rPr>
                      <w:rFonts w:cs="宋体"/>
                      <w:szCs w:val="21"/>
                    </w:rPr>
                  </w:pPr>
                  <w:r>
                    <w:rPr>
                      <w:rFonts w:hint="eastAsia" w:cs="宋体"/>
                      <w:szCs w:val="21"/>
                    </w:rPr>
                    <w:t>-</w:t>
                  </w:r>
                </w:p>
              </w:tc>
              <w:tc>
                <w:tcPr>
                  <w:tcW w:w="2171" w:type="dxa"/>
                  <w:vAlign w:val="center"/>
                </w:tcPr>
                <w:p>
                  <w:pPr>
                    <w:pStyle w:val="87"/>
                    <w:adjustRightInd w:val="0"/>
                    <w:snapToGrid w:val="0"/>
                    <w:spacing w:line="240" w:lineRule="auto"/>
                    <w:jc w:val="both"/>
                    <w:rPr>
                      <w:rFonts w:cs="宋体"/>
                      <w:szCs w:val="21"/>
                    </w:rPr>
                  </w:pPr>
                  <w:r>
                    <w:rPr>
                      <w:rFonts w:hint="eastAsia" w:cs="宋体"/>
                      <w:szCs w:val="21"/>
                    </w:rPr>
                    <w:t>-</w:t>
                  </w:r>
                </w:p>
              </w:tc>
              <w:tc>
                <w:tcPr>
                  <w:tcW w:w="4506" w:type="dxa"/>
                  <w:gridSpan w:val="2"/>
                  <w:vAlign w:val="center"/>
                </w:tcPr>
                <w:p>
                  <w:pPr>
                    <w:pStyle w:val="87"/>
                    <w:adjustRightInd w:val="0"/>
                    <w:snapToGrid w:val="0"/>
                    <w:spacing w:line="240" w:lineRule="auto"/>
                    <w:jc w:val="both"/>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220" w:type="dxa"/>
                  <w:gridSpan w:val="5"/>
                  <w:vAlign w:val="center"/>
                </w:tcPr>
                <w:p>
                  <w:pPr>
                    <w:pStyle w:val="87"/>
                    <w:adjustRightInd w:val="0"/>
                    <w:snapToGrid w:val="0"/>
                    <w:spacing w:line="240" w:lineRule="auto"/>
                    <w:jc w:val="both"/>
                    <w:rPr>
                      <w:rFonts w:cs="宋体"/>
                      <w:szCs w:val="21"/>
                    </w:rPr>
                  </w:pPr>
                  <w:r>
                    <w:rPr>
                      <w:rFonts w:hint="eastAsia" w:cs="宋体"/>
                      <w:szCs w:val="21"/>
                    </w:rPr>
                    <w:t>按要求提交该项目竣工环境保护验收监测报告表</w:t>
                  </w:r>
                </w:p>
              </w:tc>
            </w:tr>
            <w:bookmarkEnd w:id="22"/>
            <w:bookmarkEnd w:id="23"/>
            <w:bookmarkEnd w:id="24"/>
            <w:bookmarkEnd w:id="25"/>
            <w:bookmarkEnd w:id="26"/>
          </w:tbl>
          <w:p>
            <w:pPr>
              <w:tabs>
                <w:tab w:val="left" w:pos="2865"/>
              </w:tabs>
              <w:spacing w:line="520" w:lineRule="exact"/>
              <w:rPr>
                <w:b/>
                <w:bCs/>
                <w:sz w:val="28"/>
                <w:szCs w:val="28"/>
              </w:rPr>
            </w:pPr>
            <w:r>
              <w:rPr>
                <w:b/>
                <w:bCs/>
                <w:sz w:val="28"/>
                <w:szCs w:val="28"/>
              </w:rPr>
              <w:t>三、项目环保治理投资估算</w:t>
            </w:r>
          </w:p>
          <w:p>
            <w:pPr>
              <w:tabs>
                <w:tab w:val="left" w:pos="8460"/>
              </w:tabs>
              <w:spacing w:line="360" w:lineRule="auto"/>
              <w:ind w:firstLine="570"/>
              <w:rPr>
                <w:bCs/>
                <w:sz w:val="24"/>
              </w:rPr>
            </w:pPr>
            <w:r>
              <w:rPr>
                <w:bCs/>
                <w:sz w:val="24"/>
              </w:rPr>
              <w:t>项目环保治理措施及投资见表</w:t>
            </w:r>
            <w:r>
              <w:rPr>
                <w:rFonts w:hint="eastAsia"/>
                <w:sz w:val="24"/>
              </w:rPr>
              <w:t>7-19</w:t>
            </w:r>
            <w:r>
              <w:rPr>
                <w:bCs/>
                <w:sz w:val="24"/>
              </w:rPr>
              <w:t>：</w:t>
            </w:r>
          </w:p>
          <w:p>
            <w:pPr>
              <w:tabs>
                <w:tab w:val="left" w:pos="8460"/>
              </w:tabs>
              <w:spacing w:line="360" w:lineRule="auto"/>
              <w:ind w:firstLine="570"/>
              <w:rPr>
                <w:bCs/>
                <w:sz w:val="24"/>
              </w:rPr>
            </w:pPr>
          </w:p>
          <w:p>
            <w:pPr>
              <w:tabs>
                <w:tab w:val="left" w:pos="8460"/>
              </w:tabs>
              <w:spacing w:line="360" w:lineRule="auto"/>
              <w:ind w:firstLine="570"/>
              <w:rPr>
                <w:bCs/>
                <w:sz w:val="24"/>
              </w:rPr>
            </w:pPr>
          </w:p>
          <w:p>
            <w:pPr>
              <w:tabs>
                <w:tab w:val="left" w:pos="8460"/>
              </w:tabs>
              <w:spacing w:line="360" w:lineRule="auto"/>
              <w:ind w:firstLine="570"/>
              <w:rPr>
                <w:bCs/>
                <w:sz w:val="24"/>
              </w:rPr>
            </w:pPr>
          </w:p>
          <w:p>
            <w:pPr>
              <w:tabs>
                <w:tab w:val="left" w:pos="8460"/>
              </w:tabs>
              <w:spacing w:line="360" w:lineRule="auto"/>
              <w:ind w:firstLine="570"/>
              <w:rPr>
                <w:bCs/>
                <w:sz w:val="24"/>
              </w:rPr>
            </w:pPr>
          </w:p>
          <w:p>
            <w:pPr>
              <w:tabs>
                <w:tab w:val="left" w:pos="8460"/>
              </w:tabs>
              <w:spacing w:line="360" w:lineRule="auto"/>
              <w:ind w:firstLine="570"/>
              <w:rPr>
                <w:bCs/>
                <w:sz w:val="24"/>
              </w:rPr>
            </w:pPr>
          </w:p>
          <w:p>
            <w:pPr>
              <w:tabs>
                <w:tab w:val="left" w:pos="8460"/>
              </w:tabs>
              <w:spacing w:line="360" w:lineRule="auto"/>
              <w:ind w:firstLine="570"/>
              <w:rPr>
                <w:bCs/>
                <w:sz w:val="24"/>
              </w:rPr>
            </w:pPr>
          </w:p>
          <w:p>
            <w:pPr>
              <w:tabs>
                <w:tab w:val="left" w:pos="8460"/>
              </w:tabs>
              <w:spacing w:line="360" w:lineRule="auto"/>
              <w:ind w:firstLine="570"/>
              <w:rPr>
                <w:bCs/>
                <w:sz w:val="24"/>
              </w:rPr>
            </w:pPr>
          </w:p>
          <w:p>
            <w:pPr>
              <w:tabs>
                <w:tab w:val="left" w:pos="8460"/>
              </w:tabs>
              <w:spacing w:line="360" w:lineRule="auto"/>
              <w:ind w:firstLine="570"/>
              <w:rPr>
                <w:bCs/>
                <w:sz w:val="24"/>
              </w:rPr>
            </w:pPr>
          </w:p>
          <w:p>
            <w:pPr>
              <w:spacing w:line="360" w:lineRule="auto"/>
              <w:ind w:firstLine="1084" w:firstLineChars="450"/>
              <w:jc w:val="center"/>
              <w:rPr>
                <w:rFonts w:ascii="宋体" w:hAnsi="宋体" w:cs="宋体"/>
                <w:b/>
                <w:bCs/>
                <w:sz w:val="24"/>
              </w:rPr>
            </w:pPr>
            <w:r>
              <w:rPr>
                <w:rFonts w:hint="eastAsia" w:ascii="宋体" w:hAnsi="宋体" w:cs="宋体"/>
                <w:b/>
                <w:bCs/>
                <w:sz w:val="24"/>
              </w:rPr>
              <w:t>表7-19   环保治理措施及投资估算一览表</w:t>
            </w:r>
          </w:p>
          <w:tbl>
            <w:tblPr>
              <w:tblStyle w:val="53"/>
              <w:tblpPr w:leftFromText="180" w:rightFromText="180" w:vertAnchor="text" w:horzAnchor="margin" w:tblpXSpec="center" w:tblpY="125"/>
              <w:tblOverlap w:val="never"/>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9"/>
              <w:gridCol w:w="1936"/>
              <w:gridCol w:w="3498"/>
              <w:gridCol w:w="1075"/>
              <w:gridCol w:w="1336"/>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4" w:hRule="atLeast"/>
              </w:trPr>
              <w:tc>
                <w:tcPr>
                  <w:tcW w:w="2875" w:type="dxa"/>
                  <w:gridSpan w:val="2"/>
                  <w:vAlign w:val="center"/>
                </w:tcPr>
                <w:p>
                  <w:pPr>
                    <w:snapToGrid w:val="0"/>
                    <w:spacing w:line="360" w:lineRule="auto"/>
                    <w:jc w:val="center"/>
                    <w:rPr>
                      <w:szCs w:val="21"/>
                    </w:rPr>
                  </w:pPr>
                  <w:r>
                    <w:rPr>
                      <w:szCs w:val="21"/>
                    </w:rPr>
                    <w:t>污染源类别及排放源</w:t>
                  </w:r>
                </w:p>
              </w:tc>
              <w:tc>
                <w:tcPr>
                  <w:tcW w:w="3498" w:type="dxa"/>
                  <w:vAlign w:val="center"/>
                </w:tcPr>
                <w:p>
                  <w:pPr>
                    <w:snapToGrid w:val="0"/>
                    <w:spacing w:line="360" w:lineRule="auto"/>
                    <w:jc w:val="center"/>
                    <w:rPr>
                      <w:szCs w:val="21"/>
                    </w:rPr>
                  </w:pPr>
                  <w:r>
                    <w:rPr>
                      <w:szCs w:val="21"/>
                    </w:rPr>
                    <w:t>治理措施</w:t>
                  </w:r>
                </w:p>
              </w:tc>
              <w:tc>
                <w:tcPr>
                  <w:tcW w:w="1075" w:type="dxa"/>
                  <w:vAlign w:val="center"/>
                </w:tcPr>
                <w:p>
                  <w:pPr>
                    <w:snapToGrid w:val="0"/>
                    <w:spacing w:line="360" w:lineRule="auto"/>
                    <w:jc w:val="center"/>
                    <w:rPr>
                      <w:szCs w:val="21"/>
                    </w:rPr>
                  </w:pPr>
                  <w:r>
                    <w:rPr>
                      <w:szCs w:val="21"/>
                    </w:rPr>
                    <w:t>数量</w:t>
                  </w:r>
                </w:p>
              </w:tc>
              <w:tc>
                <w:tcPr>
                  <w:tcW w:w="1336" w:type="dxa"/>
                  <w:vAlign w:val="center"/>
                </w:tcPr>
                <w:p>
                  <w:pPr>
                    <w:snapToGrid w:val="0"/>
                    <w:spacing w:line="360" w:lineRule="auto"/>
                    <w:jc w:val="center"/>
                    <w:rPr>
                      <w:szCs w:val="21"/>
                    </w:rPr>
                  </w:pPr>
                  <w:r>
                    <w:rPr>
                      <w:szCs w:val="21"/>
                    </w:rPr>
                    <w:t>投资(万元)</w:t>
                  </w:r>
                </w:p>
              </w:tc>
              <w:tc>
                <w:tcPr>
                  <w:tcW w:w="720" w:type="dxa"/>
                  <w:vAlign w:val="center"/>
                </w:tcPr>
                <w:p>
                  <w:pPr>
                    <w:snapToGrid w:val="0"/>
                    <w:spacing w:line="36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2" w:hRule="atLeast"/>
              </w:trPr>
              <w:tc>
                <w:tcPr>
                  <w:tcW w:w="939" w:type="dxa"/>
                  <w:vMerge w:val="restart"/>
                  <w:vAlign w:val="center"/>
                </w:tcPr>
                <w:p>
                  <w:pPr>
                    <w:snapToGrid w:val="0"/>
                    <w:jc w:val="center"/>
                    <w:rPr>
                      <w:szCs w:val="21"/>
                    </w:rPr>
                  </w:pPr>
                  <w:r>
                    <w:rPr>
                      <w:szCs w:val="21"/>
                    </w:rPr>
                    <w:t>废水</w:t>
                  </w:r>
                </w:p>
              </w:tc>
              <w:tc>
                <w:tcPr>
                  <w:tcW w:w="1936" w:type="dxa"/>
                  <w:vAlign w:val="center"/>
                </w:tcPr>
                <w:p>
                  <w:pPr>
                    <w:snapToGrid w:val="0"/>
                    <w:jc w:val="center"/>
                    <w:rPr>
                      <w:szCs w:val="21"/>
                    </w:rPr>
                  </w:pPr>
                  <w:r>
                    <w:rPr>
                      <w:rFonts w:hint="eastAsia"/>
                      <w:szCs w:val="21"/>
                    </w:rPr>
                    <w:t>生活污水</w:t>
                  </w:r>
                </w:p>
              </w:tc>
              <w:tc>
                <w:tcPr>
                  <w:tcW w:w="3498" w:type="dxa"/>
                  <w:vAlign w:val="center"/>
                </w:tcPr>
                <w:p>
                  <w:pPr>
                    <w:snapToGrid w:val="0"/>
                    <w:jc w:val="center"/>
                    <w:rPr>
                      <w:szCs w:val="21"/>
                    </w:rPr>
                  </w:pPr>
                  <w:r>
                    <w:rPr>
                      <w:rFonts w:hint="eastAsia"/>
                      <w:szCs w:val="21"/>
                    </w:rPr>
                    <w:t>本项目不新增生活污水</w:t>
                  </w:r>
                </w:p>
              </w:tc>
              <w:tc>
                <w:tcPr>
                  <w:tcW w:w="1075" w:type="dxa"/>
                  <w:vAlign w:val="center"/>
                </w:tcPr>
                <w:p>
                  <w:pPr>
                    <w:snapToGrid w:val="0"/>
                    <w:jc w:val="center"/>
                    <w:rPr>
                      <w:szCs w:val="21"/>
                    </w:rPr>
                  </w:pPr>
                  <w:r>
                    <w:rPr>
                      <w:szCs w:val="21"/>
                    </w:rPr>
                    <w:t>/</w:t>
                  </w:r>
                </w:p>
              </w:tc>
              <w:tc>
                <w:tcPr>
                  <w:tcW w:w="1336" w:type="dxa"/>
                  <w:vAlign w:val="center"/>
                </w:tcPr>
                <w:p>
                  <w:pPr>
                    <w:snapToGrid w:val="0"/>
                    <w:jc w:val="center"/>
                    <w:rPr>
                      <w:szCs w:val="21"/>
                    </w:rPr>
                  </w:pPr>
                  <w:r>
                    <w:rPr>
                      <w:rFonts w:hint="eastAsia"/>
                      <w:szCs w:val="21"/>
                    </w:rPr>
                    <w:t>/</w:t>
                  </w:r>
                </w:p>
              </w:tc>
              <w:tc>
                <w:tcPr>
                  <w:tcW w:w="720" w:type="dxa"/>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2" w:hRule="atLeast"/>
              </w:trPr>
              <w:tc>
                <w:tcPr>
                  <w:tcW w:w="939" w:type="dxa"/>
                  <w:vMerge w:val="continue"/>
                  <w:vAlign w:val="center"/>
                </w:tcPr>
                <w:p>
                  <w:pPr>
                    <w:snapToGrid w:val="0"/>
                    <w:jc w:val="center"/>
                    <w:rPr>
                      <w:szCs w:val="21"/>
                    </w:rPr>
                  </w:pPr>
                </w:p>
              </w:tc>
              <w:tc>
                <w:tcPr>
                  <w:tcW w:w="1936" w:type="dxa"/>
                  <w:vAlign w:val="center"/>
                </w:tcPr>
                <w:p>
                  <w:pPr>
                    <w:snapToGrid w:val="0"/>
                    <w:jc w:val="center"/>
                    <w:rPr>
                      <w:szCs w:val="21"/>
                    </w:rPr>
                  </w:pPr>
                  <w:r>
                    <w:rPr>
                      <w:rFonts w:hint="eastAsia"/>
                      <w:szCs w:val="21"/>
                    </w:rPr>
                    <w:t>氧化清洗废水</w:t>
                  </w:r>
                </w:p>
              </w:tc>
              <w:tc>
                <w:tcPr>
                  <w:tcW w:w="3498" w:type="dxa"/>
                  <w:vAlign w:val="center"/>
                </w:tcPr>
                <w:p>
                  <w:pPr>
                    <w:snapToGrid w:val="0"/>
                    <w:jc w:val="center"/>
                    <w:rPr>
                      <w:szCs w:val="21"/>
                    </w:rPr>
                  </w:pPr>
                  <w:r>
                    <w:rPr>
                      <w:rFonts w:hint="eastAsia"/>
                      <w:szCs w:val="21"/>
                    </w:rPr>
                    <w:t>设置固体盐回收系统处理后作为第一级清洗补充水使用</w:t>
                  </w:r>
                </w:p>
              </w:tc>
              <w:tc>
                <w:tcPr>
                  <w:tcW w:w="1075" w:type="dxa"/>
                  <w:vAlign w:val="center"/>
                </w:tcPr>
                <w:p>
                  <w:pPr>
                    <w:snapToGrid w:val="0"/>
                    <w:jc w:val="center"/>
                    <w:rPr>
                      <w:szCs w:val="21"/>
                    </w:rPr>
                  </w:pPr>
                  <w:r>
                    <w:rPr>
                      <w:rFonts w:hint="eastAsia"/>
                      <w:szCs w:val="21"/>
                    </w:rPr>
                    <w:t>1套</w:t>
                  </w:r>
                </w:p>
              </w:tc>
              <w:tc>
                <w:tcPr>
                  <w:tcW w:w="1336" w:type="dxa"/>
                  <w:vAlign w:val="center"/>
                </w:tcPr>
                <w:p>
                  <w:pPr>
                    <w:snapToGrid w:val="0"/>
                    <w:jc w:val="center"/>
                    <w:rPr>
                      <w:szCs w:val="21"/>
                    </w:rPr>
                  </w:pPr>
                  <w:r>
                    <w:rPr>
                      <w:szCs w:val="21"/>
                    </w:rPr>
                    <w:t>4.0</w:t>
                  </w:r>
                </w:p>
              </w:tc>
              <w:tc>
                <w:tcPr>
                  <w:tcW w:w="720" w:type="dxa"/>
                  <w:vAlign w:val="center"/>
                </w:tcPr>
                <w:p>
                  <w:pPr>
                    <w:snapToGrid w:val="0"/>
                    <w:jc w:val="center"/>
                    <w:rPr>
                      <w:szCs w:val="21"/>
                    </w:rPr>
                  </w:pPr>
                  <w:r>
                    <w:rPr>
                      <w:rFonts w:hint="eastAsia"/>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2" w:hRule="atLeast"/>
              </w:trPr>
              <w:tc>
                <w:tcPr>
                  <w:tcW w:w="939" w:type="dxa"/>
                  <w:vMerge w:val="continue"/>
                  <w:vAlign w:val="center"/>
                </w:tcPr>
                <w:p>
                  <w:pPr>
                    <w:snapToGrid w:val="0"/>
                    <w:jc w:val="center"/>
                    <w:rPr>
                      <w:szCs w:val="21"/>
                    </w:rPr>
                  </w:pPr>
                </w:p>
              </w:tc>
              <w:tc>
                <w:tcPr>
                  <w:tcW w:w="1936" w:type="dxa"/>
                  <w:vAlign w:val="center"/>
                </w:tcPr>
                <w:p>
                  <w:pPr>
                    <w:snapToGrid w:val="0"/>
                    <w:jc w:val="center"/>
                    <w:rPr>
                      <w:szCs w:val="21"/>
                    </w:rPr>
                  </w:pPr>
                  <w:r>
                    <w:rPr>
                      <w:rFonts w:hint="eastAsia"/>
                      <w:szCs w:val="21"/>
                    </w:rPr>
                    <w:t>抛光清洗废水</w:t>
                  </w:r>
                </w:p>
              </w:tc>
              <w:tc>
                <w:tcPr>
                  <w:tcW w:w="3498" w:type="dxa"/>
                  <w:vAlign w:val="center"/>
                </w:tcPr>
                <w:p>
                  <w:pPr>
                    <w:snapToGrid w:val="0"/>
                    <w:jc w:val="center"/>
                    <w:rPr>
                      <w:szCs w:val="21"/>
                    </w:rPr>
                  </w:pPr>
                  <w:r>
                    <w:rPr>
                      <w:rFonts w:hint="eastAsia"/>
                      <w:szCs w:val="21"/>
                    </w:rPr>
                    <w:t>收集后用于模具冷却</w:t>
                  </w:r>
                </w:p>
              </w:tc>
              <w:tc>
                <w:tcPr>
                  <w:tcW w:w="1075" w:type="dxa"/>
                  <w:vAlign w:val="center"/>
                </w:tcPr>
                <w:p>
                  <w:pPr>
                    <w:snapToGrid w:val="0"/>
                    <w:jc w:val="center"/>
                    <w:rPr>
                      <w:szCs w:val="21"/>
                    </w:rPr>
                  </w:pPr>
                  <w:r>
                    <w:rPr>
                      <w:rFonts w:hint="eastAsia"/>
                      <w:szCs w:val="21"/>
                    </w:rPr>
                    <w:t>/</w:t>
                  </w:r>
                </w:p>
              </w:tc>
              <w:tc>
                <w:tcPr>
                  <w:tcW w:w="1336" w:type="dxa"/>
                  <w:vAlign w:val="center"/>
                </w:tcPr>
                <w:p>
                  <w:pPr>
                    <w:snapToGrid w:val="0"/>
                    <w:jc w:val="center"/>
                    <w:rPr>
                      <w:szCs w:val="21"/>
                    </w:rPr>
                  </w:pPr>
                  <w:r>
                    <w:rPr>
                      <w:rFonts w:hint="eastAsia"/>
                      <w:szCs w:val="21"/>
                    </w:rPr>
                    <w:t>/</w:t>
                  </w:r>
                </w:p>
              </w:tc>
              <w:tc>
                <w:tcPr>
                  <w:tcW w:w="720" w:type="dxa"/>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2" w:hRule="atLeast"/>
              </w:trPr>
              <w:tc>
                <w:tcPr>
                  <w:tcW w:w="939" w:type="dxa"/>
                  <w:vMerge w:val="restart"/>
                  <w:vAlign w:val="center"/>
                </w:tcPr>
                <w:p>
                  <w:pPr>
                    <w:snapToGrid w:val="0"/>
                    <w:jc w:val="center"/>
                    <w:rPr>
                      <w:szCs w:val="21"/>
                    </w:rPr>
                  </w:pPr>
                  <w:r>
                    <w:rPr>
                      <w:szCs w:val="21"/>
                    </w:rPr>
                    <w:t>固</w:t>
                  </w:r>
                </w:p>
                <w:p>
                  <w:pPr>
                    <w:snapToGrid w:val="0"/>
                    <w:jc w:val="center"/>
                    <w:rPr>
                      <w:szCs w:val="21"/>
                    </w:rPr>
                  </w:pPr>
                  <w:r>
                    <w:rPr>
                      <w:szCs w:val="21"/>
                    </w:rPr>
                    <w:t>体</w:t>
                  </w:r>
                </w:p>
                <w:p>
                  <w:pPr>
                    <w:snapToGrid w:val="0"/>
                    <w:jc w:val="center"/>
                    <w:rPr>
                      <w:szCs w:val="21"/>
                    </w:rPr>
                  </w:pPr>
                  <w:r>
                    <w:rPr>
                      <w:szCs w:val="21"/>
                    </w:rPr>
                    <w:t>废</w:t>
                  </w:r>
                </w:p>
                <w:p>
                  <w:pPr>
                    <w:snapToGrid w:val="0"/>
                    <w:jc w:val="center"/>
                    <w:rPr>
                      <w:szCs w:val="21"/>
                    </w:rPr>
                  </w:pPr>
                  <w:r>
                    <w:rPr>
                      <w:szCs w:val="21"/>
                    </w:rPr>
                    <w:t>物</w:t>
                  </w:r>
                </w:p>
              </w:tc>
              <w:tc>
                <w:tcPr>
                  <w:tcW w:w="1936" w:type="dxa"/>
                  <w:tcBorders>
                    <w:bottom w:val="single" w:color="auto" w:sz="6" w:space="0"/>
                  </w:tcBorders>
                  <w:vAlign w:val="center"/>
                </w:tcPr>
                <w:p>
                  <w:pPr>
                    <w:adjustRightInd w:val="0"/>
                    <w:snapToGrid w:val="0"/>
                    <w:jc w:val="center"/>
                    <w:rPr>
                      <w:szCs w:val="21"/>
                    </w:rPr>
                  </w:pPr>
                  <w:r>
                    <w:rPr>
                      <w:rFonts w:hint="eastAsia"/>
                      <w:szCs w:val="21"/>
                    </w:rPr>
                    <w:t>铁屑</w:t>
                  </w:r>
                </w:p>
              </w:tc>
              <w:tc>
                <w:tcPr>
                  <w:tcW w:w="3498" w:type="dxa"/>
                  <w:tcBorders>
                    <w:bottom w:val="single" w:color="auto" w:sz="4" w:space="0"/>
                  </w:tcBorders>
                  <w:vAlign w:val="center"/>
                </w:tcPr>
                <w:p>
                  <w:pPr>
                    <w:adjustRightInd w:val="0"/>
                    <w:snapToGrid w:val="0"/>
                    <w:jc w:val="center"/>
                    <w:rPr>
                      <w:szCs w:val="21"/>
                    </w:rPr>
                  </w:pPr>
                  <w:r>
                    <w:rPr>
                      <w:rFonts w:hint="eastAsia"/>
                      <w:szCs w:val="21"/>
                    </w:rPr>
                    <w:t>统一收集后外卖</w:t>
                  </w:r>
                </w:p>
              </w:tc>
              <w:tc>
                <w:tcPr>
                  <w:tcW w:w="1075" w:type="dxa"/>
                  <w:vAlign w:val="center"/>
                </w:tcPr>
                <w:p>
                  <w:pPr>
                    <w:snapToGrid w:val="0"/>
                    <w:jc w:val="center"/>
                    <w:rPr>
                      <w:szCs w:val="21"/>
                    </w:rPr>
                  </w:pPr>
                  <w:r>
                    <w:rPr>
                      <w:rFonts w:hint="eastAsia"/>
                      <w:szCs w:val="21"/>
                    </w:rPr>
                    <w:t>/</w:t>
                  </w:r>
                </w:p>
              </w:tc>
              <w:tc>
                <w:tcPr>
                  <w:tcW w:w="1336" w:type="dxa"/>
                  <w:vAlign w:val="center"/>
                </w:tcPr>
                <w:p>
                  <w:pPr>
                    <w:snapToGrid w:val="0"/>
                    <w:jc w:val="center"/>
                    <w:rPr>
                      <w:szCs w:val="21"/>
                    </w:rPr>
                  </w:pPr>
                  <w:r>
                    <w:rPr>
                      <w:rFonts w:hint="eastAsia"/>
                      <w:szCs w:val="21"/>
                    </w:rPr>
                    <w:t>/</w:t>
                  </w:r>
                </w:p>
              </w:tc>
              <w:tc>
                <w:tcPr>
                  <w:tcW w:w="720" w:type="dxa"/>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7" w:hRule="atLeast"/>
              </w:trPr>
              <w:tc>
                <w:tcPr>
                  <w:tcW w:w="939" w:type="dxa"/>
                  <w:vMerge w:val="continue"/>
                  <w:vAlign w:val="center"/>
                </w:tcPr>
                <w:p>
                  <w:pPr>
                    <w:snapToGrid w:val="0"/>
                    <w:jc w:val="center"/>
                    <w:rPr>
                      <w:szCs w:val="21"/>
                    </w:rPr>
                  </w:pPr>
                </w:p>
              </w:tc>
              <w:tc>
                <w:tcPr>
                  <w:tcW w:w="1936" w:type="dxa"/>
                  <w:tcBorders>
                    <w:bottom w:val="single" w:color="auto" w:sz="6" w:space="0"/>
                  </w:tcBorders>
                  <w:vAlign w:val="center"/>
                </w:tcPr>
                <w:p>
                  <w:pPr>
                    <w:adjustRightInd w:val="0"/>
                    <w:snapToGrid w:val="0"/>
                    <w:jc w:val="center"/>
                    <w:rPr>
                      <w:szCs w:val="21"/>
                    </w:rPr>
                  </w:pPr>
                  <w:r>
                    <w:rPr>
                      <w:rFonts w:hint="eastAsia"/>
                      <w:szCs w:val="21"/>
                    </w:rPr>
                    <w:t>除尘设备收集粉尘</w:t>
                  </w:r>
                </w:p>
              </w:tc>
              <w:tc>
                <w:tcPr>
                  <w:tcW w:w="3498" w:type="dxa"/>
                  <w:vAlign w:val="center"/>
                </w:tcPr>
                <w:p>
                  <w:pPr>
                    <w:adjustRightInd w:val="0"/>
                    <w:snapToGrid w:val="0"/>
                    <w:jc w:val="center"/>
                    <w:rPr>
                      <w:szCs w:val="21"/>
                    </w:rPr>
                  </w:pPr>
                  <w:r>
                    <w:rPr>
                      <w:rFonts w:hint="eastAsia"/>
                      <w:szCs w:val="21"/>
                    </w:rPr>
                    <w:t>交由有资质单位进行处理</w:t>
                  </w:r>
                </w:p>
              </w:tc>
              <w:tc>
                <w:tcPr>
                  <w:tcW w:w="1075" w:type="dxa"/>
                  <w:vAlign w:val="center"/>
                </w:tcPr>
                <w:p>
                  <w:pPr>
                    <w:snapToGrid w:val="0"/>
                    <w:jc w:val="center"/>
                    <w:rPr>
                      <w:szCs w:val="21"/>
                    </w:rPr>
                  </w:pPr>
                  <w:r>
                    <w:rPr>
                      <w:rFonts w:hint="eastAsia"/>
                      <w:szCs w:val="21"/>
                    </w:rPr>
                    <w:t>/</w:t>
                  </w:r>
                </w:p>
              </w:tc>
              <w:tc>
                <w:tcPr>
                  <w:tcW w:w="1336" w:type="dxa"/>
                  <w:vAlign w:val="center"/>
                </w:tcPr>
                <w:p>
                  <w:pPr>
                    <w:snapToGrid w:val="0"/>
                    <w:jc w:val="center"/>
                    <w:rPr>
                      <w:szCs w:val="21"/>
                    </w:rPr>
                  </w:pPr>
                  <w:r>
                    <w:rPr>
                      <w:szCs w:val="21"/>
                    </w:rPr>
                    <w:t>/</w:t>
                  </w:r>
                </w:p>
              </w:tc>
              <w:tc>
                <w:tcPr>
                  <w:tcW w:w="720" w:type="dxa"/>
                  <w:vAlign w:val="center"/>
                </w:tcPr>
                <w:p>
                  <w:pPr>
                    <w:snapToGrid w:val="0"/>
                    <w:jc w:val="center"/>
                    <w:rPr>
                      <w:szCs w:val="21"/>
                    </w:rPr>
                  </w:pPr>
                  <w:r>
                    <w:rPr>
                      <w:rFonts w:hint="eastAsia"/>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7" w:hRule="atLeast"/>
              </w:trPr>
              <w:tc>
                <w:tcPr>
                  <w:tcW w:w="939" w:type="dxa"/>
                  <w:vMerge w:val="continue"/>
                  <w:vAlign w:val="center"/>
                </w:tcPr>
                <w:p>
                  <w:pPr>
                    <w:snapToGrid w:val="0"/>
                    <w:jc w:val="center"/>
                    <w:rPr>
                      <w:szCs w:val="21"/>
                    </w:rPr>
                  </w:pPr>
                </w:p>
              </w:tc>
              <w:tc>
                <w:tcPr>
                  <w:tcW w:w="1936" w:type="dxa"/>
                  <w:tcBorders>
                    <w:bottom w:val="single" w:color="auto" w:sz="6" w:space="0"/>
                  </w:tcBorders>
                  <w:vAlign w:val="center"/>
                </w:tcPr>
                <w:p>
                  <w:pPr>
                    <w:adjustRightInd w:val="0"/>
                    <w:snapToGrid w:val="0"/>
                    <w:jc w:val="center"/>
                    <w:rPr>
                      <w:szCs w:val="21"/>
                    </w:rPr>
                  </w:pPr>
                  <w:r>
                    <w:rPr>
                      <w:rFonts w:hint="eastAsia"/>
                      <w:szCs w:val="21"/>
                    </w:rPr>
                    <w:t>过滤废渣</w:t>
                  </w:r>
                </w:p>
              </w:tc>
              <w:tc>
                <w:tcPr>
                  <w:tcW w:w="3498" w:type="dxa"/>
                  <w:vAlign w:val="center"/>
                </w:tcPr>
                <w:p>
                  <w:pPr>
                    <w:adjustRightInd w:val="0"/>
                    <w:snapToGrid w:val="0"/>
                    <w:jc w:val="center"/>
                    <w:rPr>
                      <w:szCs w:val="21"/>
                    </w:rPr>
                  </w:pPr>
                  <w:r>
                    <w:rPr>
                      <w:rFonts w:hint="eastAsia"/>
                      <w:szCs w:val="21"/>
                    </w:rPr>
                    <w:t>收集后作为原料回用</w:t>
                  </w:r>
                </w:p>
              </w:tc>
              <w:tc>
                <w:tcPr>
                  <w:tcW w:w="1075" w:type="dxa"/>
                  <w:vAlign w:val="center"/>
                </w:tcPr>
                <w:p>
                  <w:pPr>
                    <w:snapToGrid w:val="0"/>
                    <w:jc w:val="center"/>
                    <w:rPr>
                      <w:szCs w:val="21"/>
                    </w:rPr>
                  </w:pPr>
                  <w:r>
                    <w:rPr>
                      <w:rFonts w:hint="eastAsia"/>
                      <w:szCs w:val="21"/>
                    </w:rPr>
                    <w:t>/</w:t>
                  </w:r>
                </w:p>
              </w:tc>
              <w:tc>
                <w:tcPr>
                  <w:tcW w:w="1336" w:type="dxa"/>
                  <w:vAlign w:val="center"/>
                </w:tcPr>
                <w:p>
                  <w:pPr>
                    <w:snapToGrid w:val="0"/>
                    <w:jc w:val="center"/>
                    <w:rPr>
                      <w:szCs w:val="21"/>
                    </w:rPr>
                  </w:pPr>
                  <w:r>
                    <w:rPr>
                      <w:rFonts w:hint="eastAsia"/>
                      <w:szCs w:val="21"/>
                    </w:rPr>
                    <w:t>/</w:t>
                  </w:r>
                </w:p>
              </w:tc>
              <w:tc>
                <w:tcPr>
                  <w:tcW w:w="720" w:type="dxa"/>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7" w:hRule="atLeast"/>
              </w:trPr>
              <w:tc>
                <w:tcPr>
                  <w:tcW w:w="939" w:type="dxa"/>
                  <w:vMerge w:val="continue"/>
                  <w:vAlign w:val="center"/>
                </w:tcPr>
                <w:p>
                  <w:pPr>
                    <w:snapToGrid w:val="0"/>
                    <w:jc w:val="center"/>
                    <w:rPr>
                      <w:szCs w:val="21"/>
                    </w:rPr>
                  </w:pPr>
                </w:p>
              </w:tc>
              <w:tc>
                <w:tcPr>
                  <w:tcW w:w="1936" w:type="dxa"/>
                  <w:tcBorders>
                    <w:bottom w:val="single" w:color="auto" w:sz="6" w:space="0"/>
                  </w:tcBorders>
                  <w:vAlign w:val="center"/>
                </w:tcPr>
                <w:p>
                  <w:pPr>
                    <w:adjustRightInd w:val="0"/>
                    <w:snapToGrid w:val="0"/>
                    <w:jc w:val="center"/>
                    <w:rPr>
                      <w:szCs w:val="21"/>
                    </w:rPr>
                  </w:pPr>
                  <w:r>
                    <w:rPr>
                      <w:rFonts w:hint="eastAsia"/>
                      <w:szCs w:val="21"/>
                    </w:rPr>
                    <w:t>回收固体盐</w:t>
                  </w:r>
                </w:p>
              </w:tc>
              <w:tc>
                <w:tcPr>
                  <w:tcW w:w="3498" w:type="dxa"/>
                  <w:vAlign w:val="center"/>
                </w:tcPr>
                <w:p>
                  <w:pPr>
                    <w:adjustRightInd w:val="0"/>
                    <w:snapToGrid w:val="0"/>
                    <w:jc w:val="center"/>
                    <w:rPr>
                      <w:szCs w:val="21"/>
                    </w:rPr>
                  </w:pPr>
                  <w:r>
                    <w:rPr>
                      <w:rFonts w:hint="eastAsia"/>
                      <w:szCs w:val="21"/>
                    </w:rPr>
                    <w:t>作为氧化盐回用</w:t>
                  </w:r>
                </w:p>
              </w:tc>
              <w:tc>
                <w:tcPr>
                  <w:tcW w:w="1075" w:type="dxa"/>
                  <w:vAlign w:val="center"/>
                </w:tcPr>
                <w:p>
                  <w:pPr>
                    <w:snapToGrid w:val="0"/>
                    <w:jc w:val="center"/>
                    <w:rPr>
                      <w:szCs w:val="21"/>
                    </w:rPr>
                  </w:pPr>
                  <w:r>
                    <w:rPr>
                      <w:rFonts w:hint="eastAsia"/>
                      <w:szCs w:val="21"/>
                    </w:rPr>
                    <w:t>/</w:t>
                  </w:r>
                </w:p>
              </w:tc>
              <w:tc>
                <w:tcPr>
                  <w:tcW w:w="1336" w:type="dxa"/>
                  <w:vAlign w:val="center"/>
                </w:tcPr>
                <w:p>
                  <w:pPr>
                    <w:snapToGrid w:val="0"/>
                    <w:jc w:val="center"/>
                    <w:rPr>
                      <w:szCs w:val="21"/>
                    </w:rPr>
                  </w:pPr>
                  <w:r>
                    <w:rPr>
                      <w:rFonts w:hint="eastAsia"/>
                      <w:szCs w:val="21"/>
                    </w:rPr>
                    <w:t>/</w:t>
                  </w:r>
                </w:p>
              </w:tc>
              <w:tc>
                <w:tcPr>
                  <w:tcW w:w="720" w:type="dxa"/>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5" w:hRule="atLeast"/>
              </w:trPr>
              <w:tc>
                <w:tcPr>
                  <w:tcW w:w="939" w:type="dxa"/>
                  <w:vMerge w:val="continue"/>
                  <w:vAlign w:val="center"/>
                </w:tcPr>
                <w:p>
                  <w:pPr>
                    <w:snapToGrid w:val="0"/>
                    <w:jc w:val="center"/>
                    <w:rPr>
                      <w:szCs w:val="21"/>
                    </w:rPr>
                  </w:pPr>
                </w:p>
              </w:tc>
              <w:tc>
                <w:tcPr>
                  <w:tcW w:w="1936" w:type="dxa"/>
                  <w:tcBorders>
                    <w:bottom w:val="single" w:color="auto" w:sz="6" w:space="0"/>
                  </w:tcBorders>
                  <w:vAlign w:val="center"/>
                </w:tcPr>
                <w:p>
                  <w:pPr>
                    <w:adjustRightInd w:val="0"/>
                    <w:snapToGrid w:val="0"/>
                    <w:jc w:val="center"/>
                    <w:rPr>
                      <w:szCs w:val="21"/>
                    </w:rPr>
                  </w:pPr>
                  <w:r>
                    <w:rPr>
                      <w:rFonts w:hint="eastAsia"/>
                      <w:szCs w:val="21"/>
                    </w:rPr>
                    <w:t>氮化盐及调整盐废包装袋</w:t>
                  </w:r>
                </w:p>
              </w:tc>
              <w:tc>
                <w:tcPr>
                  <w:tcW w:w="3498" w:type="dxa"/>
                  <w:vAlign w:val="center"/>
                </w:tcPr>
                <w:p>
                  <w:pPr>
                    <w:adjustRightInd w:val="0"/>
                    <w:snapToGrid w:val="0"/>
                    <w:jc w:val="center"/>
                    <w:rPr>
                      <w:szCs w:val="21"/>
                    </w:rPr>
                  </w:pPr>
                  <w:r>
                    <w:rPr>
                      <w:rFonts w:hint="eastAsia"/>
                      <w:szCs w:val="21"/>
                    </w:rPr>
                    <w:t>收集后外卖</w:t>
                  </w:r>
                </w:p>
              </w:tc>
              <w:tc>
                <w:tcPr>
                  <w:tcW w:w="1075" w:type="dxa"/>
                  <w:vAlign w:val="center"/>
                </w:tcPr>
                <w:p>
                  <w:pPr>
                    <w:snapToGrid w:val="0"/>
                    <w:jc w:val="center"/>
                    <w:rPr>
                      <w:szCs w:val="21"/>
                    </w:rPr>
                  </w:pPr>
                  <w:r>
                    <w:rPr>
                      <w:szCs w:val="21"/>
                    </w:rPr>
                    <w:t>/</w:t>
                  </w:r>
                </w:p>
              </w:tc>
              <w:tc>
                <w:tcPr>
                  <w:tcW w:w="1336" w:type="dxa"/>
                  <w:vAlign w:val="center"/>
                </w:tcPr>
                <w:p>
                  <w:pPr>
                    <w:snapToGrid w:val="0"/>
                    <w:jc w:val="center"/>
                    <w:rPr>
                      <w:szCs w:val="21"/>
                    </w:rPr>
                  </w:pPr>
                  <w:r>
                    <w:rPr>
                      <w:szCs w:val="21"/>
                    </w:rPr>
                    <w:t>/</w:t>
                  </w:r>
                </w:p>
              </w:tc>
              <w:tc>
                <w:tcPr>
                  <w:tcW w:w="720" w:type="dxa"/>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5" w:hRule="atLeast"/>
              </w:trPr>
              <w:tc>
                <w:tcPr>
                  <w:tcW w:w="939" w:type="dxa"/>
                  <w:vMerge w:val="continue"/>
                  <w:vAlign w:val="center"/>
                </w:tcPr>
                <w:p>
                  <w:pPr>
                    <w:snapToGrid w:val="0"/>
                    <w:jc w:val="center"/>
                    <w:rPr>
                      <w:szCs w:val="21"/>
                    </w:rPr>
                  </w:pPr>
                </w:p>
              </w:tc>
              <w:tc>
                <w:tcPr>
                  <w:tcW w:w="1936" w:type="dxa"/>
                  <w:tcBorders>
                    <w:top w:val="single" w:color="auto" w:sz="4" w:space="0"/>
                    <w:bottom w:val="single" w:color="auto" w:sz="4" w:space="0"/>
                  </w:tcBorders>
                  <w:vAlign w:val="center"/>
                </w:tcPr>
                <w:p>
                  <w:pPr>
                    <w:adjustRightInd w:val="0"/>
                    <w:snapToGrid w:val="0"/>
                    <w:jc w:val="center"/>
                    <w:rPr>
                      <w:szCs w:val="21"/>
                    </w:rPr>
                  </w:pPr>
                  <w:r>
                    <w:rPr>
                      <w:rFonts w:hint="eastAsia"/>
                      <w:szCs w:val="21"/>
                    </w:rPr>
                    <w:t>生活垃圾</w:t>
                  </w:r>
                </w:p>
              </w:tc>
              <w:tc>
                <w:tcPr>
                  <w:tcW w:w="3498" w:type="dxa"/>
                  <w:tcBorders>
                    <w:top w:val="single" w:color="auto" w:sz="4" w:space="0"/>
                  </w:tcBorders>
                  <w:vAlign w:val="center"/>
                </w:tcPr>
                <w:p>
                  <w:pPr>
                    <w:adjustRightInd w:val="0"/>
                    <w:snapToGrid w:val="0"/>
                    <w:jc w:val="center"/>
                    <w:rPr>
                      <w:szCs w:val="21"/>
                    </w:rPr>
                  </w:pPr>
                  <w:r>
                    <w:rPr>
                      <w:rFonts w:hint="eastAsia"/>
                      <w:szCs w:val="21"/>
                    </w:rPr>
                    <w:t>本项目不新增生活垃圾</w:t>
                  </w:r>
                </w:p>
              </w:tc>
              <w:tc>
                <w:tcPr>
                  <w:tcW w:w="1075" w:type="dxa"/>
                  <w:vAlign w:val="center"/>
                </w:tcPr>
                <w:p>
                  <w:pPr>
                    <w:snapToGrid w:val="0"/>
                    <w:jc w:val="center"/>
                    <w:rPr>
                      <w:szCs w:val="21"/>
                    </w:rPr>
                  </w:pPr>
                  <w:r>
                    <w:rPr>
                      <w:rFonts w:hint="eastAsia"/>
                      <w:szCs w:val="21"/>
                    </w:rPr>
                    <w:t>/</w:t>
                  </w:r>
                </w:p>
              </w:tc>
              <w:tc>
                <w:tcPr>
                  <w:tcW w:w="1336" w:type="dxa"/>
                  <w:vAlign w:val="center"/>
                </w:tcPr>
                <w:p>
                  <w:pPr>
                    <w:snapToGrid w:val="0"/>
                    <w:jc w:val="center"/>
                    <w:rPr>
                      <w:szCs w:val="21"/>
                    </w:rPr>
                  </w:pPr>
                  <w:r>
                    <w:rPr>
                      <w:szCs w:val="21"/>
                    </w:rPr>
                    <w:t>/</w:t>
                  </w:r>
                </w:p>
              </w:tc>
              <w:tc>
                <w:tcPr>
                  <w:tcW w:w="720" w:type="dxa"/>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5" w:hRule="atLeast"/>
              </w:trPr>
              <w:tc>
                <w:tcPr>
                  <w:tcW w:w="939" w:type="dxa"/>
                  <w:vMerge w:val="continue"/>
                  <w:vAlign w:val="center"/>
                </w:tcPr>
                <w:p>
                  <w:pPr>
                    <w:snapToGrid w:val="0"/>
                    <w:jc w:val="center"/>
                    <w:rPr>
                      <w:szCs w:val="21"/>
                    </w:rPr>
                  </w:pPr>
                </w:p>
              </w:tc>
              <w:tc>
                <w:tcPr>
                  <w:tcW w:w="1936" w:type="dxa"/>
                  <w:tcBorders>
                    <w:top w:val="single" w:color="auto" w:sz="4" w:space="0"/>
                    <w:bottom w:val="single" w:color="auto" w:sz="4" w:space="0"/>
                  </w:tcBorders>
                  <w:vAlign w:val="center"/>
                </w:tcPr>
                <w:p>
                  <w:pPr>
                    <w:adjustRightInd w:val="0"/>
                    <w:snapToGrid w:val="0"/>
                    <w:jc w:val="center"/>
                    <w:rPr>
                      <w:szCs w:val="21"/>
                    </w:rPr>
                  </w:pPr>
                  <w:r>
                    <w:rPr>
                      <w:rFonts w:hint="eastAsia"/>
                      <w:szCs w:val="21"/>
                    </w:rPr>
                    <w:t>氧化盐废包装袋</w:t>
                  </w:r>
                </w:p>
              </w:tc>
              <w:tc>
                <w:tcPr>
                  <w:tcW w:w="3498" w:type="dxa"/>
                  <w:vMerge w:val="restart"/>
                  <w:tcBorders>
                    <w:top w:val="single" w:color="auto" w:sz="4" w:space="0"/>
                  </w:tcBorders>
                  <w:vAlign w:val="center"/>
                </w:tcPr>
                <w:p>
                  <w:pPr>
                    <w:adjustRightInd w:val="0"/>
                    <w:snapToGrid w:val="0"/>
                    <w:jc w:val="center"/>
                    <w:rPr>
                      <w:szCs w:val="21"/>
                    </w:rPr>
                  </w:pPr>
                  <w:r>
                    <w:rPr>
                      <w:rFonts w:hint="eastAsia"/>
                      <w:szCs w:val="21"/>
                    </w:rPr>
                    <w:t>收集后交由有资质单位进行处理</w:t>
                  </w:r>
                </w:p>
              </w:tc>
              <w:tc>
                <w:tcPr>
                  <w:tcW w:w="1075" w:type="dxa"/>
                  <w:vAlign w:val="center"/>
                </w:tcPr>
                <w:p>
                  <w:pPr>
                    <w:snapToGrid w:val="0"/>
                    <w:jc w:val="center"/>
                    <w:rPr>
                      <w:szCs w:val="21"/>
                    </w:rPr>
                  </w:pPr>
                  <w:r>
                    <w:rPr>
                      <w:rFonts w:hint="eastAsia"/>
                      <w:szCs w:val="21"/>
                    </w:rPr>
                    <w:t>/</w:t>
                  </w:r>
                </w:p>
              </w:tc>
              <w:tc>
                <w:tcPr>
                  <w:tcW w:w="1336" w:type="dxa"/>
                  <w:vMerge w:val="restart"/>
                  <w:vAlign w:val="center"/>
                </w:tcPr>
                <w:p>
                  <w:pPr>
                    <w:snapToGrid w:val="0"/>
                    <w:jc w:val="center"/>
                    <w:rPr>
                      <w:szCs w:val="21"/>
                    </w:rPr>
                  </w:pPr>
                  <w:r>
                    <w:rPr>
                      <w:szCs w:val="21"/>
                    </w:rPr>
                    <w:t>1.5</w:t>
                  </w:r>
                </w:p>
              </w:tc>
              <w:tc>
                <w:tcPr>
                  <w:tcW w:w="720" w:type="dxa"/>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5" w:hRule="atLeast"/>
              </w:trPr>
              <w:tc>
                <w:tcPr>
                  <w:tcW w:w="939" w:type="dxa"/>
                  <w:vMerge w:val="continue"/>
                  <w:vAlign w:val="center"/>
                </w:tcPr>
                <w:p>
                  <w:pPr>
                    <w:snapToGrid w:val="0"/>
                    <w:jc w:val="center"/>
                    <w:rPr>
                      <w:szCs w:val="21"/>
                    </w:rPr>
                  </w:pPr>
                </w:p>
              </w:tc>
              <w:tc>
                <w:tcPr>
                  <w:tcW w:w="1936" w:type="dxa"/>
                  <w:tcBorders>
                    <w:top w:val="single" w:color="auto" w:sz="4" w:space="0"/>
                    <w:bottom w:val="single" w:color="auto" w:sz="4" w:space="0"/>
                  </w:tcBorders>
                  <w:vAlign w:val="center"/>
                </w:tcPr>
                <w:p>
                  <w:pPr>
                    <w:adjustRightInd w:val="0"/>
                    <w:snapToGrid w:val="0"/>
                    <w:jc w:val="center"/>
                    <w:rPr>
                      <w:szCs w:val="21"/>
                    </w:rPr>
                  </w:pPr>
                  <w:r>
                    <w:rPr>
                      <w:rFonts w:hint="eastAsia"/>
                      <w:szCs w:val="21"/>
                    </w:rPr>
                    <w:t>检修废油</w:t>
                  </w:r>
                </w:p>
              </w:tc>
              <w:tc>
                <w:tcPr>
                  <w:tcW w:w="3498" w:type="dxa"/>
                  <w:vMerge w:val="continue"/>
                  <w:vAlign w:val="center"/>
                </w:tcPr>
                <w:p>
                  <w:pPr>
                    <w:adjustRightInd w:val="0"/>
                    <w:snapToGrid w:val="0"/>
                    <w:jc w:val="center"/>
                    <w:rPr>
                      <w:szCs w:val="21"/>
                    </w:rPr>
                  </w:pPr>
                </w:p>
              </w:tc>
              <w:tc>
                <w:tcPr>
                  <w:tcW w:w="1075" w:type="dxa"/>
                  <w:vAlign w:val="center"/>
                </w:tcPr>
                <w:p>
                  <w:pPr>
                    <w:snapToGrid w:val="0"/>
                    <w:jc w:val="center"/>
                    <w:rPr>
                      <w:szCs w:val="21"/>
                    </w:rPr>
                  </w:pPr>
                  <w:r>
                    <w:rPr>
                      <w:rFonts w:hint="eastAsia"/>
                      <w:szCs w:val="21"/>
                    </w:rPr>
                    <w:t>/</w:t>
                  </w:r>
                </w:p>
              </w:tc>
              <w:tc>
                <w:tcPr>
                  <w:tcW w:w="1336" w:type="dxa"/>
                  <w:vMerge w:val="continue"/>
                  <w:vAlign w:val="center"/>
                </w:tcPr>
                <w:p>
                  <w:pPr>
                    <w:snapToGrid w:val="0"/>
                    <w:jc w:val="center"/>
                    <w:rPr>
                      <w:szCs w:val="21"/>
                    </w:rPr>
                  </w:pPr>
                </w:p>
              </w:tc>
              <w:tc>
                <w:tcPr>
                  <w:tcW w:w="720" w:type="dxa"/>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4" w:hRule="atLeast"/>
              </w:trPr>
              <w:tc>
                <w:tcPr>
                  <w:tcW w:w="939" w:type="dxa"/>
                  <w:vAlign w:val="center"/>
                </w:tcPr>
                <w:p>
                  <w:pPr>
                    <w:snapToGrid w:val="0"/>
                    <w:jc w:val="center"/>
                    <w:rPr>
                      <w:szCs w:val="21"/>
                    </w:rPr>
                  </w:pPr>
                  <w:r>
                    <w:rPr>
                      <w:szCs w:val="21"/>
                    </w:rPr>
                    <w:t>噪声</w:t>
                  </w:r>
                </w:p>
              </w:tc>
              <w:tc>
                <w:tcPr>
                  <w:tcW w:w="1936" w:type="dxa"/>
                  <w:vAlign w:val="center"/>
                </w:tcPr>
                <w:p>
                  <w:pPr>
                    <w:snapToGrid w:val="0"/>
                    <w:jc w:val="center"/>
                    <w:rPr>
                      <w:szCs w:val="21"/>
                    </w:rPr>
                  </w:pPr>
                  <w:r>
                    <w:rPr>
                      <w:szCs w:val="21"/>
                    </w:rPr>
                    <w:t>设备</w:t>
                  </w:r>
                  <w:r>
                    <w:rPr>
                      <w:rFonts w:hint="eastAsia"/>
                      <w:szCs w:val="21"/>
                    </w:rPr>
                    <w:t>、</w:t>
                  </w:r>
                  <w:r>
                    <w:rPr>
                      <w:szCs w:val="21"/>
                    </w:rPr>
                    <w:t>车间</w:t>
                  </w:r>
                </w:p>
              </w:tc>
              <w:tc>
                <w:tcPr>
                  <w:tcW w:w="3498" w:type="dxa"/>
                  <w:vAlign w:val="center"/>
                </w:tcPr>
                <w:p>
                  <w:pPr>
                    <w:snapToGrid w:val="0"/>
                    <w:jc w:val="center"/>
                    <w:rPr>
                      <w:szCs w:val="21"/>
                    </w:rPr>
                  </w:pPr>
                  <w:r>
                    <w:rPr>
                      <w:szCs w:val="21"/>
                    </w:rPr>
                    <w:t>隔声</w:t>
                  </w:r>
                  <w:r>
                    <w:rPr>
                      <w:rFonts w:hint="eastAsia"/>
                      <w:szCs w:val="21"/>
                    </w:rPr>
                    <w:t>、</w:t>
                  </w:r>
                  <w:r>
                    <w:rPr>
                      <w:szCs w:val="21"/>
                    </w:rPr>
                    <w:t>减振措施</w:t>
                  </w:r>
                </w:p>
              </w:tc>
              <w:tc>
                <w:tcPr>
                  <w:tcW w:w="1075" w:type="dxa"/>
                  <w:vAlign w:val="center"/>
                </w:tcPr>
                <w:p>
                  <w:pPr>
                    <w:snapToGrid w:val="0"/>
                    <w:jc w:val="center"/>
                    <w:rPr>
                      <w:szCs w:val="21"/>
                    </w:rPr>
                  </w:pPr>
                  <w:r>
                    <w:rPr>
                      <w:szCs w:val="21"/>
                    </w:rPr>
                    <w:t>/</w:t>
                  </w:r>
                </w:p>
              </w:tc>
              <w:tc>
                <w:tcPr>
                  <w:tcW w:w="1336" w:type="dxa"/>
                  <w:vAlign w:val="center"/>
                </w:tcPr>
                <w:p>
                  <w:pPr>
                    <w:snapToGrid w:val="0"/>
                    <w:jc w:val="center"/>
                    <w:rPr>
                      <w:szCs w:val="21"/>
                    </w:rPr>
                  </w:pPr>
                  <w:r>
                    <w:rPr>
                      <w:szCs w:val="21"/>
                    </w:rPr>
                    <w:t>2.0</w:t>
                  </w:r>
                </w:p>
              </w:tc>
              <w:tc>
                <w:tcPr>
                  <w:tcW w:w="720" w:type="dxa"/>
                  <w:vAlign w:val="center"/>
                </w:tcPr>
                <w:p>
                  <w:pPr>
                    <w:snapToGrid w:val="0"/>
                    <w:jc w:val="center"/>
                    <w:rPr>
                      <w:szCs w:val="21"/>
                    </w:rPr>
                  </w:pPr>
                  <w:r>
                    <w:rPr>
                      <w:rFonts w:hint="eastAsia"/>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6" w:hRule="atLeast"/>
              </w:trPr>
              <w:tc>
                <w:tcPr>
                  <w:tcW w:w="939" w:type="dxa"/>
                  <w:vMerge w:val="restart"/>
                  <w:vAlign w:val="center"/>
                </w:tcPr>
                <w:p>
                  <w:pPr>
                    <w:snapToGrid w:val="0"/>
                    <w:jc w:val="center"/>
                    <w:rPr>
                      <w:szCs w:val="21"/>
                    </w:rPr>
                  </w:pPr>
                  <w:r>
                    <w:rPr>
                      <w:szCs w:val="21"/>
                    </w:rPr>
                    <w:t>废气</w:t>
                  </w:r>
                </w:p>
              </w:tc>
              <w:tc>
                <w:tcPr>
                  <w:tcW w:w="1936" w:type="dxa"/>
                  <w:vAlign w:val="center"/>
                </w:tcPr>
                <w:p>
                  <w:pPr>
                    <w:snapToGrid w:val="0"/>
                    <w:jc w:val="center"/>
                    <w:rPr>
                      <w:szCs w:val="21"/>
                    </w:rPr>
                  </w:pPr>
                  <w:r>
                    <w:rPr>
                      <w:rFonts w:hint="eastAsia"/>
                      <w:szCs w:val="21"/>
                    </w:rPr>
                    <w:t>含氨废气</w:t>
                  </w:r>
                </w:p>
              </w:tc>
              <w:tc>
                <w:tcPr>
                  <w:tcW w:w="3498" w:type="dxa"/>
                  <w:vAlign w:val="center"/>
                </w:tcPr>
                <w:p>
                  <w:pPr>
                    <w:snapToGrid w:val="0"/>
                    <w:jc w:val="center"/>
                    <w:rPr>
                      <w:szCs w:val="21"/>
                    </w:rPr>
                  </w:pPr>
                  <w:r>
                    <w:rPr>
                      <w:rFonts w:hint="eastAsia"/>
                      <w:szCs w:val="21"/>
                    </w:rPr>
                    <w:t>集气罩+负压抽风+水喷淋+光氧催化+</w:t>
                  </w:r>
                  <w:r>
                    <w:rPr>
                      <w:szCs w:val="21"/>
                    </w:rPr>
                    <w:t>15</w:t>
                  </w:r>
                  <w:r>
                    <w:rPr>
                      <w:rFonts w:hint="eastAsia"/>
                      <w:szCs w:val="21"/>
                    </w:rPr>
                    <w:t>m高排气筒</w:t>
                  </w:r>
                </w:p>
              </w:tc>
              <w:tc>
                <w:tcPr>
                  <w:tcW w:w="1075" w:type="dxa"/>
                  <w:vAlign w:val="center"/>
                </w:tcPr>
                <w:p>
                  <w:pPr>
                    <w:snapToGrid w:val="0"/>
                    <w:jc w:val="center"/>
                    <w:rPr>
                      <w:szCs w:val="21"/>
                    </w:rPr>
                  </w:pPr>
                  <w:r>
                    <w:rPr>
                      <w:rFonts w:hint="eastAsia"/>
                      <w:szCs w:val="21"/>
                    </w:rPr>
                    <w:t>1套</w:t>
                  </w:r>
                </w:p>
              </w:tc>
              <w:tc>
                <w:tcPr>
                  <w:tcW w:w="1336" w:type="dxa"/>
                  <w:vAlign w:val="center"/>
                </w:tcPr>
                <w:p>
                  <w:pPr>
                    <w:snapToGrid w:val="0"/>
                    <w:jc w:val="center"/>
                    <w:rPr>
                      <w:szCs w:val="21"/>
                    </w:rPr>
                  </w:pPr>
                  <w:r>
                    <w:rPr>
                      <w:szCs w:val="21"/>
                    </w:rPr>
                    <w:t>10</w:t>
                  </w:r>
                </w:p>
              </w:tc>
              <w:tc>
                <w:tcPr>
                  <w:tcW w:w="720" w:type="dxa"/>
                  <w:vAlign w:val="center"/>
                </w:tcPr>
                <w:p>
                  <w:pPr>
                    <w:snapToGrid w:val="0"/>
                    <w:jc w:val="center"/>
                    <w:rPr>
                      <w:szCs w:val="21"/>
                    </w:rPr>
                  </w:pPr>
                  <w:r>
                    <w:rPr>
                      <w:rFonts w:hint="eastAsia"/>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6" w:hRule="atLeast"/>
              </w:trPr>
              <w:tc>
                <w:tcPr>
                  <w:tcW w:w="939" w:type="dxa"/>
                  <w:vMerge w:val="continue"/>
                  <w:vAlign w:val="center"/>
                </w:tcPr>
                <w:p>
                  <w:pPr>
                    <w:snapToGrid w:val="0"/>
                    <w:jc w:val="center"/>
                    <w:rPr>
                      <w:szCs w:val="21"/>
                    </w:rPr>
                  </w:pPr>
                </w:p>
              </w:tc>
              <w:tc>
                <w:tcPr>
                  <w:tcW w:w="1936" w:type="dxa"/>
                  <w:vAlign w:val="center"/>
                </w:tcPr>
                <w:p>
                  <w:pPr>
                    <w:snapToGrid w:val="0"/>
                    <w:jc w:val="center"/>
                    <w:rPr>
                      <w:szCs w:val="21"/>
                    </w:rPr>
                  </w:pPr>
                  <w:r>
                    <w:rPr>
                      <w:rFonts w:hint="eastAsia"/>
                      <w:szCs w:val="21"/>
                    </w:rPr>
                    <w:t>抛光粉尘</w:t>
                  </w:r>
                </w:p>
              </w:tc>
              <w:tc>
                <w:tcPr>
                  <w:tcW w:w="3498" w:type="dxa"/>
                  <w:vAlign w:val="center"/>
                </w:tcPr>
                <w:p>
                  <w:pPr>
                    <w:snapToGrid w:val="0"/>
                    <w:jc w:val="center"/>
                    <w:rPr>
                      <w:szCs w:val="21"/>
                    </w:rPr>
                  </w:pPr>
                  <w:r>
                    <w:rPr>
                      <w:rFonts w:hint="eastAsia"/>
                      <w:szCs w:val="21"/>
                    </w:rPr>
                    <w:t>布袋除尘</w:t>
                  </w:r>
                </w:p>
              </w:tc>
              <w:tc>
                <w:tcPr>
                  <w:tcW w:w="1075" w:type="dxa"/>
                  <w:vAlign w:val="center"/>
                </w:tcPr>
                <w:p>
                  <w:pPr>
                    <w:snapToGrid w:val="0"/>
                    <w:jc w:val="center"/>
                    <w:rPr>
                      <w:szCs w:val="21"/>
                    </w:rPr>
                  </w:pPr>
                  <w:r>
                    <w:rPr>
                      <w:rFonts w:hint="eastAsia"/>
                      <w:szCs w:val="21"/>
                    </w:rPr>
                    <w:t>1套</w:t>
                  </w:r>
                </w:p>
              </w:tc>
              <w:tc>
                <w:tcPr>
                  <w:tcW w:w="1336" w:type="dxa"/>
                  <w:vAlign w:val="center"/>
                </w:tcPr>
                <w:p>
                  <w:pPr>
                    <w:snapToGrid w:val="0"/>
                    <w:jc w:val="center"/>
                    <w:rPr>
                      <w:szCs w:val="21"/>
                    </w:rPr>
                  </w:pPr>
                  <w:r>
                    <w:rPr>
                      <w:szCs w:val="21"/>
                    </w:rPr>
                    <w:t>1.5</w:t>
                  </w:r>
                </w:p>
              </w:tc>
              <w:tc>
                <w:tcPr>
                  <w:tcW w:w="720" w:type="dxa"/>
                  <w:vAlign w:val="center"/>
                </w:tcPr>
                <w:p>
                  <w:pPr>
                    <w:snapToGrid w:val="0"/>
                    <w:jc w:val="center"/>
                    <w:rPr>
                      <w:szCs w:val="21"/>
                    </w:rPr>
                  </w:pPr>
                  <w:r>
                    <w:rPr>
                      <w:rFonts w:hint="eastAsia"/>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7" w:hRule="atLeast"/>
              </w:trPr>
              <w:tc>
                <w:tcPr>
                  <w:tcW w:w="939" w:type="dxa"/>
                  <w:vAlign w:val="center"/>
                </w:tcPr>
                <w:p>
                  <w:pPr>
                    <w:snapToGrid w:val="0"/>
                    <w:jc w:val="center"/>
                    <w:rPr>
                      <w:szCs w:val="21"/>
                    </w:rPr>
                  </w:pPr>
                  <w:r>
                    <w:rPr>
                      <w:szCs w:val="21"/>
                    </w:rPr>
                    <w:t>合计</w:t>
                  </w:r>
                </w:p>
              </w:tc>
              <w:tc>
                <w:tcPr>
                  <w:tcW w:w="1936" w:type="dxa"/>
                  <w:vAlign w:val="center"/>
                </w:tcPr>
                <w:p>
                  <w:pPr>
                    <w:snapToGrid w:val="0"/>
                    <w:jc w:val="center"/>
                    <w:rPr>
                      <w:szCs w:val="21"/>
                    </w:rPr>
                  </w:pPr>
                  <w:r>
                    <w:rPr>
                      <w:rFonts w:hint="eastAsia"/>
                      <w:szCs w:val="21"/>
                    </w:rPr>
                    <w:t>/</w:t>
                  </w:r>
                </w:p>
              </w:tc>
              <w:tc>
                <w:tcPr>
                  <w:tcW w:w="3498" w:type="dxa"/>
                  <w:vAlign w:val="center"/>
                </w:tcPr>
                <w:p>
                  <w:pPr>
                    <w:snapToGrid w:val="0"/>
                    <w:jc w:val="center"/>
                    <w:rPr>
                      <w:szCs w:val="21"/>
                    </w:rPr>
                  </w:pPr>
                  <w:r>
                    <w:rPr>
                      <w:rFonts w:hint="eastAsia"/>
                      <w:szCs w:val="21"/>
                    </w:rPr>
                    <w:t>/</w:t>
                  </w:r>
                </w:p>
              </w:tc>
              <w:tc>
                <w:tcPr>
                  <w:tcW w:w="1075" w:type="dxa"/>
                  <w:vAlign w:val="center"/>
                </w:tcPr>
                <w:p>
                  <w:pPr>
                    <w:snapToGrid w:val="0"/>
                    <w:jc w:val="center"/>
                    <w:rPr>
                      <w:szCs w:val="21"/>
                    </w:rPr>
                  </w:pPr>
                  <w:r>
                    <w:rPr>
                      <w:rFonts w:hint="eastAsia"/>
                      <w:szCs w:val="21"/>
                    </w:rPr>
                    <w:t>/</w:t>
                  </w:r>
                </w:p>
              </w:tc>
              <w:tc>
                <w:tcPr>
                  <w:tcW w:w="1336" w:type="dxa"/>
                  <w:vAlign w:val="center"/>
                </w:tcPr>
                <w:p>
                  <w:pPr>
                    <w:snapToGrid w:val="0"/>
                    <w:jc w:val="center"/>
                    <w:rPr>
                      <w:szCs w:val="21"/>
                    </w:rPr>
                  </w:pPr>
                  <w:r>
                    <w:rPr>
                      <w:szCs w:val="21"/>
                    </w:rPr>
                    <w:t>19</w:t>
                  </w:r>
                </w:p>
              </w:tc>
              <w:tc>
                <w:tcPr>
                  <w:tcW w:w="720" w:type="dxa"/>
                  <w:vAlign w:val="center"/>
                </w:tcPr>
                <w:p>
                  <w:pPr>
                    <w:snapToGrid w:val="0"/>
                    <w:jc w:val="center"/>
                    <w:rPr>
                      <w:szCs w:val="21"/>
                    </w:rPr>
                  </w:pPr>
                </w:p>
              </w:tc>
            </w:tr>
          </w:tbl>
          <w:p>
            <w:pPr>
              <w:spacing w:line="360" w:lineRule="auto"/>
              <w:ind w:firstLine="570"/>
              <w:rPr>
                <w:sz w:val="24"/>
              </w:rPr>
            </w:pPr>
            <w:r>
              <w:rPr>
                <w:sz w:val="24"/>
              </w:rPr>
              <w:t>本项目环保投资19万元，总投资50万元，环保投资占总投资的百分率为38%</w:t>
            </w:r>
            <w:r>
              <w:rPr>
                <w:rFonts w:hint="eastAsia"/>
                <w:sz w:val="24"/>
              </w:rPr>
              <w:t>。</w:t>
            </w:r>
          </w:p>
        </w:tc>
      </w:tr>
    </w:tbl>
    <w:p>
      <w:pPr>
        <w:spacing w:line="360" w:lineRule="auto"/>
        <w:rPr>
          <w:rFonts w:eastAsia="黑体"/>
          <w:b/>
          <w:sz w:val="30"/>
        </w:rPr>
        <w:sectPr>
          <w:footerReference r:id="rId9" w:type="default"/>
          <w:pgSz w:w="11906" w:h="16838"/>
          <w:pgMar w:top="1418" w:right="1418" w:bottom="1701" w:left="1418" w:header="851" w:footer="992" w:gutter="0"/>
          <w:pgNumType w:start="1"/>
          <w:cols w:space="720" w:num="1"/>
          <w:docGrid w:type="lines" w:linePitch="312" w:charSpace="0"/>
        </w:sectPr>
      </w:pPr>
    </w:p>
    <w:p>
      <w:pPr>
        <w:pStyle w:val="3"/>
        <w:jc w:val="both"/>
        <w:rPr>
          <w:rFonts w:ascii="宋体" w:hAnsi="宋体" w:cs="宋体"/>
          <w:b/>
          <w:bCs/>
          <w:sz w:val="30"/>
          <w:szCs w:val="30"/>
        </w:rPr>
      </w:pPr>
      <w:r>
        <w:rPr>
          <w:rFonts w:hint="eastAsia" w:ascii="宋体" w:hAnsi="宋体" w:cs="宋体"/>
          <w:b/>
          <w:bCs/>
          <w:sz w:val="30"/>
          <w:szCs w:val="30"/>
        </w:rPr>
        <w:t>表八、建设项目拟采取的防治措施及预期治理效果</w:t>
      </w:r>
    </w:p>
    <w:tbl>
      <w:tblPr>
        <w:tblStyle w:val="53"/>
        <w:tblW w:w="9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9"/>
        <w:gridCol w:w="1206"/>
        <w:gridCol w:w="2126"/>
        <w:gridCol w:w="2410"/>
        <w:gridCol w:w="2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trPr>
        <w:tc>
          <w:tcPr>
            <w:tcW w:w="1029" w:type="dxa"/>
            <w:tcBorders>
              <w:top w:val="single" w:color="auto" w:sz="12" w:space="0"/>
              <w:bottom w:val="single" w:color="auto" w:sz="4" w:space="0"/>
              <w:tl2br w:val="single" w:color="auto" w:sz="8" w:space="0"/>
            </w:tcBorders>
            <w:vAlign w:val="center"/>
          </w:tcPr>
          <w:p>
            <w:pPr>
              <w:adjustRightInd w:val="0"/>
              <w:snapToGrid w:val="0"/>
              <w:ind w:firstLine="315" w:firstLineChars="150"/>
              <w:rPr>
                <w:szCs w:val="21"/>
              </w:rPr>
            </w:pPr>
            <w:r>
              <w:rPr>
                <w:szCs w:val="21"/>
              </w:rPr>
              <w:t>内容</w:t>
            </w:r>
          </w:p>
          <w:p>
            <w:pPr>
              <w:adjustRightInd w:val="0"/>
              <w:snapToGrid w:val="0"/>
              <w:rPr>
                <w:szCs w:val="21"/>
              </w:rPr>
            </w:pPr>
            <w:r>
              <w:rPr>
                <w:szCs w:val="21"/>
              </w:rPr>
              <w:t>类型</w:t>
            </w:r>
          </w:p>
        </w:tc>
        <w:tc>
          <w:tcPr>
            <w:tcW w:w="1206" w:type="dxa"/>
            <w:tcBorders>
              <w:top w:val="single" w:color="auto" w:sz="12" w:space="0"/>
            </w:tcBorders>
            <w:vAlign w:val="center"/>
          </w:tcPr>
          <w:p>
            <w:pPr>
              <w:adjustRightInd w:val="0"/>
              <w:snapToGrid w:val="0"/>
              <w:jc w:val="center"/>
              <w:rPr>
                <w:szCs w:val="21"/>
              </w:rPr>
            </w:pPr>
            <w:r>
              <w:rPr>
                <w:szCs w:val="21"/>
              </w:rPr>
              <w:t>排放源</w:t>
            </w:r>
          </w:p>
        </w:tc>
        <w:tc>
          <w:tcPr>
            <w:tcW w:w="2126" w:type="dxa"/>
            <w:tcBorders>
              <w:top w:val="single" w:color="auto" w:sz="12" w:space="0"/>
              <w:bottom w:val="single" w:color="auto" w:sz="4" w:space="0"/>
            </w:tcBorders>
            <w:vAlign w:val="center"/>
          </w:tcPr>
          <w:p>
            <w:pPr>
              <w:adjustRightInd w:val="0"/>
              <w:snapToGrid w:val="0"/>
              <w:jc w:val="center"/>
              <w:rPr>
                <w:szCs w:val="21"/>
              </w:rPr>
            </w:pPr>
            <w:r>
              <w:rPr>
                <w:szCs w:val="21"/>
              </w:rPr>
              <w:t>污染物名称</w:t>
            </w:r>
          </w:p>
        </w:tc>
        <w:tc>
          <w:tcPr>
            <w:tcW w:w="2410" w:type="dxa"/>
            <w:tcBorders>
              <w:top w:val="single" w:color="auto" w:sz="12" w:space="0"/>
              <w:bottom w:val="single" w:color="auto" w:sz="4" w:space="0"/>
            </w:tcBorders>
            <w:vAlign w:val="center"/>
          </w:tcPr>
          <w:p>
            <w:pPr>
              <w:adjustRightInd w:val="0"/>
              <w:snapToGrid w:val="0"/>
              <w:jc w:val="center"/>
              <w:rPr>
                <w:szCs w:val="21"/>
              </w:rPr>
            </w:pPr>
            <w:r>
              <w:rPr>
                <w:szCs w:val="21"/>
              </w:rPr>
              <w:t>防治措施</w:t>
            </w:r>
          </w:p>
        </w:tc>
        <w:tc>
          <w:tcPr>
            <w:tcW w:w="2517" w:type="dxa"/>
            <w:tcBorders>
              <w:top w:val="single" w:color="auto" w:sz="12" w:space="0"/>
            </w:tcBorders>
            <w:vAlign w:val="center"/>
          </w:tcPr>
          <w:p>
            <w:pPr>
              <w:adjustRightInd w:val="0"/>
              <w:snapToGrid w:val="0"/>
              <w:jc w:val="center"/>
              <w:rPr>
                <w:szCs w:val="21"/>
              </w:rPr>
            </w:pPr>
            <w:r>
              <w:rPr>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1" w:hRule="atLeast"/>
        </w:trPr>
        <w:tc>
          <w:tcPr>
            <w:tcW w:w="1029" w:type="dxa"/>
            <w:vMerge w:val="restart"/>
            <w:tcBorders>
              <w:top w:val="single" w:color="auto" w:sz="4" w:space="0"/>
              <w:right w:val="single" w:color="auto" w:sz="8" w:space="0"/>
            </w:tcBorders>
            <w:vAlign w:val="center"/>
          </w:tcPr>
          <w:p>
            <w:pPr>
              <w:adjustRightInd w:val="0"/>
              <w:snapToGrid w:val="0"/>
              <w:rPr>
                <w:szCs w:val="21"/>
              </w:rPr>
            </w:pPr>
            <w:r>
              <w:rPr>
                <w:szCs w:val="21"/>
              </w:rPr>
              <w:t>大气污染物</w:t>
            </w:r>
          </w:p>
        </w:tc>
        <w:tc>
          <w:tcPr>
            <w:tcW w:w="1206" w:type="dxa"/>
            <w:tcBorders>
              <w:top w:val="single" w:color="auto" w:sz="8" w:space="0"/>
              <w:left w:val="single" w:color="auto" w:sz="8" w:space="0"/>
              <w:bottom w:val="single" w:color="auto" w:sz="4" w:space="0"/>
            </w:tcBorders>
            <w:vAlign w:val="center"/>
          </w:tcPr>
          <w:p>
            <w:pPr>
              <w:adjustRightInd w:val="0"/>
              <w:snapToGrid w:val="0"/>
              <w:jc w:val="center"/>
              <w:rPr>
                <w:szCs w:val="21"/>
              </w:rPr>
            </w:pPr>
            <w:r>
              <w:rPr>
                <w:rFonts w:hint="eastAsia"/>
                <w:szCs w:val="21"/>
              </w:rPr>
              <w:t>氮化</w:t>
            </w:r>
          </w:p>
        </w:tc>
        <w:tc>
          <w:tcPr>
            <w:tcW w:w="2126" w:type="dxa"/>
            <w:tcBorders>
              <w:top w:val="single" w:color="auto" w:sz="8" w:space="0"/>
              <w:bottom w:val="single" w:color="auto" w:sz="4" w:space="0"/>
            </w:tcBorders>
            <w:vAlign w:val="center"/>
          </w:tcPr>
          <w:p>
            <w:pPr>
              <w:adjustRightInd w:val="0"/>
              <w:snapToGrid w:val="0"/>
              <w:jc w:val="center"/>
              <w:rPr>
                <w:szCs w:val="21"/>
              </w:rPr>
            </w:pPr>
            <w:r>
              <w:rPr>
                <w:rFonts w:hint="eastAsia"/>
                <w:szCs w:val="21"/>
              </w:rPr>
              <w:t>含氨废气</w:t>
            </w:r>
          </w:p>
        </w:tc>
        <w:tc>
          <w:tcPr>
            <w:tcW w:w="2410" w:type="dxa"/>
            <w:tcBorders>
              <w:top w:val="single" w:color="auto" w:sz="8" w:space="0"/>
              <w:bottom w:val="single" w:color="auto" w:sz="4" w:space="0"/>
              <w:right w:val="single" w:color="auto" w:sz="4" w:space="0"/>
            </w:tcBorders>
            <w:vAlign w:val="center"/>
          </w:tcPr>
          <w:p>
            <w:pPr>
              <w:adjustRightInd w:val="0"/>
              <w:snapToGrid w:val="0"/>
              <w:jc w:val="center"/>
              <w:rPr>
                <w:szCs w:val="21"/>
              </w:rPr>
            </w:pPr>
            <w:r>
              <w:rPr>
                <w:rFonts w:hint="eastAsia"/>
                <w:szCs w:val="21"/>
              </w:rPr>
              <w:t>集气罩+负压抽风+水喷淋+光氧催化+</w:t>
            </w:r>
            <w:r>
              <w:rPr>
                <w:szCs w:val="21"/>
              </w:rPr>
              <w:t>15</w:t>
            </w:r>
            <w:r>
              <w:rPr>
                <w:rFonts w:hint="eastAsia"/>
                <w:szCs w:val="21"/>
              </w:rPr>
              <w:t>m高排气筒</w:t>
            </w:r>
          </w:p>
        </w:tc>
        <w:tc>
          <w:tcPr>
            <w:tcW w:w="2517" w:type="dxa"/>
            <w:tcBorders>
              <w:top w:val="single" w:color="auto" w:sz="8" w:space="0"/>
              <w:left w:val="single" w:color="auto" w:sz="4" w:space="0"/>
              <w:bottom w:val="single" w:color="auto" w:sz="4" w:space="0"/>
            </w:tcBorders>
            <w:vAlign w:val="center"/>
          </w:tcPr>
          <w:p>
            <w:pPr>
              <w:adjustRightInd w:val="0"/>
              <w:snapToGrid w:val="0"/>
              <w:jc w:val="center"/>
              <w:rPr>
                <w:szCs w:val="21"/>
                <w:highlight w:val="red"/>
              </w:rPr>
            </w:pPr>
            <w:r>
              <w:rPr>
                <w:rFonts w:hint="eastAsia" w:ascii="宋体" w:hAnsi="宋体" w:cs="宋体"/>
                <w:szCs w:val="21"/>
              </w:rPr>
              <w:t>满足《恶臭污染物排放标准》</w:t>
            </w:r>
            <w:r>
              <w:rPr>
                <w:rFonts w:ascii="宋体" w:hAnsi="宋体" w:cs="宋体"/>
                <w:szCs w:val="21"/>
              </w:rPr>
              <w:t>GB14554-93</w:t>
            </w:r>
            <w:r>
              <w:rPr>
                <w:rFonts w:hint="eastAsia" w:ascii="宋体" w:hAnsi="宋体" w:cs="宋体"/>
                <w:szCs w:val="21"/>
              </w:rPr>
              <w:t>中有组织排放浓度限值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6" w:hRule="atLeast"/>
        </w:trPr>
        <w:tc>
          <w:tcPr>
            <w:tcW w:w="1029" w:type="dxa"/>
            <w:vMerge w:val="continue"/>
            <w:tcBorders>
              <w:right w:val="single" w:color="auto" w:sz="8" w:space="0"/>
            </w:tcBorders>
            <w:vAlign w:val="center"/>
          </w:tcPr>
          <w:p>
            <w:pPr>
              <w:adjustRightInd w:val="0"/>
              <w:snapToGrid w:val="0"/>
              <w:rPr>
                <w:szCs w:val="21"/>
              </w:rPr>
            </w:pPr>
          </w:p>
        </w:tc>
        <w:tc>
          <w:tcPr>
            <w:tcW w:w="1206" w:type="dxa"/>
            <w:tcBorders>
              <w:top w:val="single" w:color="auto" w:sz="8" w:space="0"/>
              <w:left w:val="single" w:color="auto" w:sz="8" w:space="0"/>
              <w:bottom w:val="single" w:color="auto" w:sz="4" w:space="0"/>
            </w:tcBorders>
            <w:vAlign w:val="center"/>
          </w:tcPr>
          <w:p>
            <w:pPr>
              <w:adjustRightInd w:val="0"/>
              <w:snapToGrid w:val="0"/>
              <w:jc w:val="center"/>
              <w:rPr>
                <w:szCs w:val="21"/>
              </w:rPr>
            </w:pPr>
            <w:r>
              <w:rPr>
                <w:rFonts w:hint="eastAsia"/>
                <w:szCs w:val="21"/>
              </w:rPr>
              <w:t>抛光</w:t>
            </w:r>
          </w:p>
        </w:tc>
        <w:tc>
          <w:tcPr>
            <w:tcW w:w="2126" w:type="dxa"/>
            <w:tcBorders>
              <w:top w:val="single" w:color="auto" w:sz="8" w:space="0"/>
              <w:bottom w:val="single" w:color="auto" w:sz="4" w:space="0"/>
            </w:tcBorders>
            <w:vAlign w:val="center"/>
          </w:tcPr>
          <w:p>
            <w:pPr>
              <w:jc w:val="center"/>
            </w:pPr>
            <w:r>
              <w:rPr>
                <w:rFonts w:hint="eastAsia"/>
                <w:szCs w:val="21"/>
              </w:rPr>
              <w:t>粉尘</w:t>
            </w:r>
          </w:p>
        </w:tc>
        <w:tc>
          <w:tcPr>
            <w:tcW w:w="2410" w:type="dxa"/>
            <w:tcBorders>
              <w:top w:val="single" w:color="auto" w:sz="4" w:space="0"/>
              <w:right w:val="single" w:color="auto" w:sz="4" w:space="0"/>
            </w:tcBorders>
            <w:vAlign w:val="center"/>
          </w:tcPr>
          <w:p>
            <w:pPr>
              <w:adjustRightInd w:val="0"/>
              <w:snapToGrid w:val="0"/>
              <w:jc w:val="center"/>
              <w:rPr>
                <w:szCs w:val="21"/>
              </w:rPr>
            </w:pPr>
            <w:r>
              <w:rPr>
                <w:rFonts w:hint="eastAsia"/>
                <w:szCs w:val="21"/>
              </w:rPr>
              <w:t>布袋除尘</w:t>
            </w:r>
          </w:p>
        </w:tc>
        <w:tc>
          <w:tcPr>
            <w:tcW w:w="2517" w:type="dxa"/>
            <w:tcBorders>
              <w:top w:val="single" w:color="auto" w:sz="4" w:space="0"/>
              <w:left w:val="single" w:color="auto" w:sz="4" w:space="0"/>
            </w:tcBorders>
            <w:vAlign w:val="center"/>
          </w:tcPr>
          <w:p>
            <w:pPr>
              <w:adjustRightInd w:val="0"/>
              <w:snapToGrid w:val="0"/>
              <w:jc w:val="center"/>
              <w:rPr>
                <w:szCs w:val="21"/>
                <w:highlight w:val="red"/>
              </w:rPr>
            </w:pPr>
            <w:r>
              <w:rPr>
                <w:rFonts w:hint="eastAsia" w:ascii="宋体" w:hAnsi="宋体" w:cs="宋体"/>
                <w:szCs w:val="21"/>
              </w:rPr>
              <w:t>满足《大气污染物综合排放标准》G</w:t>
            </w:r>
            <w:r>
              <w:rPr>
                <w:rFonts w:ascii="宋体" w:hAnsi="宋体" w:cs="宋体"/>
                <w:szCs w:val="21"/>
              </w:rPr>
              <w:t>B16297-1996中无组织排放标准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91" w:hRule="atLeast"/>
        </w:trPr>
        <w:tc>
          <w:tcPr>
            <w:tcW w:w="1029" w:type="dxa"/>
            <w:tcBorders>
              <w:top w:val="single" w:color="auto" w:sz="4" w:space="0"/>
              <w:right w:val="single" w:color="auto" w:sz="8" w:space="0"/>
            </w:tcBorders>
            <w:vAlign w:val="center"/>
          </w:tcPr>
          <w:p>
            <w:pPr>
              <w:adjustRightInd w:val="0"/>
              <w:snapToGrid w:val="0"/>
              <w:rPr>
                <w:szCs w:val="21"/>
              </w:rPr>
            </w:pPr>
            <w:r>
              <w:rPr>
                <w:szCs w:val="21"/>
              </w:rPr>
              <w:t>水污染</w:t>
            </w:r>
          </w:p>
        </w:tc>
        <w:tc>
          <w:tcPr>
            <w:tcW w:w="1206" w:type="dxa"/>
            <w:tcBorders>
              <w:left w:val="single" w:color="auto" w:sz="8" w:space="0"/>
            </w:tcBorders>
            <w:vAlign w:val="center"/>
          </w:tcPr>
          <w:p>
            <w:pPr>
              <w:adjustRightInd w:val="0"/>
              <w:snapToGrid w:val="0"/>
              <w:jc w:val="center"/>
              <w:rPr>
                <w:szCs w:val="21"/>
              </w:rPr>
            </w:pPr>
            <w:r>
              <w:rPr>
                <w:rFonts w:hint="eastAsia"/>
                <w:szCs w:val="21"/>
              </w:rPr>
              <w:t>生活污水</w:t>
            </w:r>
          </w:p>
        </w:tc>
        <w:tc>
          <w:tcPr>
            <w:tcW w:w="2126" w:type="dxa"/>
            <w:vAlign w:val="center"/>
          </w:tcPr>
          <w:p>
            <w:pPr>
              <w:adjustRightInd w:val="0"/>
              <w:snapToGrid w:val="0"/>
              <w:jc w:val="center"/>
              <w:rPr>
                <w:szCs w:val="21"/>
              </w:rPr>
            </w:pPr>
            <w:r>
              <w:rPr>
                <w:rFonts w:hint="eastAsia"/>
                <w:szCs w:val="21"/>
              </w:rPr>
              <w:t>生活污水</w:t>
            </w:r>
          </w:p>
        </w:tc>
        <w:tc>
          <w:tcPr>
            <w:tcW w:w="2410" w:type="dxa"/>
            <w:vAlign w:val="center"/>
          </w:tcPr>
          <w:p>
            <w:pPr>
              <w:adjustRightInd w:val="0"/>
              <w:snapToGrid w:val="0"/>
              <w:jc w:val="center"/>
              <w:rPr>
                <w:szCs w:val="21"/>
              </w:rPr>
            </w:pPr>
            <w:r>
              <w:rPr>
                <w:rFonts w:hint="eastAsia"/>
                <w:szCs w:val="21"/>
              </w:rPr>
              <w:t>本项目不新增生活污水</w:t>
            </w:r>
          </w:p>
        </w:tc>
        <w:tc>
          <w:tcPr>
            <w:tcW w:w="2517" w:type="dxa"/>
            <w:vAlign w:val="center"/>
          </w:tcPr>
          <w:p>
            <w:pPr>
              <w:adjustRightInd w:val="0"/>
              <w:snapToGrid w:val="0"/>
              <w:jc w:val="center"/>
              <w:rPr>
                <w:spacing w:val="-20"/>
                <w:szCs w:val="21"/>
              </w:rPr>
            </w:pPr>
            <w:r>
              <w:rPr>
                <w:rFonts w:hint="eastAsia"/>
                <w:spacing w:val="-2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5" w:hRule="atLeast"/>
        </w:trPr>
        <w:tc>
          <w:tcPr>
            <w:tcW w:w="1029" w:type="dxa"/>
            <w:vMerge w:val="restart"/>
            <w:tcBorders>
              <w:right w:val="single" w:color="auto" w:sz="8" w:space="0"/>
            </w:tcBorders>
            <w:vAlign w:val="center"/>
          </w:tcPr>
          <w:p>
            <w:pPr>
              <w:adjustRightInd w:val="0"/>
              <w:snapToGrid w:val="0"/>
              <w:rPr>
                <w:szCs w:val="21"/>
              </w:rPr>
            </w:pPr>
            <w:r>
              <w:rPr>
                <w:szCs w:val="21"/>
              </w:rPr>
              <w:t>固体污染物</w:t>
            </w:r>
          </w:p>
        </w:tc>
        <w:tc>
          <w:tcPr>
            <w:tcW w:w="1206" w:type="dxa"/>
            <w:tcBorders>
              <w:left w:val="single" w:color="auto" w:sz="8" w:space="0"/>
            </w:tcBorders>
            <w:vAlign w:val="center"/>
          </w:tcPr>
          <w:p>
            <w:pPr>
              <w:adjustRightInd w:val="0"/>
              <w:snapToGrid w:val="0"/>
              <w:jc w:val="center"/>
              <w:rPr>
                <w:szCs w:val="21"/>
              </w:rPr>
            </w:pPr>
            <w:r>
              <w:rPr>
                <w:szCs w:val="21"/>
              </w:rPr>
              <w:t>生产车间</w:t>
            </w:r>
          </w:p>
        </w:tc>
        <w:tc>
          <w:tcPr>
            <w:tcW w:w="2126" w:type="dxa"/>
            <w:tcBorders>
              <w:bottom w:val="single" w:color="auto" w:sz="6" w:space="0"/>
            </w:tcBorders>
            <w:vAlign w:val="center"/>
          </w:tcPr>
          <w:p>
            <w:pPr>
              <w:adjustRightInd w:val="0"/>
              <w:snapToGrid w:val="0"/>
              <w:jc w:val="center"/>
              <w:rPr>
                <w:szCs w:val="21"/>
              </w:rPr>
            </w:pPr>
            <w:r>
              <w:rPr>
                <w:rFonts w:hint="eastAsia"/>
                <w:szCs w:val="21"/>
              </w:rPr>
              <w:t>铁屑</w:t>
            </w:r>
          </w:p>
        </w:tc>
        <w:tc>
          <w:tcPr>
            <w:tcW w:w="2410" w:type="dxa"/>
            <w:tcBorders>
              <w:bottom w:val="single" w:color="auto" w:sz="4" w:space="0"/>
            </w:tcBorders>
            <w:vAlign w:val="center"/>
          </w:tcPr>
          <w:p>
            <w:pPr>
              <w:adjustRightInd w:val="0"/>
              <w:snapToGrid w:val="0"/>
              <w:jc w:val="center"/>
              <w:rPr>
                <w:szCs w:val="21"/>
              </w:rPr>
            </w:pPr>
            <w:r>
              <w:rPr>
                <w:rFonts w:hint="eastAsia"/>
                <w:szCs w:val="21"/>
              </w:rPr>
              <w:t>统一收集后外卖</w:t>
            </w:r>
          </w:p>
        </w:tc>
        <w:tc>
          <w:tcPr>
            <w:tcW w:w="2517" w:type="dxa"/>
            <w:vAlign w:val="center"/>
          </w:tcPr>
          <w:p>
            <w:pPr>
              <w:adjustRightInd w:val="0"/>
              <w:snapToGrid w:val="0"/>
              <w:jc w:val="center"/>
              <w:rPr>
                <w:szCs w:val="21"/>
              </w:rPr>
            </w:pPr>
            <w:r>
              <w:rPr>
                <w:szCs w:val="21"/>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7" w:hRule="atLeast"/>
        </w:trPr>
        <w:tc>
          <w:tcPr>
            <w:tcW w:w="1029" w:type="dxa"/>
            <w:vMerge w:val="continue"/>
            <w:tcBorders>
              <w:right w:val="single" w:color="auto" w:sz="8" w:space="0"/>
            </w:tcBorders>
            <w:vAlign w:val="center"/>
          </w:tcPr>
          <w:p>
            <w:pPr>
              <w:adjustRightInd w:val="0"/>
              <w:snapToGrid w:val="0"/>
              <w:rPr>
                <w:szCs w:val="21"/>
              </w:rPr>
            </w:pPr>
          </w:p>
        </w:tc>
        <w:tc>
          <w:tcPr>
            <w:tcW w:w="1206" w:type="dxa"/>
            <w:tcBorders>
              <w:left w:val="single" w:color="auto" w:sz="8" w:space="0"/>
            </w:tcBorders>
            <w:vAlign w:val="center"/>
          </w:tcPr>
          <w:p>
            <w:pPr>
              <w:adjustRightInd w:val="0"/>
              <w:snapToGrid w:val="0"/>
              <w:jc w:val="center"/>
              <w:rPr>
                <w:szCs w:val="21"/>
              </w:rPr>
            </w:pPr>
            <w:r>
              <w:rPr>
                <w:rFonts w:hint="eastAsia"/>
                <w:szCs w:val="21"/>
              </w:rPr>
              <w:t>生产车间</w:t>
            </w:r>
          </w:p>
        </w:tc>
        <w:tc>
          <w:tcPr>
            <w:tcW w:w="2126" w:type="dxa"/>
            <w:tcBorders>
              <w:bottom w:val="single" w:color="auto" w:sz="6" w:space="0"/>
            </w:tcBorders>
            <w:vAlign w:val="center"/>
          </w:tcPr>
          <w:p>
            <w:pPr>
              <w:adjustRightInd w:val="0"/>
              <w:snapToGrid w:val="0"/>
              <w:jc w:val="center"/>
              <w:rPr>
                <w:szCs w:val="21"/>
              </w:rPr>
            </w:pPr>
            <w:r>
              <w:rPr>
                <w:rFonts w:hint="eastAsia"/>
                <w:szCs w:val="21"/>
              </w:rPr>
              <w:t>除尘设备收集粉尘</w:t>
            </w:r>
          </w:p>
        </w:tc>
        <w:tc>
          <w:tcPr>
            <w:tcW w:w="2410" w:type="dxa"/>
            <w:vAlign w:val="center"/>
          </w:tcPr>
          <w:p>
            <w:pPr>
              <w:adjustRightInd w:val="0"/>
              <w:snapToGrid w:val="0"/>
              <w:jc w:val="center"/>
              <w:rPr>
                <w:szCs w:val="21"/>
              </w:rPr>
            </w:pPr>
            <w:r>
              <w:rPr>
                <w:rFonts w:hint="eastAsia"/>
                <w:szCs w:val="21"/>
              </w:rPr>
              <w:t>交由有资质单位进行处理</w:t>
            </w:r>
          </w:p>
        </w:tc>
        <w:tc>
          <w:tcPr>
            <w:tcW w:w="2517" w:type="dxa"/>
            <w:vAlign w:val="center"/>
          </w:tcPr>
          <w:p>
            <w:pPr>
              <w:adjustRightInd w:val="0"/>
              <w:snapToGrid w:val="0"/>
              <w:jc w:val="center"/>
              <w:rPr>
                <w:szCs w:val="21"/>
              </w:rPr>
            </w:pPr>
            <w:r>
              <w:rPr>
                <w:szCs w:val="21"/>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7" w:hRule="atLeast"/>
        </w:trPr>
        <w:tc>
          <w:tcPr>
            <w:tcW w:w="1029" w:type="dxa"/>
            <w:vMerge w:val="continue"/>
            <w:tcBorders>
              <w:right w:val="single" w:color="auto" w:sz="8" w:space="0"/>
            </w:tcBorders>
            <w:vAlign w:val="center"/>
          </w:tcPr>
          <w:p>
            <w:pPr>
              <w:adjustRightInd w:val="0"/>
              <w:snapToGrid w:val="0"/>
              <w:rPr>
                <w:szCs w:val="21"/>
              </w:rPr>
            </w:pPr>
          </w:p>
        </w:tc>
        <w:tc>
          <w:tcPr>
            <w:tcW w:w="1206" w:type="dxa"/>
            <w:tcBorders>
              <w:left w:val="single" w:color="auto" w:sz="8" w:space="0"/>
            </w:tcBorders>
            <w:vAlign w:val="center"/>
          </w:tcPr>
          <w:p>
            <w:pPr>
              <w:adjustRightInd w:val="0"/>
              <w:snapToGrid w:val="0"/>
              <w:jc w:val="center"/>
              <w:rPr>
                <w:szCs w:val="21"/>
              </w:rPr>
            </w:pPr>
            <w:r>
              <w:rPr>
                <w:rFonts w:hint="eastAsia"/>
                <w:szCs w:val="21"/>
              </w:rPr>
              <w:t>生产车间</w:t>
            </w:r>
          </w:p>
        </w:tc>
        <w:tc>
          <w:tcPr>
            <w:tcW w:w="2126" w:type="dxa"/>
            <w:tcBorders>
              <w:bottom w:val="single" w:color="auto" w:sz="6" w:space="0"/>
            </w:tcBorders>
            <w:vAlign w:val="center"/>
          </w:tcPr>
          <w:p>
            <w:pPr>
              <w:adjustRightInd w:val="0"/>
              <w:snapToGrid w:val="0"/>
              <w:jc w:val="center"/>
              <w:rPr>
                <w:szCs w:val="21"/>
              </w:rPr>
            </w:pPr>
            <w:r>
              <w:rPr>
                <w:rFonts w:hint="eastAsia"/>
                <w:szCs w:val="21"/>
              </w:rPr>
              <w:t>过滤废渣</w:t>
            </w:r>
          </w:p>
        </w:tc>
        <w:tc>
          <w:tcPr>
            <w:tcW w:w="2410" w:type="dxa"/>
            <w:vAlign w:val="center"/>
          </w:tcPr>
          <w:p>
            <w:pPr>
              <w:adjustRightInd w:val="0"/>
              <w:snapToGrid w:val="0"/>
              <w:jc w:val="center"/>
              <w:rPr>
                <w:szCs w:val="21"/>
              </w:rPr>
            </w:pPr>
            <w:r>
              <w:rPr>
                <w:rFonts w:hint="eastAsia"/>
                <w:szCs w:val="21"/>
              </w:rPr>
              <w:t>收集后作为原熔化原料回用</w:t>
            </w:r>
          </w:p>
        </w:tc>
        <w:tc>
          <w:tcPr>
            <w:tcW w:w="2517" w:type="dxa"/>
            <w:vAlign w:val="center"/>
          </w:tcPr>
          <w:p>
            <w:pPr>
              <w:adjustRightInd w:val="0"/>
              <w:snapToGrid w:val="0"/>
              <w:jc w:val="center"/>
              <w:rPr>
                <w:szCs w:val="21"/>
              </w:rPr>
            </w:pPr>
            <w:r>
              <w:rPr>
                <w:szCs w:val="21"/>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7" w:hRule="atLeast"/>
        </w:trPr>
        <w:tc>
          <w:tcPr>
            <w:tcW w:w="1029" w:type="dxa"/>
            <w:vMerge w:val="continue"/>
            <w:tcBorders>
              <w:right w:val="single" w:color="auto" w:sz="8" w:space="0"/>
            </w:tcBorders>
            <w:vAlign w:val="center"/>
          </w:tcPr>
          <w:p>
            <w:pPr>
              <w:adjustRightInd w:val="0"/>
              <w:snapToGrid w:val="0"/>
              <w:rPr>
                <w:szCs w:val="21"/>
              </w:rPr>
            </w:pPr>
          </w:p>
        </w:tc>
        <w:tc>
          <w:tcPr>
            <w:tcW w:w="1206" w:type="dxa"/>
            <w:tcBorders>
              <w:left w:val="single" w:color="auto" w:sz="8" w:space="0"/>
            </w:tcBorders>
            <w:vAlign w:val="center"/>
          </w:tcPr>
          <w:p>
            <w:pPr>
              <w:adjustRightInd w:val="0"/>
              <w:snapToGrid w:val="0"/>
              <w:jc w:val="center"/>
              <w:rPr>
                <w:szCs w:val="21"/>
              </w:rPr>
            </w:pPr>
            <w:r>
              <w:rPr>
                <w:rFonts w:hint="eastAsia"/>
                <w:szCs w:val="21"/>
              </w:rPr>
              <w:t>生产车间</w:t>
            </w:r>
          </w:p>
        </w:tc>
        <w:tc>
          <w:tcPr>
            <w:tcW w:w="2126" w:type="dxa"/>
            <w:tcBorders>
              <w:bottom w:val="single" w:color="auto" w:sz="6" w:space="0"/>
            </w:tcBorders>
            <w:vAlign w:val="center"/>
          </w:tcPr>
          <w:p>
            <w:pPr>
              <w:adjustRightInd w:val="0"/>
              <w:snapToGrid w:val="0"/>
              <w:jc w:val="center"/>
              <w:rPr>
                <w:szCs w:val="21"/>
              </w:rPr>
            </w:pPr>
            <w:r>
              <w:rPr>
                <w:rFonts w:hint="eastAsia"/>
                <w:szCs w:val="21"/>
              </w:rPr>
              <w:t>回收固体盐</w:t>
            </w:r>
          </w:p>
        </w:tc>
        <w:tc>
          <w:tcPr>
            <w:tcW w:w="2410" w:type="dxa"/>
            <w:vAlign w:val="center"/>
          </w:tcPr>
          <w:p>
            <w:pPr>
              <w:adjustRightInd w:val="0"/>
              <w:snapToGrid w:val="0"/>
              <w:jc w:val="center"/>
              <w:rPr>
                <w:szCs w:val="21"/>
              </w:rPr>
            </w:pPr>
            <w:r>
              <w:rPr>
                <w:rFonts w:hint="eastAsia"/>
                <w:szCs w:val="21"/>
              </w:rPr>
              <w:t>作为氧化盐回用</w:t>
            </w:r>
          </w:p>
        </w:tc>
        <w:tc>
          <w:tcPr>
            <w:tcW w:w="2517" w:type="dxa"/>
            <w:vAlign w:val="center"/>
          </w:tcPr>
          <w:p>
            <w:pPr>
              <w:adjustRightInd w:val="0"/>
              <w:snapToGrid w:val="0"/>
              <w:jc w:val="center"/>
              <w:rPr>
                <w:szCs w:val="21"/>
              </w:rPr>
            </w:pPr>
            <w:r>
              <w:rPr>
                <w:szCs w:val="21"/>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trPr>
        <w:tc>
          <w:tcPr>
            <w:tcW w:w="1029" w:type="dxa"/>
            <w:vMerge w:val="continue"/>
            <w:tcBorders>
              <w:right w:val="single" w:color="auto" w:sz="8" w:space="0"/>
            </w:tcBorders>
            <w:vAlign w:val="center"/>
          </w:tcPr>
          <w:p>
            <w:pPr>
              <w:adjustRightInd w:val="0"/>
              <w:snapToGrid w:val="0"/>
              <w:rPr>
                <w:szCs w:val="21"/>
              </w:rPr>
            </w:pPr>
          </w:p>
        </w:tc>
        <w:tc>
          <w:tcPr>
            <w:tcW w:w="1206" w:type="dxa"/>
            <w:tcBorders>
              <w:left w:val="single" w:color="auto" w:sz="8" w:space="0"/>
            </w:tcBorders>
            <w:vAlign w:val="center"/>
          </w:tcPr>
          <w:p>
            <w:pPr>
              <w:adjustRightInd w:val="0"/>
              <w:snapToGrid w:val="0"/>
              <w:jc w:val="center"/>
              <w:rPr>
                <w:szCs w:val="21"/>
              </w:rPr>
            </w:pPr>
            <w:r>
              <w:rPr>
                <w:rFonts w:hint="eastAsia"/>
                <w:szCs w:val="21"/>
              </w:rPr>
              <w:t>生产车间</w:t>
            </w:r>
          </w:p>
        </w:tc>
        <w:tc>
          <w:tcPr>
            <w:tcW w:w="2126" w:type="dxa"/>
            <w:tcBorders>
              <w:bottom w:val="single" w:color="auto" w:sz="6" w:space="0"/>
            </w:tcBorders>
            <w:vAlign w:val="center"/>
          </w:tcPr>
          <w:p>
            <w:pPr>
              <w:adjustRightInd w:val="0"/>
              <w:snapToGrid w:val="0"/>
              <w:jc w:val="center"/>
              <w:rPr>
                <w:szCs w:val="21"/>
              </w:rPr>
            </w:pPr>
            <w:r>
              <w:rPr>
                <w:rFonts w:hint="eastAsia"/>
                <w:szCs w:val="21"/>
              </w:rPr>
              <w:t>氧化盐废包装袋</w:t>
            </w:r>
          </w:p>
        </w:tc>
        <w:tc>
          <w:tcPr>
            <w:tcW w:w="2410" w:type="dxa"/>
            <w:vAlign w:val="center"/>
          </w:tcPr>
          <w:p>
            <w:pPr>
              <w:adjustRightInd w:val="0"/>
              <w:snapToGrid w:val="0"/>
              <w:jc w:val="center"/>
              <w:rPr>
                <w:szCs w:val="21"/>
              </w:rPr>
            </w:pPr>
            <w:r>
              <w:rPr>
                <w:rFonts w:hint="eastAsia"/>
                <w:szCs w:val="21"/>
              </w:rPr>
              <w:t>规范收集暂存后交由有资质单位处理</w:t>
            </w:r>
          </w:p>
        </w:tc>
        <w:tc>
          <w:tcPr>
            <w:tcW w:w="2517" w:type="dxa"/>
            <w:vAlign w:val="center"/>
          </w:tcPr>
          <w:p>
            <w:pPr>
              <w:adjustRightInd w:val="0"/>
              <w:snapToGrid w:val="0"/>
              <w:jc w:val="center"/>
              <w:rPr>
                <w:szCs w:val="21"/>
              </w:rPr>
            </w:pPr>
            <w:r>
              <w:rPr>
                <w:rFonts w:hint="eastAsia"/>
                <w:szCs w:val="21"/>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trPr>
        <w:tc>
          <w:tcPr>
            <w:tcW w:w="1029" w:type="dxa"/>
            <w:vMerge w:val="continue"/>
            <w:tcBorders>
              <w:right w:val="single" w:color="auto" w:sz="8" w:space="0"/>
            </w:tcBorders>
            <w:vAlign w:val="center"/>
          </w:tcPr>
          <w:p>
            <w:pPr>
              <w:adjustRightInd w:val="0"/>
              <w:snapToGrid w:val="0"/>
              <w:rPr>
                <w:szCs w:val="21"/>
              </w:rPr>
            </w:pPr>
          </w:p>
        </w:tc>
        <w:tc>
          <w:tcPr>
            <w:tcW w:w="1206" w:type="dxa"/>
            <w:tcBorders>
              <w:left w:val="single" w:color="auto" w:sz="8" w:space="0"/>
            </w:tcBorders>
            <w:vAlign w:val="center"/>
          </w:tcPr>
          <w:p>
            <w:pPr>
              <w:adjustRightInd w:val="0"/>
              <w:snapToGrid w:val="0"/>
              <w:jc w:val="center"/>
              <w:rPr>
                <w:szCs w:val="21"/>
              </w:rPr>
            </w:pPr>
            <w:r>
              <w:rPr>
                <w:rFonts w:hint="eastAsia"/>
                <w:szCs w:val="21"/>
              </w:rPr>
              <w:t>生产车间</w:t>
            </w:r>
          </w:p>
        </w:tc>
        <w:tc>
          <w:tcPr>
            <w:tcW w:w="2126" w:type="dxa"/>
            <w:tcBorders>
              <w:bottom w:val="single" w:color="auto" w:sz="6" w:space="0"/>
            </w:tcBorders>
            <w:vAlign w:val="center"/>
          </w:tcPr>
          <w:p>
            <w:pPr>
              <w:adjustRightInd w:val="0"/>
              <w:snapToGrid w:val="0"/>
              <w:jc w:val="center"/>
              <w:rPr>
                <w:szCs w:val="21"/>
              </w:rPr>
            </w:pPr>
            <w:r>
              <w:rPr>
                <w:rFonts w:hint="eastAsia"/>
                <w:szCs w:val="21"/>
              </w:rPr>
              <w:t>氮化盐、调整盐废包装袋</w:t>
            </w:r>
          </w:p>
        </w:tc>
        <w:tc>
          <w:tcPr>
            <w:tcW w:w="2410" w:type="dxa"/>
            <w:vAlign w:val="center"/>
          </w:tcPr>
          <w:p>
            <w:pPr>
              <w:adjustRightInd w:val="0"/>
              <w:snapToGrid w:val="0"/>
              <w:jc w:val="center"/>
              <w:rPr>
                <w:szCs w:val="21"/>
              </w:rPr>
            </w:pPr>
            <w:r>
              <w:rPr>
                <w:rFonts w:hint="eastAsia"/>
                <w:szCs w:val="21"/>
              </w:rPr>
              <w:t>收集后外卖</w:t>
            </w:r>
          </w:p>
        </w:tc>
        <w:tc>
          <w:tcPr>
            <w:tcW w:w="2517" w:type="dxa"/>
            <w:vAlign w:val="center"/>
          </w:tcPr>
          <w:p>
            <w:pPr>
              <w:adjustRightInd w:val="0"/>
              <w:snapToGrid w:val="0"/>
              <w:jc w:val="center"/>
              <w:rPr>
                <w:szCs w:val="21"/>
              </w:rPr>
            </w:pPr>
            <w:r>
              <w:rPr>
                <w:rFonts w:hint="eastAsia"/>
                <w:szCs w:val="21"/>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5" w:hRule="atLeast"/>
        </w:trPr>
        <w:tc>
          <w:tcPr>
            <w:tcW w:w="1029" w:type="dxa"/>
            <w:vMerge w:val="continue"/>
            <w:tcBorders>
              <w:right w:val="single" w:color="auto" w:sz="8" w:space="0"/>
            </w:tcBorders>
            <w:vAlign w:val="center"/>
          </w:tcPr>
          <w:p>
            <w:pPr>
              <w:adjustRightInd w:val="0"/>
              <w:snapToGrid w:val="0"/>
              <w:rPr>
                <w:szCs w:val="21"/>
              </w:rPr>
            </w:pPr>
          </w:p>
        </w:tc>
        <w:tc>
          <w:tcPr>
            <w:tcW w:w="1206" w:type="dxa"/>
            <w:tcBorders>
              <w:left w:val="single" w:color="auto" w:sz="8" w:space="0"/>
            </w:tcBorders>
            <w:vAlign w:val="center"/>
          </w:tcPr>
          <w:p>
            <w:pPr>
              <w:adjustRightInd w:val="0"/>
              <w:snapToGrid w:val="0"/>
              <w:jc w:val="center"/>
              <w:rPr>
                <w:szCs w:val="21"/>
              </w:rPr>
            </w:pPr>
            <w:r>
              <w:rPr>
                <w:rFonts w:hint="eastAsia"/>
                <w:szCs w:val="21"/>
              </w:rPr>
              <w:t>检修</w:t>
            </w:r>
          </w:p>
        </w:tc>
        <w:tc>
          <w:tcPr>
            <w:tcW w:w="2126" w:type="dxa"/>
            <w:tcBorders>
              <w:top w:val="single" w:color="auto" w:sz="4" w:space="0"/>
              <w:bottom w:val="single" w:color="auto" w:sz="4" w:space="0"/>
            </w:tcBorders>
            <w:vAlign w:val="center"/>
          </w:tcPr>
          <w:p>
            <w:pPr>
              <w:adjustRightInd w:val="0"/>
              <w:snapToGrid w:val="0"/>
              <w:jc w:val="center"/>
              <w:rPr>
                <w:szCs w:val="21"/>
              </w:rPr>
            </w:pPr>
            <w:r>
              <w:rPr>
                <w:rFonts w:hint="eastAsia"/>
                <w:szCs w:val="21"/>
              </w:rPr>
              <w:t>检修废油</w:t>
            </w:r>
          </w:p>
        </w:tc>
        <w:tc>
          <w:tcPr>
            <w:tcW w:w="2410" w:type="dxa"/>
            <w:tcBorders>
              <w:top w:val="single" w:color="auto" w:sz="4" w:space="0"/>
            </w:tcBorders>
            <w:vAlign w:val="center"/>
          </w:tcPr>
          <w:p>
            <w:pPr>
              <w:adjustRightInd w:val="0"/>
              <w:snapToGrid w:val="0"/>
              <w:jc w:val="center"/>
              <w:rPr>
                <w:szCs w:val="21"/>
              </w:rPr>
            </w:pPr>
            <w:r>
              <w:rPr>
                <w:rFonts w:hint="eastAsia"/>
                <w:szCs w:val="21"/>
              </w:rPr>
              <w:t>收集后交由有资质单位进行处理</w:t>
            </w:r>
          </w:p>
        </w:tc>
        <w:tc>
          <w:tcPr>
            <w:tcW w:w="2517" w:type="dxa"/>
            <w:vAlign w:val="center"/>
          </w:tcPr>
          <w:p>
            <w:pPr>
              <w:adjustRightInd w:val="0"/>
              <w:snapToGrid w:val="0"/>
              <w:jc w:val="center"/>
              <w:rPr>
                <w:szCs w:val="21"/>
              </w:rPr>
            </w:pPr>
            <w:r>
              <w:rPr>
                <w:rFonts w:hint="eastAsia"/>
                <w:szCs w:val="21"/>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trPr>
        <w:tc>
          <w:tcPr>
            <w:tcW w:w="1029" w:type="dxa"/>
            <w:vAlign w:val="center"/>
          </w:tcPr>
          <w:p>
            <w:pPr>
              <w:adjustRightInd w:val="0"/>
              <w:snapToGrid w:val="0"/>
              <w:rPr>
                <w:szCs w:val="21"/>
              </w:rPr>
            </w:pPr>
            <w:r>
              <w:rPr>
                <w:szCs w:val="21"/>
              </w:rPr>
              <w:t>噪声</w:t>
            </w:r>
          </w:p>
        </w:tc>
        <w:tc>
          <w:tcPr>
            <w:tcW w:w="8259" w:type="dxa"/>
            <w:gridSpan w:val="4"/>
            <w:vAlign w:val="center"/>
          </w:tcPr>
          <w:p>
            <w:pPr>
              <w:adjustRightInd w:val="0"/>
              <w:snapToGrid w:val="0"/>
              <w:rPr>
                <w:szCs w:val="21"/>
              </w:rPr>
            </w:pPr>
            <w:r>
              <w:rPr>
                <w:szCs w:val="21"/>
              </w:rPr>
              <w:t>生产车间各机械设备设立配置减振；并尽量选用低噪声设备。可满足GBl2348-2008《工业企业厂界</w:t>
            </w:r>
            <w:r>
              <w:rPr>
                <w:rFonts w:hint="eastAsia"/>
                <w:szCs w:val="21"/>
              </w:rPr>
              <w:t>环境</w:t>
            </w:r>
            <w:r>
              <w:rPr>
                <w:szCs w:val="21"/>
              </w:rPr>
              <w:t>噪声</w:t>
            </w:r>
            <w:r>
              <w:rPr>
                <w:rFonts w:hint="eastAsia"/>
                <w:szCs w:val="21"/>
              </w:rPr>
              <w:t>排放</w:t>
            </w:r>
            <w:r>
              <w:rPr>
                <w:szCs w:val="21"/>
              </w:rPr>
              <w:t>标准》</w:t>
            </w:r>
            <w:r>
              <w:rPr>
                <w:rFonts w:hint="eastAsia"/>
                <w:szCs w:val="21"/>
              </w:rPr>
              <w:t>3</w:t>
            </w:r>
            <w:r>
              <w:rPr>
                <w:szCs w:val="21"/>
              </w:rPr>
              <w:t>类区标准：昼间≤6</w:t>
            </w:r>
            <w:r>
              <w:rPr>
                <w:rFonts w:hint="eastAsia"/>
                <w:szCs w:val="21"/>
              </w:rPr>
              <w:t>5</w:t>
            </w:r>
            <w:r>
              <w:rPr>
                <w:szCs w:val="21"/>
              </w:rPr>
              <w:t>dB(A)、夜间≤5</w:t>
            </w:r>
            <w:r>
              <w:rPr>
                <w:rFonts w:hint="eastAsia"/>
                <w:szCs w:val="21"/>
              </w:rPr>
              <w:t>5</w:t>
            </w:r>
            <w:r>
              <w:rPr>
                <w:szCs w:val="21"/>
              </w:rPr>
              <w:t>dB(A)的要求。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1029" w:type="dxa"/>
            <w:vAlign w:val="center"/>
          </w:tcPr>
          <w:p>
            <w:pPr>
              <w:adjustRightInd w:val="0"/>
              <w:snapToGrid w:val="0"/>
              <w:rPr>
                <w:szCs w:val="21"/>
              </w:rPr>
            </w:pPr>
            <w:r>
              <w:rPr>
                <w:szCs w:val="21"/>
              </w:rPr>
              <w:t>其他</w:t>
            </w:r>
          </w:p>
        </w:tc>
        <w:tc>
          <w:tcPr>
            <w:tcW w:w="8259" w:type="dxa"/>
            <w:gridSpan w:val="4"/>
            <w:vAlign w:val="center"/>
          </w:tcPr>
          <w:p>
            <w:pPr>
              <w:adjustRightInd w:val="0"/>
              <w:snapToGrid w:val="0"/>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546" w:hRule="atLeast"/>
        </w:trPr>
        <w:tc>
          <w:tcPr>
            <w:tcW w:w="9288" w:type="dxa"/>
            <w:gridSpan w:val="5"/>
            <w:tcBorders>
              <w:bottom w:val="single" w:color="auto" w:sz="12" w:space="0"/>
            </w:tcBorders>
            <w:vAlign w:val="center"/>
          </w:tcPr>
          <w:p>
            <w:pPr>
              <w:adjustRightInd w:val="0"/>
              <w:snapToGrid w:val="0"/>
              <w:spacing w:line="360" w:lineRule="auto"/>
              <w:rPr>
                <w:rFonts w:ascii="宋体" w:hAnsi="宋体"/>
                <w:b/>
                <w:sz w:val="24"/>
              </w:rPr>
            </w:pPr>
            <w:r>
              <w:rPr>
                <w:rFonts w:ascii="宋体" w:hAnsi="宋体"/>
                <w:b/>
                <w:sz w:val="24"/>
              </w:rPr>
              <w:t>生态保护措施及预期效果</w:t>
            </w:r>
          </w:p>
          <w:p>
            <w:pPr>
              <w:adjustRightInd w:val="0"/>
              <w:snapToGrid w:val="0"/>
              <w:rPr>
                <w:szCs w:val="21"/>
              </w:rPr>
            </w:pPr>
            <w:r>
              <w:rPr>
                <w:rFonts w:ascii="宋体" w:hAnsi="宋体"/>
                <w:sz w:val="24"/>
              </w:rPr>
              <w:t>本项目占地面积5</w:t>
            </w:r>
            <w:r>
              <w:rPr>
                <w:rFonts w:hint="eastAsia" w:ascii="宋体" w:hAnsi="宋体"/>
                <w:sz w:val="24"/>
              </w:rPr>
              <w:t>50m</w:t>
            </w:r>
            <w:r>
              <w:rPr>
                <w:rFonts w:hint="eastAsia" w:ascii="宋体" w:hAnsi="宋体"/>
                <w:sz w:val="24"/>
                <w:vertAlign w:val="superscript"/>
              </w:rPr>
              <w:t>2</w:t>
            </w:r>
            <w:r>
              <w:rPr>
                <w:rFonts w:ascii="宋体" w:hAnsi="宋体"/>
                <w:sz w:val="24"/>
              </w:rPr>
              <w:t>，</w:t>
            </w:r>
            <w:r>
              <w:rPr>
                <w:rFonts w:hint="eastAsia" w:ascii="宋体" w:hAnsi="宋体"/>
                <w:sz w:val="24"/>
              </w:rPr>
              <w:t>在原有厂房内进行改建，安装新设备，故</w:t>
            </w:r>
            <w:r>
              <w:rPr>
                <w:rFonts w:ascii="宋体" w:hAnsi="宋体"/>
                <w:sz w:val="24"/>
              </w:rPr>
              <w:t>项目的</w:t>
            </w:r>
            <w:r>
              <w:rPr>
                <w:rFonts w:hint="eastAsia" w:ascii="宋体" w:hAnsi="宋体"/>
                <w:sz w:val="24"/>
              </w:rPr>
              <w:t>建设对</w:t>
            </w:r>
            <w:r>
              <w:rPr>
                <w:rFonts w:ascii="宋体" w:hAnsi="宋体"/>
                <w:sz w:val="24"/>
              </w:rPr>
              <w:t>周围</w:t>
            </w:r>
            <w:r>
              <w:rPr>
                <w:rFonts w:hint="eastAsia" w:ascii="宋体" w:hAnsi="宋体"/>
                <w:sz w:val="24"/>
              </w:rPr>
              <w:t>生态</w:t>
            </w:r>
            <w:r>
              <w:rPr>
                <w:rFonts w:ascii="宋体" w:hAnsi="宋体"/>
                <w:sz w:val="24"/>
              </w:rPr>
              <w:t>环境影响甚微。</w:t>
            </w:r>
          </w:p>
        </w:tc>
      </w:tr>
    </w:tbl>
    <w:p>
      <w:pPr>
        <w:spacing w:line="360" w:lineRule="auto"/>
        <w:ind w:firstLine="593" w:firstLineChars="197"/>
        <w:rPr>
          <w:rFonts w:ascii="宋体" w:hAnsi="宋体" w:cs="宋体"/>
          <w:b/>
          <w:bCs/>
          <w:sz w:val="30"/>
          <w:szCs w:val="30"/>
        </w:rPr>
      </w:pPr>
    </w:p>
    <w:p>
      <w:pPr>
        <w:spacing w:line="360" w:lineRule="auto"/>
        <w:ind w:firstLine="593" w:firstLineChars="197"/>
        <w:rPr>
          <w:rFonts w:ascii="宋体" w:hAnsi="宋体" w:cs="宋体"/>
          <w:b/>
          <w:bCs/>
          <w:sz w:val="30"/>
          <w:szCs w:val="30"/>
        </w:rPr>
      </w:pPr>
    </w:p>
    <w:p>
      <w:pPr>
        <w:spacing w:line="360" w:lineRule="auto"/>
        <w:ind w:firstLine="593" w:firstLineChars="197"/>
        <w:rPr>
          <w:rFonts w:ascii="宋体" w:hAnsi="宋体" w:cs="宋体"/>
          <w:b/>
          <w:bCs/>
          <w:sz w:val="30"/>
          <w:szCs w:val="30"/>
        </w:rPr>
      </w:pPr>
    </w:p>
    <w:p>
      <w:pPr>
        <w:spacing w:line="360" w:lineRule="auto"/>
        <w:ind w:firstLine="593" w:firstLineChars="197"/>
        <w:rPr>
          <w:rFonts w:ascii="宋体" w:hAnsi="宋体" w:cs="宋体"/>
          <w:b/>
          <w:bCs/>
          <w:sz w:val="30"/>
          <w:szCs w:val="30"/>
        </w:rPr>
      </w:pPr>
    </w:p>
    <w:p>
      <w:pPr>
        <w:pStyle w:val="3"/>
        <w:jc w:val="both"/>
        <w:rPr>
          <w:rFonts w:ascii="宋体" w:hAnsi="宋体" w:cs="宋体"/>
          <w:b/>
          <w:bCs/>
          <w:sz w:val="30"/>
          <w:szCs w:val="30"/>
        </w:rPr>
      </w:pPr>
      <w:r>
        <w:rPr>
          <w:rFonts w:hint="eastAsia" w:ascii="宋体" w:hAnsi="宋体" w:cs="宋体"/>
          <w:b/>
          <w:bCs/>
          <w:sz w:val="30"/>
          <w:szCs w:val="30"/>
        </w:rPr>
        <w:t>表九、结论与建议</w:t>
      </w:r>
    </w:p>
    <w:tbl>
      <w:tblPr>
        <w:tblStyle w:val="53"/>
        <w:tblW w:w="918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1" w:hRule="atLeast"/>
        </w:trPr>
        <w:tc>
          <w:tcPr>
            <w:tcW w:w="9180" w:type="dxa"/>
          </w:tcPr>
          <w:p>
            <w:pPr>
              <w:numPr>
                <w:ilvl w:val="0"/>
                <w:numId w:val="5"/>
              </w:numPr>
              <w:spacing w:line="440" w:lineRule="exact"/>
              <w:rPr>
                <w:rFonts w:ascii="宋体" w:hAnsi="宋体"/>
                <w:b/>
                <w:bCs/>
                <w:sz w:val="28"/>
              </w:rPr>
            </w:pPr>
            <w:r>
              <w:rPr>
                <w:rFonts w:ascii="宋体" w:hAnsi="宋体"/>
                <w:b/>
                <w:bCs/>
                <w:sz w:val="28"/>
              </w:rPr>
              <w:t>结论</w:t>
            </w:r>
          </w:p>
          <w:p>
            <w:pPr>
              <w:spacing w:line="440" w:lineRule="exact"/>
              <w:ind w:firstLine="472" w:firstLineChars="196"/>
              <w:rPr>
                <w:rFonts w:ascii="宋体" w:hAnsi="宋体"/>
                <w:b/>
                <w:bCs/>
                <w:sz w:val="24"/>
              </w:rPr>
            </w:pPr>
            <w:r>
              <w:rPr>
                <w:rFonts w:hint="eastAsia" w:ascii="宋体" w:hAnsi="宋体"/>
                <w:b/>
                <w:bCs/>
                <w:sz w:val="24"/>
              </w:rPr>
              <w:t>1、项目概况</w:t>
            </w:r>
          </w:p>
          <w:p>
            <w:pPr>
              <w:spacing w:line="360" w:lineRule="auto"/>
              <w:ind w:firstLine="472" w:firstLineChars="197"/>
              <w:rPr>
                <w:sz w:val="24"/>
              </w:rPr>
            </w:pPr>
            <w:r>
              <w:rPr>
                <w:rFonts w:hint="eastAsia"/>
                <w:sz w:val="24"/>
              </w:rPr>
              <w:t>乐山豪森锅具有限公司该公司成立于2</w:t>
            </w:r>
            <w:r>
              <w:rPr>
                <w:sz w:val="24"/>
              </w:rPr>
              <w:t>004年</w:t>
            </w:r>
            <w:r>
              <w:rPr>
                <w:rFonts w:hint="eastAsia"/>
                <w:sz w:val="24"/>
              </w:rPr>
              <w:t>4月2</w:t>
            </w:r>
            <w:r>
              <w:rPr>
                <w:sz w:val="24"/>
              </w:rPr>
              <w:t>3日</w:t>
            </w:r>
            <w:r>
              <w:rPr>
                <w:rFonts w:hint="eastAsia"/>
                <w:sz w:val="24"/>
              </w:rPr>
              <w:t>，</w:t>
            </w:r>
            <w:r>
              <w:rPr>
                <w:sz w:val="24"/>
              </w:rPr>
              <w:t>注册地址为乐山市工业集中区振兴大道</w:t>
            </w:r>
            <w:r>
              <w:rPr>
                <w:rFonts w:hint="eastAsia"/>
                <w:sz w:val="24"/>
              </w:rPr>
              <w:t>3</w:t>
            </w:r>
            <w:r>
              <w:rPr>
                <w:sz w:val="24"/>
              </w:rPr>
              <w:t>99号</w:t>
            </w:r>
            <w:r>
              <w:rPr>
                <w:rFonts w:hint="eastAsia"/>
                <w:sz w:val="24"/>
              </w:rPr>
              <w:t>，</w:t>
            </w:r>
            <w:r>
              <w:rPr>
                <w:sz w:val="24"/>
              </w:rPr>
              <w:t>主要经营锅具生产</w:t>
            </w:r>
            <w:r>
              <w:rPr>
                <w:rFonts w:hint="eastAsia"/>
                <w:sz w:val="24"/>
              </w:rPr>
              <w:t>、</w:t>
            </w:r>
            <w:r>
              <w:rPr>
                <w:sz w:val="24"/>
              </w:rPr>
              <w:t>销售</w:t>
            </w:r>
            <w:r>
              <w:rPr>
                <w:rFonts w:hint="eastAsia"/>
                <w:sz w:val="24"/>
              </w:rPr>
              <w:t>。</w:t>
            </w:r>
            <w:r>
              <w:rPr>
                <w:sz w:val="24"/>
              </w:rPr>
              <w:t>该公司于</w:t>
            </w:r>
            <w:r>
              <w:rPr>
                <w:rFonts w:hint="eastAsia"/>
                <w:sz w:val="24"/>
              </w:rPr>
              <w:t>2</w:t>
            </w:r>
            <w:r>
              <w:rPr>
                <w:sz w:val="24"/>
              </w:rPr>
              <w:t>010年在乐山市工业集中区水口</w:t>
            </w:r>
            <w:r>
              <w:rPr>
                <w:rFonts w:hint="eastAsia"/>
                <w:sz w:val="24"/>
              </w:rPr>
              <w:t>-</w:t>
            </w:r>
            <w:r>
              <w:rPr>
                <w:sz w:val="24"/>
              </w:rPr>
              <w:t>罗汉工业园区内投资建设</w:t>
            </w:r>
            <w:r>
              <w:rPr>
                <w:rFonts w:hint="eastAsia"/>
                <w:sz w:val="24"/>
              </w:rPr>
              <w:t>“乐山豪森锅具有限公司扩建锅具生产线项目”，同时委托四川省国环环境工程咨询有限公司于2</w:t>
            </w:r>
            <w:r>
              <w:rPr>
                <w:sz w:val="24"/>
              </w:rPr>
              <w:t>010年</w:t>
            </w:r>
            <w:r>
              <w:rPr>
                <w:rFonts w:hint="eastAsia"/>
                <w:sz w:val="24"/>
              </w:rPr>
              <w:t>3月完成《乐山豪森锅具有限公司扩建锅具生产项项目（一期）环境影响报告表》的编制，并于2</w:t>
            </w:r>
            <w:r>
              <w:rPr>
                <w:sz w:val="24"/>
              </w:rPr>
              <w:t>010年</w:t>
            </w:r>
            <w:r>
              <w:rPr>
                <w:rFonts w:hint="eastAsia"/>
                <w:sz w:val="24"/>
              </w:rPr>
              <w:t>5月取得乐山市市中区环境保护局的批复（乐中环建管[</w:t>
            </w:r>
            <w:r>
              <w:rPr>
                <w:sz w:val="24"/>
              </w:rPr>
              <w:t>2010]44号</w:t>
            </w:r>
            <w:r>
              <w:rPr>
                <w:rFonts w:hint="eastAsia"/>
                <w:sz w:val="24"/>
              </w:rPr>
              <w:t>）。项目</w:t>
            </w:r>
            <w:r>
              <w:rPr>
                <w:sz w:val="24"/>
              </w:rPr>
              <w:t>建成投产后</w:t>
            </w:r>
            <w:r>
              <w:rPr>
                <w:rFonts w:hint="eastAsia"/>
                <w:sz w:val="24"/>
              </w:rPr>
              <w:t>，于2</w:t>
            </w:r>
            <w:r>
              <w:rPr>
                <w:sz w:val="24"/>
              </w:rPr>
              <w:t>014年</w:t>
            </w:r>
            <w:r>
              <w:rPr>
                <w:rFonts w:hint="eastAsia"/>
                <w:sz w:val="24"/>
              </w:rPr>
              <w:t>8月取得乐山市市中区环境保护局同意该项目验收合格的意见（乐中环验[</w:t>
            </w:r>
            <w:r>
              <w:rPr>
                <w:sz w:val="24"/>
              </w:rPr>
              <w:t>2014]9号</w:t>
            </w:r>
            <w:r>
              <w:rPr>
                <w:rFonts w:hint="eastAsia"/>
                <w:sz w:val="24"/>
              </w:rPr>
              <w:t>）。</w:t>
            </w:r>
          </w:p>
          <w:p>
            <w:pPr>
              <w:spacing w:line="360" w:lineRule="auto"/>
              <w:ind w:firstLine="472" w:firstLineChars="197"/>
              <w:rPr>
                <w:sz w:val="24"/>
              </w:rPr>
            </w:pPr>
            <w:r>
              <w:rPr>
                <w:rFonts w:hint="eastAsia"/>
                <w:sz w:val="24"/>
              </w:rPr>
              <w:t>随着社会的发展，市场竞争也越来越大，客户对铸铁锅的要求也越来越高，为了提高铸铁锅的防锈耐磨等特性，乐山豪森锅具有限公司拟在现有厂房内投资建设“提高铸铁锅表面防锈性能技术改造升级项目”，主要建设内容包括：在现有精工、氧化车间南侧建设铸铁锅表面防锈生产线一条，设置预热炉、氮化炉、氧化炉、磨削设备、自动清洗机等设施，年进行铸铁锅200万口的表面防锈处理。</w:t>
            </w:r>
            <w:r>
              <w:rPr>
                <w:sz w:val="24"/>
              </w:rPr>
              <w:t>目前</w:t>
            </w:r>
            <w:r>
              <w:rPr>
                <w:rFonts w:hint="eastAsia"/>
                <w:sz w:val="24"/>
              </w:rPr>
              <w:t>，</w:t>
            </w:r>
            <w:r>
              <w:rPr>
                <w:sz w:val="24"/>
              </w:rPr>
              <w:t>该项目已在乐山市中区经济商务和信息化局备案</w:t>
            </w:r>
            <w:r>
              <w:rPr>
                <w:rFonts w:hint="eastAsia"/>
                <w:sz w:val="24"/>
              </w:rPr>
              <w:t>，</w:t>
            </w:r>
            <w:r>
              <w:rPr>
                <w:sz w:val="24"/>
              </w:rPr>
              <w:t>备案号</w:t>
            </w:r>
            <w:r>
              <w:rPr>
                <w:rFonts w:hint="eastAsia"/>
                <w:sz w:val="24"/>
              </w:rPr>
              <w:t>：</w:t>
            </w:r>
            <w:r>
              <w:rPr>
                <w:sz w:val="24"/>
              </w:rPr>
              <w:t>川投资备</w:t>
            </w:r>
            <w:r>
              <w:rPr>
                <w:rFonts w:hint="eastAsia"/>
                <w:sz w:val="24"/>
              </w:rPr>
              <w:t>【2</w:t>
            </w:r>
            <w:r>
              <w:rPr>
                <w:sz w:val="24"/>
              </w:rPr>
              <w:t>019-511102-33-03-326995</w:t>
            </w:r>
            <w:r>
              <w:rPr>
                <w:rFonts w:hint="eastAsia"/>
                <w:sz w:val="24"/>
              </w:rPr>
              <w:t>】J</w:t>
            </w:r>
            <w:r>
              <w:rPr>
                <w:sz w:val="24"/>
              </w:rPr>
              <w:t>XQB-0002号</w:t>
            </w:r>
            <w:r>
              <w:rPr>
                <w:rFonts w:hint="eastAsia"/>
                <w:sz w:val="24"/>
              </w:rPr>
              <w:t>。本项目投资5</w:t>
            </w:r>
            <w:r>
              <w:rPr>
                <w:sz w:val="24"/>
              </w:rPr>
              <w:t>0万</w:t>
            </w:r>
            <w:r>
              <w:rPr>
                <w:rFonts w:hint="eastAsia"/>
                <w:sz w:val="24"/>
              </w:rPr>
              <w:t>，</w:t>
            </w:r>
            <w:r>
              <w:rPr>
                <w:sz w:val="24"/>
              </w:rPr>
              <w:t>环保投资</w:t>
            </w:r>
            <w:r>
              <w:rPr>
                <w:rFonts w:hint="eastAsia"/>
                <w:sz w:val="24"/>
              </w:rPr>
              <w:t>1</w:t>
            </w:r>
            <w:r>
              <w:rPr>
                <w:sz w:val="24"/>
              </w:rPr>
              <w:t>9万元</w:t>
            </w:r>
            <w:r>
              <w:rPr>
                <w:rFonts w:hint="eastAsia"/>
                <w:sz w:val="24"/>
              </w:rPr>
              <w:t>。</w:t>
            </w:r>
          </w:p>
          <w:p>
            <w:pPr>
              <w:spacing w:line="360" w:lineRule="auto"/>
              <w:ind w:firstLine="482" w:firstLineChars="200"/>
              <w:rPr>
                <w:b/>
                <w:bCs/>
                <w:sz w:val="24"/>
              </w:rPr>
            </w:pPr>
            <w:r>
              <w:rPr>
                <w:rFonts w:hint="eastAsia"/>
                <w:b/>
                <w:bCs/>
                <w:sz w:val="24"/>
              </w:rPr>
              <w:t>2、</w:t>
            </w:r>
            <w:r>
              <w:rPr>
                <w:b/>
                <w:bCs/>
                <w:sz w:val="24"/>
              </w:rPr>
              <w:t>产业政策符合性分析</w:t>
            </w:r>
          </w:p>
          <w:p>
            <w:pPr>
              <w:spacing w:line="360" w:lineRule="auto"/>
              <w:ind w:firstLine="480" w:firstLineChars="200"/>
              <w:rPr>
                <w:sz w:val="24"/>
              </w:rPr>
            </w:pPr>
            <w:r>
              <w:rPr>
                <w:rFonts w:ascii="宋体" w:hAnsi="宋体"/>
                <w:sz w:val="24"/>
              </w:rPr>
              <w:t>本项目属于C3360</w:t>
            </w:r>
            <w:r>
              <w:rPr>
                <w:rFonts w:hint="eastAsia" w:ascii="宋体" w:hAnsi="宋体"/>
                <w:sz w:val="24"/>
              </w:rPr>
              <w:t>金属表面处理</w:t>
            </w:r>
            <w:r>
              <w:rPr>
                <w:rFonts w:ascii="宋体" w:hAnsi="宋体"/>
                <w:sz w:val="24"/>
              </w:rPr>
              <w:t>及热处理加工，</w:t>
            </w:r>
            <w:r>
              <w:rPr>
                <w:rFonts w:hint="eastAsia"/>
                <w:sz w:val="24"/>
              </w:rPr>
              <w:t>根据《产业结构调整指导目录（2011年本）（修正）》</w:t>
            </w:r>
            <w:r>
              <w:rPr>
                <w:sz w:val="24"/>
              </w:rPr>
              <w:t>，本项目生产工艺、设备、产品均不属于产业政策中的</w:t>
            </w:r>
            <w:r>
              <w:rPr>
                <w:rFonts w:hint="eastAsia"/>
                <w:sz w:val="24"/>
              </w:rPr>
              <w:t>鼓励类、</w:t>
            </w:r>
            <w:r>
              <w:rPr>
                <w:sz w:val="24"/>
              </w:rPr>
              <w:t>限制</w:t>
            </w:r>
            <w:r>
              <w:rPr>
                <w:rFonts w:hint="eastAsia"/>
                <w:sz w:val="24"/>
              </w:rPr>
              <w:t>类</w:t>
            </w:r>
            <w:r>
              <w:rPr>
                <w:sz w:val="24"/>
              </w:rPr>
              <w:t>和</w:t>
            </w:r>
            <w:r>
              <w:rPr>
                <w:rFonts w:hint="eastAsia"/>
                <w:sz w:val="24"/>
              </w:rPr>
              <w:t>淘汰</w:t>
            </w:r>
            <w:r>
              <w:rPr>
                <w:sz w:val="24"/>
              </w:rPr>
              <w:t>类，</w:t>
            </w:r>
            <w:r>
              <w:rPr>
                <w:rFonts w:hint="eastAsia"/>
                <w:sz w:val="24"/>
              </w:rPr>
              <w:t>因此</w:t>
            </w:r>
            <w:r>
              <w:rPr>
                <w:sz w:val="24"/>
              </w:rPr>
              <w:t>属于允许类建设项目。</w:t>
            </w:r>
            <w:r>
              <w:rPr>
                <w:rFonts w:hint="eastAsia"/>
                <w:sz w:val="24"/>
              </w:rPr>
              <w:t>同时，乐山市市中区商务经济和信息化局于201</w:t>
            </w:r>
            <w:r>
              <w:rPr>
                <w:sz w:val="24"/>
              </w:rPr>
              <w:t>9</w:t>
            </w:r>
            <w:r>
              <w:rPr>
                <w:rFonts w:hint="eastAsia"/>
                <w:sz w:val="24"/>
              </w:rPr>
              <w:t>年</w:t>
            </w:r>
            <w:r>
              <w:rPr>
                <w:sz w:val="24"/>
              </w:rPr>
              <w:t>1</w:t>
            </w:r>
            <w:r>
              <w:rPr>
                <w:rFonts w:hint="eastAsia"/>
                <w:sz w:val="24"/>
              </w:rPr>
              <w:t>月</w:t>
            </w:r>
            <w:r>
              <w:rPr>
                <w:sz w:val="24"/>
              </w:rPr>
              <w:t>10</w:t>
            </w:r>
            <w:r>
              <w:rPr>
                <w:rFonts w:hint="eastAsia"/>
                <w:sz w:val="24"/>
              </w:rPr>
              <w:t>日对本项目以备案号川投资备【201</w:t>
            </w:r>
            <w:r>
              <w:rPr>
                <w:sz w:val="24"/>
              </w:rPr>
              <w:t>9-</w:t>
            </w:r>
            <w:r>
              <w:rPr>
                <w:rFonts w:hint="eastAsia"/>
                <w:sz w:val="24"/>
              </w:rPr>
              <w:t>5111</w:t>
            </w:r>
            <w:r>
              <w:rPr>
                <w:sz w:val="24"/>
              </w:rPr>
              <w:t>02</w:t>
            </w:r>
            <w:r>
              <w:rPr>
                <w:rFonts w:hint="eastAsia"/>
                <w:sz w:val="24"/>
              </w:rPr>
              <w:t>-</w:t>
            </w:r>
            <w:r>
              <w:rPr>
                <w:sz w:val="24"/>
              </w:rPr>
              <w:t>33</w:t>
            </w:r>
            <w:r>
              <w:rPr>
                <w:rFonts w:hint="eastAsia"/>
                <w:sz w:val="24"/>
              </w:rPr>
              <w:t>-03-</w:t>
            </w:r>
            <w:r>
              <w:rPr>
                <w:sz w:val="24"/>
              </w:rPr>
              <w:t>326995</w:t>
            </w:r>
            <w:r>
              <w:rPr>
                <w:rFonts w:hint="eastAsia"/>
                <w:sz w:val="24"/>
              </w:rPr>
              <w:t>】JXQB-00</w:t>
            </w:r>
            <w:r>
              <w:rPr>
                <w:sz w:val="24"/>
              </w:rPr>
              <w:t>0</w:t>
            </w:r>
            <w:r>
              <w:rPr>
                <w:rFonts w:hint="eastAsia"/>
                <w:sz w:val="24"/>
              </w:rPr>
              <w:t>2号予以立项备案。</w:t>
            </w:r>
          </w:p>
          <w:p>
            <w:pPr>
              <w:pStyle w:val="22"/>
            </w:pPr>
            <w:r>
              <w:t>因此，本项目符合国家产业政策要求</w:t>
            </w:r>
            <w:r>
              <w:rPr>
                <w:rFonts w:hint="eastAsia"/>
              </w:rPr>
              <w:t>。</w:t>
            </w:r>
          </w:p>
          <w:p>
            <w:pPr>
              <w:spacing w:line="360" w:lineRule="auto"/>
              <w:ind w:firstLine="482" w:firstLineChars="200"/>
              <w:rPr>
                <w:b/>
                <w:bCs/>
                <w:sz w:val="24"/>
              </w:rPr>
            </w:pPr>
            <w:r>
              <w:rPr>
                <w:rFonts w:hint="eastAsia"/>
                <w:b/>
                <w:bCs/>
                <w:sz w:val="24"/>
              </w:rPr>
              <w:t>3、规划及</w:t>
            </w:r>
            <w:r>
              <w:rPr>
                <w:b/>
                <w:bCs/>
                <w:sz w:val="24"/>
              </w:rPr>
              <w:t>选址合理性</w:t>
            </w:r>
          </w:p>
          <w:p>
            <w:pPr>
              <w:spacing w:line="360" w:lineRule="auto"/>
              <w:ind w:firstLine="570"/>
              <w:rPr>
                <w:rFonts w:ascii="宋体" w:hAnsi="宋体"/>
                <w:b/>
                <w:sz w:val="24"/>
              </w:rPr>
            </w:pPr>
            <w:r>
              <w:rPr>
                <w:rFonts w:hint="eastAsia" w:ascii="宋体" w:hAnsi="宋体"/>
                <w:b/>
                <w:bCs/>
                <w:sz w:val="24"/>
              </w:rPr>
              <w:t>（1）</w:t>
            </w:r>
            <w:r>
              <w:rPr>
                <w:rFonts w:hint="eastAsia" w:ascii="宋体" w:hAnsi="宋体"/>
                <w:b/>
                <w:sz w:val="24"/>
              </w:rPr>
              <w:t>规划符合性分析</w:t>
            </w:r>
          </w:p>
          <w:p>
            <w:pPr>
              <w:spacing w:line="360" w:lineRule="auto"/>
              <w:ind w:firstLine="570"/>
              <w:rPr>
                <w:rFonts w:ascii="宋体" w:hAnsi="宋体"/>
                <w:sz w:val="24"/>
              </w:rPr>
            </w:pPr>
            <w:r>
              <w:rPr>
                <w:rFonts w:hint="eastAsia" w:ascii="宋体" w:hAnsi="宋体"/>
                <w:sz w:val="24"/>
              </w:rPr>
              <w:t>本项目为改建项目，在乐山豪森锅具有限公司原有厂区内进行改建，项目符合乐山市市中区工业集中区水口-罗汉工业园区扩区规划的产业定位，符合已批复的《乐山市市中区工业集中区水口-罗汉工业园区扩区规划环境影响报告书》入园要求，因此本项目与园区发展规划相符。</w:t>
            </w:r>
          </w:p>
          <w:p>
            <w:pPr>
              <w:spacing w:line="360" w:lineRule="auto"/>
              <w:ind w:firstLine="570"/>
              <w:rPr>
                <w:rFonts w:ascii="宋体" w:hAnsi="宋体"/>
                <w:sz w:val="24"/>
              </w:rPr>
            </w:pPr>
            <w:r>
              <w:rPr>
                <w:rFonts w:hint="eastAsia" w:ascii="宋体" w:hAnsi="宋体"/>
                <w:sz w:val="24"/>
              </w:rPr>
              <w:t>综上所述，项目符合当地的规划。</w:t>
            </w:r>
          </w:p>
          <w:p>
            <w:pPr>
              <w:spacing w:line="360" w:lineRule="auto"/>
              <w:ind w:firstLine="570"/>
              <w:rPr>
                <w:b/>
                <w:sz w:val="24"/>
              </w:rPr>
            </w:pPr>
            <w:r>
              <w:rPr>
                <w:rFonts w:hint="eastAsia"/>
                <w:b/>
                <w:sz w:val="24"/>
              </w:rPr>
              <w:t>（2）土地利用性质合理性分析</w:t>
            </w:r>
          </w:p>
          <w:p>
            <w:pPr>
              <w:spacing w:line="360" w:lineRule="auto"/>
              <w:ind w:firstLine="570"/>
              <w:rPr>
                <w:rFonts w:ascii="宋体" w:hAnsi="宋体"/>
                <w:sz w:val="24"/>
              </w:rPr>
            </w:pPr>
            <w:r>
              <w:rPr>
                <w:rFonts w:hint="eastAsia" w:ascii="宋体" w:hAnsi="宋体"/>
                <w:sz w:val="24"/>
              </w:rPr>
              <w:t>本项目位于乐山市市中区工业集中区水口-罗汉工业园区内，在乐山豪森锅具有限公司现有厂房内进行改建。乐山豪森锅具有限公司于2</w:t>
            </w:r>
            <w:r>
              <w:rPr>
                <w:rFonts w:ascii="宋体" w:hAnsi="宋体"/>
                <w:sz w:val="24"/>
              </w:rPr>
              <w:t>010年5</w:t>
            </w:r>
            <w:r>
              <w:rPr>
                <w:rFonts w:hint="eastAsia" w:ascii="宋体" w:hAnsi="宋体"/>
                <w:sz w:val="24"/>
              </w:rPr>
              <w:t>月取得了乐山市市中区环保局《关于乐山豪森锅具有限公司扩建锅具生产线项目环境影响报告表的批复》（乐中环建管[</w:t>
            </w:r>
            <w:r>
              <w:rPr>
                <w:rFonts w:ascii="宋体" w:hAnsi="宋体"/>
                <w:sz w:val="24"/>
              </w:rPr>
              <w:t>2010]44号</w:t>
            </w:r>
            <w:r>
              <w:rPr>
                <w:rFonts w:hint="eastAsia" w:ascii="宋体" w:hAnsi="宋体"/>
                <w:sz w:val="24"/>
              </w:rPr>
              <w:t>），并于2</w:t>
            </w:r>
            <w:r>
              <w:rPr>
                <w:rFonts w:ascii="宋体" w:hAnsi="宋体"/>
                <w:sz w:val="24"/>
              </w:rPr>
              <w:t>014年</w:t>
            </w:r>
            <w:r>
              <w:rPr>
                <w:rFonts w:hint="eastAsia" w:ascii="宋体" w:hAnsi="宋体"/>
                <w:sz w:val="24"/>
              </w:rPr>
              <w:t>8月通过乐山市市中区环保局的竣工验收（乐中环验[</w:t>
            </w:r>
            <w:r>
              <w:rPr>
                <w:rFonts w:ascii="宋体" w:hAnsi="宋体"/>
                <w:sz w:val="24"/>
              </w:rPr>
              <w:t>2014]9号</w:t>
            </w:r>
            <w:r>
              <w:rPr>
                <w:rFonts w:hint="eastAsia" w:ascii="宋体" w:hAnsi="宋体"/>
                <w:sz w:val="24"/>
              </w:rPr>
              <w:t>）；同时根据乐山市国土资源局出具的不动产权证（川（2</w:t>
            </w:r>
            <w:r>
              <w:rPr>
                <w:rFonts w:ascii="宋体" w:hAnsi="宋体"/>
                <w:sz w:val="24"/>
              </w:rPr>
              <w:t>018</w:t>
            </w:r>
            <w:r>
              <w:rPr>
                <w:rFonts w:hint="eastAsia" w:ascii="宋体" w:hAnsi="宋体"/>
                <w:sz w:val="24"/>
              </w:rPr>
              <w:t>）乐山市不动产权第0</w:t>
            </w:r>
            <w:r>
              <w:rPr>
                <w:rFonts w:ascii="宋体" w:hAnsi="宋体"/>
                <w:sz w:val="24"/>
              </w:rPr>
              <w:t>047223号</w:t>
            </w:r>
            <w:r>
              <w:rPr>
                <w:rFonts w:hint="eastAsia" w:ascii="宋体" w:hAnsi="宋体"/>
                <w:sz w:val="24"/>
              </w:rPr>
              <w:t>），本项目用地为工业用地，因此本项目用地性质合理。</w:t>
            </w:r>
          </w:p>
          <w:p>
            <w:pPr>
              <w:spacing w:line="360" w:lineRule="auto"/>
              <w:ind w:firstLine="472" w:firstLineChars="196"/>
              <w:rPr>
                <w:b/>
                <w:sz w:val="24"/>
              </w:rPr>
            </w:pPr>
            <w:r>
              <w:rPr>
                <w:rFonts w:hint="eastAsia"/>
                <w:b/>
                <w:sz w:val="24"/>
              </w:rPr>
              <w:t>（</w:t>
            </w:r>
            <w:r>
              <w:rPr>
                <w:b/>
                <w:sz w:val="24"/>
              </w:rPr>
              <w:t>3</w:t>
            </w:r>
            <w:r>
              <w:rPr>
                <w:rFonts w:hint="eastAsia"/>
                <w:b/>
                <w:sz w:val="24"/>
              </w:rPr>
              <w:t>）外环境相容性分析</w:t>
            </w:r>
          </w:p>
          <w:p>
            <w:pPr>
              <w:spacing w:line="360" w:lineRule="auto"/>
              <w:ind w:firstLine="570"/>
              <w:rPr>
                <w:sz w:val="24"/>
              </w:rPr>
            </w:pPr>
            <w:r>
              <w:rPr>
                <w:rFonts w:hint="eastAsia"/>
                <w:sz w:val="24"/>
              </w:rPr>
              <w:t>本项目位于乐山市市中区集中工业园区水口-罗汉工业区内，周边主要为园区入驻企业，其外环境关系如下：北面为乐山瑞澜科技园，西面为恒丰华邦生物科技公司及铭平方塑料制品科技公司，东南面为川天然气输配设备公司。</w:t>
            </w:r>
            <w:r>
              <w:rPr>
                <w:rFonts w:hint="eastAsia" w:hAnsi="宋体"/>
                <w:sz w:val="24"/>
              </w:rPr>
              <w:t>项目建设区域周围200m范围内无居民分布，最近住户位于本项目西南面，距离本项目厂界</w:t>
            </w:r>
            <w:r>
              <w:rPr>
                <w:rFonts w:hAnsi="宋体"/>
                <w:sz w:val="24"/>
              </w:rPr>
              <w:t>420</w:t>
            </w:r>
            <w:r>
              <w:rPr>
                <w:rFonts w:hint="eastAsia" w:hAnsi="宋体"/>
                <w:sz w:val="24"/>
              </w:rPr>
              <w:t>m；项目东面</w:t>
            </w:r>
            <w:r>
              <w:rPr>
                <w:rFonts w:hAnsi="宋体"/>
                <w:sz w:val="24"/>
              </w:rPr>
              <w:t>47</w:t>
            </w:r>
            <w:r>
              <w:rPr>
                <w:rFonts w:hint="eastAsia" w:hAnsi="宋体"/>
                <w:sz w:val="24"/>
              </w:rPr>
              <w:t>0m处为瓦厂坝居民聚居地；项目东南面</w:t>
            </w:r>
            <w:r>
              <w:rPr>
                <w:rFonts w:hAnsi="宋体"/>
                <w:sz w:val="24"/>
              </w:rPr>
              <w:t>810m</w:t>
            </w:r>
            <w:r>
              <w:rPr>
                <w:rFonts w:hint="eastAsia" w:hAnsi="宋体"/>
                <w:sz w:val="24"/>
              </w:rPr>
              <w:t>处为水口镇周桥村居民聚居地；项目东面7</w:t>
            </w:r>
            <w:r>
              <w:rPr>
                <w:rFonts w:hAnsi="宋体"/>
                <w:sz w:val="24"/>
              </w:rPr>
              <w:t>3</w:t>
            </w:r>
            <w:r>
              <w:rPr>
                <w:rFonts w:hint="eastAsia" w:hAnsi="宋体"/>
                <w:sz w:val="24"/>
              </w:rPr>
              <w:t>1m处为生态河，本项目距离大渡河主河道最近距离为1</w:t>
            </w:r>
            <w:r>
              <w:rPr>
                <w:rFonts w:hAnsi="宋体"/>
                <w:sz w:val="24"/>
              </w:rPr>
              <w:t>100m</w:t>
            </w:r>
            <w:r>
              <w:rPr>
                <w:rFonts w:hint="eastAsia"/>
                <w:sz w:val="24"/>
              </w:rPr>
              <w:t>。项目周围无食品厂及农副产品加工制造行业；无对外环境要求较高的企业存在。</w:t>
            </w:r>
          </w:p>
          <w:p>
            <w:pPr>
              <w:spacing w:line="360" w:lineRule="auto"/>
              <w:ind w:firstLine="480" w:firstLineChars="200"/>
              <w:rPr>
                <w:sz w:val="24"/>
              </w:rPr>
            </w:pPr>
            <w:r>
              <w:rPr>
                <w:rFonts w:hint="eastAsia"/>
                <w:sz w:val="24"/>
              </w:rPr>
              <w:t>因此本项目的建设对周围企业影响较小，与外环境较相容。</w:t>
            </w:r>
          </w:p>
          <w:p>
            <w:pPr>
              <w:spacing w:line="360" w:lineRule="auto"/>
              <w:ind w:firstLine="482" w:firstLineChars="200"/>
              <w:rPr>
                <w:b/>
                <w:iCs/>
                <w:sz w:val="24"/>
              </w:rPr>
            </w:pPr>
            <w:r>
              <w:rPr>
                <w:rFonts w:hint="eastAsia"/>
                <w:b/>
                <w:iCs/>
                <w:sz w:val="24"/>
              </w:rPr>
              <w:t>4</w:t>
            </w:r>
            <w:r>
              <w:rPr>
                <w:b/>
                <w:iCs/>
                <w:sz w:val="24"/>
              </w:rPr>
              <w:t>、环境质量现状</w:t>
            </w:r>
          </w:p>
          <w:p>
            <w:pPr>
              <w:adjustRightInd w:val="0"/>
              <w:snapToGrid w:val="0"/>
              <w:spacing w:line="360" w:lineRule="auto"/>
              <w:ind w:firstLine="480" w:firstLineChars="200"/>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环境空气</w:t>
            </w:r>
          </w:p>
          <w:p>
            <w:pPr>
              <w:adjustRightInd w:val="0"/>
              <w:snapToGrid w:val="0"/>
              <w:spacing w:line="360" w:lineRule="auto"/>
              <w:ind w:firstLine="480" w:firstLineChars="200"/>
              <w:rPr>
                <w:sz w:val="24"/>
              </w:rPr>
            </w:pPr>
            <w:r>
              <w:rPr>
                <w:sz w:val="24"/>
              </w:rPr>
              <w:t>根据《</w:t>
            </w:r>
            <w:r>
              <w:rPr>
                <w:rFonts w:hint="eastAsia"/>
                <w:sz w:val="24"/>
              </w:rPr>
              <w:t>2</w:t>
            </w:r>
            <w:r>
              <w:rPr>
                <w:sz w:val="24"/>
              </w:rPr>
              <w:t>017年市中区环境质量公报》，对比《环境空气质量标准》（GB3095-2012）中二级标准，</w:t>
            </w:r>
            <w:r>
              <w:rPr>
                <w:rFonts w:hint="eastAsia" w:ascii="宋体" w:hAnsi="宋体"/>
                <w:sz w:val="24"/>
              </w:rPr>
              <w:t>乐山市市中区PM</w:t>
            </w:r>
            <w:r>
              <w:rPr>
                <w:rFonts w:hint="eastAsia" w:ascii="宋体" w:hAnsi="宋体"/>
                <w:sz w:val="24"/>
                <w:vertAlign w:val="subscript"/>
              </w:rPr>
              <w:t>10</w:t>
            </w:r>
            <w:r>
              <w:rPr>
                <w:rFonts w:hint="eastAsia" w:ascii="宋体" w:hAnsi="宋体"/>
                <w:sz w:val="24"/>
              </w:rPr>
              <w:t>、PM</w:t>
            </w:r>
            <w:r>
              <w:rPr>
                <w:rFonts w:hint="eastAsia" w:ascii="宋体" w:hAnsi="宋体"/>
                <w:sz w:val="24"/>
                <w:vertAlign w:val="subscript"/>
              </w:rPr>
              <w:t>2.5</w:t>
            </w:r>
            <w:r>
              <w:rPr>
                <w:rFonts w:hint="eastAsia" w:ascii="宋体" w:hAnsi="宋体"/>
                <w:sz w:val="24"/>
              </w:rPr>
              <w:t>均出现超标，超标倍数分别为1.</w:t>
            </w:r>
            <w:r>
              <w:rPr>
                <w:rFonts w:ascii="宋体" w:hAnsi="宋体"/>
                <w:sz w:val="24"/>
              </w:rPr>
              <w:t>11</w:t>
            </w:r>
            <w:r>
              <w:rPr>
                <w:rFonts w:hint="eastAsia" w:ascii="宋体" w:hAnsi="宋体"/>
                <w:sz w:val="24"/>
              </w:rPr>
              <w:t>、1.</w:t>
            </w:r>
            <w:r>
              <w:rPr>
                <w:rFonts w:ascii="宋体" w:hAnsi="宋体"/>
                <w:sz w:val="24"/>
              </w:rPr>
              <w:t>58</w:t>
            </w:r>
            <w:r>
              <w:rPr>
                <w:rFonts w:hint="eastAsia" w:ascii="宋体" w:hAnsi="宋体"/>
                <w:sz w:val="24"/>
              </w:rPr>
              <w:t>，</w:t>
            </w:r>
            <w:r>
              <w:rPr>
                <w:rFonts w:hint="eastAsia" w:ascii="宋体" w:hAnsi="宋体"/>
                <w:b/>
                <w:sz w:val="24"/>
              </w:rPr>
              <w:t>项目所在区域为环境空气质量不达标区</w:t>
            </w:r>
            <w:r>
              <w:rPr>
                <w:sz w:val="24"/>
              </w:rPr>
              <w:t>。</w:t>
            </w:r>
            <w:r>
              <w:rPr>
                <w:rFonts w:hint="eastAsia" w:ascii="Calibri" w:hAnsi="Calibri"/>
                <w:sz w:val="24"/>
              </w:rPr>
              <w:t>根据《乐山市空气质量限期达标规划（2017-2025）》，乐山市近期采取产业和能源结构调整措施、大气污染治理的措施等一系列措施后，在2025年底前实现空气质量6项主要污染物（二氧化硫、二氧化氮、可吸入颗粒物、细颗粒物、一氧化碳、臭氧）全面达标。</w:t>
            </w:r>
            <w:r>
              <w:rPr>
                <w:sz w:val="24"/>
              </w:rPr>
              <w:t>根据监测统计结果可知，本项目所在区域</w:t>
            </w:r>
            <w:r>
              <w:rPr>
                <w:rFonts w:hint="eastAsia"/>
                <w:sz w:val="24"/>
              </w:rPr>
              <w:t>氨气</w:t>
            </w:r>
            <w:r>
              <w:rPr>
                <w:sz w:val="24"/>
              </w:rPr>
              <w:t>的 8 小时平均浓度值符合《</w:t>
            </w:r>
            <w:r>
              <w:rPr>
                <w:rFonts w:hint="eastAsia"/>
                <w:sz w:val="24"/>
              </w:rPr>
              <w:t>环境影响评价技术导则 大气环境</w:t>
            </w:r>
            <w:r>
              <w:rPr>
                <w:sz w:val="24"/>
              </w:rPr>
              <w:t>》（HJ2.2-2018）附录</w:t>
            </w:r>
            <w:r>
              <w:rPr>
                <w:rFonts w:hint="eastAsia"/>
                <w:sz w:val="24"/>
              </w:rPr>
              <w:t>D中</w:t>
            </w:r>
            <w:r>
              <w:rPr>
                <w:sz w:val="24"/>
              </w:rPr>
              <w:t>的浓度限值要求，说明项目所在区域空气环境质量现状良好。</w:t>
            </w:r>
          </w:p>
          <w:p>
            <w:pPr>
              <w:adjustRightInd w:val="0"/>
              <w:snapToGrid w:val="0"/>
              <w:spacing w:line="360" w:lineRule="auto"/>
              <w:ind w:firstLine="480" w:firstLineChars="200"/>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2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②</w:t>
            </w:r>
            <w:r>
              <w:rPr>
                <w:rFonts w:ascii="宋体" w:hAnsi="宋体"/>
                <w:sz w:val="24"/>
              </w:rPr>
              <w:fldChar w:fldCharType="end"/>
            </w:r>
            <w:r>
              <w:rPr>
                <w:rFonts w:hint="eastAsia" w:ascii="宋体" w:hAnsi="宋体"/>
                <w:sz w:val="24"/>
              </w:rPr>
              <w:t>地表水</w:t>
            </w:r>
          </w:p>
          <w:p>
            <w:pPr>
              <w:adjustRightInd w:val="0"/>
              <w:snapToGrid w:val="0"/>
              <w:spacing w:line="360" w:lineRule="auto"/>
              <w:ind w:firstLine="480" w:firstLineChars="200"/>
              <w:rPr>
                <w:sz w:val="24"/>
              </w:rPr>
            </w:pPr>
            <w:r>
              <w:rPr>
                <w:rFonts w:hint="eastAsia"/>
                <w:sz w:val="24"/>
              </w:rPr>
              <w:t>本项目位于乐山市市中区工业集中区水口-罗汉工业园区内，项目所在区域属于地表水</w:t>
            </w:r>
            <w:r>
              <w:rPr>
                <w:rFonts w:hint="eastAsia" w:ascii="宋体" w:hAnsi="宋体"/>
                <w:sz w:val="24"/>
              </w:rPr>
              <w:t>Ⅲ</w:t>
            </w:r>
            <w:r>
              <w:rPr>
                <w:rFonts w:hint="eastAsia"/>
                <w:sz w:val="24"/>
              </w:rPr>
              <w:t>类水域区域，根据《乐山市2</w:t>
            </w:r>
            <w:r>
              <w:rPr>
                <w:sz w:val="24"/>
              </w:rPr>
              <w:t>018年</w:t>
            </w:r>
            <w:r>
              <w:rPr>
                <w:rFonts w:hint="eastAsia"/>
                <w:sz w:val="24"/>
              </w:rPr>
              <w:t>1</w:t>
            </w:r>
            <w:r>
              <w:rPr>
                <w:sz w:val="24"/>
              </w:rPr>
              <w:t>1月地表水水质</w:t>
            </w:r>
            <w:r>
              <w:rPr>
                <w:rFonts w:hint="eastAsia"/>
                <w:sz w:val="24"/>
              </w:rPr>
              <w:t>质量</w:t>
            </w:r>
            <w:r>
              <w:rPr>
                <w:sz w:val="24"/>
              </w:rPr>
              <w:t>月报</w:t>
            </w:r>
            <w:r>
              <w:rPr>
                <w:rFonts w:hint="eastAsia"/>
                <w:sz w:val="24"/>
              </w:rPr>
              <w:t>》，大渡河李码头监测断面2</w:t>
            </w:r>
            <w:r>
              <w:rPr>
                <w:sz w:val="24"/>
              </w:rPr>
              <w:t>018年</w:t>
            </w:r>
            <w:r>
              <w:rPr>
                <w:rFonts w:hint="eastAsia"/>
                <w:sz w:val="24"/>
              </w:rPr>
              <w:t>1</w:t>
            </w:r>
            <w:r>
              <w:rPr>
                <w:sz w:val="24"/>
              </w:rPr>
              <w:t>1月的水质达到国家规定的</w:t>
            </w:r>
            <w:r>
              <w:rPr>
                <w:rFonts w:hint="eastAsia"/>
                <w:sz w:val="24"/>
              </w:rPr>
              <w:t>《地表水环境质量标准》</w:t>
            </w:r>
            <w:r>
              <w:rPr>
                <w:rFonts w:hint="eastAsia" w:ascii="宋体" w:hAnsi="宋体"/>
                <w:sz w:val="24"/>
              </w:rPr>
              <w:t>Ⅲ</w:t>
            </w:r>
            <w:r>
              <w:rPr>
                <w:rFonts w:hint="eastAsia"/>
                <w:sz w:val="24"/>
              </w:rPr>
              <w:t>类水域标准，水质状况优良。</w:t>
            </w:r>
          </w:p>
          <w:p>
            <w:pPr>
              <w:adjustRightInd w:val="0"/>
              <w:snapToGrid w:val="0"/>
              <w:spacing w:line="360" w:lineRule="auto"/>
              <w:ind w:firstLine="480" w:firstLineChars="200"/>
              <w:rPr>
                <w:sz w:val="24"/>
              </w:rPr>
            </w:pPr>
            <w:r>
              <w:rPr>
                <w:sz w:val="24"/>
              </w:rPr>
              <w:t>因此本项目所在区域地表水环境良好</w:t>
            </w:r>
            <w:r>
              <w:rPr>
                <w:rFonts w:hint="eastAsia"/>
                <w:sz w:val="24"/>
              </w:rPr>
              <w:t>。</w:t>
            </w:r>
          </w:p>
          <w:p>
            <w:pPr>
              <w:adjustRightInd w:val="0"/>
              <w:snapToGrid w:val="0"/>
              <w:spacing w:line="360" w:lineRule="auto"/>
              <w:ind w:firstLine="480" w:firstLineChars="200"/>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3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③</w:t>
            </w:r>
            <w:r>
              <w:rPr>
                <w:rFonts w:ascii="宋体" w:hAnsi="宋体"/>
                <w:sz w:val="24"/>
              </w:rPr>
              <w:fldChar w:fldCharType="end"/>
            </w:r>
            <w:r>
              <w:rPr>
                <w:rFonts w:hint="eastAsia" w:ascii="宋体" w:hAnsi="宋体"/>
                <w:sz w:val="24"/>
              </w:rPr>
              <w:t>声学环境</w:t>
            </w:r>
          </w:p>
          <w:p>
            <w:pPr>
              <w:adjustRightInd w:val="0"/>
              <w:snapToGrid w:val="0"/>
              <w:spacing w:line="360" w:lineRule="auto"/>
              <w:ind w:firstLine="480" w:firstLineChars="200"/>
              <w:rPr>
                <w:rFonts w:ascii="宋体" w:hAnsi="宋体"/>
                <w:sz w:val="24"/>
              </w:rPr>
            </w:pPr>
            <w:r>
              <w:rPr>
                <w:rFonts w:hint="eastAsia" w:ascii="宋体" w:hAnsi="宋体"/>
                <w:sz w:val="24"/>
              </w:rPr>
              <w:t>项目所在区域的声学环境质量能达到《声环境质量标准》（</w:t>
            </w:r>
            <w:r>
              <w:rPr>
                <w:rFonts w:ascii="宋体" w:hAnsi="宋体"/>
                <w:sz w:val="24"/>
              </w:rPr>
              <w:t>GB3096-2008</w:t>
            </w:r>
            <w:r>
              <w:rPr>
                <w:rFonts w:hint="eastAsia" w:ascii="宋体" w:hAnsi="宋体"/>
                <w:sz w:val="24"/>
              </w:rPr>
              <w:t>）中</w:t>
            </w:r>
            <w:r>
              <w:rPr>
                <w:rFonts w:ascii="宋体" w:hAnsi="宋体"/>
                <w:sz w:val="24"/>
              </w:rPr>
              <w:t>3</w:t>
            </w:r>
            <w:r>
              <w:rPr>
                <w:rFonts w:hint="eastAsia" w:ascii="宋体" w:hAnsi="宋体"/>
                <w:sz w:val="24"/>
              </w:rPr>
              <w:t>类类标准。</w:t>
            </w:r>
          </w:p>
          <w:p>
            <w:pPr>
              <w:spacing w:line="360" w:lineRule="auto"/>
              <w:ind w:firstLine="482" w:firstLineChars="200"/>
              <w:rPr>
                <w:b/>
                <w:iCs/>
                <w:sz w:val="24"/>
              </w:rPr>
            </w:pPr>
            <w:r>
              <w:rPr>
                <w:rFonts w:hint="eastAsia"/>
                <w:b/>
                <w:iCs/>
                <w:sz w:val="24"/>
              </w:rPr>
              <w:t>5</w:t>
            </w:r>
            <w:r>
              <w:rPr>
                <w:b/>
                <w:iCs/>
                <w:sz w:val="24"/>
              </w:rPr>
              <w:t>、污染物达标排放</w:t>
            </w:r>
          </w:p>
          <w:p>
            <w:pPr>
              <w:spacing w:line="360" w:lineRule="auto"/>
              <w:ind w:firstLine="480" w:firstLineChars="200"/>
              <w:rPr>
                <w:iCs/>
                <w:sz w:val="24"/>
              </w:rPr>
            </w:pPr>
            <w:r>
              <w:rPr>
                <w:iCs/>
                <w:sz w:val="24"/>
              </w:rPr>
              <w:t>（1）大气污染物</w:t>
            </w:r>
          </w:p>
          <w:p>
            <w:pPr>
              <w:spacing w:line="360" w:lineRule="auto"/>
              <w:ind w:firstLine="480" w:firstLineChars="200"/>
              <w:rPr>
                <w:sz w:val="24"/>
              </w:rPr>
            </w:pPr>
            <w:r>
              <w:rPr>
                <w:rFonts w:hint="eastAsia"/>
                <w:sz w:val="24"/>
              </w:rPr>
              <w:t>本项目运营期产生废气主要为抛光粉尘、工件盐浴氮化过程产生的废气等。其中抛光粉尘经布袋除尘后排放浓度满足《大气污染物综合排放标准》中限值要求；氮化过程产生的含氨废气经“集气罩+负压抽风+水喷淋+光氧催化”处理后经1根</w:t>
            </w:r>
            <w:r>
              <w:rPr>
                <w:sz w:val="24"/>
              </w:rPr>
              <w:t>15m高排气筒排放</w:t>
            </w:r>
            <w:r>
              <w:rPr>
                <w:rFonts w:hint="eastAsia"/>
                <w:sz w:val="24"/>
              </w:rPr>
              <w:t>，</w:t>
            </w:r>
            <w:r>
              <w:rPr>
                <w:sz w:val="24"/>
              </w:rPr>
              <w:t>其排放浓度满足</w:t>
            </w:r>
            <w:r>
              <w:rPr>
                <w:rFonts w:hint="eastAsia"/>
                <w:sz w:val="24"/>
              </w:rPr>
              <w:t>《恶臭污染物排放标准》要求。</w:t>
            </w:r>
          </w:p>
          <w:p>
            <w:pPr>
              <w:spacing w:line="360" w:lineRule="auto"/>
              <w:ind w:firstLine="482" w:firstLineChars="200"/>
              <w:rPr>
                <w:sz w:val="24"/>
              </w:rPr>
            </w:pPr>
            <w:r>
              <w:rPr>
                <w:rFonts w:ascii="宋体" w:hAnsi="宋体"/>
                <w:b/>
                <w:sz w:val="24"/>
              </w:rPr>
              <w:t>综上项目建成后各污染物能做到达标排放</w:t>
            </w:r>
            <w:r>
              <w:rPr>
                <w:rFonts w:hint="eastAsia" w:ascii="宋体" w:hAnsi="宋体"/>
                <w:b/>
                <w:sz w:val="24"/>
              </w:rPr>
              <w:t>，</w:t>
            </w:r>
            <w:r>
              <w:rPr>
                <w:rFonts w:ascii="宋体" w:hAnsi="宋体"/>
                <w:b/>
                <w:sz w:val="24"/>
              </w:rPr>
              <w:t>通过预测</w:t>
            </w:r>
            <w:r>
              <w:rPr>
                <w:rFonts w:hint="eastAsia" w:ascii="宋体" w:hAnsi="宋体"/>
                <w:b/>
                <w:sz w:val="24"/>
              </w:rPr>
              <w:t>，</w:t>
            </w:r>
            <w:r>
              <w:rPr>
                <w:rFonts w:ascii="宋体" w:hAnsi="宋体"/>
                <w:b/>
                <w:sz w:val="24"/>
              </w:rPr>
              <w:t>项目各污染物中最大占标率为2.0</w:t>
            </w:r>
            <w:r>
              <w:rPr>
                <w:rFonts w:hint="eastAsia" w:ascii="宋体" w:hAnsi="宋体"/>
                <w:b/>
                <w:sz w:val="24"/>
              </w:rPr>
              <w:t>%（&lt;</w:t>
            </w:r>
            <w:r>
              <w:rPr>
                <w:rFonts w:ascii="宋体" w:hAnsi="宋体"/>
                <w:b/>
                <w:sz w:val="24"/>
              </w:rPr>
              <w:t>10</w:t>
            </w:r>
            <w:r>
              <w:rPr>
                <w:rFonts w:hint="eastAsia" w:ascii="宋体" w:hAnsi="宋体"/>
                <w:b/>
                <w:sz w:val="24"/>
              </w:rPr>
              <w:t>%），项目大气环境影响评价等级为二级，项目对所在区域大气环境影响可接受。</w:t>
            </w:r>
          </w:p>
          <w:p>
            <w:pPr>
              <w:spacing w:line="360" w:lineRule="auto"/>
              <w:ind w:firstLine="480" w:firstLineChars="200"/>
              <w:rPr>
                <w:bCs/>
                <w:sz w:val="24"/>
              </w:rPr>
            </w:pPr>
            <w:r>
              <w:rPr>
                <w:bCs/>
                <w:sz w:val="24"/>
              </w:rPr>
              <w:t>（2）水污染物</w:t>
            </w:r>
          </w:p>
          <w:p>
            <w:pPr>
              <w:spacing w:line="360" w:lineRule="auto"/>
              <w:ind w:firstLine="480" w:firstLineChars="200"/>
              <w:rPr>
                <w:sz w:val="24"/>
              </w:rPr>
            </w:pPr>
            <w:r>
              <w:rPr>
                <w:rFonts w:hint="eastAsia"/>
                <w:sz w:val="24"/>
              </w:rPr>
              <w:t>本项目建成后不新增，故本项目无新增生活污水。因此本项目建成后废水主要为生产废水。项目</w:t>
            </w:r>
            <w:r>
              <w:rPr>
                <w:sz w:val="24"/>
              </w:rPr>
              <w:t>工件氧化后第一级清洗废水经固体盐回收后作为第一级清洗补充水使用</w:t>
            </w:r>
            <w:r>
              <w:rPr>
                <w:rFonts w:hint="eastAsia"/>
                <w:sz w:val="24"/>
              </w:rPr>
              <w:t>，</w:t>
            </w:r>
            <w:r>
              <w:rPr>
                <w:sz w:val="24"/>
              </w:rPr>
              <w:t>后一级清洗废水依次作为上一级清洗水使用</w:t>
            </w:r>
            <w:r>
              <w:rPr>
                <w:rFonts w:hint="eastAsia"/>
                <w:sz w:val="24"/>
              </w:rPr>
              <w:t>，</w:t>
            </w:r>
            <w:r>
              <w:rPr>
                <w:sz w:val="24"/>
              </w:rPr>
              <w:t>不外排</w:t>
            </w:r>
            <w:r>
              <w:rPr>
                <w:rFonts w:hint="eastAsia"/>
                <w:sz w:val="24"/>
              </w:rPr>
              <w:t>；</w:t>
            </w:r>
            <w:r>
              <w:rPr>
                <w:sz w:val="24"/>
              </w:rPr>
              <w:t>抛光清洗废水经收集后作为模具冷却水使用</w:t>
            </w:r>
            <w:r>
              <w:rPr>
                <w:rFonts w:hint="eastAsia"/>
                <w:sz w:val="24"/>
              </w:rPr>
              <w:t>；</w:t>
            </w:r>
            <w:r>
              <w:rPr>
                <w:sz w:val="24"/>
              </w:rPr>
              <w:t>喷淋废水采用调</w:t>
            </w:r>
            <w:r>
              <w:rPr>
                <w:rFonts w:hint="eastAsia"/>
                <w:sz w:val="24"/>
              </w:rPr>
              <w:t>p</w:t>
            </w:r>
            <w:r>
              <w:rPr>
                <w:sz w:val="24"/>
              </w:rPr>
              <w:t>H后循环使用</w:t>
            </w:r>
            <w:r>
              <w:rPr>
                <w:rFonts w:hint="eastAsia"/>
                <w:sz w:val="24"/>
              </w:rPr>
              <w:t>，</w:t>
            </w:r>
            <w:r>
              <w:rPr>
                <w:sz w:val="24"/>
              </w:rPr>
              <w:t>不外排</w:t>
            </w:r>
            <w:r>
              <w:rPr>
                <w:rFonts w:hint="eastAsia"/>
                <w:sz w:val="24"/>
              </w:rPr>
              <w:t>。</w:t>
            </w:r>
          </w:p>
          <w:p>
            <w:pPr>
              <w:spacing w:line="360" w:lineRule="auto"/>
              <w:ind w:firstLine="480" w:firstLineChars="200"/>
              <w:rPr>
                <w:sz w:val="24"/>
                <w:lang w:val="zh-CN"/>
              </w:rPr>
            </w:pPr>
            <w:r>
              <w:rPr>
                <w:sz w:val="24"/>
                <w:lang w:val="zh-CN"/>
              </w:rPr>
              <w:t>综上所述，本项目产生的废水均得到合理处置，不会对区域水环境造成影响。</w:t>
            </w:r>
          </w:p>
          <w:p>
            <w:pPr>
              <w:spacing w:line="360" w:lineRule="auto"/>
              <w:ind w:firstLine="480" w:firstLineChars="200"/>
              <w:rPr>
                <w:bCs/>
                <w:sz w:val="24"/>
              </w:rPr>
            </w:pPr>
            <w:r>
              <w:rPr>
                <w:bCs/>
                <w:sz w:val="24"/>
              </w:rPr>
              <w:t>（3）噪声</w:t>
            </w:r>
          </w:p>
          <w:p>
            <w:pPr>
              <w:spacing w:line="360" w:lineRule="auto"/>
              <w:ind w:firstLine="480" w:firstLineChars="200"/>
              <w:rPr>
                <w:sz w:val="24"/>
              </w:rPr>
            </w:pPr>
            <w:r>
              <w:rPr>
                <w:sz w:val="24"/>
              </w:rPr>
              <w:t>本项目噪声主要为厂区内</w:t>
            </w:r>
            <w:r>
              <w:rPr>
                <w:rFonts w:hint="eastAsia"/>
                <w:sz w:val="24"/>
              </w:rPr>
              <w:t>电炉、磨削机、风机等设备运行时产生的噪声。</w:t>
            </w:r>
            <w:r>
              <w:rPr>
                <w:sz w:val="24"/>
              </w:rPr>
              <w:t>本项目减震措施对生产车间</w:t>
            </w:r>
            <w:r>
              <w:rPr>
                <w:rFonts w:hint="eastAsia"/>
                <w:sz w:val="24"/>
              </w:rPr>
              <w:t>设备进行降噪、墙体隔声</w:t>
            </w:r>
            <w:r>
              <w:rPr>
                <w:sz w:val="24"/>
              </w:rPr>
              <w:t>，经预测，厂界噪声排放值能够满足《工业企业厂界环境噪声排放标准》（GB12348-2008）</w:t>
            </w:r>
            <w:r>
              <w:rPr>
                <w:rFonts w:hint="eastAsia"/>
                <w:sz w:val="24"/>
              </w:rPr>
              <w:t>3</w:t>
            </w:r>
            <w:r>
              <w:rPr>
                <w:sz w:val="24"/>
              </w:rPr>
              <w:t>类标准。故项目噪声都得到合理</w:t>
            </w:r>
            <w:r>
              <w:rPr>
                <w:rFonts w:hint="eastAsia"/>
                <w:sz w:val="24"/>
              </w:rPr>
              <w:t>治理</w:t>
            </w:r>
            <w:r>
              <w:rPr>
                <w:sz w:val="24"/>
              </w:rPr>
              <w:t>，不会改变周围声环境质量现状。</w:t>
            </w:r>
          </w:p>
          <w:p>
            <w:pPr>
              <w:spacing w:line="360" w:lineRule="auto"/>
              <w:ind w:firstLine="480" w:firstLineChars="200"/>
              <w:rPr>
                <w:iCs/>
                <w:sz w:val="24"/>
              </w:rPr>
            </w:pPr>
            <w:r>
              <w:rPr>
                <w:iCs/>
                <w:sz w:val="24"/>
              </w:rPr>
              <w:t>（4）固体废物</w:t>
            </w:r>
          </w:p>
          <w:p>
            <w:pPr>
              <w:spacing w:line="360" w:lineRule="auto"/>
              <w:ind w:firstLine="570"/>
              <w:rPr>
                <w:sz w:val="24"/>
              </w:rPr>
            </w:pPr>
            <w:r>
              <w:rPr>
                <w:rFonts w:hint="eastAsia" w:ascii="宋体" w:hAnsi="宋体" w:cs="宋体"/>
                <w:sz w:val="24"/>
              </w:rPr>
              <w:t>本项目运营过程中产生的固废主要包括过滤废渣，回收固体盐，除尘设备收集粉尘，氮化盐及调整盐废包装袋，氧化盐废包装袋，检修废油等。其中铁屑收集后外卖；过滤废渣收集后作为原料回用，不外排；回收固体盐作为氧化盐回用；除尘设备收集粉尘、氮化盐及调整盐废包装袋收集后外卖；氧化盐废包装袋规范收集暂存后交由有资质单位处理；员工生活垃圾经收集后交由当地环卫部门处理；检修废油经规范收集暂存后交由有资质单位处理，不外排。</w:t>
            </w:r>
          </w:p>
          <w:p>
            <w:pPr>
              <w:spacing w:line="360" w:lineRule="auto"/>
              <w:ind w:firstLine="480" w:firstLineChars="200"/>
              <w:rPr>
                <w:sz w:val="24"/>
              </w:rPr>
            </w:pPr>
            <w:r>
              <w:rPr>
                <w:sz w:val="24"/>
              </w:rPr>
              <w:t>故本项目产生固废均得到合理处置，不外排，对周围环境的影响较小。</w:t>
            </w:r>
          </w:p>
          <w:p>
            <w:pPr>
              <w:spacing w:line="360" w:lineRule="auto"/>
              <w:ind w:firstLine="482" w:firstLineChars="200"/>
              <w:rPr>
                <w:b/>
                <w:iCs/>
                <w:sz w:val="24"/>
              </w:rPr>
            </w:pPr>
            <w:r>
              <w:rPr>
                <w:rFonts w:hint="eastAsia"/>
                <w:b/>
                <w:iCs/>
                <w:sz w:val="24"/>
              </w:rPr>
              <w:t>6</w:t>
            </w:r>
            <w:r>
              <w:rPr>
                <w:b/>
                <w:iCs/>
                <w:sz w:val="24"/>
              </w:rPr>
              <w:t>、结论</w:t>
            </w:r>
          </w:p>
          <w:p>
            <w:pPr>
              <w:spacing w:line="360" w:lineRule="auto"/>
              <w:ind w:firstLine="570"/>
              <w:rPr>
                <w:b/>
                <w:sz w:val="24"/>
              </w:rPr>
            </w:pPr>
            <w:r>
              <w:rPr>
                <w:rFonts w:hint="eastAsia"/>
                <w:b/>
                <w:sz w:val="24"/>
              </w:rPr>
              <w:t>项目符合国家有关产业政策和当地规划，贯彻了“清洁生产、总量控制、达标排放”的原则；项目采取的污染防治措施技术经济可行、措施有效，完全能实现达标排放；影响分析预测表明，项目建设不会对拟建区域环境质量产生明显影响，能维持环境类（级）别质量现状、并满足规定的环境功能区划要求，其环境影响可接受；项目采取的环境风险防范和事故应急措施可行、项目环境风险处于可接受。从环境保护角度，拟建项目在乐山市市中区工业集中区水口-罗汉工业园区建设可行。</w:t>
            </w:r>
          </w:p>
          <w:p>
            <w:pPr>
              <w:spacing w:line="360" w:lineRule="auto"/>
              <w:rPr>
                <w:b/>
                <w:sz w:val="24"/>
              </w:rPr>
            </w:pPr>
            <w:r>
              <w:rPr>
                <w:b/>
                <w:sz w:val="24"/>
              </w:rPr>
              <w:t>二、环保对策与建议</w:t>
            </w:r>
          </w:p>
          <w:p>
            <w:pPr>
              <w:spacing w:before="60" w:line="336" w:lineRule="auto"/>
              <w:ind w:firstLine="480" w:firstLineChars="200"/>
              <w:rPr>
                <w:sz w:val="24"/>
              </w:rPr>
            </w:pPr>
            <w:r>
              <w:rPr>
                <w:sz w:val="24"/>
              </w:rPr>
              <w:t>通过对拟建项目的工程分析和环境影响评价，特提出以下几点建议：</w:t>
            </w:r>
          </w:p>
          <w:p>
            <w:pPr>
              <w:spacing w:line="360" w:lineRule="auto"/>
              <w:ind w:firstLine="480" w:firstLineChars="200"/>
              <w:rPr>
                <w:iCs/>
                <w:sz w:val="24"/>
              </w:rPr>
            </w:pPr>
            <w:r>
              <w:rPr>
                <w:iCs/>
                <w:sz w:val="24"/>
              </w:rPr>
              <w:t>（</w:t>
            </w:r>
            <w:r>
              <w:rPr>
                <w:rFonts w:hint="eastAsia"/>
                <w:iCs/>
                <w:sz w:val="24"/>
              </w:rPr>
              <w:t>1</w:t>
            </w:r>
            <w:r>
              <w:rPr>
                <w:iCs/>
                <w:sz w:val="24"/>
              </w:rPr>
              <w:t>）安排专人对环保设施进行管理，使其正常运转，并定期进行监测。</w:t>
            </w:r>
          </w:p>
          <w:p>
            <w:pPr>
              <w:spacing w:before="60" w:line="336" w:lineRule="auto"/>
              <w:ind w:firstLine="480" w:firstLineChars="200"/>
              <w:rPr>
                <w:sz w:val="24"/>
              </w:rPr>
            </w:pPr>
            <w:r>
              <w:rPr>
                <w:rFonts w:hint="eastAsia"/>
                <w:sz w:val="24"/>
              </w:rPr>
              <w:t>（2）切实加强施工管理，严格按照规定进行施工，文明施工，严禁野蛮施工、控制施工噪声，严禁任意堆放施工材料，减少地面扬尘。</w:t>
            </w:r>
          </w:p>
          <w:p>
            <w:pPr>
              <w:spacing w:line="360" w:lineRule="auto"/>
              <w:ind w:firstLine="480" w:firstLineChars="200"/>
              <w:rPr>
                <w:iCs/>
                <w:sz w:val="24"/>
              </w:rPr>
            </w:pPr>
          </w:p>
          <w:p>
            <w:pPr>
              <w:spacing w:line="360" w:lineRule="auto"/>
              <w:ind w:firstLine="480" w:firstLineChars="200"/>
              <w:rPr>
                <w:iCs/>
                <w:sz w:val="24"/>
              </w:rPr>
            </w:pPr>
          </w:p>
          <w:p>
            <w:pPr>
              <w:spacing w:line="360" w:lineRule="auto"/>
              <w:ind w:firstLine="480" w:firstLineChars="200"/>
              <w:rPr>
                <w:iCs/>
                <w:sz w:val="24"/>
              </w:rPr>
            </w:pPr>
          </w:p>
          <w:p>
            <w:pPr>
              <w:spacing w:line="360" w:lineRule="auto"/>
              <w:ind w:firstLine="480" w:firstLineChars="200"/>
              <w:rPr>
                <w:iCs/>
                <w:sz w:val="24"/>
              </w:rPr>
            </w:pPr>
          </w:p>
          <w:p>
            <w:pPr>
              <w:spacing w:line="360" w:lineRule="auto"/>
              <w:ind w:firstLine="480" w:firstLineChars="200"/>
              <w:rPr>
                <w:iCs/>
                <w:sz w:val="24"/>
              </w:rPr>
            </w:pPr>
          </w:p>
          <w:p>
            <w:pPr>
              <w:spacing w:line="360" w:lineRule="auto"/>
              <w:rPr>
                <w:iCs/>
                <w:sz w:val="28"/>
              </w:rPr>
            </w:pPr>
          </w:p>
        </w:tc>
      </w:tr>
    </w:tbl>
    <w:p/>
    <w:tbl>
      <w:tblPr>
        <w:tblStyle w:val="53"/>
        <w:tblW w:w="928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2317" w:hRule="atLeast"/>
        </w:trPr>
        <w:tc>
          <w:tcPr>
            <w:tcW w:w="9288" w:type="dxa"/>
          </w:tcPr>
          <w:p>
            <w:pPr>
              <w:adjustRightInd w:val="0"/>
              <w:snapToGrid w:val="0"/>
              <w:spacing w:line="480" w:lineRule="exact"/>
              <w:ind w:firstLine="562" w:firstLineChars="200"/>
              <w:jc w:val="center"/>
              <w:rPr>
                <w:rFonts w:ascii="宋体" w:hAnsi="宋体"/>
                <w:b/>
                <w:bCs/>
                <w:sz w:val="28"/>
                <w:szCs w:val="28"/>
              </w:rPr>
            </w:pPr>
            <w:r>
              <w:rPr>
                <w:rFonts w:ascii="宋体" w:hAnsi="宋体"/>
                <w:b/>
                <w:bCs/>
                <w:sz w:val="28"/>
                <w:szCs w:val="28"/>
              </w:rPr>
              <w:t>注   释</w:t>
            </w:r>
          </w:p>
          <w:p>
            <w:pPr>
              <w:numPr>
                <w:ilvl w:val="0"/>
                <w:numId w:val="6"/>
              </w:numPr>
              <w:adjustRightInd w:val="0"/>
              <w:snapToGrid w:val="0"/>
              <w:spacing w:line="480" w:lineRule="exact"/>
              <w:ind w:left="0" w:firstLine="560" w:firstLineChars="200"/>
              <w:rPr>
                <w:rFonts w:ascii="宋体" w:hAnsi="宋体"/>
                <w:sz w:val="28"/>
                <w:szCs w:val="28"/>
              </w:rPr>
            </w:pPr>
            <w:r>
              <w:rPr>
                <w:rFonts w:ascii="宋体" w:hAnsi="宋体"/>
                <w:sz w:val="28"/>
                <w:szCs w:val="28"/>
              </w:rPr>
              <w:t>本报告表应附以下附件、附图：</w:t>
            </w:r>
          </w:p>
          <w:p>
            <w:pPr>
              <w:adjustRightInd w:val="0"/>
              <w:snapToGrid w:val="0"/>
              <w:spacing w:line="480" w:lineRule="exact"/>
              <w:ind w:firstLine="560" w:firstLineChars="200"/>
              <w:rPr>
                <w:rFonts w:ascii="宋体" w:hAnsi="宋体"/>
                <w:sz w:val="28"/>
                <w:szCs w:val="28"/>
              </w:rPr>
            </w:pPr>
            <w:r>
              <w:rPr>
                <w:rFonts w:ascii="宋体" w:hAnsi="宋体"/>
                <w:sz w:val="28"/>
                <w:szCs w:val="28"/>
              </w:rPr>
              <w:t xml:space="preserve">附件1  </w:t>
            </w:r>
            <w:r>
              <w:rPr>
                <w:rFonts w:hint="eastAsia" w:ascii="宋体" w:hAnsi="宋体"/>
                <w:sz w:val="28"/>
                <w:szCs w:val="28"/>
              </w:rPr>
              <w:t>委托书</w:t>
            </w:r>
          </w:p>
          <w:p>
            <w:pPr>
              <w:adjustRightInd w:val="0"/>
              <w:snapToGrid w:val="0"/>
              <w:spacing w:line="480" w:lineRule="exact"/>
              <w:ind w:firstLine="560" w:firstLineChars="200"/>
              <w:rPr>
                <w:rFonts w:ascii="宋体" w:hAnsi="宋体"/>
                <w:sz w:val="28"/>
                <w:szCs w:val="28"/>
              </w:rPr>
            </w:pPr>
            <w:r>
              <w:rPr>
                <w:rFonts w:ascii="宋体" w:hAnsi="宋体"/>
                <w:sz w:val="28"/>
                <w:szCs w:val="28"/>
              </w:rPr>
              <w:t xml:space="preserve">附件2  </w:t>
            </w:r>
            <w:r>
              <w:rPr>
                <w:rFonts w:hint="eastAsia" w:ascii="宋体" w:hAnsi="宋体"/>
                <w:sz w:val="28"/>
                <w:szCs w:val="28"/>
              </w:rPr>
              <w:t>项目立项</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附件3  国土证</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附件4  监测报告</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附件</w:t>
            </w:r>
            <w:r>
              <w:rPr>
                <w:rFonts w:ascii="宋体" w:hAnsi="宋体"/>
                <w:sz w:val="28"/>
                <w:szCs w:val="28"/>
              </w:rPr>
              <w:t>5</w:t>
            </w:r>
            <w:r>
              <w:rPr>
                <w:rFonts w:hint="eastAsia" w:ascii="宋体" w:hAnsi="宋体"/>
                <w:sz w:val="28"/>
                <w:szCs w:val="28"/>
              </w:rPr>
              <w:t xml:space="preserve">  园区规划环评</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附件</w:t>
            </w:r>
            <w:r>
              <w:rPr>
                <w:rFonts w:ascii="宋体" w:hAnsi="宋体"/>
                <w:sz w:val="28"/>
                <w:szCs w:val="28"/>
              </w:rPr>
              <w:t>6</w:t>
            </w:r>
            <w:r>
              <w:rPr>
                <w:rFonts w:hint="eastAsia" w:ascii="宋体" w:hAnsi="宋体"/>
                <w:sz w:val="28"/>
                <w:szCs w:val="28"/>
              </w:rPr>
              <w:t xml:space="preserve">  营业执照</w:t>
            </w:r>
          </w:p>
          <w:p>
            <w:pPr>
              <w:adjustRightInd w:val="0"/>
              <w:snapToGrid w:val="0"/>
              <w:spacing w:line="480" w:lineRule="exact"/>
              <w:ind w:firstLine="560" w:firstLineChars="200"/>
              <w:rPr>
                <w:rFonts w:ascii="宋体" w:hAnsi="宋体"/>
                <w:sz w:val="28"/>
                <w:szCs w:val="28"/>
              </w:rPr>
            </w:pPr>
            <w:r>
              <w:rPr>
                <w:rFonts w:ascii="宋体" w:hAnsi="宋体"/>
                <w:sz w:val="28"/>
                <w:szCs w:val="28"/>
              </w:rPr>
              <w:t>附图1  项目地理位置图</w:t>
            </w:r>
          </w:p>
          <w:p>
            <w:pPr>
              <w:adjustRightInd w:val="0"/>
              <w:snapToGrid w:val="0"/>
              <w:spacing w:line="480" w:lineRule="exact"/>
              <w:ind w:firstLine="560" w:firstLineChars="200"/>
              <w:rPr>
                <w:rFonts w:ascii="宋体" w:hAnsi="宋体"/>
                <w:sz w:val="28"/>
                <w:szCs w:val="28"/>
              </w:rPr>
            </w:pPr>
            <w:r>
              <w:rPr>
                <w:rFonts w:ascii="宋体" w:hAnsi="宋体"/>
                <w:sz w:val="28"/>
                <w:szCs w:val="28"/>
              </w:rPr>
              <w:t>附图2  项目平面布置图</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附图3  外环境关系及监测布点示意图</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附图</w:t>
            </w:r>
            <w:r>
              <w:rPr>
                <w:rFonts w:ascii="宋体" w:hAnsi="宋体"/>
                <w:sz w:val="28"/>
                <w:szCs w:val="28"/>
              </w:rPr>
              <w:t>4</w:t>
            </w:r>
            <w:r>
              <w:rPr>
                <w:rFonts w:hint="eastAsia" w:ascii="宋体" w:hAnsi="宋体"/>
                <w:sz w:val="28"/>
                <w:szCs w:val="28"/>
              </w:rPr>
              <w:t xml:space="preserve">  项目照片</w:t>
            </w:r>
          </w:p>
          <w:p>
            <w:pPr>
              <w:numPr>
                <w:ilvl w:val="0"/>
                <w:numId w:val="6"/>
              </w:numPr>
              <w:adjustRightInd w:val="0"/>
              <w:snapToGrid w:val="0"/>
              <w:spacing w:line="480" w:lineRule="exact"/>
              <w:ind w:left="0" w:firstLine="560" w:firstLineChars="200"/>
              <w:rPr>
                <w:rFonts w:ascii="宋体" w:hAnsi="宋体"/>
                <w:sz w:val="28"/>
                <w:szCs w:val="28"/>
              </w:rPr>
            </w:pPr>
            <w:r>
              <w:rPr>
                <w:rFonts w:ascii="宋体" w:hAnsi="宋体"/>
                <w:sz w:val="28"/>
                <w:szCs w:val="28"/>
              </w:rPr>
              <w:t>如果本报告不能说明项目产生的污染及对环境造成的影响，应进行专项评价。根据建设项目的特点和当地环境特征，应选下列1～2项进行专项评价。</w:t>
            </w:r>
          </w:p>
          <w:p>
            <w:pPr>
              <w:adjustRightInd w:val="0"/>
              <w:snapToGrid w:val="0"/>
              <w:spacing w:line="480" w:lineRule="exact"/>
              <w:ind w:firstLine="560" w:firstLineChars="200"/>
              <w:rPr>
                <w:rFonts w:ascii="宋体" w:hAnsi="宋体"/>
                <w:sz w:val="28"/>
                <w:szCs w:val="28"/>
              </w:rPr>
            </w:pPr>
            <w:r>
              <w:rPr>
                <w:rFonts w:ascii="宋体" w:hAnsi="宋体"/>
                <w:sz w:val="28"/>
                <w:szCs w:val="28"/>
              </w:rPr>
              <w:t>1、大气环境影响专项评价</w:t>
            </w:r>
          </w:p>
          <w:p>
            <w:pPr>
              <w:adjustRightInd w:val="0"/>
              <w:snapToGrid w:val="0"/>
              <w:spacing w:line="480" w:lineRule="exact"/>
              <w:ind w:firstLine="560" w:firstLineChars="200"/>
              <w:rPr>
                <w:rFonts w:ascii="宋体" w:hAnsi="宋体"/>
                <w:sz w:val="28"/>
                <w:szCs w:val="28"/>
              </w:rPr>
            </w:pPr>
            <w:r>
              <w:rPr>
                <w:rFonts w:ascii="宋体" w:hAnsi="宋体"/>
                <w:sz w:val="28"/>
                <w:szCs w:val="28"/>
              </w:rPr>
              <w:t>2、水环境影响专项评价（包括地表水和地下水）</w:t>
            </w:r>
          </w:p>
          <w:p>
            <w:pPr>
              <w:adjustRightInd w:val="0"/>
              <w:snapToGrid w:val="0"/>
              <w:spacing w:line="480" w:lineRule="exact"/>
              <w:ind w:firstLine="560" w:firstLineChars="200"/>
              <w:rPr>
                <w:rFonts w:ascii="宋体" w:hAnsi="宋体"/>
                <w:sz w:val="28"/>
                <w:szCs w:val="28"/>
              </w:rPr>
            </w:pPr>
            <w:r>
              <w:rPr>
                <w:rFonts w:ascii="宋体" w:hAnsi="宋体"/>
                <w:sz w:val="28"/>
                <w:szCs w:val="28"/>
              </w:rPr>
              <w:t>3、生态影响专项评价</w:t>
            </w:r>
          </w:p>
          <w:p>
            <w:pPr>
              <w:adjustRightInd w:val="0"/>
              <w:snapToGrid w:val="0"/>
              <w:spacing w:line="480" w:lineRule="exact"/>
              <w:ind w:firstLine="560" w:firstLineChars="200"/>
              <w:rPr>
                <w:rFonts w:ascii="宋体" w:hAnsi="宋体"/>
                <w:sz w:val="28"/>
                <w:szCs w:val="28"/>
              </w:rPr>
            </w:pPr>
            <w:r>
              <w:rPr>
                <w:rFonts w:ascii="宋体" w:hAnsi="宋体"/>
                <w:sz w:val="28"/>
                <w:szCs w:val="28"/>
              </w:rPr>
              <w:t>4、声环境影响专项评价</w:t>
            </w:r>
          </w:p>
          <w:p>
            <w:pPr>
              <w:adjustRightInd w:val="0"/>
              <w:snapToGrid w:val="0"/>
              <w:spacing w:line="480" w:lineRule="exact"/>
              <w:ind w:firstLine="560" w:firstLineChars="200"/>
              <w:rPr>
                <w:rFonts w:ascii="宋体" w:hAnsi="宋体"/>
                <w:sz w:val="28"/>
                <w:szCs w:val="28"/>
              </w:rPr>
            </w:pPr>
            <w:r>
              <w:rPr>
                <w:rFonts w:ascii="宋体" w:hAnsi="宋体"/>
                <w:sz w:val="28"/>
                <w:szCs w:val="28"/>
              </w:rPr>
              <w:t>5、土壤影响专项评价</w:t>
            </w:r>
          </w:p>
          <w:p>
            <w:pPr>
              <w:adjustRightInd w:val="0"/>
              <w:snapToGrid w:val="0"/>
              <w:spacing w:line="480" w:lineRule="exact"/>
              <w:ind w:firstLine="560" w:firstLineChars="200"/>
              <w:rPr>
                <w:rFonts w:ascii="宋体" w:hAnsi="宋体"/>
                <w:sz w:val="28"/>
                <w:szCs w:val="28"/>
              </w:rPr>
            </w:pPr>
            <w:r>
              <w:rPr>
                <w:rFonts w:ascii="宋体" w:hAnsi="宋体"/>
                <w:sz w:val="28"/>
                <w:szCs w:val="28"/>
              </w:rPr>
              <w:t>6、固体废物影响专项评价</w:t>
            </w:r>
          </w:p>
          <w:p>
            <w:pPr>
              <w:adjustRightInd w:val="0"/>
              <w:snapToGrid w:val="0"/>
              <w:spacing w:line="480" w:lineRule="exact"/>
              <w:ind w:firstLine="560" w:firstLineChars="200"/>
              <w:rPr>
                <w:rFonts w:ascii="宋体" w:hAnsi="宋体"/>
                <w:sz w:val="28"/>
                <w:szCs w:val="28"/>
              </w:rPr>
            </w:pPr>
            <w:r>
              <w:rPr>
                <w:rFonts w:ascii="宋体" w:hAnsi="宋体"/>
                <w:sz w:val="28"/>
                <w:szCs w:val="28"/>
              </w:rPr>
              <w:t>以上专项评价未包括的可另设专项，专项评价按照《环境影响评价技术导则》中的要求进行。</w:t>
            </w:r>
          </w:p>
        </w:tc>
      </w:tr>
    </w:tbl>
    <w:p>
      <w:pPr>
        <w:spacing w:line="360" w:lineRule="auto"/>
      </w:pPr>
    </w:p>
    <w:p>
      <w:pPr>
        <w:rPr>
          <w:b/>
          <w:color w:val="0000FF"/>
          <w:sz w:val="52"/>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18" w:right="1418" w:bottom="1869" w:left="141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ti">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SymbolMT">
    <w:altName w:val="Times New Roman"/>
    <w:panose1 w:val="00000000000000000000"/>
    <w:charset w:val="00"/>
    <w:family w:val="roman"/>
    <w:pitch w:val="default"/>
    <w:sig w:usb0="00000000" w:usb1="00000000" w:usb2="00000000" w:usb3="00000000" w:csb0="00000000" w:csb1="00000000"/>
  </w:font>
  <w:font w:name="TimesNewRomanPSMT">
    <w:altName w:val="SimSun-ExtB"/>
    <w:panose1 w:val="00000000000000000000"/>
    <w:charset w:val="86"/>
    <w:family w:val="roma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00000" w:csb1="00000000"/>
  </w:font>
  <w:font w:name="Script">
    <w:altName w:val="Arabic Typesetting"/>
    <w:panose1 w:val="00000000000000000000"/>
    <w:charset w:val="00"/>
    <w:family w:val="script"/>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UniversalMath1 BT">
    <w:altName w:val="Segoe Print"/>
    <w:panose1 w:val="00000000000000000000"/>
    <w:charset w:val="02"/>
    <w:family w:val="roman"/>
    <w:pitch w:val="default"/>
    <w:sig w:usb0="00000000" w:usb1="00000000" w:usb2="00000000" w:usb3="00000000" w:csb0="80000000" w:csb1="00000000"/>
  </w:font>
  <w:font w:name="”“Times New Roman”“">
    <w:altName w:val="宋体"/>
    <w:panose1 w:val="00000000000000000000"/>
    <w:charset w:val="86"/>
    <w:family w:val="roma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Yu Gothic Medium">
    <w:altName w:val="MS UI Gothic"/>
    <w:panose1 w:val="020B0500000000000000"/>
    <w:charset w:val="80"/>
    <w:family w:val="swiss"/>
    <w:pitch w:val="default"/>
    <w:sig w:usb0="00000000" w:usb1="00000000" w:usb2="00000016" w:usb3="00000000" w:csb0="0002009F" w:csb1="00000000"/>
  </w:font>
  <w:font w:name="Cambria Math">
    <w:panose1 w:val="02040503050406030204"/>
    <w:charset w:val="00"/>
    <w:family w:val="roman"/>
    <w:pitch w:val="default"/>
    <w:sig w:usb0="E00002FF" w:usb1="420024FF" w:usb2="00000000" w:usb3="00000000" w:csb0="2000019F" w:csb1="00000000"/>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r>
      <w:tab/>
    </w:r>
    <w:r>
      <w:tab/>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63"/>
      </w:rPr>
    </w:pPr>
    <w:r>
      <w:fldChar w:fldCharType="begin"/>
    </w:r>
    <w:r>
      <w:rPr>
        <w:rStyle w:val="63"/>
      </w:rPr>
      <w:instrText xml:space="preserve">PAGE  </w:instrTex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63"/>
      </w:rPr>
    </w:pPr>
    <w:r>
      <w:fldChar w:fldCharType="begin"/>
    </w:r>
    <w:r>
      <w:rPr>
        <w:rStyle w:val="63"/>
      </w:rPr>
      <w:instrText xml:space="preserve">PAGE  </w:instrText>
    </w:r>
    <w:r>
      <w:fldChar w:fldCharType="separate"/>
    </w:r>
    <w:r>
      <w:rPr>
        <w:rStyle w:val="63"/>
      </w:rPr>
      <w:t>65</w:t>
    </w:r>
    <w:r>
      <w:fldChar w:fldCharType="end"/>
    </w:r>
  </w:p>
  <w:p>
    <w:pPr>
      <w:pStyle w:val="33"/>
      <w:ind w:right="360"/>
    </w:pPr>
    <w:r>
      <w:tab/>
    </w:r>
    <w:r>
      <w:tab/>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center"/>
    </w:pPr>
    <w:r>
      <w:t xml:space="preserve">- </w:t>
    </w:r>
    <w:r>
      <w:fldChar w:fldCharType="begin"/>
    </w:r>
    <w:r>
      <w:instrText xml:space="preserve"> PAGE </w:instrText>
    </w:r>
    <w:r>
      <w:fldChar w:fldCharType="separate"/>
    </w:r>
    <w:r>
      <w:t>6</w:t>
    </w:r>
    <w:r>
      <w:fldChar w:fldCharType="end"/>
    </w:r>
    <w:r>
      <w:t xml:space="preserve"> -</w: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63"/>
      </w:rPr>
    </w:pPr>
    <w:r>
      <w:fldChar w:fldCharType="begin"/>
    </w:r>
    <w:r>
      <w:rPr>
        <w:rStyle w:val="63"/>
      </w:rPr>
      <w:instrText xml:space="preserve">PAGE  </w:instrText>
    </w:r>
    <w:r>
      <w:fldChar w:fldCharType="end"/>
    </w:r>
  </w:p>
  <w:p>
    <w:pPr>
      <w:pStyle w:val="33"/>
      <w:ind w:right="360"/>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517B"/>
    <w:multiLevelType w:val="multilevel"/>
    <w:tmpl w:val="040B517B"/>
    <w:lvl w:ilvl="0" w:tentative="0">
      <w:start w:val="1"/>
      <w:numFmt w:val="bullet"/>
      <w:lvlText w:val=""/>
      <w:lvlJc w:val="left"/>
      <w:pPr>
        <w:tabs>
          <w:tab w:val="left" w:pos="360"/>
        </w:tabs>
      </w:pPr>
      <w:rPr>
        <w:rFonts w:hint="default" w:ascii="Wingdings" w:hAnsi="Wingdings" w:eastAsia="宋体"/>
        <w:sz w:val="28"/>
      </w:rPr>
    </w:lvl>
    <w:lvl w:ilvl="1" w:tentative="0">
      <w:start w:val="1"/>
      <w:numFmt w:val="bullet"/>
      <w:pStyle w:val="138"/>
      <w:lvlText w:val=""/>
      <w:lvlJc w:val="left"/>
      <w:pPr>
        <w:tabs>
          <w:tab w:val="left" w:pos="360"/>
        </w:tabs>
        <w:ind w:left="340" w:hanging="34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29B0163"/>
    <w:multiLevelType w:val="multilevel"/>
    <w:tmpl w:val="129B0163"/>
    <w:lvl w:ilvl="0" w:tentative="0">
      <w:start w:val="1"/>
      <w:numFmt w:val="decimalEnclosedCircle"/>
      <w:lvlText w:val="%1"/>
      <w:lvlJc w:val="left"/>
      <w:pPr>
        <w:ind w:left="840" w:hanging="360"/>
      </w:pPr>
      <w:rPr>
        <w:rFonts w:hint="default" w:ascii="宋体"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5784753"/>
    <w:multiLevelType w:val="multilevel"/>
    <w:tmpl w:val="45784753"/>
    <w:lvl w:ilvl="0" w:tentative="0">
      <w:start w:val="1"/>
      <w:numFmt w:val="decimalEnclosedCircle"/>
      <w:lvlText w:val="%1"/>
      <w:lvlJc w:val="left"/>
      <w:pPr>
        <w:ind w:left="782" w:hanging="360"/>
      </w:pPr>
      <w:rPr>
        <w:rFonts w:hint="default" w:ascii="宋体" w:hAnsi="宋体"/>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5AB478A6"/>
    <w:multiLevelType w:val="multilevel"/>
    <w:tmpl w:val="5AB478A6"/>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1512D14"/>
    <w:multiLevelType w:val="multilevel"/>
    <w:tmpl w:val="61512D14"/>
    <w:lvl w:ilvl="0" w:tentative="0">
      <w:start w:val="1"/>
      <w:numFmt w:val="decimal"/>
      <w:pStyle w:val="361"/>
      <w:lvlText w:val="表5-%1"/>
      <w:lvlJc w:val="left"/>
      <w:pPr>
        <w:ind w:left="3240" w:firstLine="0"/>
      </w:pPr>
      <w:rPr>
        <w:rFonts w:hint="eastAsia"/>
        <w:sz w:val="24"/>
        <w:szCs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4EA283B"/>
    <w:multiLevelType w:val="multilevel"/>
    <w:tmpl w:val="64EA283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documentProtection w:enforcement="0"/>
  <w:defaultTabStop w:val="420"/>
  <w:drawingGridHorizontalSpacing w:val="21"/>
  <w:drawingGridVerticalSpacing w:val="31"/>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0284"/>
    <w:rsid w:val="000007F3"/>
    <w:rsid w:val="0000085E"/>
    <w:rsid w:val="00000892"/>
    <w:rsid w:val="0000120A"/>
    <w:rsid w:val="00001DF0"/>
    <w:rsid w:val="000020B9"/>
    <w:rsid w:val="0000212A"/>
    <w:rsid w:val="000021F7"/>
    <w:rsid w:val="00002400"/>
    <w:rsid w:val="000028EF"/>
    <w:rsid w:val="00002D81"/>
    <w:rsid w:val="00002F20"/>
    <w:rsid w:val="00003096"/>
    <w:rsid w:val="000030CB"/>
    <w:rsid w:val="00003689"/>
    <w:rsid w:val="00003B46"/>
    <w:rsid w:val="00003F7E"/>
    <w:rsid w:val="00003FBD"/>
    <w:rsid w:val="000048B6"/>
    <w:rsid w:val="00004A10"/>
    <w:rsid w:val="00004C5B"/>
    <w:rsid w:val="0000513E"/>
    <w:rsid w:val="00005381"/>
    <w:rsid w:val="0000578A"/>
    <w:rsid w:val="00005FB0"/>
    <w:rsid w:val="000061F1"/>
    <w:rsid w:val="0000625A"/>
    <w:rsid w:val="000062D5"/>
    <w:rsid w:val="0000666B"/>
    <w:rsid w:val="000066DB"/>
    <w:rsid w:val="00006FAA"/>
    <w:rsid w:val="000070C6"/>
    <w:rsid w:val="000078F9"/>
    <w:rsid w:val="00007C00"/>
    <w:rsid w:val="00007E33"/>
    <w:rsid w:val="000105CC"/>
    <w:rsid w:val="000106E2"/>
    <w:rsid w:val="000108A1"/>
    <w:rsid w:val="00011241"/>
    <w:rsid w:val="000116F3"/>
    <w:rsid w:val="000125AC"/>
    <w:rsid w:val="000126DF"/>
    <w:rsid w:val="000128D8"/>
    <w:rsid w:val="000128DB"/>
    <w:rsid w:val="00013CD3"/>
    <w:rsid w:val="00013CD8"/>
    <w:rsid w:val="00013D66"/>
    <w:rsid w:val="000145A8"/>
    <w:rsid w:val="0001461C"/>
    <w:rsid w:val="000147E5"/>
    <w:rsid w:val="00015495"/>
    <w:rsid w:val="00015D80"/>
    <w:rsid w:val="000168E5"/>
    <w:rsid w:val="00016D54"/>
    <w:rsid w:val="00016F1D"/>
    <w:rsid w:val="000170C5"/>
    <w:rsid w:val="000171D6"/>
    <w:rsid w:val="000178E4"/>
    <w:rsid w:val="00017F4D"/>
    <w:rsid w:val="00020324"/>
    <w:rsid w:val="000205B5"/>
    <w:rsid w:val="00020D42"/>
    <w:rsid w:val="00021508"/>
    <w:rsid w:val="000218BE"/>
    <w:rsid w:val="000221C4"/>
    <w:rsid w:val="0002220E"/>
    <w:rsid w:val="0002261E"/>
    <w:rsid w:val="000227B2"/>
    <w:rsid w:val="00022B10"/>
    <w:rsid w:val="00022DAE"/>
    <w:rsid w:val="00022DDC"/>
    <w:rsid w:val="0002308D"/>
    <w:rsid w:val="00023470"/>
    <w:rsid w:val="00023A3E"/>
    <w:rsid w:val="00023C5B"/>
    <w:rsid w:val="0002400D"/>
    <w:rsid w:val="000240DA"/>
    <w:rsid w:val="00024136"/>
    <w:rsid w:val="000248C8"/>
    <w:rsid w:val="00024D24"/>
    <w:rsid w:val="00025FD6"/>
    <w:rsid w:val="000260F6"/>
    <w:rsid w:val="0002646B"/>
    <w:rsid w:val="00026960"/>
    <w:rsid w:val="00027284"/>
    <w:rsid w:val="00027D09"/>
    <w:rsid w:val="00027E2E"/>
    <w:rsid w:val="0003082D"/>
    <w:rsid w:val="0003100C"/>
    <w:rsid w:val="000313BD"/>
    <w:rsid w:val="0003153C"/>
    <w:rsid w:val="00031D4C"/>
    <w:rsid w:val="00032224"/>
    <w:rsid w:val="00032645"/>
    <w:rsid w:val="000328B1"/>
    <w:rsid w:val="00033205"/>
    <w:rsid w:val="00033450"/>
    <w:rsid w:val="000337D2"/>
    <w:rsid w:val="00033820"/>
    <w:rsid w:val="00033940"/>
    <w:rsid w:val="00034405"/>
    <w:rsid w:val="00034FEC"/>
    <w:rsid w:val="00036939"/>
    <w:rsid w:val="00036A54"/>
    <w:rsid w:val="00036D68"/>
    <w:rsid w:val="00036F6A"/>
    <w:rsid w:val="00037023"/>
    <w:rsid w:val="0003753D"/>
    <w:rsid w:val="00037B9D"/>
    <w:rsid w:val="00037FF2"/>
    <w:rsid w:val="00040955"/>
    <w:rsid w:val="00040A4B"/>
    <w:rsid w:val="00040D73"/>
    <w:rsid w:val="00041E0E"/>
    <w:rsid w:val="000421A6"/>
    <w:rsid w:val="000422C7"/>
    <w:rsid w:val="0004236C"/>
    <w:rsid w:val="0004253F"/>
    <w:rsid w:val="00042E0D"/>
    <w:rsid w:val="000431A1"/>
    <w:rsid w:val="0004334D"/>
    <w:rsid w:val="000434D6"/>
    <w:rsid w:val="000435FB"/>
    <w:rsid w:val="000441A2"/>
    <w:rsid w:val="00044C25"/>
    <w:rsid w:val="00044EF0"/>
    <w:rsid w:val="0004557D"/>
    <w:rsid w:val="00045952"/>
    <w:rsid w:val="00045CA5"/>
    <w:rsid w:val="000466B9"/>
    <w:rsid w:val="00046AA3"/>
    <w:rsid w:val="00046BB7"/>
    <w:rsid w:val="00046D2C"/>
    <w:rsid w:val="00047E71"/>
    <w:rsid w:val="00047FFC"/>
    <w:rsid w:val="00050462"/>
    <w:rsid w:val="00050681"/>
    <w:rsid w:val="00050727"/>
    <w:rsid w:val="0005090A"/>
    <w:rsid w:val="00050A23"/>
    <w:rsid w:val="00050A60"/>
    <w:rsid w:val="00050B42"/>
    <w:rsid w:val="00051338"/>
    <w:rsid w:val="000514FB"/>
    <w:rsid w:val="00051923"/>
    <w:rsid w:val="00052A36"/>
    <w:rsid w:val="00052AF6"/>
    <w:rsid w:val="0005391C"/>
    <w:rsid w:val="00053B02"/>
    <w:rsid w:val="000550AD"/>
    <w:rsid w:val="00055C5C"/>
    <w:rsid w:val="000562BF"/>
    <w:rsid w:val="000566B7"/>
    <w:rsid w:val="00056EC4"/>
    <w:rsid w:val="00057156"/>
    <w:rsid w:val="00057646"/>
    <w:rsid w:val="000600B0"/>
    <w:rsid w:val="00060C73"/>
    <w:rsid w:val="00060FAB"/>
    <w:rsid w:val="00061485"/>
    <w:rsid w:val="000615E2"/>
    <w:rsid w:val="00061C8D"/>
    <w:rsid w:val="000620F1"/>
    <w:rsid w:val="0006264C"/>
    <w:rsid w:val="00062A75"/>
    <w:rsid w:val="00062ACF"/>
    <w:rsid w:val="00062E1B"/>
    <w:rsid w:val="00063256"/>
    <w:rsid w:val="00063781"/>
    <w:rsid w:val="0006378E"/>
    <w:rsid w:val="0006394D"/>
    <w:rsid w:val="00063DAF"/>
    <w:rsid w:val="000645C9"/>
    <w:rsid w:val="00064C51"/>
    <w:rsid w:val="00066109"/>
    <w:rsid w:val="000665FF"/>
    <w:rsid w:val="00070474"/>
    <w:rsid w:val="000706F8"/>
    <w:rsid w:val="0007090D"/>
    <w:rsid w:val="00070C32"/>
    <w:rsid w:val="00070C43"/>
    <w:rsid w:val="00071034"/>
    <w:rsid w:val="00071B06"/>
    <w:rsid w:val="00071B9F"/>
    <w:rsid w:val="0007239F"/>
    <w:rsid w:val="00072CDB"/>
    <w:rsid w:val="0007309A"/>
    <w:rsid w:val="00073187"/>
    <w:rsid w:val="00073CD7"/>
    <w:rsid w:val="00073D6D"/>
    <w:rsid w:val="000740D4"/>
    <w:rsid w:val="000745FC"/>
    <w:rsid w:val="00074DAA"/>
    <w:rsid w:val="00075450"/>
    <w:rsid w:val="000757A6"/>
    <w:rsid w:val="00075933"/>
    <w:rsid w:val="00075D7D"/>
    <w:rsid w:val="00076B08"/>
    <w:rsid w:val="00077273"/>
    <w:rsid w:val="00077691"/>
    <w:rsid w:val="000777D8"/>
    <w:rsid w:val="00077C11"/>
    <w:rsid w:val="00080054"/>
    <w:rsid w:val="0008025F"/>
    <w:rsid w:val="0008083B"/>
    <w:rsid w:val="00080849"/>
    <w:rsid w:val="00080BC2"/>
    <w:rsid w:val="00081176"/>
    <w:rsid w:val="000817E5"/>
    <w:rsid w:val="00081BC3"/>
    <w:rsid w:val="00081E8A"/>
    <w:rsid w:val="000829AE"/>
    <w:rsid w:val="00082E1F"/>
    <w:rsid w:val="00082F42"/>
    <w:rsid w:val="000831CB"/>
    <w:rsid w:val="000837AC"/>
    <w:rsid w:val="00083A5E"/>
    <w:rsid w:val="00083AAB"/>
    <w:rsid w:val="000843C0"/>
    <w:rsid w:val="00084A7F"/>
    <w:rsid w:val="00084E46"/>
    <w:rsid w:val="0008531D"/>
    <w:rsid w:val="000855B7"/>
    <w:rsid w:val="00086C36"/>
    <w:rsid w:val="00086CEC"/>
    <w:rsid w:val="00087822"/>
    <w:rsid w:val="00087938"/>
    <w:rsid w:val="000901D4"/>
    <w:rsid w:val="0009062C"/>
    <w:rsid w:val="000909D7"/>
    <w:rsid w:val="00090A29"/>
    <w:rsid w:val="00091050"/>
    <w:rsid w:val="000916CA"/>
    <w:rsid w:val="0009276E"/>
    <w:rsid w:val="00092E01"/>
    <w:rsid w:val="0009319F"/>
    <w:rsid w:val="00093508"/>
    <w:rsid w:val="00093A9E"/>
    <w:rsid w:val="00093B07"/>
    <w:rsid w:val="00093E0B"/>
    <w:rsid w:val="00093E46"/>
    <w:rsid w:val="00094268"/>
    <w:rsid w:val="00094862"/>
    <w:rsid w:val="00094ED8"/>
    <w:rsid w:val="00095287"/>
    <w:rsid w:val="00095B21"/>
    <w:rsid w:val="00095D6F"/>
    <w:rsid w:val="00095E17"/>
    <w:rsid w:val="00095F91"/>
    <w:rsid w:val="000960DE"/>
    <w:rsid w:val="00096567"/>
    <w:rsid w:val="00096ED0"/>
    <w:rsid w:val="00096EEF"/>
    <w:rsid w:val="0009703C"/>
    <w:rsid w:val="0009710D"/>
    <w:rsid w:val="0009724E"/>
    <w:rsid w:val="0009742A"/>
    <w:rsid w:val="000974CC"/>
    <w:rsid w:val="000A0A16"/>
    <w:rsid w:val="000A1198"/>
    <w:rsid w:val="000A12F5"/>
    <w:rsid w:val="000A14D3"/>
    <w:rsid w:val="000A164B"/>
    <w:rsid w:val="000A1BDE"/>
    <w:rsid w:val="000A1C63"/>
    <w:rsid w:val="000A2C63"/>
    <w:rsid w:val="000A2EDB"/>
    <w:rsid w:val="000A302F"/>
    <w:rsid w:val="000A35B6"/>
    <w:rsid w:val="000A389F"/>
    <w:rsid w:val="000A3956"/>
    <w:rsid w:val="000A3F51"/>
    <w:rsid w:val="000A412B"/>
    <w:rsid w:val="000A43F3"/>
    <w:rsid w:val="000A45E5"/>
    <w:rsid w:val="000A4617"/>
    <w:rsid w:val="000A490E"/>
    <w:rsid w:val="000A5138"/>
    <w:rsid w:val="000A5157"/>
    <w:rsid w:val="000A602F"/>
    <w:rsid w:val="000A693C"/>
    <w:rsid w:val="000A6D91"/>
    <w:rsid w:val="000A6F5C"/>
    <w:rsid w:val="000A6FDB"/>
    <w:rsid w:val="000A7127"/>
    <w:rsid w:val="000A718C"/>
    <w:rsid w:val="000A78D3"/>
    <w:rsid w:val="000A7AB1"/>
    <w:rsid w:val="000B025B"/>
    <w:rsid w:val="000B02BF"/>
    <w:rsid w:val="000B02E4"/>
    <w:rsid w:val="000B0B0E"/>
    <w:rsid w:val="000B0E4A"/>
    <w:rsid w:val="000B1637"/>
    <w:rsid w:val="000B1D5A"/>
    <w:rsid w:val="000B1F96"/>
    <w:rsid w:val="000B2336"/>
    <w:rsid w:val="000B25CD"/>
    <w:rsid w:val="000B2862"/>
    <w:rsid w:val="000B28EF"/>
    <w:rsid w:val="000B2BB3"/>
    <w:rsid w:val="000B2D81"/>
    <w:rsid w:val="000B32F9"/>
    <w:rsid w:val="000B3420"/>
    <w:rsid w:val="000B37EC"/>
    <w:rsid w:val="000B3A11"/>
    <w:rsid w:val="000B4126"/>
    <w:rsid w:val="000B44EF"/>
    <w:rsid w:val="000B4807"/>
    <w:rsid w:val="000B49B8"/>
    <w:rsid w:val="000B4C06"/>
    <w:rsid w:val="000B58BD"/>
    <w:rsid w:val="000B5B2C"/>
    <w:rsid w:val="000B5D4A"/>
    <w:rsid w:val="000B62BA"/>
    <w:rsid w:val="000B65D3"/>
    <w:rsid w:val="000B66BD"/>
    <w:rsid w:val="000B6B8E"/>
    <w:rsid w:val="000B7069"/>
    <w:rsid w:val="000B7218"/>
    <w:rsid w:val="000B7260"/>
    <w:rsid w:val="000B790C"/>
    <w:rsid w:val="000B7D62"/>
    <w:rsid w:val="000B7DC0"/>
    <w:rsid w:val="000C06B1"/>
    <w:rsid w:val="000C0805"/>
    <w:rsid w:val="000C0FEB"/>
    <w:rsid w:val="000C12AF"/>
    <w:rsid w:val="000C14EE"/>
    <w:rsid w:val="000C258C"/>
    <w:rsid w:val="000C2952"/>
    <w:rsid w:val="000C2E38"/>
    <w:rsid w:val="000C3463"/>
    <w:rsid w:val="000C35AB"/>
    <w:rsid w:val="000C35C9"/>
    <w:rsid w:val="000C36D9"/>
    <w:rsid w:val="000C3876"/>
    <w:rsid w:val="000C3ECF"/>
    <w:rsid w:val="000C3F2F"/>
    <w:rsid w:val="000C44FE"/>
    <w:rsid w:val="000C53CF"/>
    <w:rsid w:val="000C5A18"/>
    <w:rsid w:val="000C5D3E"/>
    <w:rsid w:val="000C6107"/>
    <w:rsid w:val="000C61EE"/>
    <w:rsid w:val="000C63B3"/>
    <w:rsid w:val="000C64E7"/>
    <w:rsid w:val="000C65E4"/>
    <w:rsid w:val="000C69F4"/>
    <w:rsid w:val="000C732F"/>
    <w:rsid w:val="000C7B6E"/>
    <w:rsid w:val="000C7BDC"/>
    <w:rsid w:val="000D0DBE"/>
    <w:rsid w:val="000D11A6"/>
    <w:rsid w:val="000D193C"/>
    <w:rsid w:val="000D1AF8"/>
    <w:rsid w:val="000D1EA3"/>
    <w:rsid w:val="000D22F2"/>
    <w:rsid w:val="000D2396"/>
    <w:rsid w:val="000D26FF"/>
    <w:rsid w:val="000D2B4D"/>
    <w:rsid w:val="000D2D4D"/>
    <w:rsid w:val="000D32F7"/>
    <w:rsid w:val="000D35CF"/>
    <w:rsid w:val="000D3D08"/>
    <w:rsid w:val="000D4119"/>
    <w:rsid w:val="000D48B2"/>
    <w:rsid w:val="000D500A"/>
    <w:rsid w:val="000D5148"/>
    <w:rsid w:val="000D5A39"/>
    <w:rsid w:val="000D5C39"/>
    <w:rsid w:val="000D5D97"/>
    <w:rsid w:val="000D60A9"/>
    <w:rsid w:val="000D6436"/>
    <w:rsid w:val="000D67B4"/>
    <w:rsid w:val="000D67C1"/>
    <w:rsid w:val="000D6D83"/>
    <w:rsid w:val="000D75B7"/>
    <w:rsid w:val="000D7921"/>
    <w:rsid w:val="000D7B18"/>
    <w:rsid w:val="000E078E"/>
    <w:rsid w:val="000E12B2"/>
    <w:rsid w:val="000E1678"/>
    <w:rsid w:val="000E18BC"/>
    <w:rsid w:val="000E19BC"/>
    <w:rsid w:val="000E1B9C"/>
    <w:rsid w:val="000E20D1"/>
    <w:rsid w:val="000E27D9"/>
    <w:rsid w:val="000E2BAD"/>
    <w:rsid w:val="000E305B"/>
    <w:rsid w:val="000E3078"/>
    <w:rsid w:val="000E34A9"/>
    <w:rsid w:val="000E456D"/>
    <w:rsid w:val="000E4C69"/>
    <w:rsid w:val="000E4C9D"/>
    <w:rsid w:val="000E4D4E"/>
    <w:rsid w:val="000E564D"/>
    <w:rsid w:val="000E5B75"/>
    <w:rsid w:val="000E5BC4"/>
    <w:rsid w:val="000E5CCE"/>
    <w:rsid w:val="000E6AAD"/>
    <w:rsid w:val="000E7836"/>
    <w:rsid w:val="000E7E0F"/>
    <w:rsid w:val="000F0287"/>
    <w:rsid w:val="000F0D3C"/>
    <w:rsid w:val="000F1AFD"/>
    <w:rsid w:val="000F276E"/>
    <w:rsid w:val="000F2991"/>
    <w:rsid w:val="000F30C5"/>
    <w:rsid w:val="000F3153"/>
    <w:rsid w:val="000F3699"/>
    <w:rsid w:val="000F36DC"/>
    <w:rsid w:val="000F4370"/>
    <w:rsid w:val="000F534B"/>
    <w:rsid w:val="000F53A7"/>
    <w:rsid w:val="000F5EB6"/>
    <w:rsid w:val="000F60FA"/>
    <w:rsid w:val="000F7C16"/>
    <w:rsid w:val="000F7F3F"/>
    <w:rsid w:val="00100E9D"/>
    <w:rsid w:val="00100ED0"/>
    <w:rsid w:val="001017EC"/>
    <w:rsid w:val="00101E0D"/>
    <w:rsid w:val="00101ED7"/>
    <w:rsid w:val="0010259D"/>
    <w:rsid w:val="00102B35"/>
    <w:rsid w:val="00102D7B"/>
    <w:rsid w:val="001032FA"/>
    <w:rsid w:val="0010337E"/>
    <w:rsid w:val="00103E26"/>
    <w:rsid w:val="00104209"/>
    <w:rsid w:val="00104A90"/>
    <w:rsid w:val="00104AFD"/>
    <w:rsid w:val="00104C01"/>
    <w:rsid w:val="00104DCB"/>
    <w:rsid w:val="00104F43"/>
    <w:rsid w:val="0010502F"/>
    <w:rsid w:val="0010559B"/>
    <w:rsid w:val="00106729"/>
    <w:rsid w:val="00106866"/>
    <w:rsid w:val="00106938"/>
    <w:rsid w:val="00106ECF"/>
    <w:rsid w:val="00106FEF"/>
    <w:rsid w:val="00107678"/>
    <w:rsid w:val="001079AA"/>
    <w:rsid w:val="00107CAD"/>
    <w:rsid w:val="00110464"/>
    <w:rsid w:val="0011063F"/>
    <w:rsid w:val="00110697"/>
    <w:rsid w:val="00110798"/>
    <w:rsid w:val="00110917"/>
    <w:rsid w:val="00110D4A"/>
    <w:rsid w:val="001118FC"/>
    <w:rsid w:val="00111CCB"/>
    <w:rsid w:val="0011226C"/>
    <w:rsid w:val="0011247D"/>
    <w:rsid w:val="0011368C"/>
    <w:rsid w:val="001137C1"/>
    <w:rsid w:val="00113B8E"/>
    <w:rsid w:val="00114540"/>
    <w:rsid w:val="00114ABB"/>
    <w:rsid w:val="00115332"/>
    <w:rsid w:val="00115EF7"/>
    <w:rsid w:val="00115FF7"/>
    <w:rsid w:val="0011627F"/>
    <w:rsid w:val="00116500"/>
    <w:rsid w:val="00116613"/>
    <w:rsid w:val="001168FA"/>
    <w:rsid w:val="0011726B"/>
    <w:rsid w:val="001176ED"/>
    <w:rsid w:val="00117EA2"/>
    <w:rsid w:val="00117F42"/>
    <w:rsid w:val="00120532"/>
    <w:rsid w:val="00120582"/>
    <w:rsid w:val="00120A3D"/>
    <w:rsid w:val="00120CDD"/>
    <w:rsid w:val="00121C91"/>
    <w:rsid w:val="0012212D"/>
    <w:rsid w:val="001233E5"/>
    <w:rsid w:val="0012347C"/>
    <w:rsid w:val="001234D5"/>
    <w:rsid w:val="00123796"/>
    <w:rsid w:val="00123F64"/>
    <w:rsid w:val="00124730"/>
    <w:rsid w:val="00124D71"/>
    <w:rsid w:val="001250C9"/>
    <w:rsid w:val="00125111"/>
    <w:rsid w:val="001252D2"/>
    <w:rsid w:val="00125AC6"/>
    <w:rsid w:val="00125F8B"/>
    <w:rsid w:val="001261A5"/>
    <w:rsid w:val="00126A3E"/>
    <w:rsid w:val="00126D00"/>
    <w:rsid w:val="00127070"/>
    <w:rsid w:val="00127567"/>
    <w:rsid w:val="0012779B"/>
    <w:rsid w:val="00127A08"/>
    <w:rsid w:val="0013075F"/>
    <w:rsid w:val="001308DF"/>
    <w:rsid w:val="001318EC"/>
    <w:rsid w:val="00131B52"/>
    <w:rsid w:val="0013206E"/>
    <w:rsid w:val="0013324E"/>
    <w:rsid w:val="00133473"/>
    <w:rsid w:val="00134EB5"/>
    <w:rsid w:val="001352A7"/>
    <w:rsid w:val="00135779"/>
    <w:rsid w:val="00135D72"/>
    <w:rsid w:val="001361A1"/>
    <w:rsid w:val="00136C59"/>
    <w:rsid w:val="0013774E"/>
    <w:rsid w:val="00137A3F"/>
    <w:rsid w:val="00137B0C"/>
    <w:rsid w:val="00137C8F"/>
    <w:rsid w:val="001401CD"/>
    <w:rsid w:val="00140642"/>
    <w:rsid w:val="0014071C"/>
    <w:rsid w:val="0014089C"/>
    <w:rsid w:val="001409A8"/>
    <w:rsid w:val="00140CB5"/>
    <w:rsid w:val="00141232"/>
    <w:rsid w:val="00141B27"/>
    <w:rsid w:val="0014232A"/>
    <w:rsid w:val="00142552"/>
    <w:rsid w:val="001428D6"/>
    <w:rsid w:val="00142B84"/>
    <w:rsid w:val="001435AD"/>
    <w:rsid w:val="00144D3A"/>
    <w:rsid w:val="00144E9A"/>
    <w:rsid w:val="00145BD6"/>
    <w:rsid w:val="00145DFF"/>
    <w:rsid w:val="001461BB"/>
    <w:rsid w:val="001461C0"/>
    <w:rsid w:val="00146284"/>
    <w:rsid w:val="001467BF"/>
    <w:rsid w:val="00146AEC"/>
    <w:rsid w:val="00146FE4"/>
    <w:rsid w:val="0014724F"/>
    <w:rsid w:val="001474E6"/>
    <w:rsid w:val="00147627"/>
    <w:rsid w:val="00150422"/>
    <w:rsid w:val="00150785"/>
    <w:rsid w:val="001511B9"/>
    <w:rsid w:val="00151737"/>
    <w:rsid w:val="001518D7"/>
    <w:rsid w:val="00151BF8"/>
    <w:rsid w:val="001520CC"/>
    <w:rsid w:val="00152A60"/>
    <w:rsid w:val="001533B7"/>
    <w:rsid w:val="001544D5"/>
    <w:rsid w:val="00154906"/>
    <w:rsid w:val="00154F92"/>
    <w:rsid w:val="001551C7"/>
    <w:rsid w:val="00155329"/>
    <w:rsid w:val="00155437"/>
    <w:rsid w:val="00155BEB"/>
    <w:rsid w:val="00155EED"/>
    <w:rsid w:val="00156043"/>
    <w:rsid w:val="001560E6"/>
    <w:rsid w:val="00156468"/>
    <w:rsid w:val="00156B1E"/>
    <w:rsid w:val="001578B2"/>
    <w:rsid w:val="00157A82"/>
    <w:rsid w:val="00160871"/>
    <w:rsid w:val="001618A6"/>
    <w:rsid w:val="00161BFF"/>
    <w:rsid w:val="00161ECF"/>
    <w:rsid w:val="0016231D"/>
    <w:rsid w:val="00162843"/>
    <w:rsid w:val="0016289A"/>
    <w:rsid w:val="00162C70"/>
    <w:rsid w:val="00162FDE"/>
    <w:rsid w:val="00163C4E"/>
    <w:rsid w:val="0016460E"/>
    <w:rsid w:val="001646D9"/>
    <w:rsid w:val="001647D5"/>
    <w:rsid w:val="00164D39"/>
    <w:rsid w:val="00164F14"/>
    <w:rsid w:val="001655A9"/>
    <w:rsid w:val="001658D7"/>
    <w:rsid w:val="00166211"/>
    <w:rsid w:val="00166D98"/>
    <w:rsid w:val="0016703B"/>
    <w:rsid w:val="00167359"/>
    <w:rsid w:val="00167411"/>
    <w:rsid w:val="00167498"/>
    <w:rsid w:val="00167571"/>
    <w:rsid w:val="00167837"/>
    <w:rsid w:val="00167A2E"/>
    <w:rsid w:val="001702EF"/>
    <w:rsid w:val="00170A31"/>
    <w:rsid w:val="001710B9"/>
    <w:rsid w:val="001713CB"/>
    <w:rsid w:val="001714CC"/>
    <w:rsid w:val="00172266"/>
    <w:rsid w:val="00172D8E"/>
    <w:rsid w:val="001732A4"/>
    <w:rsid w:val="00173343"/>
    <w:rsid w:val="00173807"/>
    <w:rsid w:val="00174325"/>
    <w:rsid w:val="00174883"/>
    <w:rsid w:val="00174F0D"/>
    <w:rsid w:val="00175739"/>
    <w:rsid w:val="00176A1E"/>
    <w:rsid w:val="00177548"/>
    <w:rsid w:val="00177603"/>
    <w:rsid w:val="001778DD"/>
    <w:rsid w:val="00177D5E"/>
    <w:rsid w:val="0018050E"/>
    <w:rsid w:val="00181158"/>
    <w:rsid w:val="00181B2F"/>
    <w:rsid w:val="0018208F"/>
    <w:rsid w:val="00182136"/>
    <w:rsid w:val="0018231D"/>
    <w:rsid w:val="0018373A"/>
    <w:rsid w:val="001838CB"/>
    <w:rsid w:val="00184094"/>
    <w:rsid w:val="00184852"/>
    <w:rsid w:val="00186156"/>
    <w:rsid w:val="001865C2"/>
    <w:rsid w:val="001868C3"/>
    <w:rsid w:val="001869B8"/>
    <w:rsid w:val="00186C49"/>
    <w:rsid w:val="0018716C"/>
    <w:rsid w:val="001903F5"/>
    <w:rsid w:val="001905CD"/>
    <w:rsid w:val="00190802"/>
    <w:rsid w:val="00190A43"/>
    <w:rsid w:val="00190CDA"/>
    <w:rsid w:val="00190D90"/>
    <w:rsid w:val="00190DD6"/>
    <w:rsid w:val="00191223"/>
    <w:rsid w:val="00191592"/>
    <w:rsid w:val="001915C8"/>
    <w:rsid w:val="00191809"/>
    <w:rsid w:val="0019188B"/>
    <w:rsid w:val="00192196"/>
    <w:rsid w:val="00192314"/>
    <w:rsid w:val="00193437"/>
    <w:rsid w:val="0019432D"/>
    <w:rsid w:val="00194632"/>
    <w:rsid w:val="00194DEB"/>
    <w:rsid w:val="00194F28"/>
    <w:rsid w:val="001950AD"/>
    <w:rsid w:val="00195267"/>
    <w:rsid w:val="001957A5"/>
    <w:rsid w:val="00196594"/>
    <w:rsid w:val="00197309"/>
    <w:rsid w:val="0019749D"/>
    <w:rsid w:val="001976AC"/>
    <w:rsid w:val="00197D98"/>
    <w:rsid w:val="001A010A"/>
    <w:rsid w:val="001A0228"/>
    <w:rsid w:val="001A0B0A"/>
    <w:rsid w:val="001A0E4D"/>
    <w:rsid w:val="001A11F1"/>
    <w:rsid w:val="001A1906"/>
    <w:rsid w:val="001A24D3"/>
    <w:rsid w:val="001A295C"/>
    <w:rsid w:val="001A3804"/>
    <w:rsid w:val="001A3AA8"/>
    <w:rsid w:val="001A4129"/>
    <w:rsid w:val="001A4C51"/>
    <w:rsid w:val="001A5374"/>
    <w:rsid w:val="001A60FC"/>
    <w:rsid w:val="001A6D4B"/>
    <w:rsid w:val="001A6DD4"/>
    <w:rsid w:val="001A73B2"/>
    <w:rsid w:val="001A7845"/>
    <w:rsid w:val="001A7E8A"/>
    <w:rsid w:val="001B05D9"/>
    <w:rsid w:val="001B06F4"/>
    <w:rsid w:val="001B1174"/>
    <w:rsid w:val="001B11A6"/>
    <w:rsid w:val="001B201C"/>
    <w:rsid w:val="001B21D9"/>
    <w:rsid w:val="001B26B2"/>
    <w:rsid w:val="001B2C69"/>
    <w:rsid w:val="001B33B7"/>
    <w:rsid w:val="001B341F"/>
    <w:rsid w:val="001B36CD"/>
    <w:rsid w:val="001B3781"/>
    <w:rsid w:val="001B38F9"/>
    <w:rsid w:val="001B3DB4"/>
    <w:rsid w:val="001B49E5"/>
    <w:rsid w:val="001B4A88"/>
    <w:rsid w:val="001B4CD7"/>
    <w:rsid w:val="001B69C5"/>
    <w:rsid w:val="001B6B06"/>
    <w:rsid w:val="001B6D28"/>
    <w:rsid w:val="001B6D59"/>
    <w:rsid w:val="001C0359"/>
    <w:rsid w:val="001C03C2"/>
    <w:rsid w:val="001C08BA"/>
    <w:rsid w:val="001C1577"/>
    <w:rsid w:val="001C1C89"/>
    <w:rsid w:val="001C2147"/>
    <w:rsid w:val="001C22EF"/>
    <w:rsid w:val="001C2325"/>
    <w:rsid w:val="001C2665"/>
    <w:rsid w:val="001C3277"/>
    <w:rsid w:val="001C347F"/>
    <w:rsid w:val="001C38EB"/>
    <w:rsid w:val="001C3C97"/>
    <w:rsid w:val="001C49AB"/>
    <w:rsid w:val="001C4D9C"/>
    <w:rsid w:val="001C51E1"/>
    <w:rsid w:val="001C62F5"/>
    <w:rsid w:val="001C6363"/>
    <w:rsid w:val="001C660C"/>
    <w:rsid w:val="001C674F"/>
    <w:rsid w:val="001C6971"/>
    <w:rsid w:val="001C697E"/>
    <w:rsid w:val="001C6A38"/>
    <w:rsid w:val="001C6B43"/>
    <w:rsid w:val="001C6D3E"/>
    <w:rsid w:val="001C70FE"/>
    <w:rsid w:val="001C72F6"/>
    <w:rsid w:val="001C7EA9"/>
    <w:rsid w:val="001D03F4"/>
    <w:rsid w:val="001D06D7"/>
    <w:rsid w:val="001D07D8"/>
    <w:rsid w:val="001D0F97"/>
    <w:rsid w:val="001D103E"/>
    <w:rsid w:val="001D18F7"/>
    <w:rsid w:val="001D22D4"/>
    <w:rsid w:val="001D247E"/>
    <w:rsid w:val="001D2548"/>
    <w:rsid w:val="001D3726"/>
    <w:rsid w:val="001D46D8"/>
    <w:rsid w:val="001D493D"/>
    <w:rsid w:val="001D4D4F"/>
    <w:rsid w:val="001D4F27"/>
    <w:rsid w:val="001D5772"/>
    <w:rsid w:val="001D57E4"/>
    <w:rsid w:val="001D5E53"/>
    <w:rsid w:val="001D6734"/>
    <w:rsid w:val="001D6A03"/>
    <w:rsid w:val="001D74A3"/>
    <w:rsid w:val="001D7550"/>
    <w:rsid w:val="001D76CD"/>
    <w:rsid w:val="001D770A"/>
    <w:rsid w:val="001D78EB"/>
    <w:rsid w:val="001D7B81"/>
    <w:rsid w:val="001E02AF"/>
    <w:rsid w:val="001E04FA"/>
    <w:rsid w:val="001E15C3"/>
    <w:rsid w:val="001E1D30"/>
    <w:rsid w:val="001E1D39"/>
    <w:rsid w:val="001E2110"/>
    <w:rsid w:val="001E28F8"/>
    <w:rsid w:val="001E2ED8"/>
    <w:rsid w:val="001E3610"/>
    <w:rsid w:val="001E43AB"/>
    <w:rsid w:val="001E43F4"/>
    <w:rsid w:val="001E4652"/>
    <w:rsid w:val="001E485F"/>
    <w:rsid w:val="001E48B0"/>
    <w:rsid w:val="001E4A43"/>
    <w:rsid w:val="001E4F4F"/>
    <w:rsid w:val="001E5497"/>
    <w:rsid w:val="001E5852"/>
    <w:rsid w:val="001E59A7"/>
    <w:rsid w:val="001E59C5"/>
    <w:rsid w:val="001E6580"/>
    <w:rsid w:val="001E6B18"/>
    <w:rsid w:val="001E7400"/>
    <w:rsid w:val="001E7404"/>
    <w:rsid w:val="001E7DC0"/>
    <w:rsid w:val="001F0497"/>
    <w:rsid w:val="001F06C8"/>
    <w:rsid w:val="001F09F6"/>
    <w:rsid w:val="001F10AA"/>
    <w:rsid w:val="001F1198"/>
    <w:rsid w:val="001F11DC"/>
    <w:rsid w:val="001F1C0A"/>
    <w:rsid w:val="001F1E81"/>
    <w:rsid w:val="001F1F1A"/>
    <w:rsid w:val="001F23CB"/>
    <w:rsid w:val="001F278F"/>
    <w:rsid w:val="001F30B6"/>
    <w:rsid w:val="001F3462"/>
    <w:rsid w:val="001F3714"/>
    <w:rsid w:val="001F373E"/>
    <w:rsid w:val="001F4616"/>
    <w:rsid w:val="001F4A2D"/>
    <w:rsid w:val="001F4C26"/>
    <w:rsid w:val="001F4CFC"/>
    <w:rsid w:val="001F4EA8"/>
    <w:rsid w:val="001F5423"/>
    <w:rsid w:val="001F575B"/>
    <w:rsid w:val="001F5989"/>
    <w:rsid w:val="001F6A03"/>
    <w:rsid w:val="001F6C83"/>
    <w:rsid w:val="001F71D5"/>
    <w:rsid w:val="001F7940"/>
    <w:rsid w:val="00200143"/>
    <w:rsid w:val="00200921"/>
    <w:rsid w:val="00200AF2"/>
    <w:rsid w:val="00200F24"/>
    <w:rsid w:val="0020133C"/>
    <w:rsid w:val="002015EA"/>
    <w:rsid w:val="00202B33"/>
    <w:rsid w:val="002033A4"/>
    <w:rsid w:val="00203DBF"/>
    <w:rsid w:val="00204074"/>
    <w:rsid w:val="00204771"/>
    <w:rsid w:val="00204CC3"/>
    <w:rsid w:val="00204EF7"/>
    <w:rsid w:val="00205EA4"/>
    <w:rsid w:val="002060E5"/>
    <w:rsid w:val="002062B1"/>
    <w:rsid w:val="002069BE"/>
    <w:rsid w:val="00206ED7"/>
    <w:rsid w:val="00206EFE"/>
    <w:rsid w:val="002072BF"/>
    <w:rsid w:val="002073D1"/>
    <w:rsid w:val="0020783B"/>
    <w:rsid w:val="00207B66"/>
    <w:rsid w:val="00210FC3"/>
    <w:rsid w:val="0021154C"/>
    <w:rsid w:val="00212115"/>
    <w:rsid w:val="00212FB2"/>
    <w:rsid w:val="0021313E"/>
    <w:rsid w:val="00213F53"/>
    <w:rsid w:val="0021423A"/>
    <w:rsid w:val="00214413"/>
    <w:rsid w:val="002147B6"/>
    <w:rsid w:val="002149DD"/>
    <w:rsid w:val="00214A24"/>
    <w:rsid w:val="00214B1C"/>
    <w:rsid w:val="00214C0D"/>
    <w:rsid w:val="00215B5C"/>
    <w:rsid w:val="00215D94"/>
    <w:rsid w:val="00216B88"/>
    <w:rsid w:val="00216E43"/>
    <w:rsid w:val="00216ECA"/>
    <w:rsid w:val="002173A2"/>
    <w:rsid w:val="002177BB"/>
    <w:rsid w:val="00217BD1"/>
    <w:rsid w:val="00217E79"/>
    <w:rsid w:val="00220419"/>
    <w:rsid w:val="00220F16"/>
    <w:rsid w:val="0022102A"/>
    <w:rsid w:val="002218FC"/>
    <w:rsid w:val="00221B83"/>
    <w:rsid w:val="00221D3E"/>
    <w:rsid w:val="002220BC"/>
    <w:rsid w:val="00222920"/>
    <w:rsid w:val="00222D79"/>
    <w:rsid w:val="0022301B"/>
    <w:rsid w:val="0022346C"/>
    <w:rsid w:val="00223AE1"/>
    <w:rsid w:val="00223AFE"/>
    <w:rsid w:val="00223B03"/>
    <w:rsid w:val="00224B84"/>
    <w:rsid w:val="00225609"/>
    <w:rsid w:val="00225A1F"/>
    <w:rsid w:val="00225EA8"/>
    <w:rsid w:val="00226905"/>
    <w:rsid w:val="00226C1D"/>
    <w:rsid w:val="00226C8C"/>
    <w:rsid w:val="002271BE"/>
    <w:rsid w:val="002279C9"/>
    <w:rsid w:val="00227FCD"/>
    <w:rsid w:val="00230239"/>
    <w:rsid w:val="00230617"/>
    <w:rsid w:val="0023069C"/>
    <w:rsid w:val="002310D4"/>
    <w:rsid w:val="00231C84"/>
    <w:rsid w:val="002321A1"/>
    <w:rsid w:val="0023225F"/>
    <w:rsid w:val="002323E8"/>
    <w:rsid w:val="0023266A"/>
    <w:rsid w:val="002326AE"/>
    <w:rsid w:val="0023341C"/>
    <w:rsid w:val="00233901"/>
    <w:rsid w:val="00233ABB"/>
    <w:rsid w:val="00233F6F"/>
    <w:rsid w:val="0023422B"/>
    <w:rsid w:val="0023425B"/>
    <w:rsid w:val="00234293"/>
    <w:rsid w:val="00234597"/>
    <w:rsid w:val="0023463C"/>
    <w:rsid w:val="0023495D"/>
    <w:rsid w:val="00234E71"/>
    <w:rsid w:val="00234F2C"/>
    <w:rsid w:val="0023553B"/>
    <w:rsid w:val="00236137"/>
    <w:rsid w:val="0023619D"/>
    <w:rsid w:val="00236277"/>
    <w:rsid w:val="00236AB1"/>
    <w:rsid w:val="00236DA0"/>
    <w:rsid w:val="00236EB5"/>
    <w:rsid w:val="002378E1"/>
    <w:rsid w:val="00237CA5"/>
    <w:rsid w:val="0024057C"/>
    <w:rsid w:val="002405E7"/>
    <w:rsid w:val="0024098C"/>
    <w:rsid w:val="002409C6"/>
    <w:rsid w:val="00240F84"/>
    <w:rsid w:val="00241092"/>
    <w:rsid w:val="00241748"/>
    <w:rsid w:val="00241EA6"/>
    <w:rsid w:val="002429C6"/>
    <w:rsid w:val="00242FD5"/>
    <w:rsid w:val="00243345"/>
    <w:rsid w:val="00243498"/>
    <w:rsid w:val="0024396A"/>
    <w:rsid w:val="00243C1E"/>
    <w:rsid w:val="00243EF1"/>
    <w:rsid w:val="002441F2"/>
    <w:rsid w:val="00244ABD"/>
    <w:rsid w:val="002459A7"/>
    <w:rsid w:val="00245E5A"/>
    <w:rsid w:val="00245E7E"/>
    <w:rsid w:val="002466BF"/>
    <w:rsid w:val="002469F3"/>
    <w:rsid w:val="0024788A"/>
    <w:rsid w:val="00247C4F"/>
    <w:rsid w:val="00247F46"/>
    <w:rsid w:val="002505D2"/>
    <w:rsid w:val="0025088A"/>
    <w:rsid w:val="002516E4"/>
    <w:rsid w:val="00251815"/>
    <w:rsid w:val="002519B4"/>
    <w:rsid w:val="00251AA9"/>
    <w:rsid w:val="00251D9A"/>
    <w:rsid w:val="00252655"/>
    <w:rsid w:val="00252C27"/>
    <w:rsid w:val="0025300B"/>
    <w:rsid w:val="002530C7"/>
    <w:rsid w:val="00253903"/>
    <w:rsid w:val="002549FF"/>
    <w:rsid w:val="00254D28"/>
    <w:rsid w:val="002553FA"/>
    <w:rsid w:val="0025698C"/>
    <w:rsid w:val="00257525"/>
    <w:rsid w:val="00257E8D"/>
    <w:rsid w:val="00260B87"/>
    <w:rsid w:val="00260BB8"/>
    <w:rsid w:val="00261080"/>
    <w:rsid w:val="0026151F"/>
    <w:rsid w:val="00261E7A"/>
    <w:rsid w:val="0026215A"/>
    <w:rsid w:val="00262F0D"/>
    <w:rsid w:val="00263022"/>
    <w:rsid w:val="00263135"/>
    <w:rsid w:val="00263C99"/>
    <w:rsid w:val="002643CA"/>
    <w:rsid w:val="00265336"/>
    <w:rsid w:val="00265610"/>
    <w:rsid w:val="00265634"/>
    <w:rsid w:val="00265B0A"/>
    <w:rsid w:val="00265F66"/>
    <w:rsid w:val="00266503"/>
    <w:rsid w:val="00266B7C"/>
    <w:rsid w:val="00267BB1"/>
    <w:rsid w:val="00270944"/>
    <w:rsid w:val="0027158B"/>
    <w:rsid w:val="002716F2"/>
    <w:rsid w:val="00271815"/>
    <w:rsid w:val="00271A40"/>
    <w:rsid w:val="00271BAD"/>
    <w:rsid w:val="00271F34"/>
    <w:rsid w:val="002721A2"/>
    <w:rsid w:val="002721BE"/>
    <w:rsid w:val="00273B45"/>
    <w:rsid w:val="00273FEE"/>
    <w:rsid w:val="00274323"/>
    <w:rsid w:val="002748BF"/>
    <w:rsid w:val="00274AC5"/>
    <w:rsid w:val="00274F72"/>
    <w:rsid w:val="00275295"/>
    <w:rsid w:val="00275AC6"/>
    <w:rsid w:val="00275FB4"/>
    <w:rsid w:val="0027616F"/>
    <w:rsid w:val="002769EE"/>
    <w:rsid w:val="00276A03"/>
    <w:rsid w:val="00276B44"/>
    <w:rsid w:val="0027726C"/>
    <w:rsid w:val="00280065"/>
    <w:rsid w:val="0028075D"/>
    <w:rsid w:val="0028080D"/>
    <w:rsid w:val="0028186F"/>
    <w:rsid w:val="00281977"/>
    <w:rsid w:val="002819DF"/>
    <w:rsid w:val="00281CE8"/>
    <w:rsid w:val="00282028"/>
    <w:rsid w:val="002820B1"/>
    <w:rsid w:val="0028218E"/>
    <w:rsid w:val="00282777"/>
    <w:rsid w:val="002829CA"/>
    <w:rsid w:val="00282F46"/>
    <w:rsid w:val="00283167"/>
    <w:rsid w:val="0028434B"/>
    <w:rsid w:val="00285384"/>
    <w:rsid w:val="00286068"/>
    <w:rsid w:val="002867B7"/>
    <w:rsid w:val="002874AA"/>
    <w:rsid w:val="00287A39"/>
    <w:rsid w:val="00287DC5"/>
    <w:rsid w:val="00290860"/>
    <w:rsid w:val="002915DA"/>
    <w:rsid w:val="00291A8A"/>
    <w:rsid w:val="00292021"/>
    <w:rsid w:val="0029209C"/>
    <w:rsid w:val="0029292E"/>
    <w:rsid w:val="00292BCD"/>
    <w:rsid w:val="00293224"/>
    <w:rsid w:val="00293D3E"/>
    <w:rsid w:val="002944CD"/>
    <w:rsid w:val="0029544C"/>
    <w:rsid w:val="0029551E"/>
    <w:rsid w:val="00295869"/>
    <w:rsid w:val="00296458"/>
    <w:rsid w:val="002966E3"/>
    <w:rsid w:val="00296E69"/>
    <w:rsid w:val="00296FC8"/>
    <w:rsid w:val="00297051"/>
    <w:rsid w:val="00297BA2"/>
    <w:rsid w:val="00297C2B"/>
    <w:rsid w:val="00297DCD"/>
    <w:rsid w:val="002A0788"/>
    <w:rsid w:val="002A0FC1"/>
    <w:rsid w:val="002A1347"/>
    <w:rsid w:val="002A1F9B"/>
    <w:rsid w:val="002A22C6"/>
    <w:rsid w:val="002A238F"/>
    <w:rsid w:val="002A266F"/>
    <w:rsid w:val="002A2A0F"/>
    <w:rsid w:val="002A2FA5"/>
    <w:rsid w:val="002A306D"/>
    <w:rsid w:val="002A3837"/>
    <w:rsid w:val="002A4047"/>
    <w:rsid w:val="002A4773"/>
    <w:rsid w:val="002A4C3E"/>
    <w:rsid w:val="002A52E4"/>
    <w:rsid w:val="002A5878"/>
    <w:rsid w:val="002A5DFF"/>
    <w:rsid w:val="002A5FA2"/>
    <w:rsid w:val="002A6344"/>
    <w:rsid w:val="002A7454"/>
    <w:rsid w:val="002B011D"/>
    <w:rsid w:val="002B02F6"/>
    <w:rsid w:val="002B0878"/>
    <w:rsid w:val="002B0A2D"/>
    <w:rsid w:val="002B0E85"/>
    <w:rsid w:val="002B105C"/>
    <w:rsid w:val="002B2276"/>
    <w:rsid w:val="002B23EE"/>
    <w:rsid w:val="002B2B2F"/>
    <w:rsid w:val="002B34C3"/>
    <w:rsid w:val="002B42A4"/>
    <w:rsid w:val="002B457F"/>
    <w:rsid w:val="002B73EE"/>
    <w:rsid w:val="002B7799"/>
    <w:rsid w:val="002B7B4E"/>
    <w:rsid w:val="002B7CD5"/>
    <w:rsid w:val="002B7FD3"/>
    <w:rsid w:val="002C0A38"/>
    <w:rsid w:val="002C0F48"/>
    <w:rsid w:val="002C1410"/>
    <w:rsid w:val="002C1810"/>
    <w:rsid w:val="002C1D9E"/>
    <w:rsid w:val="002C213A"/>
    <w:rsid w:val="002C26AF"/>
    <w:rsid w:val="002C278C"/>
    <w:rsid w:val="002C280D"/>
    <w:rsid w:val="002C2DB8"/>
    <w:rsid w:val="002C33BF"/>
    <w:rsid w:val="002C3B0C"/>
    <w:rsid w:val="002C405F"/>
    <w:rsid w:val="002C41B8"/>
    <w:rsid w:val="002C4718"/>
    <w:rsid w:val="002C48B9"/>
    <w:rsid w:val="002C4F25"/>
    <w:rsid w:val="002C5510"/>
    <w:rsid w:val="002C5516"/>
    <w:rsid w:val="002C66CE"/>
    <w:rsid w:val="002C6E25"/>
    <w:rsid w:val="002D05F2"/>
    <w:rsid w:val="002D0865"/>
    <w:rsid w:val="002D099E"/>
    <w:rsid w:val="002D180F"/>
    <w:rsid w:val="002D1DB8"/>
    <w:rsid w:val="002D20C3"/>
    <w:rsid w:val="002D264D"/>
    <w:rsid w:val="002D2A83"/>
    <w:rsid w:val="002D2DE6"/>
    <w:rsid w:val="002D2F96"/>
    <w:rsid w:val="002D2FE5"/>
    <w:rsid w:val="002D31E3"/>
    <w:rsid w:val="002D346E"/>
    <w:rsid w:val="002D3DE2"/>
    <w:rsid w:val="002D3EC2"/>
    <w:rsid w:val="002D40DF"/>
    <w:rsid w:val="002D4A84"/>
    <w:rsid w:val="002D5791"/>
    <w:rsid w:val="002D57E2"/>
    <w:rsid w:val="002D588E"/>
    <w:rsid w:val="002D5BB1"/>
    <w:rsid w:val="002D5F26"/>
    <w:rsid w:val="002D5F7C"/>
    <w:rsid w:val="002D7076"/>
    <w:rsid w:val="002D7FE3"/>
    <w:rsid w:val="002E14E7"/>
    <w:rsid w:val="002E180D"/>
    <w:rsid w:val="002E1B34"/>
    <w:rsid w:val="002E1D16"/>
    <w:rsid w:val="002E272B"/>
    <w:rsid w:val="002E2832"/>
    <w:rsid w:val="002E290B"/>
    <w:rsid w:val="002E29C3"/>
    <w:rsid w:val="002E2C62"/>
    <w:rsid w:val="002E2F74"/>
    <w:rsid w:val="002E31F8"/>
    <w:rsid w:val="002E34B5"/>
    <w:rsid w:val="002E35B3"/>
    <w:rsid w:val="002E3628"/>
    <w:rsid w:val="002E366F"/>
    <w:rsid w:val="002E50A7"/>
    <w:rsid w:val="002E51F9"/>
    <w:rsid w:val="002E5A08"/>
    <w:rsid w:val="002E657F"/>
    <w:rsid w:val="002E6F6F"/>
    <w:rsid w:val="002E7293"/>
    <w:rsid w:val="002E73F5"/>
    <w:rsid w:val="002E78F9"/>
    <w:rsid w:val="002E7A8B"/>
    <w:rsid w:val="002F02B1"/>
    <w:rsid w:val="002F0521"/>
    <w:rsid w:val="002F087C"/>
    <w:rsid w:val="002F1033"/>
    <w:rsid w:val="002F1731"/>
    <w:rsid w:val="002F1CC7"/>
    <w:rsid w:val="002F1F86"/>
    <w:rsid w:val="002F22F7"/>
    <w:rsid w:val="002F2470"/>
    <w:rsid w:val="002F2B27"/>
    <w:rsid w:val="002F2B77"/>
    <w:rsid w:val="002F3493"/>
    <w:rsid w:val="002F4078"/>
    <w:rsid w:val="002F555E"/>
    <w:rsid w:val="002F57C5"/>
    <w:rsid w:val="002F5DA0"/>
    <w:rsid w:val="002F5F54"/>
    <w:rsid w:val="003021AB"/>
    <w:rsid w:val="00302210"/>
    <w:rsid w:val="00303089"/>
    <w:rsid w:val="00303C97"/>
    <w:rsid w:val="00303DEA"/>
    <w:rsid w:val="00304DB4"/>
    <w:rsid w:val="0030551B"/>
    <w:rsid w:val="003057A7"/>
    <w:rsid w:val="003058E6"/>
    <w:rsid w:val="00305AE6"/>
    <w:rsid w:val="00305C83"/>
    <w:rsid w:val="00306090"/>
    <w:rsid w:val="00306F88"/>
    <w:rsid w:val="0030743D"/>
    <w:rsid w:val="003101E5"/>
    <w:rsid w:val="00310670"/>
    <w:rsid w:val="003109E5"/>
    <w:rsid w:val="00310B51"/>
    <w:rsid w:val="00310CF3"/>
    <w:rsid w:val="00310CFF"/>
    <w:rsid w:val="00310F9D"/>
    <w:rsid w:val="0031146E"/>
    <w:rsid w:val="00311A93"/>
    <w:rsid w:val="00311E5E"/>
    <w:rsid w:val="00312066"/>
    <w:rsid w:val="003120CD"/>
    <w:rsid w:val="00312661"/>
    <w:rsid w:val="003126F3"/>
    <w:rsid w:val="003127C0"/>
    <w:rsid w:val="00312CC0"/>
    <w:rsid w:val="0031332B"/>
    <w:rsid w:val="003133C4"/>
    <w:rsid w:val="003135B4"/>
    <w:rsid w:val="00313728"/>
    <w:rsid w:val="0031372C"/>
    <w:rsid w:val="00314295"/>
    <w:rsid w:val="00314638"/>
    <w:rsid w:val="00314819"/>
    <w:rsid w:val="00314D4F"/>
    <w:rsid w:val="0031572B"/>
    <w:rsid w:val="0031600D"/>
    <w:rsid w:val="003160D6"/>
    <w:rsid w:val="003162A4"/>
    <w:rsid w:val="003169ED"/>
    <w:rsid w:val="00317412"/>
    <w:rsid w:val="003207D4"/>
    <w:rsid w:val="00320C8B"/>
    <w:rsid w:val="00321695"/>
    <w:rsid w:val="0032197B"/>
    <w:rsid w:val="003220ED"/>
    <w:rsid w:val="00322174"/>
    <w:rsid w:val="00322725"/>
    <w:rsid w:val="00322728"/>
    <w:rsid w:val="0032410B"/>
    <w:rsid w:val="00324C54"/>
    <w:rsid w:val="003250AF"/>
    <w:rsid w:val="00325226"/>
    <w:rsid w:val="0032531D"/>
    <w:rsid w:val="00325C4C"/>
    <w:rsid w:val="003260E6"/>
    <w:rsid w:val="00326154"/>
    <w:rsid w:val="00326545"/>
    <w:rsid w:val="003267AE"/>
    <w:rsid w:val="00326A72"/>
    <w:rsid w:val="003272BE"/>
    <w:rsid w:val="00330121"/>
    <w:rsid w:val="0033013C"/>
    <w:rsid w:val="0033013F"/>
    <w:rsid w:val="0033068F"/>
    <w:rsid w:val="00330853"/>
    <w:rsid w:val="00330906"/>
    <w:rsid w:val="00331083"/>
    <w:rsid w:val="003310A6"/>
    <w:rsid w:val="003317DD"/>
    <w:rsid w:val="00331ACA"/>
    <w:rsid w:val="00331C52"/>
    <w:rsid w:val="00331D02"/>
    <w:rsid w:val="003321F8"/>
    <w:rsid w:val="0033223F"/>
    <w:rsid w:val="00332B42"/>
    <w:rsid w:val="00333196"/>
    <w:rsid w:val="00333914"/>
    <w:rsid w:val="00333A10"/>
    <w:rsid w:val="00333C4D"/>
    <w:rsid w:val="00333C9E"/>
    <w:rsid w:val="00333D99"/>
    <w:rsid w:val="00333E3C"/>
    <w:rsid w:val="00333E96"/>
    <w:rsid w:val="0033456F"/>
    <w:rsid w:val="003345C9"/>
    <w:rsid w:val="00334DFA"/>
    <w:rsid w:val="00334E75"/>
    <w:rsid w:val="0033510F"/>
    <w:rsid w:val="0033551B"/>
    <w:rsid w:val="00335748"/>
    <w:rsid w:val="0033576D"/>
    <w:rsid w:val="00335CF3"/>
    <w:rsid w:val="003364BC"/>
    <w:rsid w:val="003367A7"/>
    <w:rsid w:val="00336ED0"/>
    <w:rsid w:val="0034019D"/>
    <w:rsid w:val="003405D2"/>
    <w:rsid w:val="00340F4A"/>
    <w:rsid w:val="00341358"/>
    <w:rsid w:val="00341922"/>
    <w:rsid w:val="00341EB9"/>
    <w:rsid w:val="00341EE9"/>
    <w:rsid w:val="00342CDC"/>
    <w:rsid w:val="00342D04"/>
    <w:rsid w:val="00342EFD"/>
    <w:rsid w:val="00343216"/>
    <w:rsid w:val="003439EA"/>
    <w:rsid w:val="00344193"/>
    <w:rsid w:val="003454A0"/>
    <w:rsid w:val="003454ED"/>
    <w:rsid w:val="00345CEB"/>
    <w:rsid w:val="00346033"/>
    <w:rsid w:val="0034645C"/>
    <w:rsid w:val="00346510"/>
    <w:rsid w:val="00346FAC"/>
    <w:rsid w:val="003471E2"/>
    <w:rsid w:val="003479CA"/>
    <w:rsid w:val="00347A2E"/>
    <w:rsid w:val="00347C12"/>
    <w:rsid w:val="00350A25"/>
    <w:rsid w:val="003515BF"/>
    <w:rsid w:val="003515F0"/>
    <w:rsid w:val="00351AA5"/>
    <w:rsid w:val="003522BA"/>
    <w:rsid w:val="00352379"/>
    <w:rsid w:val="00352684"/>
    <w:rsid w:val="00352EB2"/>
    <w:rsid w:val="00353D97"/>
    <w:rsid w:val="00354205"/>
    <w:rsid w:val="00354D61"/>
    <w:rsid w:val="00355539"/>
    <w:rsid w:val="00355BDA"/>
    <w:rsid w:val="00355CDA"/>
    <w:rsid w:val="00355F13"/>
    <w:rsid w:val="0035615A"/>
    <w:rsid w:val="00356DCE"/>
    <w:rsid w:val="003576B2"/>
    <w:rsid w:val="00357749"/>
    <w:rsid w:val="00357DA3"/>
    <w:rsid w:val="00357E1B"/>
    <w:rsid w:val="0036094D"/>
    <w:rsid w:val="00360E47"/>
    <w:rsid w:val="003610E1"/>
    <w:rsid w:val="00361FF1"/>
    <w:rsid w:val="003635EA"/>
    <w:rsid w:val="00363947"/>
    <w:rsid w:val="00363B82"/>
    <w:rsid w:val="00364985"/>
    <w:rsid w:val="00364BC3"/>
    <w:rsid w:val="00364DE8"/>
    <w:rsid w:val="003651EC"/>
    <w:rsid w:val="003653CC"/>
    <w:rsid w:val="0036632E"/>
    <w:rsid w:val="0036635C"/>
    <w:rsid w:val="0036673B"/>
    <w:rsid w:val="003672FC"/>
    <w:rsid w:val="003674E2"/>
    <w:rsid w:val="00370095"/>
    <w:rsid w:val="00371117"/>
    <w:rsid w:val="003715D8"/>
    <w:rsid w:val="00371921"/>
    <w:rsid w:val="0037199D"/>
    <w:rsid w:val="00371B6B"/>
    <w:rsid w:val="003721C7"/>
    <w:rsid w:val="00372935"/>
    <w:rsid w:val="00372990"/>
    <w:rsid w:val="00372BC2"/>
    <w:rsid w:val="00372E75"/>
    <w:rsid w:val="003736DD"/>
    <w:rsid w:val="0037471B"/>
    <w:rsid w:val="00375889"/>
    <w:rsid w:val="00375FAC"/>
    <w:rsid w:val="00376331"/>
    <w:rsid w:val="00376A5A"/>
    <w:rsid w:val="00376A85"/>
    <w:rsid w:val="00376C82"/>
    <w:rsid w:val="0037709C"/>
    <w:rsid w:val="003777D2"/>
    <w:rsid w:val="00377C0B"/>
    <w:rsid w:val="003800AA"/>
    <w:rsid w:val="00380252"/>
    <w:rsid w:val="0038060D"/>
    <w:rsid w:val="00380B68"/>
    <w:rsid w:val="0038107A"/>
    <w:rsid w:val="00381139"/>
    <w:rsid w:val="0038137C"/>
    <w:rsid w:val="003813BE"/>
    <w:rsid w:val="00381771"/>
    <w:rsid w:val="00381AE6"/>
    <w:rsid w:val="00381E6A"/>
    <w:rsid w:val="0038277A"/>
    <w:rsid w:val="00382D47"/>
    <w:rsid w:val="00382F10"/>
    <w:rsid w:val="003830EF"/>
    <w:rsid w:val="00383159"/>
    <w:rsid w:val="003834A0"/>
    <w:rsid w:val="003835BB"/>
    <w:rsid w:val="0038383E"/>
    <w:rsid w:val="00384261"/>
    <w:rsid w:val="00384743"/>
    <w:rsid w:val="003858AC"/>
    <w:rsid w:val="00385EE1"/>
    <w:rsid w:val="0038615A"/>
    <w:rsid w:val="00386289"/>
    <w:rsid w:val="00387040"/>
    <w:rsid w:val="003871E6"/>
    <w:rsid w:val="003878C2"/>
    <w:rsid w:val="00387F8B"/>
    <w:rsid w:val="00390351"/>
    <w:rsid w:val="00390372"/>
    <w:rsid w:val="0039104A"/>
    <w:rsid w:val="0039187F"/>
    <w:rsid w:val="00391C95"/>
    <w:rsid w:val="00391D35"/>
    <w:rsid w:val="00391D82"/>
    <w:rsid w:val="00392BD3"/>
    <w:rsid w:val="00392EFB"/>
    <w:rsid w:val="003931B7"/>
    <w:rsid w:val="00393260"/>
    <w:rsid w:val="00393700"/>
    <w:rsid w:val="003937F6"/>
    <w:rsid w:val="00393AB2"/>
    <w:rsid w:val="00393DED"/>
    <w:rsid w:val="00393E94"/>
    <w:rsid w:val="00394019"/>
    <w:rsid w:val="0039439A"/>
    <w:rsid w:val="00394CC0"/>
    <w:rsid w:val="00394DE2"/>
    <w:rsid w:val="003955F2"/>
    <w:rsid w:val="00396E68"/>
    <w:rsid w:val="003972CB"/>
    <w:rsid w:val="00397483"/>
    <w:rsid w:val="00397A0E"/>
    <w:rsid w:val="00397AA6"/>
    <w:rsid w:val="00397EE3"/>
    <w:rsid w:val="003A0266"/>
    <w:rsid w:val="003A12E8"/>
    <w:rsid w:val="003A20FE"/>
    <w:rsid w:val="003A2113"/>
    <w:rsid w:val="003A2275"/>
    <w:rsid w:val="003A2431"/>
    <w:rsid w:val="003A2BF9"/>
    <w:rsid w:val="003A4F46"/>
    <w:rsid w:val="003A5055"/>
    <w:rsid w:val="003A5EA5"/>
    <w:rsid w:val="003A74BF"/>
    <w:rsid w:val="003A76BC"/>
    <w:rsid w:val="003A7798"/>
    <w:rsid w:val="003B029A"/>
    <w:rsid w:val="003B04C4"/>
    <w:rsid w:val="003B053E"/>
    <w:rsid w:val="003B0D90"/>
    <w:rsid w:val="003B16F1"/>
    <w:rsid w:val="003B1994"/>
    <w:rsid w:val="003B1A81"/>
    <w:rsid w:val="003B2560"/>
    <w:rsid w:val="003B3283"/>
    <w:rsid w:val="003B36EF"/>
    <w:rsid w:val="003B4DF0"/>
    <w:rsid w:val="003B52CF"/>
    <w:rsid w:val="003B5A68"/>
    <w:rsid w:val="003B5C38"/>
    <w:rsid w:val="003B5D95"/>
    <w:rsid w:val="003B6586"/>
    <w:rsid w:val="003B6B33"/>
    <w:rsid w:val="003B724D"/>
    <w:rsid w:val="003B74B7"/>
    <w:rsid w:val="003B7602"/>
    <w:rsid w:val="003B7BDC"/>
    <w:rsid w:val="003C0324"/>
    <w:rsid w:val="003C0AE8"/>
    <w:rsid w:val="003C0BD7"/>
    <w:rsid w:val="003C0D27"/>
    <w:rsid w:val="003C10BB"/>
    <w:rsid w:val="003C17D6"/>
    <w:rsid w:val="003C1894"/>
    <w:rsid w:val="003C22E8"/>
    <w:rsid w:val="003C23F1"/>
    <w:rsid w:val="003C325D"/>
    <w:rsid w:val="003C469B"/>
    <w:rsid w:val="003C5006"/>
    <w:rsid w:val="003C508D"/>
    <w:rsid w:val="003C54C4"/>
    <w:rsid w:val="003C5837"/>
    <w:rsid w:val="003C5ED9"/>
    <w:rsid w:val="003C65AD"/>
    <w:rsid w:val="003C6CDB"/>
    <w:rsid w:val="003C6EA1"/>
    <w:rsid w:val="003C732D"/>
    <w:rsid w:val="003C74DC"/>
    <w:rsid w:val="003C76EC"/>
    <w:rsid w:val="003C7A06"/>
    <w:rsid w:val="003C7D58"/>
    <w:rsid w:val="003D02B3"/>
    <w:rsid w:val="003D0487"/>
    <w:rsid w:val="003D1108"/>
    <w:rsid w:val="003D12BB"/>
    <w:rsid w:val="003D138C"/>
    <w:rsid w:val="003D18C7"/>
    <w:rsid w:val="003D1AF2"/>
    <w:rsid w:val="003D33BF"/>
    <w:rsid w:val="003D35D5"/>
    <w:rsid w:val="003D3F3C"/>
    <w:rsid w:val="003D3FFF"/>
    <w:rsid w:val="003D4120"/>
    <w:rsid w:val="003D4E22"/>
    <w:rsid w:val="003D5937"/>
    <w:rsid w:val="003D5B7D"/>
    <w:rsid w:val="003D611C"/>
    <w:rsid w:val="003D6155"/>
    <w:rsid w:val="003D635F"/>
    <w:rsid w:val="003D7A18"/>
    <w:rsid w:val="003D7ADD"/>
    <w:rsid w:val="003D7D2B"/>
    <w:rsid w:val="003D7E4C"/>
    <w:rsid w:val="003D7FE6"/>
    <w:rsid w:val="003E0613"/>
    <w:rsid w:val="003E12E9"/>
    <w:rsid w:val="003E1BD1"/>
    <w:rsid w:val="003E21DA"/>
    <w:rsid w:val="003E234B"/>
    <w:rsid w:val="003E2B45"/>
    <w:rsid w:val="003E3385"/>
    <w:rsid w:val="003E392E"/>
    <w:rsid w:val="003E3C33"/>
    <w:rsid w:val="003E443C"/>
    <w:rsid w:val="003E4C03"/>
    <w:rsid w:val="003E5845"/>
    <w:rsid w:val="003E6204"/>
    <w:rsid w:val="003E64D2"/>
    <w:rsid w:val="003E6E38"/>
    <w:rsid w:val="003E772A"/>
    <w:rsid w:val="003F0126"/>
    <w:rsid w:val="003F04DB"/>
    <w:rsid w:val="003F09ED"/>
    <w:rsid w:val="003F111F"/>
    <w:rsid w:val="003F14DC"/>
    <w:rsid w:val="003F2759"/>
    <w:rsid w:val="003F28DE"/>
    <w:rsid w:val="003F2A4E"/>
    <w:rsid w:val="003F2F4D"/>
    <w:rsid w:val="003F3054"/>
    <w:rsid w:val="003F305F"/>
    <w:rsid w:val="003F3132"/>
    <w:rsid w:val="003F349E"/>
    <w:rsid w:val="003F3835"/>
    <w:rsid w:val="003F4631"/>
    <w:rsid w:val="003F4A86"/>
    <w:rsid w:val="003F53DE"/>
    <w:rsid w:val="003F566E"/>
    <w:rsid w:val="003F5CE9"/>
    <w:rsid w:val="003F5D14"/>
    <w:rsid w:val="003F5ED8"/>
    <w:rsid w:val="003F65A6"/>
    <w:rsid w:val="003F6606"/>
    <w:rsid w:val="003F6F73"/>
    <w:rsid w:val="003F79F8"/>
    <w:rsid w:val="00400024"/>
    <w:rsid w:val="004006DF"/>
    <w:rsid w:val="00400A85"/>
    <w:rsid w:val="00400D8B"/>
    <w:rsid w:val="00401023"/>
    <w:rsid w:val="0040129D"/>
    <w:rsid w:val="00401D12"/>
    <w:rsid w:val="00402A65"/>
    <w:rsid w:val="004039EC"/>
    <w:rsid w:val="0040413B"/>
    <w:rsid w:val="004049F8"/>
    <w:rsid w:val="00404BBD"/>
    <w:rsid w:val="0040550E"/>
    <w:rsid w:val="00405F04"/>
    <w:rsid w:val="00406049"/>
    <w:rsid w:val="004061AB"/>
    <w:rsid w:val="00406477"/>
    <w:rsid w:val="004065D8"/>
    <w:rsid w:val="00406AC5"/>
    <w:rsid w:val="00406BA8"/>
    <w:rsid w:val="00406D3C"/>
    <w:rsid w:val="00406E92"/>
    <w:rsid w:val="00407014"/>
    <w:rsid w:val="004072F9"/>
    <w:rsid w:val="00407B77"/>
    <w:rsid w:val="00407C57"/>
    <w:rsid w:val="00407C6D"/>
    <w:rsid w:val="00410E4C"/>
    <w:rsid w:val="00411374"/>
    <w:rsid w:val="00411C29"/>
    <w:rsid w:val="00412493"/>
    <w:rsid w:val="00412FD9"/>
    <w:rsid w:val="0041300B"/>
    <w:rsid w:val="004132C6"/>
    <w:rsid w:val="00413531"/>
    <w:rsid w:val="004136DF"/>
    <w:rsid w:val="00414691"/>
    <w:rsid w:val="00415524"/>
    <w:rsid w:val="004155EC"/>
    <w:rsid w:val="004156B7"/>
    <w:rsid w:val="00415988"/>
    <w:rsid w:val="004163D3"/>
    <w:rsid w:val="00416896"/>
    <w:rsid w:val="004175D7"/>
    <w:rsid w:val="004179BF"/>
    <w:rsid w:val="00417A3D"/>
    <w:rsid w:val="00417D23"/>
    <w:rsid w:val="0042021A"/>
    <w:rsid w:val="00420C08"/>
    <w:rsid w:val="004220F6"/>
    <w:rsid w:val="00422A7C"/>
    <w:rsid w:val="00422C44"/>
    <w:rsid w:val="00422D71"/>
    <w:rsid w:val="0042347A"/>
    <w:rsid w:val="004235BB"/>
    <w:rsid w:val="00423E3C"/>
    <w:rsid w:val="0042407E"/>
    <w:rsid w:val="0042485B"/>
    <w:rsid w:val="004248B7"/>
    <w:rsid w:val="00424D10"/>
    <w:rsid w:val="0042503C"/>
    <w:rsid w:val="004255C8"/>
    <w:rsid w:val="00426097"/>
    <w:rsid w:val="00426414"/>
    <w:rsid w:val="00426E63"/>
    <w:rsid w:val="00427046"/>
    <w:rsid w:val="00427650"/>
    <w:rsid w:val="004279AC"/>
    <w:rsid w:val="00427A95"/>
    <w:rsid w:val="00427FD5"/>
    <w:rsid w:val="004302AF"/>
    <w:rsid w:val="00430CCA"/>
    <w:rsid w:val="00431266"/>
    <w:rsid w:val="00431A12"/>
    <w:rsid w:val="00431EDD"/>
    <w:rsid w:val="004324F9"/>
    <w:rsid w:val="00432790"/>
    <w:rsid w:val="004327C3"/>
    <w:rsid w:val="00432809"/>
    <w:rsid w:val="004330F4"/>
    <w:rsid w:val="00433541"/>
    <w:rsid w:val="004337E6"/>
    <w:rsid w:val="004338D0"/>
    <w:rsid w:val="00433B8D"/>
    <w:rsid w:val="00434D7E"/>
    <w:rsid w:val="004353BB"/>
    <w:rsid w:val="0043541C"/>
    <w:rsid w:val="004356B4"/>
    <w:rsid w:val="00435956"/>
    <w:rsid w:val="00435F86"/>
    <w:rsid w:val="00436187"/>
    <w:rsid w:val="004364C8"/>
    <w:rsid w:val="00436769"/>
    <w:rsid w:val="00436880"/>
    <w:rsid w:val="0043720C"/>
    <w:rsid w:val="00437428"/>
    <w:rsid w:val="00437530"/>
    <w:rsid w:val="00437A15"/>
    <w:rsid w:val="00437ABE"/>
    <w:rsid w:val="00437EDF"/>
    <w:rsid w:val="0044013F"/>
    <w:rsid w:val="00440220"/>
    <w:rsid w:val="00440D7F"/>
    <w:rsid w:val="00441EE2"/>
    <w:rsid w:val="004428E1"/>
    <w:rsid w:val="004429B7"/>
    <w:rsid w:val="00443AC4"/>
    <w:rsid w:val="00443E74"/>
    <w:rsid w:val="00444222"/>
    <w:rsid w:val="00444600"/>
    <w:rsid w:val="004448E6"/>
    <w:rsid w:val="00444B41"/>
    <w:rsid w:val="00444D80"/>
    <w:rsid w:val="004456BD"/>
    <w:rsid w:val="00445837"/>
    <w:rsid w:val="00445A0C"/>
    <w:rsid w:val="00445AA7"/>
    <w:rsid w:val="00445BE0"/>
    <w:rsid w:val="0044615C"/>
    <w:rsid w:val="0044677A"/>
    <w:rsid w:val="004473FE"/>
    <w:rsid w:val="004476B7"/>
    <w:rsid w:val="00447D92"/>
    <w:rsid w:val="00450457"/>
    <w:rsid w:val="00450963"/>
    <w:rsid w:val="004510BB"/>
    <w:rsid w:val="0045162C"/>
    <w:rsid w:val="004517F2"/>
    <w:rsid w:val="00451B58"/>
    <w:rsid w:val="00451C61"/>
    <w:rsid w:val="00451D93"/>
    <w:rsid w:val="004527C5"/>
    <w:rsid w:val="00452B80"/>
    <w:rsid w:val="00453387"/>
    <w:rsid w:val="00453D83"/>
    <w:rsid w:val="00453EC6"/>
    <w:rsid w:val="00453ECE"/>
    <w:rsid w:val="0045479E"/>
    <w:rsid w:val="004551B5"/>
    <w:rsid w:val="00455E54"/>
    <w:rsid w:val="00455E69"/>
    <w:rsid w:val="00455F9A"/>
    <w:rsid w:val="00456210"/>
    <w:rsid w:val="00456661"/>
    <w:rsid w:val="004566EC"/>
    <w:rsid w:val="00457077"/>
    <w:rsid w:val="00457515"/>
    <w:rsid w:val="00457FFE"/>
    <w:rsid w:val="004602D8"/>
    <w:rsid w:val="00460343"/>
    <w:rsid w:val="0046043B"/>
    <w:rsid w:val="004604FF"/>
    <w:rsid w:val="004608D5"/>
    <w:rsid w:val="00460FFF"/>
    <w:rsid w:val="0046120C"/>
    <w:rsid w:val="004617F8"/>
    <w:rsid w:val="004617FA"/>
    <w:rsid w:val="00461B85"/>
    <w:rsid w:val="00461CD9"/>
    <w:rsid w:val="004626B6"/>
    <w:rsid w:val="004626D6"/>
    <w:rsid w:val="00462AAA"/>
    <w:rsid w:val="00462DFB"/>
    <w:rsid w:val="004630C6"/>
    <w:rsid w:val="004631A0"/>
    <w:rsid w:val="00464257"/>
    <w:rsid w:val="00464470"/>
    <w:rsid w:val="00464AC0"/>
    <w:rsid w:val="00464ACD"/>
    <w:rsid w:val="00464CA7"/>
    <w:rsid w:val="00464D54"/>
    <w:rsid w:val="00464E1D"/>
    <w:rsid w:val="00464E8A"/>
    <w:rsid w:val="004650B1"/>
    <w:rsid w:val="00465258"/>
    <w:rsid w:val="00465D05"/>
    <w:rsid w:val="00466074"/>
    <w:rsid w:val="00466377"/>
    <w:rsid w:val="00466839"/>
    <w:rsid w:val="00466FEA"/>
    <w:rsid w:val="00467185"/>
    <w:rsid w:val="004673DB"/>
    <w:rsid w:val="00467E07"/>
    <w:rsid w:val="00470709"/>
    <w:rsid w:val="004711C9"/>
    <w:rsid w:val="00471718"/>
    <w:rsid w:val="0047222F"/>
    <w:rsid w:val="004722EF"/>
    <w:rsid w:val="0047271F"/>
    <w:rsid w:val="00472A3D"/>
    <w:rsid w:val="00472AFA"/>
    <w:rsid w:val="004742A7"/>
    <w:rsid w:val="00474CAA"/>
    <w:rsid w:val="00475368"/>
    <w:rsid w:val="00475956"/>
    <w:rsid w:val="00476349"/>
    <w:rsid w:val="004772EA"/>
    <w:rsid w:val="004779B8"/>
    <w:rsid w:val="00477E59"/>
    <w:rsid w:val="004800FA"/>
    <w:rsid w:val="00480394"/>
    <w:rsid w:val="00481A25"/>
    <w:rsid w:val="0048218A"/>
    <w:rsid w:val="004822F1"/>
    <w:rsid w:val="0048252F"/>
    <w:rsid w:val="00482535"/>
    <w:rsid w:val="0048354A"/>
    <w:rsid w:val="00483B77"/>
    <w:rsid w:val="004844F4"/>
    <w:rsid w:val="0048464E"/>
    <w:rsid w:val="00484A81"/>
    <w:rsid w:val="00484AD3"/>
    <w:rsid w:val="00485071"/>
    <w:rsid w:val="004858B1"/>
    <w:rsid w:val="00485ADB"/>
    <w:rsid w:val="00485D82"/>
    <w:rsid w:val="0048601B"/>
    <w:rsid w:val="00486173"/>
    <w:rsid w:val="004862CD"/>
    <w:rsid w:val="00486683"/>
    <w:rsid w:val="004866BB"/>
    <w:rsid w:val="00486885"/>
    <w:rsid w:val="00486AAF"/>
    <w:rsid w:val="00486ACB"/>
    <w:rsid w:val="004870B7"/>
    <w:rsid w:val="004872D5"/>
    <w:rsid w:val="00487508"/>
    <w:rsid w:val="004876B1"/>
    <w:rsid w:val="00487FED"/>
    <w:rsid w:val="004902CE"/>
    <w:rsid w:val="004903A3"/>
    <w:rsid w:val="004903AF"/>
    <w:rsid w:val="00490769"/>
    <w:rsid w:val="00490988"/>
    <w:rsid w:val="00490BF6"/>
    <w:rsid w:val="004910AA"/>
    <w:rsid w:val="0049120D"/>
    <w:rsid w:val="004912B9"/>
    <w:rsid w:val="00491686"/>
    <w:rsid w:val="00491698"/>
    <w:rsid w:val="00492C6A"/>
    <w:rsid w:val="004930EC"/>
    <w:rsid w:val="00493498"/>
    <w:rsid w:val="00493818"/>
    <w:rsid w:val="004945D3"/>
    <w:rsid w:val="004948E5"/>
    <w:rsid w:val="00495105"/>
    <w:rsid w:val="00495174"/>
    <w:rsid w:val="004953D5"/>
    <w:rsid w:val="00495A75"/>
    <w:rsid w:val="00495B5E"/>
    <w:rsid w:val="00496191"/>
    <w:rsid w:val="004967BF"/>
    <w:rsid w:val="00496D53"/>
    <w:rsid w:val="004973F9"/>
    <w:rsid w:val="004975C2"/>
    <w:rsid w:val="00497707"/>
    <w:rsid w:val="004977FA"/>
    <w:rsid w:val="004A025F"/>
    <w:rsid w:val="004A1288"/>
    <w:rsid w:val="004A1D2D"/>
    <w:rsid w:val="004A2196"/>
    <w:rsid w:val="004A2B67"/>
    <w:rsid w:val="004A3B35"/>
    <w:rsid w:val="004A3E6B"/>
    <w:rsid w:val="004A3F63"/>
    <w:rsid w:val="004A473E"/>
    <w:rsid w:val="004A47D4"/>
    <w:rsid w:val="004A49F3"/>
    <w:rsid w:val="004A5045"/>
    <w:rsid w:val="004A5186"/>
    <w:rsid w:val="004A52ED"/>
    <w:rsid w:val="004A54B3"/>
    <w:rsid w:val="004A56A4"/>
    <w:rsid w:val="004A59F8"/>
    <w:rsid w:val="004A7C88"/>
    <w:rsid w:val="004A7E15"/>
    <w:rsid w:val="004B01E1"/>
    <w:rsid w:val="004B0284"/>
    <w:rsid w:val="004B0318"/>
    <w:rsid w:val="004B1443"/>
    <w:rsid w:val="004B1E0E"/>
    <w:rsid w:val="004B22B1"/>
    <w:rsid w:val="004B245C"/>
    <w:rsid w:val="004B2A75"/>
    <w:rsid w:val="004B2D12"/>
    <w:rsid w:val="004B3794"/>
    <w:rsid w:val="004B3B1A"/>
    <w:rsid w:val="004B3FE6"/>
    <w:rsid w:val="004B41C1"/>
    <w:rsid w:val="004B4461"/>
    <w:rsid w:val="004B4F9E"/>
    <w:rsid w:val="004B520F"/>
    <w:rsid w:val="004B5C57"/>
    <w:rsid w:val="004B6338"/>
    <w:rsid w:val="004B6F9C"/>
    <w:rsid w:val="004B7196"/>
    <w:rsid w:val="004B7FD8"/>
    <w:rsid w:val="004C01D1"/>
    <w:rsid w:val="004C0275"/>
    <w:rsid w:val="004C1132"/>
    <w:rsid w:val="004C1330"/>
    <w:rsid w:val="004C29FD"/>
    <w:rsid w:val="004C2A76"/>
    <w:rsid w:val="004C2DDC"/>
    <w:rsid w:val="004C2E18"/>
    <w:rsid w:val="004C33C3"/>
    <w:rsid w:val="004C3C2D"/>
    <w:rsid w:val="004C3DB9"/>
    <w:rsid w:val="004C4DFC"/>
    <w:rsid w:val="004C4EDD"/>
    <w:rsid w:val="004C59EF"/>
    <w:rsid w:val="004C7E21"/>
    <w:rsid w:val="004D02DE"/>
    <w:rsid w:val="004D0412"/>
    <w:rsid w:val="004D0995"/>
    <w:rsid w:val="004D0D0D"/>
    <w:rsid w:val="004D1810"/>
    <w:rsid w:val="004D1B83"/>
    <w:rsid w:val="004D2005"/>
    <w:rsid w:val="004D25A7"/>
    <w:rsid w:val="004D2A1C"/>
    <w:rsid w:val="004D2BA4"/>
    <w:rsid w:val="004D341C"/>
    <w:rsid w:val="004D3573"/>
    <w:rsid w:val="004D5194"/>
    <w:rsid w:val="004D52A0"/>
    <w:rsid w:val="004D57C3"/>
    <w:rsid w:val="004D5AC4"/>
    <w:rsid w:val="004D5E2C"/>
    <w:rsid w:val="004D5F22"/>
    <w:rsid w:val="004D6649"/>
    <w:rsid w:val="004D68DE"/>
    <w:rsid w:val="004D7BD6"/>
    <w:rsid w:val="004D7FC1"/>
    <w:rsid w:val="004E00CB"/>
    <w:rsid w:val="004E0212"/>
    <w:rsid w:val="004E03FB"/>
    <w:rsid w:val="004E13C0"/>
    <w:rsid w:val="004E13E5"/>
    <w:rsid w:val="004E175A"/>
    <w:rsid w:val="004E1A5F"/>
    <w:rsid w:val="004E349D"/>
    <w:rsid w:val="004E393E"/>
    <w:rsid w:val="004E3C50"/>
    <w:rsid w:val="004E44DB"/>
    <w:rsid w:val="004E4564"/>
    <w:rsid w:val="004E4B7E"/>
    <w:rsid w:val="004E56B0"/>
    <w:rsid w:val="004E58A5"/>
    <w:rsid w:val="004E7624"/>
    <w:rsid w:val="004E77E6"/>
    <w:rsid w:val="004E7A9B"/>
    <w:rsid w:val="004E7AAF"/>
    <w:rsid w:val="004E7B0A"/>
    <w:rsid w:val="004F02D6"/>
    <w:rsid w:val="004F04CE"/>
    <w:rsid w:val="004F0B90"/>
    <w:rsid w:val="004F0E2E"/>
    <w:rsid w:val="004F0F0C"/>
    <w:rsid w:val="004F11A1"/>
    <w:rsid w:val="004F15E1"/>
    <w:rsid w:val="004F1E40"/>
    <w:rsid w:val="004F22BA"/>
    <w:rsid w:val="004F2DD5"/>
    <w:rsid w:val="004F3712"/>
    <w:rsid w:val="004F3794"/>
    <w:rsid w:val="004F3AE1"/>
    <w:rsid w:val="004F3D5B"/>
    <w:rsid w:val="004F412A"/>
    <w:rsid w:val="004F42B3"/>
    <w:rsid w:val="004F4558"/>
    <w:rsid w:val="004F45DF"/>
    <w:rsid w:val="004F4DA8"/>
    <w:rsid w:val="004F551C"/>
    <w:rsid w:val="004F5D11"/>
    <w:rsid w:val="004F5E84"/>
    <w:rsid w:val="004F67B6"/>
    <w:rsid w:val="004F67CE"/>
    <w:rsid w:val="004F6910"/>
    <w:rsid w:val="004F6E98"/>
    <w:rsid w:val="004F7102"/>
    <w:rsid w:val="004F77AC"/>
    <w:rsid w:val="004F77B6"/>
    <w:rsid w:val="00500122"/>
    <w:rsid w:val="00501AA9"/>
    <w:rsid w:val="00501FCE"/>
    <w:rsid w:val="005023C9"/>
    <w:rsid w:val="00502CD6"/>
    <w:rsid w:val="0050317C"/>
    <w:rsid w:val="0050366C"/>
    <w:rsid w:val="0050394F"/>
    <w:rsid w:val="00503D37"/>
    <w:rsid w:val="005040F5"/>
    <w:rsid w:val="00504140"/>
    <w:rsid w:val="00504239"/>
    <w:rsid w:val="00504A79"/>
    <w:rsid w:val="00504ABB"/>
    <w:rsid w:val="00504B0B"/>
    <w:rsid w:val="00504EE5"/>
    <w:rsid w:val="0050598E"/>
    <w:rsid w:val="00505B81"/>
    <w:rsid w:val="00505CB7"/>
    <w:rsid w:val="00505DE5"/>
    <w:rsid w:val="00505EBA"/>
    <w:rsid w:val="00505FCE"/>
    <w:rsid w:val="005063A7"/>
    <w:rsid w:val="005068A5"/>
    <w:rsid w:val="00506A26"/>
    <w:rsid w:val="005070F8"/>
    <w:rsid w:val="00507568"/>
    <w:rsid w:val="00510873"/>
    <w:rsid w:val="00510911"/>
    <w:rsid w:val="00511A43"/>
    <w:rsid w:val="00511EED"/>
    <w:rsid w:val="00512222"/>
    <w:rsid w:val="005122C9"/>
    <w:rsid w:val="00512575"/>
    <w:rsid w:val="00512CEA"/>
    <w:rsid w:val="00512E71"/>
    <w:rsid w:val="00512EC0"/>
    <w:rsid w:val="00513697"/>
    <w:rsid w:val="00513744"/>
    <w:rsid w:val="00513854"/>
    <w:rsid w:val="00513CFF"/>
    <w:rsid w:val="00514822"/>
    <w:rsid w:val="0051498F"/>
    <w:rsid w:val="00514ADC"/>
    <w:rsid w:val="00514C04"/>
    <w:rsid w:val="00514DA3"/>
    <w:rsid w:val="0051544A"/>
    <w:rsid w:val="00515834"/>
    <w:rsid w:val="00515D47"/>
    <w:rsid w:val="00515D9A"/>
    <w:rsid w:val="005161CF"/>
    <w:rsid w:val="0051646B"/>
    <w:rsid w:val="005164CD"/>
    <w:rsid w:val="00516852"/>
    <w:rsid w:val="00516A8F"/>
    <w:rsid w:val="00516EFB"/>
    <w:rsid w:val="00517575"/>
    <w:rsid w:val="005179F5"/>
    <w:rsid w:val="00520837"/>
    <w:rsid w:val="00520A4C"/>
    <w:rsid w:val="00520E63"/>
    <w:rsid w:val="00521849"/>
    <w:rsid w:val="00521AAB"/>
    <w:rsid w:val="00522149"/>
    <w:rsid w:val="00522230"/>
    <w:rsid w:val="005227FF"/>
    <w:rsid w:val="00522CB0"/>
    <w:rsid w:val="0052331E"/>
    <w:rsid w:val="005236DC"/>
    <w:rsid w:val="00523F77"/>
    <w:rsid w:val="0052412B"/>
    <w:rsid w:val="00525277"/>
    <w:rsid w:val="005253B7"/>
    <w:rsid w:val="00525554"/>
    <w:rsid w:val="00525762"/>
    <w:rsid w:val="00525912"/>
    <w:rsid w:val="00525D1D"/>
    <w:rsid w:val="00525E1B"/>
    <w:rsid w:val="00526389"/>
    <w:rsid w:val="005263AE"/>
    <w:rsid w:val="005268CE"/>
    <w:rsid w:val="0052693C"/>
    <w:rsid w:val="00526FB7"/>
    <w:rsid w:val="00527344"/>
    <w:rsid w:val="005276AC"/>
    <w:rsid w:val="005278BE"/>
    <w:rsid w:val="00527974"/>
    <w:rsid w:val="00527CAE"/>
    <w:rsid w:val="00527D97"/>
    <w:rsid w:val="00527E8A"/>
    <w:rsid w:val="00527F51"/>
    <w:rsid w:val="005303A2"/>
    <w:rsid w:val="00531134"/>
    <w:rsid w:val="005315FB"/>
    <w:rsid w:val="00531788"/>
    <w:rsid w:val="00531890"/>
    <w:rsid w:val="0053192A"/>
    <w:rsid w:val="00531EE4"/>
    <w:rsid w:val="0053327F"/>
    <w:rsid w:val="00533567"/>
    <w:rsid w:val="0053397A"/>
    <w:rsid w:val="005339E0"/>
    <w:rsid w:val="00534156"/>
    <w:rsid w:val="00534303"/>
    <w:rsid w:val="00534A61"/>
    <w:rsid w:val="005355AA"/>
    <w:rsid w:val="00535A6D"/>
    <w:rsid w:val="00535BA4"/>
    <w:rsid w:val="005373F2"/>
    <w:rsid w:val="00537827"/>
    <w:rsid w:val="005379EE"/>
    <w:rsid w:val="0054035F"/>
    <w:rsid w:val="00540579"/>
    <w:rsid w:val="0054057C"/>
    <w:rsid w:val="0054103A"/>
    <w:rsid w:val="0054165B"/>
    <w:rsid w:val="0054177C"/>
    <w:rsid w:val="00541D6E"/>
    <w:rsid w:val="00541E7D"/>
    <w:rsid w:val="005424D6"/>
    <w:rsid w:val="005430DC"/>
    <w:rsid w:val="00543242"/>
    <w:rsid w:val="005435B8"/>
    <w:rsid w:val="00543BA5"/>
    <w:rsid w:val="0054497A"/>
    <w:rsid w:val="00544E70"/>
    <w:rsid w:val="00545057"/>
    <w:rsid w:val="0054512D"/>
    <w:rsid w:val="005453B5"/>
    <w:rsid w:val="0054553A"/>
    <w:rsid w:val="0054599C"/>
    <w:rsid w:val="00545C91"/>
    <w:rsid w:val="00546205"/>
    <w:rsid w:val="0054625E"/>
    <w:rsid w:val="0054649D"/>
    <w:rsid w:val="00546B52"/>
    <w:rsid w:val="00546D71"/>
    <w:rsid w:val="00546F77"/>
    <w:rsid w:val="00547953"/>
    <w:rsid w:val="00547AFD"/>
    <w:rsid w:val="00550768"/>
    <w:rsid w:val="00550A02"/>
    <w:rsid w:val="00550A52"/>
    <w:rsid w:val="00550B9E"/>
    <w:rsid w:val="00550D2D"/>
    <w:rsid w:val="00551615"/>
    <w:rsid w:val="00551E40"/>
    <w:rsid w:val="00551E49"/>
    <w:rsid w:val="00552D4F"/>
    <w:rsid w:val="00552EA5"/>
    <w:rsid w:val="00552F23"/>
    <w:rsid w:val="005538AF"/>
    <w:rsid w:val="00553B62"/>
    <w:rsid w:val="00553D8A"/>
    <w:rsid w:val="00554C6A"/>
    <w:rsid w:val="00555187"/>
    <w:rsid w:val="005557D5"/>
    <w:rsid w:val="00555A2F"/>
    <w:rsid w:val="00555BB1"/>
    <w:rsid w:val="00555D98"/>
    <w:rsid w:val="00556F36"/>
    <w:rsid w:val="00557068"/>
    <w:rsid w:val="0055733A"/>
    <w:rsid w:val="00557432"/>
    <w:rsid w:val="00557439"/>
    <w:rsid w:val="005574A2"/>
    <w:rsid w:val="00557664"/>
    <w:rsid w:val="0056011B"/>
    <w:rsid w:val="00560486"/>
    <w:rsid w:val="00560755"/>
    <w:rsid w:val="00560B89"/>
    <w:rsid w:val="00560FBB"/>
    <w:rsid w:val="0056131F"/>
    <w:rsid w:val="00561CE8"/>
    <w:rsid w:val="0056286A"/>
    <w:rsid w:val="00562A6C"/>
    <w:rsid w:val="00562C20"/>
    <w:rsid w:val="005630DE"/>
    <w:rsid w:val="0056348F"/>
    <w:rsid w:val="005639F1"/>
    <w:rsid w:val="00563EF9"/>
    <w:rsid w:val="00564383"/>
    <w:rsid w:val="00564D35"/>
    <w:rsid w:val="00564FAB"/>
    <w:rsid w:val="005651F0"/>
    <w:rsid w:val="0056618E"/>
    <w:rsid w:val="005662A2"/>
    <w:rsid w:val="00566356"/>
    <w:rsid w:val="00567BD9"/>
    <w:rsid w:val="00567C1A"/>
    <w:rsid w:val="00570015"/>
    <w:rsid w:val="00570CD1"/>
    <w:rsid w:val="00571608"/>
    <w:rsid w:val="005717B6"/>
    <w:rsid w:val="00571A5E"/>
    <w:rsid w:val="005726B5"/>
    <w:rsid w:val="005727F7"/>
    <w:rsid w:val="005738D4"/>
    <w:rsid w:val="005739E8"/>
    <w:rsid w:val="00573A30"/>
    <w:rsid w:val="005741F8"/>
    <w:rsid w:val="0057432B"/>
    <w:rsid w:val="0057490B"/>
    <w:rsid w:val="00575C91"/>
    <w:rsid w:val="00575E6A"/>
    <w:rsid w:val="00576069"/>
    <w:rsid w:val="0057662A"/>
    <w:rsid w:val="0057663E"/>
    <w:rsid w:val="005775A6"/>
    <w:rsid w:val="005777AE"/>
    <w:rsid w:val="00577EB0"/>
    <w:rsid w:val="00580190"/>
    <w:rsid w:val="005801B2"/>
    <w:rsid w:val="00580B11"/>
    <w:rsid w:val="00580CAF"/>
    <w:rsid w:val="0058105F"/>
    <w:rsid w:val="0058121E"/>
    <w:rsid w:val="00582008"/>
    <w:rsid w:val="005821D1"/>
    <w:rsid w:val="00582637"/>
    <w:rsid w:val="00582B33"/>
    <w:rsid w:val="00582BA0"/>
    <w:rsid w:val="00582CD8"/>
    <w:rsid w:val="005836B8"/>
    <w:rsid w:val="00583869"/>
    <w:rsid w:val="00583F55"/>
    <w:rsid w:val="00584437"/>
    <w:rsid w:val="00584F52"/>
    <w:rsid w:val="00585AC7"/>
    <w:rsid w:val="00586168"/>
    <w:rsid w:val="005861FD"/>
    <w:rsid w:val="005863FD"/>
    <w:rsid w:val="00586876"/>
    <w:rsid w:val="00586E31"/>
    <w:rsid w:val="0058710C"/>
    <w:rsid w:val="00587808"/>
    <w:rsid w:val="00587DFB"/>
    <w:rsid w:val="00590082"/>
    <w:rsid w:val="0059008F"/>
    <w:rsid w:val="00590199"/>
    <w:rsid w:val="00590ADF"/>
    <w:rsid w:val="00591077"/>
    <w:rsid w:val="005910EF"/>
    <w:rsid w:val="005911EE"/>
    <w:rsid w:val="0059156D"/>
    <w:rsid w:val="0059205A"/>
    <w:rsid w:val="0059260E"/>
    <w:rsid w:val="00592FF5"/>
    <w:rsid w:val="005934E4"/>
    <w:rsid w:val="005938BF"/>
    <w:rsid w:val="00593A01"/>
    <w:rsid w:val="00594A5C"/>
    <w:rsid w:val="00594CF1"/>
    <w:rsid w:val="00594F69"/>
    <w:rsid w:val="005951E3"/>
    <w:rsid w:val="0059550A"/>
    <w:rsid w:val="00595AEC"/>
    <w:rsid w:val="00595CD8"/>
    <w:rsid w:val="00595D23"/>
    <w:rsid w:val="00596BA2"/>
    <w:rsid w:val="00596F84"/>
    <w:rsid w:val="005976CA"/>
    <w:rsid w:val="005A01DF"/>
    <w:rsid w:val="005A0793"/>
    <w:rsid w:val="005A1267"/>
    <w:rsid w:val="005A1318"/>
    <w:rsid w:val="005A2163"/>
    <w:rsid w:val="005A23C2"/>
    <w:rsid w:val="005A24AD"/>
    <w:rsid w:val="005A25BD"/>
    <w:rsid w:val="005A2BA4"/>
    <w:rsid w:val="005A2C92"/>
    <w:rsid w:val="005A3F6A"/>
    <w:rsid w:val="005A4016"/>
    <w:rsid w:val="005A4220"/>
    <w:rsid w:val="005A42CA"/>
    <w:rsid w:val="005A442F"/>
    <w:rsid w:val="005A4653"/>
    <w:rsid w:val="005A47C4"/>
    <w:rsid w:val="005A484F"/>
    <w:rsid w:val="005A48B5"/>
    <w:rsid w:val="005A4BC6"/>
    <w:rsid w:val="005A4C83"/>
    <w:rsid w:val="005A4CE8"/>
    <w:rsid w:val="005A568C"/>
    <w:rsid w:val="005A5A15"/>
    <w:rsid w:val="005A5C20"/>
    <w:rsid w:val="005A603D"/>
    <w:rsid w:val="005A6851"/>
    <w:rsid w:val="005A6B36"/>
    <w:rsid w:val="005A7453"/>
    <w:rsid w:val="005A75BF"/>
    <w:rsid w:val="005A7C44"/>
    <w:rsid w:val="005A7C65"/>
    <w:rsid w:val="005A7CC7"/>
    <w:rsid w:val="005B0090"/>
    <w:rsid w:val="005B0D75"/>
    <w:rsid w:val="005B121C"/>
    <w:rsid w:val="005B1333"/>
    <w:rsid w:val="005B19BF"/>
    <w:rsid w:val="005B1CAD"/>
    <w:rsid w:val="005B1EA3"/>
    <w:rsid w:val="005B2073"/>
    <w:rsid w:val="005B224A"/>
    <w:rsid w:val="005B2939"/>
    <w:rsid w:val="005B321E"/>
    <w:rsid w:val="005B3850"/>
    <w:rsid w:val="005B41F1"/>
    <w:rsid w:val="005B44E8"/>
    <w:rsid w:val="005B4599"/>
    <w:rsid w:val="005B4A4D"/>
    <w:rsid w:val="005B4E52"/>
    <w:rsid w:val="005B536E"/>
    <w:rsid w:val="005B5BD3"/>
    <w:rsid w:val="005B6584"/>
    <w:rsid w:val="005C0283"/>
    <w:rsid w:val="005C0C64"/>
    <w:rsid w:val="005C0EF0"/>
    <w:rsid w:val="005C1272"/>
    <w:rsid w:val="005C30BE"/>
    <w:rsid w:val="005C32DF"/>
    <w:rsid w:val="005C3AA0"/>
    <w:rsid w:val="005C4798"/>
    <w:rsid w:val="005C51B0"/>
    <w:rsid w:val="005C58C7"/>
    <w:rsid w:val="005C60CE"/>
    <w:rsid w:val="005C65C1"/>
    <w:rsid w:val="005C7CF4"/>
    <w:rsid w:val="005C7F89"/>
    <w:rsid w:val="005D0169"/>
    <w:rsid w:val="005D0766"/>
    <w:rsid w:val="005D0C8E"/>
    <w:rsid w:val="005D0DC3"/>
    <w:rsid w:val="005D0F68"/>
    <w:rsid w:val="005D13C6"/>
    <w:rsid w:val="005D148F"/>
    <w:rsid w:val="005D24E1"/>
    <w:rsid w:val="005D2B21"/>
    <w:rsid w:val="005D2E57"/>
    <w:rsid w:val="005D3299"/>
    <w:rsid w:val="005D3419"/>
    <w:rsid w:val="005D35AB"/>
    <w:rsid w:val="005D3C9D"/>
    <w:rsid w:val="005D3E0C"/>
    <w:rsid w:val="005D3E96"/>
    <w:rsid w:val="005D3F70"/>
    <w:rsid w:val="005D4276"/>
    <w:rsid w:val="005D495A"/>
    <w:rsid w:val="005D52CF"/>
    <w:rsid w:val="005D5842"/>
    <w:rsid w:val="005D5D5B"/>
    <w:rsid w:val="005D5E01"/>
    <w:rsid w:val="005D6118"/>
    <w:rsid w:val="005D64D3"/>
    <w:rsid w:val="005D7077"/>
    <w:rsid w:val="005D7CD5"/>
    <w:rsid w:val="005E0036"/>
    <w:rsid w:val="005E0C67"/>
    <w:rsid w:val="005E1EB2"/>
    <w:rsid w:val="005E2D14"/>
    <w:rsid w:val="005E2E3C"/>
    <w:rsid w:val="005E3243"/>
    <w:rsid w:val="005E34D5"/>
    <w:rsid w:val="005E3AB6"/>
    <w:rsid w:val="005E49BE"/>
    <w:rsid w:val="005E4CEF"/>
    <w:rsid w:val="005E4E75"/>
    <w:rsid w:val="005E4FCB"/>
    <w:rsid w:val="005E5F49"/>
    <w:rsid w:val="005E6D1E"/>
    <w:rsid w:val="005E72E4"/>
    <w:rsid w:val="005E748D"/>
    <w:rsid w:val="005E7ED9"/>
    <w:rsid w:val="005F044C"/>
    <w:rsid w:val="005F06D9"/>
    <w:rsid w:val="005F074A"/>
    <w:rsid w:val="005F07A2"/>
    <w:rsid w:val="005F14C6"/>
    <w:rsid w:val="005F2732"/>
    <w:rsid w:val="005F28C7"/>
    <w:rsid w:val="005F2EA8"/>
    <w:rsid w:val="005F2F28"/>
    <w:rsid w:val="005F3512"/>
    <w:rsid w:val="005F37FD"/>
    <w:rsid w:val="005F39A6"/>
    <w:rsid w:val="005F3A21"/>
    <w:rsid w:val="005F3A86"/>
    <w:rsid w:val="005F3B43"/>
    <w:rsid w:val="005F3E92"/>
    <w:rsid w:val="005F478C"/>
    <w:rsid w:val="005F4931"/>
    <w:rsid w:val="005F4AED"/>
    <w:rsid w:val="005F4E4C"/>
    <w:rsid w:val="005F5136"/>
    <w:rsid w:val="005F5876"/>
    <w:rsid w:val="005F674B"/>
    <w:rsid w:val="005F68C0"/>
    <w:rsid w:val="005F6F0D"/>
    <w:rsid w:val="005F75B6"/>
    <w:rsid w:val="00600079"/>
    <w:rsid w:val="0060051C"/>
    <w:rsid w:val="00600933"/>
    <w:rsid w:val="00600B39"/>
    <w:rsid w:val="00600B91"/>
    <w:rsid w:val="00600F5C"/>
    <w:rsid w:val="00601C04"/>
    <w:rsid w:val="00601EE5"/>
    <w:rsid w:val="00601F2D"/>
    <w:rsid w:val="006029A5"/>
    <w:rsid w:val="00602C63"/>
    <w:rsid w:val="00602D15"/>
    <w:rsid w:val="00603808"/>
    <w:rsid w:val="00603CC4"/>
    <w:rsid w:val="00603EA6"/>
    <w:rsid w:val="00604A02"/>
    <w:rsid w:val="00604B15"/>
    <w:rsid w:val="00604C18"/>
    <w:rsid w:val="00605A40"/>
    <w:rsid w:val="00605AEA"/>
    <w:rsid w:val="00605C13"/>
    <w:rsid w:val="00606081"/>
    <w:rsid w:val="0060635E"/>
    <w:rsid w:val="0060665A"/>
    <w:rsid w:val="00606A6B"/>
    <w:rsid w:val="00606AA6"/>
    <w:rsid w:val="00607297"/>
    <w:rsid w:val="00607D56"/>
    <w:rsid w:val="00610379"/>
    <w:rsid w:val="006103D9"/>
    <w:rsid w:val="00610511"/>
    <w:rsid w:val="00610D0A"/>
    <w:rsid w:val="00610D3B"/>
    <w:rsid w:val="0061101D"/>
    <w:rsid w:val="006110B6"/>
    <w:rsid w:val="006112FF"/>
    <w:rsid w:val="006115FE"/>
    <w:rsid w:val="006116EB"/>
    <w:rsid w:val="006116EF"/>
    <w:rsid w:val="0061185C"/>
    <w:rsid w:val="00611A4A"/>
    <w:rsid w:val="00611C77"/>
    <w:rsid w:val="00612064"/>
    <w:rsid w:val="00612A10"/>
    <w:rsid w:val="00612FB7"/>
    <w:rsid w:val="006139EC"/>
    <w:rsid w:val="00614A1A"/>
    <w:rsid w:val="00614A2D"/>
    <w:rsid w:val="00614C83"/>
    <w:rsid w:val="00614FA5"/>
    <w:rsid w:val="006152F7"/>
    <w:rsid w:val="00615623"/>
    <w:rsid w:val="0061580A"/>
    <w:rsid w:val="006159FB"/>
    <w:rsid w:val="00615D52"/>
    <w:rsid w:val="00615F08"/>
    <w:rsid w:val="00615FED"/>
    <w:rsid w:val="0061627E"/>
    <w:rsid w:val="00616728"/>
    <w:rsid w:val="00616CE9"/>
    <w:rsid w:val="006170A8"/>
    <w:rsid w:val="00617529"/>
    <w:rsid w:val="0061755A"/>
    <w:rsid w:val="0061772B"/>
    <w:rsid w:val="00621DB3"/>
    <w:rsid w:val="006227A5"/>
    <w:rsid w:val="00622827"/>
    <w:rsid w:val="00622855"/>
    <w:rsid w:val="0062463F"/>
    <w:rsid w:val="00624810"/>
    <w:rsid w:val="00624822"/>
    <w:rsid w:val="00624A05"/>
    <w:rsid w:val="00624CF2"/>
    <w:rsid w:val="0062548A"/>
    <w:rsid w:val="0062606C"/>
    <w:rsid w:val="006260C2"/>
    <w:rsid w:val="00626D8B"/>
    <w:rsid w:val="00626DD2"/>
    <w:rsid w:val="00627E0B"/>
    <w:rsid w:val="00627F7E"/>
    <w:rsid w:val="00627FF1"/>
    <w:rsid w:val="00630493"/>
    <w:rsid w:val="006304D6"/>
    <w:rsid w:val="006305AA"/>
    <w:rsid w:val="006305EE"/>
    <w:rsid w:val="00630D3B"/>
    <w:rsid w:val="00631728"/>
    <w:rsid w:val="0063191E"/>
    <w:rsid w:val="00631AE6"/>
    <w:rsid w:val="00631BA9"/>
    <w:rsid w:val="006320AD"/>
    <w:rsid w:val="006324CB"/>
    <w:rsid w:val="006325C1"/>
    <w:rsid w:val="0063269B"/>
    <w:rsid w:val="0063399C"/>
    <w:rsid w:val="00633C2B"/>
    <w:rsid w:val="00633CD4"/>
    <w:rsid w:val="00633DE1"/>
    <w:rsid w:val="00634569"/>
    <w:rsid w:val="00634B7B"/>
    <w:rsid w:val="00634D24"/>
    <w:rsid w:val="00634F9B"/>
    <w:rsid w:val="006358CA"/>
    <w:rsid w:val="00635909"/>
    <w:rsid w:val="00635E7D"/>
    <w:rsid w:val="00635F58"/>
    <w:rsid w:val="00635FC9"/>
    <w:rsid w:val="00636159"/>
    <w:rsid w:val="006363EF"/>
    <w:rsid w:val="00636815"/>
    <w:rsid w:val="00637EF2"/>
    <w:rsid w:val="0064136C"/>
    <w:rsid w:val="00641A1E"/>
    <w:rsid w:val="00641BB8"/>
    <w:rsid w:val="0064233C"/>
    <w:rsid w:val="0064288D"/>
    <w:rsid w:val="00643261"/>
    <w:rsid w:val="00643367"/>
    <w:rsid w:val="00643591"/>
    <w:rsid w:val="0064386D"/>
    <w:rsid w:val="00643891"/>
    <w:rsid w:val="0064429A"/>
    <w:rsid w:val="00644A05"/>
    <w:rsid w:val="00644A98"/>
    <w:rsid w:val="00645657"/>
    <w:rsid w:val="0064657B"/>
    <w:rsid w:val="006470CF"/>
    <w:rsid w:val="00650164"/>
    <w:rsid w:val="00650733"/>
    <w:rsid w:val="00650868"/>
    <w:rsid w:val="006512A3"/>
    <w:rsid w:val="00651757"/>
    <w:rsid w:val="00651922"/>
    <w:rsid w:val="006527E4"/>
    <w:rsid w:val="00652A41"/>
    <w:rsid w:val="00652BA4"/>
    <w:rsid w:val="00653387"/>
    <w:rsid w:val="00653844"/>
    <w:rsid w:val="00653D06"/>
    <w:rsid w:val="0065401B"/>
    <w:rsid w:val="00654918"/>
    <w:rsid w:val="00654AED"/>
    <w:rsid w:val="00654EF9"/>
    <w:rsid w:val="00654F4C"/>
    <w:rsid w:val="006559DE"/>
    <w:rsid w:val="00655E1C"/>
    <w:rsid w:val="00656211"/>
    <w:rsid w:val="006562D5"/>
    <w:rsid w:val="006565F7"/>
    <w:rsid w:val="0065680D"/>
    <w:rsid w:val="00656BE1"/>
    <w:rsid w:val="00656F04"/>
    <w:rsid w:val="00656F79"/>
    <w:rsid w:val="00657446"/>
    <w:rsid w:val="0066018B"/>
    <w:rsid w:val="006607AF"/>
    <w:rsid w:val="00660F2A"/>
    <w:rsid w:val="006612EA"/>
    <w:rsid w:val="00661382"/>
    <w:rsid w:val="00661385"/>
    <w:rsid w:val="006615A0"/>
    <w:rsid w:val="0066176F"/>
    <w:rsid w:val="0066230B"/>
    <w:rsid w:val="006624AC"/>
    <w:rsid w:val="0066269A"/>
    <w:rsid w:val="00662BA0"/>
    <w:rsid w:val="006634B6"/>
    <w:rsid w:val="0066353F"/>
    <w:rsid w:val="006636CD"/>
    <w:rsid w:val="00663EAC"/>
    <w:rsid w:val="00663F0F"/>
    <w:rsid w:val="0066420F"/>
    <w:rsid w:val="00664A84"/>
    <w:rsid w:val="00664DA4"/>
    <w:rsid w:val="00664DB5"/>
    <w:rsid w:val="00664E8C"/>
    <w:rsid w:val="006653B2"/>
    <w:rsid w:val="0066580E"/>
    <w:rsid w:val="00666442"/>
    <w:rsid w:val="00666C64"/>
    <w:rsid w:val="00666E1E"/>
    <w:rsid w:val="00667097"/>
    <w:rsid w:val="006675B1"/>
    <w:rsid w:val="006675B6"/>
    <w:rsid w:val="00667740"/>
    <w:rsid w:val="00670719"/>
    <w:rsid w:val="00670EA6"/>
    <w:rsid w:val="006711E7"/>
    <w:rsid w:val="00671BD2"/>
    <w:rsid w:val="00671E27"/>
    <w:rsid w:val="00671F26"/>
    <w:rsid w:val="006722E9"/>
    <w:rsid w:val="006725AB"/>
    <w:rsid w:val="006732B3"/>
    <w:rsid w:val="00673714"/>
    <w:rsid w:val="00673947"/>
    <w:rsid w:val="00673AA6"/>
    <w:rsid w:val="006743B4"/>
    <w:rsid w:val="006745B3"/>
    <w:rsid w:val="006747B2"/>
    <w:rsid w:val="00674EE0"/>
    <w:rsid w:val="00674EF3"/>
    <w:rsid w:val="0067513D"/>
    <w:rsid w:val="006756BA"/>
    <w:rsid w:val="00675F6E"/>
    <w:rsid w:val="00676D46"/>
    <w:rsid w:val="006801A8"/>
    <w:rsid w:val="00680FE3"/>
    <w:rsid w:val="00682857"/>
    <w:rsid w:val="0068292A"/>
    <w:rsid w:val="00682F83"/>
    <w:rsid w:val="00683237"/>
    <w:rsid w:val="006832E5"/>
    <w:rsid w:val="006833B0"/>
    <w:rsid w:val="006837EA"/>
    <w:rsid w:val="00683B3B"/>
    <w:rsid w:val="00684361"/>
    <w:rsid w:val="00684508"/>
    <w:rsid w:val="00684531"/>
    <w:rsid w:val="00684BF5"/>
    <w:rsid w:val="00684EAB"/>
    <w:rsid w:val="00685D35"/>
    <w:rsid w:val="00685E7E"/>
    <w:rsid w:val="00685EC7"/>
    <w:rsid w:val="0068698A"/>
    <w:rsid w:val="00686C63"/>
    <w:rsid w:val="00686F92"/>
    <w:rsid w:val="0068714A"/>
    <w:rsid w:val="00687B75"/>
    <w:rsid w:val="00687DD6"/>
    <w:rsid w:val="0069061B"/>
    <w:rsid w:val="006909B5"/>
    <w:rsid w:val="00690BA4"/>
    <w:rsid w:val="00690E8A"/>
    <w:rsid w:val="00690FF5"/>
    <w:rsid w:val="00691ADD"/>
    <w:rsid w:val="00691EAA"/>
    <w:rsid w:val="00691F18"/>
    <w:rsid w:val="00692058"/>
    <w:rsid w:val="00692184"/>
    <w:rsid w:val="0069248B"/>
    <w:rsid w:val="00692AB3"/>
    <w:rsid w:val="00693898"/>
    <w:rsid w:val="00693993"/>
    <w:rsid w:val="00693996"/>
    <w:rsid w:val="00694D42"/>
    <w:rsid w:val="00694D82"/>
    <w:rsid w:val="00694F95"/>
    <w:rsid w:val="00695028"/>
    <w:rsid w:val="006959B9"/>
    <w:rsid w:val="00695D3B"/>
    <w:rsid w:val="006969B8"/>
    <w:rsid w:val="006969C0"/>
    <w:rsid w:val="00696E10"/>
    <w:rsid w:val="00697562"/>
    <w:rsid w:val="00697563"/>
    <w:rsid w:val="006976AA"/>
    <w:rsid w:val="00697B33"/>
    <w:rsid w:val="006A0BDF"/>
    <w:rsid w:val="006A1273"/>
    <w:rsid w:val="006A1441"/>
    <w:rsid w:val="006A16AF"/>
    <w:rsid w:val="006A16F4"/>
    <w:rsid w:val="006A1C3E"/>
    <w:rsid w:val="006A1D2C"/>
    <w:rsid w:val="006A1F9A"/>
    <w:rsid w:val="006A222D"/>
    <w:rsid w:val="006A246F"/>
    <w:rsid w:val="006A2631"/>
    <w:rsid w:val="006A29DB"/>
    <w:rsid w:val="006A341C"/>
    <w:rsid w:val="006A36D0"/>
    <w:rsid w:val="006A3E2E"/>
    <w:rsid w:val="006A3E80"/>
    <w:rsid w:val="006A3F7C"/>
    <w:rsid w:val="006A417D"/>
    <w:rsid w:val="006A44F8"/>
    <w:rsid w:val="006A4974"/>
    <w:rsid w:val="006A51A6"/>
    <w:rsid w:val="006A52D8"/>
    <w:rsid w:val="006A61B7"/>
    <w:rsid w:val="006A6B49"/>
    <w:rsid w:val="006A789D"/>
    <w:rsid w:val="006A7E56"/>
    <w:rsid w:val="006B05AD"/>
    <w:rsid w:val="006B078D"/>
    <w:rsid w:val="006B08E1"/>
    <w:rsid w:val="006B14BA"/>
    <w:rsid w:val="006B1840"/>
    <w:rsid w:val="006B19A5"/>
    <w:rsid w:val="006B1D28"/>
    <w:rsid w:val="006B1DDD"/>
    <w:rsid w:val="006B2038"/>
    <w:rsid w:val="006B21C0"/>
    <w:rsid w:val="006B2805"/>
    <w:rsid w:val="006B2A29"/>
    <w:rsid w:val="006B2C5D"/>
    <w:rsid w:val="006B2F65"/>
    <w:rsid w:val="006B367C"/>
    <w:rsid w:val="006B370C"/>
    <w:rsid w:val="006B3A44"/>
    <w:rsid w:val="006B3AED"/>
    <w:rsid w:val="006B3C9E"/>
    <w:rsid w:val="006B3EC0"/>
    <w:rsid w:val="006B40C0"/>
    <w:rsid w:val="006B42F1"/>
    <w:rsid w:val="006B4601"/>
    <w:rsid w:val="006B4FBD"/>
    <w:rsid w:val="006B502B"/>
    <w:rsid w:val="006B5102"/>
    <w:rsid w:val="006B5535"/>
    <w:rsid w:val="006B57A3"/>
    <w:rsid w:val="006B5A8C"/>
    <w:rsid w:val="006B5B20"/>
    <w:rsid w:val="006B5E23"/>
    <w:rsid w:val="006B602F"/>
    <w:rsid w:val="006B6389"/>
    <w:rsid w:val="006B67E6"/>
    <w:rsid w:val="006B6B8F"/>
    <w:rsid w:val="006B7264"/>
    <w:rsid w:val="006B75B0"/>
    <w:rsid w:val="006B7673"/>
    <w:rsid w:val="006B78C8"/>
    <w:rsid w:val="006B7AA0"/>
    <w:rsid w:val="006B7B0A"/>
    <w:rsid w:val="006C0167"/>
    <w:rsid w:val="006C02FD"/>
    <w:rsid w:val="006C08EE"/>
    <w:rsid w:val="006C1515"/>
    <w:rsid w:val="006C189E"/>
    <w:rsid w:val="006C194F"/>
    <w:rsid w:val="006C1C9F"/>
    <w:rsid w:val="006C1DEB"/>
    <w:rsid w:val="006C233F"/>
    <w:rsid w:val="006C32BE"/>
    <w:rsid w:val="006C32EF"/>
    <w:rsid w:val="006C39EC"/>
    <w:rsid w:val="006C42A6"/>
    <w:rsid w:val="006C5606"/>
    <w:rsid w:val="006C70DB"/>
    <w:rsid w:val="006C797F"/>
    <w:rsid w:val="006C7FFC"/>
    <w:rsid w:val="006D0498"/>
    <w:rsid w:val="006D062F"/>
    <w:rsid w:val="006D0685"/>
    <w:rsid w:val="006D0F2F"/>
    <w:rsid w:val="006D12E7"/>
    <w:rsid w:val="006D17B9"/>
    <w:rsid w:val="006D1863"/>
    <w:rsid w:val="006D1A89"/>
    <w:rsid w:val="006D1E25"/>
    <w:rsid w:val="006D1EFD"/>
    <w:rsid w:val="006D25AC"/>
    <w:rsid w:val="006D2891"/>
    <w:rsid w:val="006D2D67"/>
    <w:rsid w:val="006D31FE"/>
    <w:rsid w:val="006D3501"/>
    <w:rsid w:val="006D3A99"/>
    <w:rsid w:val="006D3CE2"/>
    <w:rsid w:val="006D4384"/>
    <w:rsid w:val="006D4ABC"/>
    <w:rsid w:val="006D5A0B"/>
    <w:rsid w:val="006D5B5D"/>
    <w:rsid w:val="006D5D86"/>
    <w:rsid w:val="006D6045"/>
    <w:rsid w:val="006D60C1"/>
    <w:rsid w:val="006D6103"/>
    <w:rsid w:val="006D6287"/>
    <w:rsid w:val="006D62B6"/>
    <w:rsid w:val="006D653E"/>
    <w:rsid w:val="006D677B"/>
    <w:rsid w:val="006D69D7"/>
    <w:rsid w:val="006D6D5F"/>
    <w:rsid w:val="006D6F70"/>
    <w:rsid w:val="006D7B5B"/>
    <w:rsid w:val="006E0382"/>
    <w:rsid w:val="006E03E1"/>
    <w:rsid w:val="006E05E4"/>
    <w:rsid w:val="006E0E07"/>
    <w:rsid w:val="006E1821"/>
    <w:rsid w:val="006E1F69"/>
    <w:rsid w:val="006E212C"/>
    <w:rsid w:val="006E21E0"/>
    <w:rsid w:val="006E2A61"/>
    <w:rsid w:val="006E2FFC"/>
    <w:rsid w:val="006E3003"/>
    <w:rsid w:val="006E3178"/>
    <w:rsid w:val="006E360A"/>
    <w:rsid w:val="006E3749"/>
    <w:rsid w:val="006E37E0"/>
    <w:rsid w:val="006E48DC"/>
    <w:rsid w:val="006E4BDA"/>
    <w:rsid w:val="006E54F8"/>
    <w:rsid w:val="006E64AF"/>
    <w:rsid w:val="006E6F74"/>
    <w:rsid w:val="006E7270"/>
    <w:rsid w:val="006E7326"/>
    <w:rsid w:val="006E780A"/>
    <w:rsid w:val="006E7B9B"/>
    <w:rsid w:val="006E7BDD"/>
    <w:rsid w:val="006E7D58"/>
    <w:rsid w:val="006F0155"/>
    <w:rsid w:val="006F020A"/>
    <w:rsid w:val="006F13E6"/>
    <w:rsid w:val="006F1914"/>
    <w:rsid w:val="006F1940"/>
    <w:rsid w:val="006F1965"/>
    <w:rsid w:val="006F1FD4"/>
    <w:rsid w:val="006F212D"/>
    <w:rsid w:val="006F2D62"/>
    <w:rsid w:val="006F4675"/>
    <w:rsid w:val="006F49AA"/>
    <w:rsid w:val="006F4BE4"/>
    <w:rsid w:val="006F4CF0"/>
    <w:rsid w:val="006F5B5D"/>
    <w:rsid w:val="006F5C47"/>
    <w:rsid w:val="006F6089"/>
    <w:rsid w:val="006F6743"/>
    <w:rsid w:val="006F6CA0"/>
    <w:rsid w:val="006F70E5"/>
    <w:rsid w:val="006F7612"/>
    <w:rsid w:val="006F783B"/>
    <w:rsid w:val="006F7917"/>
    <w:rsid w:val="006F7A47"/>
    <w:rsid w:val="006F7A49"/>
    <w:rsid w:val="006F7DCE"/>
    <w:rsid w:val="006F7DEB"/>
    <w:rsid w:val="006F7EB5"/>
    <w:rsid w:val="00700689"/>
    <w:rsid w:val="00700827"/>
    <w:rsid w:val="00700A6D"/>
    <w:rsid w:val="00701435"/>
    <w:rsid w:val="00701A04"/>
    <w:rsid w:val="00701B7A"/>
    <w:rsid w:val="00701C26"/>
    <w:rsid w:val="007021C2"/>
    <w:rsid w:val="0070272D"/>
    <w:rsid w:val="007027CE"/>
    <w:rsid w:val="00702F34"/>
    <w:rsid w:val="0070306E"/>
    <w:rsid w:val="00703C17"/>
    <w:rsid w:val="00703E87"/>
    <w:rsid w:val="00704459"/>
    <w:rsid w:val="007044D2"/>
    <w:rsid w:val="00704784"/>
    <w:rsid w:val="007051CF"/>
    <w:rsid w:val="007054A2"/>
    <w:rsid w:val="0070573C"/>
    <w:rsid w:val="00705BCA"/>
    <w:rsid w:val="00705CEC"/>
    <w:rsid w:val="00705F12"/>
    <w:rsid w:val="00705F55"/>
    <w:rsid w:val="00706515"/>
    <w:rsid w:val="00706553"/>
    <w:rsid w:val="00706896"/>
    <w:rsid w:val="0070691A"/>
    <w:rsid w:val="00706CF0"/>
    <w:rsid w:val="00706DAD"/>
    <w:rsid w:val="00707568"/>
    <w:rsid w:val="00707722"/>
    <w:rsid w:val="0070788F"/>
    <w:rsid w:val="00707A33"/>
    <w:rsid w:val="00710178"/>
    <w:rsid w:val="007104E8"/>
    <w:rsid w:val="00710CD4"/>
    <w:rsid w:val="007110EC"/>
    <w:rsid w:val="0071137F"/>
    <w:rsid w:val="00711742"/>
    <w:rsid w:val="0071190A"/>
    <w:rsid w:val="00711AAF"/>
    <w:rsid w:val="007120C0"/>
    <w:rsid w:val="007120F2"/>
    <w:rsid w:val="0071233C"/>
    <w:rsid w:val="00712CA4"/>
    <w:rsid w:val="00712D5A"/>
    <w:rsid w:val="007140ED"/>
    <w:rsid w:val="00714850"/>
    <w:rsid w:val="007148EC"/>
    <w:rsid w:val="00715645"/>
    <w:rsid w:val="007157BD"/>
    <w:rsid w:val="00715890"/>
    <w:rsid w:val="00715991"/>
    <w:rsid w:val="00715AF7"/>
    <w:rsid w:val="00715C72"/>
    <w:rsid w:val="0071636E"/>
    <w:rsid w:val="0071644A"/>
    <w:rsid w:val="00716537"/>
    <w:rsid w:val="007166F5"/>
    <w:rsid w:val="00717A32"/>
    <w:rsid w:val="00720086"/>
    <w:rsid w:val="0072061C"/>
    <w:rsid w:val="00720728"/>
    <w:rsid w:val="007208A0"/>
    <w:rsid w:val="00720935"/>
    <w:rsid w:val="007219FD"/>
    <w:rsid w:val="00721B7C"/>
    <w:rsid w:val="00721F69"/>
    <w:rsid w:val="007225F2"/>
    <w:rsid w:val="00722650"/>
    <w:rsid w:val="007228E6"/>
    <w:rsid w:val="007230BF"/>
    <w:rsid w:val="00723610"/>
    <w:rsid w:val="00723664"/>
    <w:rsid w:val="00723D3A"/>
    <w:rsid w:val="007241BE"/>
    <w:rsid w:val="00724547"/>
    <w:rsid w:val="007254A2"/>
    <w:rsid w:val="00725778"/>
    <w:rsid w:val="007267C3"/>
    <w:rsid w:val="00726AA7"/>
    <w:rsid w:val="00727223"/>
    <w:rsid w:val="007279DB"/>
    <w:rsid w:val="00727D8A"/>
    <w:rsid w:val="00730FA2"/>
    <w:rsid w:val="00731005"/>
    <w:rsid w:val="00731ABD"/>
    <w:rsid w:val="00731E72"/>
    <w:rsid w:val="00732702"/>
    <w:rsid w:val="007328E1"/>
    <w:rsid w:val="007331AA"/>
    <w:rsid w:val="007336C7"/>
    <w:rsid w:val="00733CB5"/>
    <w:rsid w:val="00733E70"/>
    <w:rsid w:val="00734034"/>
    <w:rsid w:val="00734E00"/>
    <w:rsid w:val="00734FD0"/>
    <w:rsid w:val="00735264"/>
    <w:rsid w:val="00735DA8"/>
    <w:rsid w:val="0073628C"/>
    <w:rsid w:val="007362BF"/>
    <w:rsid w:val="00736792"/>
    <w:rsid w:val="00736FB6"/>
    <w:rsid w:val="007373E2"/>
    <w:rsid w:val="007376C1"/>
    <w:rsid w:val="00737EDE"/>
    <w:rsid w:val="00737F4F"/>
    <w:rsid w:val="007402FB"/>
    <w:rsid w:val="0074076D"/>
    <w:rsid w:val="00741472"/>
    <w:rsid w:val="00741701"/>
    <w:rsid w:val="0074189C"/>
    <w:rsid w:val="00741E06"/>
    <w:rsid w:val="007420F8"/>
    <w:rsid w:val="0074257D"/>
    <w:rsid w:val="00742853"/>
    <w:rsid w:val="007428EA"/>
    <w:rsid w:val="00742A3D"/>
    <w:rsid w:val="00742A9A"/>
    <w:rsid w:val="00742F31"/>
    <w:rsid w:val="00743231"/>
    <w:rsid w:val="00743605"/>
    <w:rsid w:val="00744B9D"/>
    <w:rsid w:val="00744CD2"/>
    <w:rsid w:val="00744D82"/>
    <w:rsid w:val="007450B7"/>
    <w:rsid w:val="0074527F"/>
    <w:rsid w:val="00746A18"/>
    <w:rsid w:val="00746B4B"/>
    <w:rsid w:val="00746B7B"/>
    <w:rsid w:val="00747105"/>
    <w:rsid w:val="007473C3"/>
    <w:rsid w:val="007475C8"/>
    <w:rsid w:val="0075041B"/>
    <w:rsid w:val="00750BF0"/>
    <w:rsid w:val="0075109D"/>
    <w:rsid w:val="007510DC"/>
    <w:rsid w:val="007513AE"/>
    <w:rsid w:val="00751658"/>
    <w:rsid w:val="00751720"/>
    <w:rsid w:val="00751D2E"/>
    <w:rsid w:val="007523EB"/>
    <w:rsid w:val="0075240F"/>
    <w:rsid w:val="007524EB"/>
    <w:rsid w:val="00752893"/>
    <w:rsid w:val="00752A5A"/>
    <w:rsid w:val="00752D54"/>
    <w:rsid w:val="00753153"/>
    <w:rsid w:val="00753B88"/>
    <w:rsid w:val="007546A7"/>
    <w:rsid w:val="00754923"/>
    <w:rsid w:val="00754F82"/>
    <w:rsid w:val="007559F1"/>
    <w:rsid w:val="007559F3"/>
    <w:rsid w:val="00755E72"/>
    <w:rsid w:val="007560CA"/>
    <w:rsid w:val="00756157"/>
    <w:rsid w:val="007561C3"/>
    <w:rsid w:val="00756466"/>
    <w:rsid w:val="007574C8"/>
    <w:rsid w:val="007577A8"/>
    <w:rsid w:val="007577E8"/>
    <w:rsid w:val="00757952"/>
    <w:rsid w:val="00757CD7"/>
    <w:rsid w:val="00757E41"/>
    <w:rsid w:val="00757F7C"/>
    <w:rsid w:val="0076065F"/>
    <w:rsid w:val="007611B0"/>
    <w:rsid w:val="00761640"/>
    <w:rsid w:val="007617D1"/>
    <w:rsid w:val="007627BC"/>
    <w:rsid w:val="007629DF"/>
    <w:rsid w:val="007636F4"/>
    <w:rsid w:val="007639C8"/>
    <w:rsid w:val="00763E27"/>
    <w:rsid w:val="00763EAD"/>
    <w:rsid w:val="00764360"/>
    <w:rsid w:val="00764BBF"/>
    <w:rsid w:val="007659C1"/>
    <w:rsid w:val="00766064"/>
    <w:rsid w:val="0076613E"/>
    <w:rsid w:val="0076657D"/>
    <w:rsid w:val="0076665F"/>
    <w:rsid w:val="0076677B"/>
    <w:rsid w:val="0076679A"/>
    <w:rsid w:val="00766D96"/>
    <w:rsid w:val="007671B2"/>
    <w:rsid w:val="0076726C"/>
    <w:rsid w:val="007706B5"/>
    <w:rsid w:val="007708BD"/>
    <w:rsid w:val="00770C25"/>
    <w:rsid w:val="007723FA"/>
    <w:rsid w:val="00772F72"/>
    <w:rsid w:val="00773068"/>
    <w:rsid w:val="007730E7"/>
    <w:rsid w:val="0077363B"/>
    <w:rsid w:val="00773737"/>
    <w:rsid w:val="00773BF0"/>
    <w:rsid w:val="0077401A"/>
    <w:rsid w:val="00774507"/>
    <w:rsid w:val="007764BD"/>
    <w:rsid w:val="007765DE"/>
    <w:rsid w:val="00776783"/>
    <w:rsid w:val="00777193"/>
    <w:rsid w:val="007773B1"/>
    <w:rsid w:val="00777A6E"/>
    <w:rsid w:val="00777C85"/>
    <w:rsid w:val="007800F1"/>
    <w:rsid w:val="00780208"/>
    <w:rsid w:val="0078030D"/>
    <w:rsid w:val="0078035C"/>
    <w:rsid w:val="00780EB6"/>
    <w:rsid w:val="00781068"/>
    <w:rsid w:val="007813B6"/>
    <w:rsid w:val="00781B00"/>
    <w:rsid w:val="00781B87"/>
    <w:rsid w:val="00781DC5"/>
    <w:rsid w:val="0078205A"/>
    <w:rsid w:val="00782670"/>
    <w:rsid w:val="0078270B"/>
    <w:rsid w:val="007828F8"/>
    <w:rsid w:val="00782A95"/>
    <w:rsid w:val="00782CE0"/>
    <w:rsid w:val="007831B5"/>
    <w:rsid w:val="007831CE"/>
    <w:rsid w:val="0078337C"/>
    <w:rsid w:val="007838DF"/>
    <w:rsid w:val="00783E28"/>
    <w:rsid w:val="00784126"/>
    <w:rsid w:val="0078427F"/>
    <w:rsid w:val="00784500"/>
    <w:rsid w:val="00785059"/>
    <w:rsid w:val="007853EA"/>
    <w:rsid w:val="00785557"/>
    <w:rsid w:val="00785581"/>
    <w:rsid w:val="00786127"/>
    <w:rsid w:val="00786295"/>
    <w:rsid w:val="00786727"/>
    <w:rsid w:val="0078720A"/>
    <w:rsid w:val="0078736A"/>
    <w:rsid w:val="0078762B"/>
    <w:rsid w:val="0078765F"/>
    <w:rsid w:val="00787684"/>
    <w:rsid w:val="00790281"/>
    <w:rsid w:val="00790C15"/>
    <w:rsid w:val="00790D65"/>
    <w:rsid w:val="00792DA6"/>
    <w:rsid w:val="007930F1"/>
    <w:rsid w:val="00793478"/>
    <w:rsid w:val="007935A3"/>
    <w:rsid w:val="00793DFE"/>
    <w:rsid w:val="00793E7D"/>
    <w:rsid w:val="00793F8E"/>
    <w:rsid w:val="00794764"/>
    <w:rsid w:val="00794787"/>
    <w:rsid w:val="007952C5"/>
    <w:rsid w:val="0079569F"/>
    <w:rsid w:val="00795A3A"/>
    <w:rsid w:val="00795C8F"/>
    <w:rsid w:val="00795F67"/>
    <w:rsid w:val="007969C3"/>
    <w:rsid w:val="007970DD"/>
    <w:rsid w:val="007974B7"/>
    <w:rsid w:val="00797AE1"/>
    <w:rsid w:val="007A0141"/>
    <w:rsid w:val="007A04E7"/>
    <w:rsid w:val="007A0810"/>
    <w:rsid w:val="007A0B37"/>
    <w:rsid w:val="007A0F3B"/>
    <w:rsid w:val="007A0F74"/>
    <w:rsid w:val="007A1495"/>
    <w:rsid w:val="007A16A0"/>
    <w:rsid w:val="007A2276"/>
    <w:rsid w:val="007A263E"/>
    <w:rsid w:val="007A26C8"/>
    <w:rsid w:val="007A3050"/>
    <w:rsid w:val="007A37BF"/>
    <w:rsid w:val="007A386F"/>
    <w:rsid w:val="007A412E"/>
    <w:rsid w:val="007A42E2"/>
    <w:rsid w:val="007A4B3A"/>
    <w:rsid w:val="007A4CAC"/>
    <w:rsid w:val="007A585D"/>
    <w:rsid w:val="007A5F09"/>
    <w:rsid w:val="007A6550"/>
    <w:rsid w:val="007A7511"/>
    <w:rsid w:val="007A78D4"/>
    <w:rsid w:val="007A7EA3"/>
    <w:rsid w:val="007A7F12"/>
    <w:rsid w:val="007B0276"/>
    <w:rsid w:val="007B0A54"/>
    <w:rsid w:val="007B0C26"/>
    <w:rsid w:val="007B0CCD"/>
    <w:rsid w:val="007B0D71"/>
    <w:rsid w:val="007B17DB"/>
    <w:rsid w:val="007B1CC0"/>
    <w:rsid w:val="007B24BC"/>
    <w:rsid w:val="007B2582"/>
    <w:rsid w:val="007B265F"/>
    <w:rsid w:val="007B2E65"/>
    <w:rsid w:val="007B301B"/>
    <w:rsid w:val="007B31B1"/>
    <w:rsid w:val="007B36F7"/>
    <w:rsid w:val="007B37AE"/>
    <w:rsid w:val="007B3A42"/>
    <w:rsid w:val="007B50DC"/>
    <w:rsid w:val="007B52BF"/>
    <w:rsid w:val="007B6BA9"/>
    <w:rsid w:val="007B74E4"/>
    <w:rsid w:val="007B7F18"/>
    <w:rsid w:val="007C002F"/>
    <w:rsid w:val="007C18E4"/>
    <w:rsid w:val="007C1EF7"/>
    <w:rsid w:val="007C25ED"/>
    <w:rsid w:val="007C30A9"/>
    <w:rsid w:val="007C3212"/>
    <w:rsid w:val="007C33FE"/>
    <w:rsid w:val="007C3957"/>
    <w:rsid w:val="007C3BD8"/>
    <w:rsid w:val="007C406C"/>
    <w:rsid w:val="007C41DA"/>
    <w:rsid w:val="007C46FF"/>
    <w:rsid w:val="007C4A18"/>
    <w:rsid w:val="007C5031"/>
    <w:rsid w:val="007C577F"/>
    <w:rsid w:val="007C5898"/>
    <w:rsid w:val="007C5A52"/>
    <w:rsid w:val="007C5D06"/>
    <w:rsid w:val="007C6254"/>
    <w:rsid w:val="007C640C"/>
    <w:rsid w:val="007C6640"/>
    <w:rsid w:val="007C6A36"/>
    <w:rsid w:val="007C6CCF"/>
    <w:rsid w:val="007C6FA4"/>
    <w:rsid w:val="007C70CA"/>
    <w:rsid w:val="007C7425"/>
    <w:rsid w:val="007C791C"/>
    <w:rsid w:val="007C79D6"/>
    <w:rsid w:val="007C7B70"/>
    <w:rsid w:val="007C7B92"/>
    <w:rsid w:val="007D015B"/>
    <w:rsid w:val="007D1693"/>
    <w:rsid w:val="007D2117"/>
    <w:rsid w:val="007D2AA1"/>
    <w:rsid w:val="007D37C9"/>
    <w:rsid w:val="007D3A1B"/>
    <w:rsid w:val="007D4592"/>
    <w:rsid w:val="007D5F84"/>
    <w:rsid w:val="007D61BF"/>
    <w:rsid w:val="007D6222"/>
    <w:rsid w:val="007D7624"/>
    <w:rsid w:val="007E0043"/>
    <w:rsid w:val="007E029B"/>
    <w:rsid w:val="007E0840"/>
    <w:rsid w:val="007E1E25"/>
    <w:rsid w:val="007E2460"/>
    <w:rsid w:val="007E26AC"/>
    <w:rsid w:val="007E3FFB"/>
    <w:rsid w:val="007E4095"/>
    <w:rsid w:val="007E4662"/>
    <w:rsid w:val="007E4D35"/>
    <w:rsid w:val="007E4DD9"/>
    <w:rsid w:val="007E4E09"/>
    <w:rsid w:val="007E5385"/>
    <w:rsid w:val="007E5D96"/>
    <w:rsid w:val="007E604B"/>
    <w:rsid w:val="007E6815"/>
    <w:rsid w:val="007E68B3"/>
    <w:rsid w:val="007E7456"/>
    <w:rsid w:val="007E7CE1"/>
    <w:rsid w:val="007E7F1D"/>
    <w:rsid w:val="007F0690"/>
    <w:rsid w:val="007F08AB"/>
    <w:rsid w:val="007F0F93"/>
    <w:rsid w:val="007F1237"/>
    <w:rsid w:val="007F2C7D"/>
    <w:rsid w:val="007F311D"/>
    <w:rsid w:val="007F31A2"/>
    <w:rsid w:val="007F3E06"/>
    <w:rsid w:val="007F3FD6"/>
    <w:rsid w:val="007F4077"/>
    <w:rsid w:val="007F44B2"/>
    <w:rsid w:val="007F5624"/>
    <w:rsid w:val="007F5BE1"/>
    <w:rsid w:val="007F5CF3"/>
    <w:rsid w:val="007F6206"/>
    <w:rsid w:val="007F62EB"/>
    <w:rsid w:val="007F6E5D"/>
    <w:rsid w:val="007F75B0"/>
    <w:rsid w:val="007F75E2"/>
    <w:rsid w:val="007F75EB"/>
    <w:rsid w:val="007F7671"/>
    <w:rsid w:val="00800105"/>
    <w:rsid w:val="00800196"/>
    <w:rsid w:val="00801309"/>
    <w:rsid w:val="00801CE5"/>
    <w:rsid w:val="00802430"/>
    <w:rsid w:val="008025FC"/>
    <w:rsid w:val="008026AE"/>
    <w:rsid w:val="008034A9"/>
    <w:rsid w:val="00803EA8"/>
    <w:rsid w:val="0080447B"/>
    <w:rsid w:val="0080461F"/>
    <w:rsid w:val="00804711"/>
    <w:rsid w:val="0080486A"/>
    <w:rsid w:val="00804F0C"/>
    <w:rsid w:val="00805428"/>
    <w:rsid w:val="0080544E"/>
    <w:rsid w:val="00805E8D"/>
    <w:rsid w:val="008063C0"/>
    <w:rsid w:val="008064F3"/>
    <w:rsid w:val="0080662F"/>
    <w:rsid w:val="0080703B"/>
    <w:rsid w:val="008073A1"/>
    <w:rsid w:val="00807704"/>
    <w:rsid w:val="00807E87"/>
    <w:rsid w:val="0081079A"/>
    <w:rsid w:val="00810CB5"/>
    <w:rsid w:val="00811E94"/>
    <w:rsid w:val="00811FA0"/>
    <w:rsid w:val="00812259"/>
    <w:rsid w:val="00812539"/>
    <w:rsid w:val="0081346C"/>
    <w:rsid w:val="00813AA2"/>
    <w:rsid w:val="00813D37"/>
    <w:rsid w:val="00814444"/>
    <w:rsid w:val="00814A4C"/>
    <w:rsid w:val="00814C51"/>
    <w:rsid w:val="00814D70"/>
    <w:rsid w:val="00814D83"/>
    <w:rsid w:val="00814E9B"/>
    <w:rsid w:val="008153C3"/>
    <w:rsid w:val="00815702"/>
    <w:rsid w:val="00815B53"/>
    <w:rsid w:val="008164E8"/>
    <w:rsid w:val="008168D6"/>
    <w:rsid w:val="00816987"/>
    <w:rsid w:val="0081774F"/>
    <w:rsid w:val="008177DA"/>
    <w:rsid w:val="00817F2A"/>
    <w:rsid w:val="00820274"/>
    <w:rsid w:val="0082056B"/>
    <w:rsid w:val="00820677"/>
    <w:rsid w:val="00820805"/>
    <w:rsid w:val="00820E21"/>
    <w:rsid w:val="0082122C"/>
    <w:rsid w:val="00821B6E"/>
    <w:rsid w:val="00821D96"/>
    <w:rsid w:val="00822432"/>
    <w:rsid w:val="008227EA"/>
    <w:rsid w:val="0082374B"/>
    <w:rsid w:val="008242C6"/>
    <w:rsid w:val="00824330"/>
    <w:rsid w:val="00824863"/>
    <w:rsid w:val="00824A5A"/>
    <w:rsid w:val="00824AAC"/>
    <w:rsid w:val="00826B58"/>
    <w:rsid w:val="00827793"/>
    <w:rsid w:val="00827CB2"/>
    <w:rsid w:val="00827D63"/>
    <w:rsid w:val="00827E15"/>
    <w:rsid w:val="008302D9"/>
    <w:rsid w:val="00831006"/>
    <w:rsid w:val="008314CE"/>
    <w:rsid w:val="00831E3D"/>
    <w:rsid w:val="00832036"/>
    <w:rsid w:val="008320BB"/>
    <w:rsid w:val="0083223A"/>
    <w:rsid w:val="00832310"/>
    <w:rsid w:val="008327EC"/>
    <w:rsid w:val="00832913"/>
    <w:rsid w:val="008329CF"/>
    <w:rsid w:val="0083345F"/>
    <w:rsid w:val="0083356A"/>
    <w:rsid w:val="0083365E"/>
    <w:rsid w:val="00833D23"/>
    <w:rsid w:val="00834263"/>
    <w:rsid w:val="00834501"/>
    <w:rsid w:val="0083469E"/>
    <w:rsid w:val="00834D47"/>
    <w:rsid w:val="00834E6E"/>
    <w:rsid w:val="00835264"/>
    <w:rsid w:val="00835EC1"/>
    <w:rsid w:val="00836789"/>
    <w:rsid w:val="00836A25"/>
    <w:rsid w:val="00837A21"/>
    <w:rsid w:val="00837C1A"/>
    <w:rsid w:val="00840079"/>
    <w:rsid w:val="008400E5"/>
    <w:rsid w:val="00841961"/>
    <w:rsid w:val="00841B78"/>
    <w:rsid w:val="00841CFD"/>
    <w:rsid w:val="00841E0C"/>
    <w:rsid w:val="00842895"/>
    <w:rsid w:val="00842AD9"/>
    <w:rsid w:val="008436F0"/>
    <w:rsid w:val="00843AFA"/>
    <w:rsid w:val="00843E73"/>
    <w:rsid w:val="00844376"/>
    <w:rsid w:val="00844704"/>
    <w:rsid w:val="00844774"/>
    <w:rsid w:val="008449C9"/>
    <w:rsid w:val="00844D1D"/>
    <w:rsid w:val="00845298"/>
    <w:rsid w:val="00845A67"/>
    <w:rsid w:val="00845DEC"/>
    <w:rsid w:val="00846AEF"/>
    <w:rsid w:val="00846F44"/>
    <w:rsid w:val="008477CD"/>
    <w:rsid w:val="00847834"/>
    <w:rsid w:val="008500A9"/>
    <w:rsid w:val="00850243"/>
    <w:rsid w:val="00850293"/>
    <w:rsid w:val="008505AA"/>
    <w:rsid w:val="00850793"/>
    <w:rsid w:val="00850B5A"/>
    <w:rsid w:val="00850B85"/>
    <w:rsid w:val="00850BE7"/>
    <w:rsid w:val="0085117B"/>
    <w:rsid w:val="008518E5"/>
    <w:rsid w:val="00852E20"/>
    <w:rsid w:val="00853585"/>
    <w:rsid w:val="00853A26"/>
    <w:rsid w:val="00853A3E"/>
    <w:rsid w:val="00853D19"/>
    <w:rsid w:val="00854608"/>
    <w:rsid w:val="00854B5D"/>
    <w:rsid w:val="00854D9B"/>
    <w:rsid w:val="00855153"/>
    <w:rsid w:val="008555FD"/>
    <w:rsid w:val="008565C3"/>
    <w:rsid w:val="00856A60"/>
    <w:rsid w:val="00857808"/>
    <w:rsid w:val="00857C90"/>
    <w:rsid w:val="00860565"/>
    <w:rsid w:val="0086085E"/>
    <w:rsid w:val="00860E64"/>
    <w:rsid w:val="008618B9"/>
    <w:rsid w:val="008619AC"/>
    <w:rsid w:val="00861A4E"/>
    <w:rsid w:val="00862157"/>
    <w:rsid w:val="00862293"/>
    <w:rsid w:val="0086252F"/>
    <w:rsid w:val="008627C6"/>
    <w:rsid w:val="00862B1B"/>
    <w:rsid w:val="00862E29"/>
    <w:rsid w:val="008638CE"/>
    <w:rsid w:val="00863A45"/>
    <w:rsid w:val="008641D2"/>
    <w:rsid w:val="008645E0"/>
    <w:rsid w:val="008650BB"/>
    <w:rsid w:val="008653EE"/>
    <w:rsid w:val="008655D8"/>
    <w:rsid w:val="008661DB"/>
    <w:rsid w:val="00866727"/>
    <w:rsid w:val="008667B3"/>
    <w:rsid w:val="0086687E"/>
    <w:rsid w:val="00866F54"/>
    <w:rsid w:val="00867CB1"/>
    <w:rsid w:val="00867F51"/>
    <w:rsid w:val="00867F7A"/>
    <w:rsid w:val="00870565"/>
    <w:rsid w:val="0087114E"/>
    <w:rsid w:val="0087149C"/>
    <w:rsid w:val="008719B6"/>
    <w:rsid w:val="00871B92"/>
    <w:rsid w:val="00871F5D"/>
    <w:rsid w:val="0087207D"/>
    <w:rsid w:val="008724FF"/>
    <w:rsid w:val="0087264F"/>
    <w:rsid w:val="00872ABE"/>
    <w:rsid w:val="00872DA0"/>
    <w:rsid w:val="008742B2"/>
    <w:rsid w:val="0087435A"/>
    <w:rsid w:val="008755E3"/>
    <w:rsid w:val="008758B4"/>
    <w:rsid w:val="00875BC3"/>
    <w:rsid w:val="00875C7E"/>
    <w:rsid w:val="00875E35"/>
    <w:rsid w:val="008764FF"/>
    <w:rsid w:val="00876823"/>
    <w:rsid w:val="008773A5"/>
    <w:rsid w:val="0087786D"/>
    <w:rsid w:val="00877D75"/>
    <w:rsid w:val="00877E21"/>
    <w:rsid w:val="008800CE"/>
    <w:rsid w:val="0088048F"/>
    <w:rsid w:val="00880559"/>
    <w:rsid w:val="0088068B"/>
    <w:rsid w:val="00880742"/>
    <w:rsid w:val="008809A3"/>
    <w:rsid w:val="00881309"/>
    <w:rsid w:val="0088151F"/>
    <w:rsid w:val="00882597"/>
    <w:rsid w:val="0088262E"/>
    <w:rsid w:val="008829E0"/>
    <w:rsid w:val="00882A56"/>
    <w:rsid w:val="00882BE1"/>
    <w:rsid w:val="00882CFD"/>
    <w:rsid w:val="00882FCE"/>
    <w:rsid w:val="008831F8"/>
    <w:rsid w:val="008837A4"/>
    <w:rsid w:val="00883D69"/>
    <w:rsid w:val="00883FA8"/>
    <w:rsid w:val="0088464A"/>
    <w:rsid w:val="00884986"/>
    <w:rsid w:val="00884B64"/>
    <w:rsid w:val="00884DC7"/>
    <w:rsid w:val="0088512A"/>
    <w:rsid w:val="008852E7"/>
    <w:rsid w:val="00885575"/>
    <w:rsid w:val="00885F88"/>
    <w:rsid w:val="00886010"/>
    <w:rsid w:val="008864D6"/>
    <w:rsid w:val="008868ED"/>
    <w:rsid w:val="008869D7"/>
    <w:rsid w:val="008874E8"/>
    <w:rsid w:val="00887A63"/>
    <w:rsid w:val="00887E1F"/>
    <w:rsid w:val="008907A4"/>
    <w:rsid w:val="00890ECC"/>
    <w:rsid w:val="008915B3"/>
    <w:rsid w:val="00892F77"/>
    <w:rsid w:val="008934EF"/>
    <w:rsid w:val="00893795"/>
    <w:rsid w:val="00893B41"/>
    <w:rsid w:val="00893D6F"/>
    <w:rsid w:val="008940DB"/>
    <w:rsid w:val="00894FC6"/>
    <w:rsid w:val="008951C0"/>
    <w:rsid w:val="0089524A"/>
    <w:rsid w:val="00895323"/>
    <w:rsid w:val="00895605"/>
    <w:rsid w:val="008957B8"/>
    <w:rsid w:val="00895956"/>
    <w:rsid w:val="00895EF6"/>
    <w:rsid w:val="00896231"/>
    <w:rsid w:val="00896344"/>
    <w:rsid w:val="0089672B"/>
    <w:rsid w:val="00896CB8"/>
    <w:rsid w:val="00896DE8"/>
    <w:rsid w:val="00896F40"/>
    <w:rsid w:val="00896FFB"/>
    <w:rsid w:val="0089780E"/>
    <w:rsid w:val="008A01AC"/>
    <w:rsid w:val="008A11B9"/>
    <w:rsid w:val="008A2156"/>
    <w:rsid w:val="008A24EA"/>
    <w:rsid w:val="008A2535"/>
    <w:rsid w:val="008A275B"/>
    <w:rsid w:val="008A3429"/>
    <w:rsid w:val="008A3629"/>
    <w:rsid w:val="008A3678"/>
    <w:rsid w:val="008A4CBF"/>
    <w:rsid w:val="008A51AF"/>
    <w:rsid w:val="008A5CD3"/>
    <w:rsid w:val="008A61F3"/>
    <w:rsid w:val="008A6D83"/>
    <w:rsid w:val="008A7EF4"/>
    <w:rsid w:val="008B01C8"/>
    <w:rsid w:val="008B0AC3"/>
    <w:rsid w:val="008B0E78"/>
    <w:rsid w:val="008B1407"/>
    <w:rsid w:val="008B26D3"/>
    <w:rsid w:val="008B270E"/>
    <w:rsid w:val="008B2B10"/>
    <w:rsid w:val="008B2FDE"/>
    <w:rsid w:val="008B3D1A"/>
    <w:rsid w:val="008B4230"/>
    <w:rsid w:val="008B469D"/>
    <w:rsid w:val="008B5B8C"/>
    <w:rsid w:val="008B5D2E"/>
    <w:rsid w:val="008B6043"/>
    <w:rsid w:val="008B60BB"/>
    <w:rsid w:val="008B6280"/>
    <w:rsid w:val="008B725D"/>
    <w:rsid w:val="008B72BA"/>
    <w:rsid w:val="008C02D9"/>
    <w:rsid w:val="008C0E02"/>
    <w:rsid w:val="008C0E21"/>
    <w:rsid w:val="008C0E4F"/>
    <w:rsid w:val="008C1126"/>
    <w:rsid w:val="008C2B4D"/>
    <w:rsid w:val="008C2D2E"/>
    <w:rsid w:val="008C441F"/>
    <w:rsid w:val="008C4D96"/>
    <w:rsid w:val="008C53A3"/>
    <w:rsid w:val="008C5749"/>
    <w:rsid w:val="008C5BE8"/>
    <w:rsid w:val="008C5DF5"/>
    <w:rsid w:val="008C6B56"/>
    <w:rsid w:val="008C6E96"/>
    <w:rsid w:val="008C7390"/>
    <w:rsid w:val="008C7B98"/>
    <w:rsid w:val="008C7EF8"/>
    <w:rsid w:val="008D03BF"/>
    <w:rsid w:val="008D07A4"/>
    <w:rsid w:val="008D0C0B"/>
    <w:rsid w:val="008D10FF"/>
    <w:rsid w:val="008D1315"/>
    <w:rsid w:val="008D1B82"/>
    <w:rsid w:val="008D2212"/>
    <w:rsid w:val="008D2891"/>
    <w:rsid w:val="008D291E"/>
    <w:rsid w:val="008D375B"/>
    <w:rsid w:val="008D3835"/>
    <w:rsid w:val="008D3E2F"/>
    <w:rsid w:val="008D461D"/>
    <w:rsid w:val="008D4C2E"/>
    <w:rsid w:val="008D4E58"/>
    <w:rsid w:val="008D533B"/>
    <w:rsid w:val="008D5383"/>
    <w:rsid w:val="008D5625"/>
    <w:rsid w:val="008D59EF"/>
    <w:rsid w:val="008D5FB6"/>
    <w:rsid w:val="008D612A"/>
    <w:rsid w:val="008D666F"/>
    <w:rsid w:val="008D714C"/>
    <w:rsid w:val="008D7B42"/>
    <w:rsid w:val="008E0F11"/>
    <w:rsid w:val="008E0F3E"/>
    <w:rsid w:val="008E121B"/>
    <w:rsid w:val="008E15BA"/>
    <w:rsid w:val="008E1677"/>
    <w:rsid w:val="008E1A97"/>
    <w:rsid w:val="008E1AF4"/>
    <w:rsid w:val="008E1B13"/>
    <w:rsid w:val="008E226D"/>
    <w:rsid w:val="008E24DB"/>
    <w:rsid w:val="008E2BDE"/>
    <w:rsid w:val="008E2EA1"/>
    <w:rsid w:val="008E31A6"/>
    <w:rsid w:val="008E3305"/>
    <w:rsid w:val="008E33DC"/>
    <w:rsid w:val="008E35AB"/>
    <w:rsid w:val="008E3ADB"/>
    <w:rsid w:val="008E3ED0"/>
    <w:rsid w:val="008E3F36"/>
    <w:rsid w:val="008E3FFE"/>
    <w:rsid w:val="008E4225"/>
    <w:rsid w:val="008E4734"/>
    <w:rsid w:val="008E48BE"/>
    <w:rsid w:val="008E49C1"/>
    <w:rsid w:val="008E4C72"/>
    <w:rsid w:val="008E4DC1"/>
    <w:rsid w:val="008E4FE8"/>
    <w:rsid w:val="008E52CB"/>
    <w:rsid w:val="008E5539"/>
    <w:rsid w:val="008E557C"/>
    <w:rsid w:val="008E5B1E"/>
    <w:rsid w:val="008E6123"/>
    <w:rsid w:val="008E6AA6"/>
    <w:rsid w:val="008E7575"/>
    <w:rsid w:val="008F00AF"/>
    <w:rsid w:val="008F0143"/>
    <w:rsid w:val="008F0CE0"/>
    <w:rsid w:val="008F1164"/>
    <w:rsid w:val="008F15E9"/>
    <w:rsid w:val="008F181C"/>
    <w:rsid w:val="008F22D8"/>
    <w:rsid w:val="008F239C"/>
    <w:rsid w:val="008F2E35"/>
    <w:rsid w:val="008F3102"/>
    <w:rsid w:val="008F32DF"/>
    <w:rsid w:val="008F3882"/>
    <w:rsid w:val="008F3B51"/>
    <w:rsid w:val="008F423C"/>
    <w:rsid w:val="008F4CAF"/>
    <w:rsid w:val="008F5223"/>
    <w:rsid w:val="008F548A"/>
    <w:rsid w:val="008F56B0"/>
    <w:rsid w:val="008F580C"/>
    <w:rsid w:val="008F5A4C"/>
    <w:rsid w:val="008F5FD7"/>
    <w:rsid w:val="008F6011"/>
    <w:rsid w:val="008F6096"/>
    <w:rsid w:val="008F68A1"/>
    <w:rsid w:val="008F698D"/>
    <w:rsid w:val="008F6CFB"/>
    <w:rsid w:val="008F7166"/>
    <w:rsid w:val="008F7968"/>
    <w:rsid w:val="008F79E5"/>
    <w:rsid w:val="009005FE"/>
    <w:rsid w:val="00900657"/>
    <w:rsid w:val="00900D87"/>
    <w:rsid w:val="00900E41"/>
    <w:rsid w:val="009010AC"/>
    <w:rsid w:val="0090164B"/>
    <w:rsid w:val="00901750"/>
    <w:rsid w:val="0090181A"/>
    <w:rsid w:val="00901A67"/>
    <w:rsid w:val="00901A6E"/>
    <w:rsid w:val="00901F1F"/>
    <w:rsid w:val="00902214"/>
    <w:rsid w:val="009027BE"/>
    <w:rsid w:val="0090303B"/>
    <w:rsid w:val="009033EE"/>
    <w:rsid w:val="0090427C"/>
    <w:rsid w:val="009047CC"/>
    <w:rsid w:val="00905028"/>
    <w:rsid w:val="009053CB"/>
    <w:rsid w:val="009068F0"/>
    <w:rsid w:val="009072CC"/>
    <w:rsid w:val="009074F6"/>
    <w:rsid w:val="00907B52"/>
    <w:rsid w:val="00907BA9"/>
    <w:rsid w:val="00910707"/>
    <w:rsid w:val="00911092"/>
    <w:rsid w:val="00911242"/>
    <w:rsid w:val="009115E2"/>
    <w:rsid w:val="00912374"/>
    <w:rsid w:val="009131AC"/>
    <w:rsid w:val="00913241"/>
    <w:rsid w:val="009134E2"/>
    <w:rsid w:val="00913DBD"/>
    <w:rsid w:val="0091416F"/>
    <w:rsid w:val="00914A59"/>
    <w:rsid w:val="0091556E"/>
    <w:rsid w:val="00915B24"/>
    <w:rsid w:val="00915CB9"/>
    <w:rsid w:val="00915E39"/>
    <w:rsid w:val="009168D2"/>
    <w:rsid w:val="00916A61"/>
    <w:rsid w:val="00916B3C"/>
    <w:rsid w:val="00916F42"/>
    <w:rsid w:val="0091765E"/>
    <w:rsid w:val="00917BAF"/>
    <w:rsid w:val="00917D93"/>
    <w:rsid w:val="00920B8A"/>
    <w:rsid w:val="00920DA2"/>
    <w:rsid w:val="009211EC"/>
    <w:rsid w:val="009212C8"/>
    <w:rsid w:val="0092191C"/>
    <w:rsid w:val="009221D5"/>
    <w:rsid w:val="00922208"/>
    <w:rsid w:val="0092255E"/>
    <w:rsid w:val="009225EC"/>
    <w:rsid w:val="0092409D"/>
    <w:rsid w:val="00924950"/>
    <w:rsid w:val="00924D30"/>
    <w:rsid w:val="00925389"/>
    <w:rsid w:val="00925554"/>
    <w:rsid w:val="00925820"/>
    <w:rsid w:val="00925AD8"/>
    <w:rsid w:val="009263EB"/>
    <w:rsid w:val="009267CD"/>
    <w:rsid w:val="00926AD9"/>
    <w:rsid w:val="00926D58"/>
    <w:rsid w:val="00926E21"/>
    <w:rsid w:val="00927720"/>
    <w:rsid w:val="00927783"/>
    <w:rsid w:val="00927A4D"/>
    <w:rsid w:val="00927E82"/>
    <w:rsid w:val="00927EC1"/>
    <w:rsid w:val="009306E5"/>
    <w:rsid w:val="0093077D"/>
    <w:rsid w:val="009308C4"/>
    <w:rsid w:val="009312E9"/>
    <w:rsid w:val="0093131E"/>
    <w:rsid w:val="009313E8"/>
    <w:rsid w:val="00931425"/>
    <w:rsid w:val="009314A3"/>
    <w:rsid w:val="00931832"/>
    <w:rsid w:val="009327F9"/>
    <w:rsid w:val="00932B37"/>
    <w:rsid w:val="00932BCD"/>
    <w:rsid w:val="009331F3"/>
    <w:rsid w:val="00933579"/>
    <w:rsid w:val="00933E10"/>
    <w:rsid w:val="009341DF"/>
    <w:rsid w:val="00934423"/>
    <w:rsid w:val="00934516"/>
    <w:rsid w:val="00934567"/>
    <w:rsid w:val="009348FA"/>
    <w:rsid w:val="00935577"/>
    <w:rsid w:val="00935850"/>
    <w:rsid w:val="00935D0F"/>
    <w:rsid w:val="00936BCD"/>
    <w:rsid w:val="00936D01"/>
    <w:rsid w:val="00936D5A"/>
    <w:rsid w:val="0093767F"/>
    <w:rsid w:val="00937833"/>
    <w:rsid w:val="00937835"/>
    <w:rsid w:val="00937B0B"/>
    <w:rsid w:val="00940217"/>
    <w:rsid w:val="0094049F"/>
    <w:rsid w:val="00940EE9"/>
    <w:rsid w:val="00941843"/>
    <w:rsid w:val="00941914"/>
    <w:rsid w:val="00941E23"/>
    <w:rsid w:val="0094223E"/>
    <w:rsid w:val="0094246C"/>
    <w:rsid w:val="0094264D"/>
    <w:rsid w:val="00942A09"/>
    <w:rsid w:val="00942DEB"/>
    <w:rsid w:val="0094395C"/>
    <w:rsid w:val="009444A4"/>
    <w:rsid w:val="00944540"/>
    <w:rsid w:val="009445DA"/>
    <w:rsid w:val="009447B4"/>
    <w:rsid w:val="00944812"/>
    <w:rsid w:val="00944B17"/>
    <w:rsid w:val="00944BF4"/>
    <w:rsid w:val="00946159"/>
    <w:rsid w:val="009461DB"/>
    <w:rsid w:val="0094673F"/>
    <w:rsid w:val="009469E8"/>
    <w:rsid w:val="00946D2D"/>
    <w:rsid w:val="00946E0E"/>
    <w:rsid w:val="00946FEA"/>
    <w:rsid w:val="00947BA4"/>
    <w:rsid w:val="00947D6C"/>
    <w:rsid w:val="009502E3"/>
    <w:rsid w:val="00950C3D"/>
    <w:rsid w:val="00950F41"/>
    <w:rsid w:val="00951E29"/>
    <w:rsid w:val="00951FB1"/>
    <w:rsid w:val="0095203B"/>
    <w:rsid w:val="0095298E"/>
    <w:rsid w:val="00953BE2"/>
    <w:rsid w:val="009546EE"/>
    <w:rsid w:val="0095530F"/>
    <w:rsid w:val="00955382"/>
    <w:rsid w:val="009553BF"/>
    <w:rsid w:val="00955585"/>
    <w:rsid w:val="009558C8"/>
    <w:rsid w:val="0095619B"/>
    <w:rsid w:val="009564CC"/>
    <w:rsid w:val="00956B1E"/>
    <w:rsid w:val="00956D51"/>
    <w:rsid w:val="00956E33"/>
    <w:rsid w:val="0095780D"/>
    <w:rsid w:val="00957AC6"/>
    <w:rsid w:val="00957AF7"/>
    <w:rsid w:val="00957CCD"/>
    <w:rsid w:val="009600B5"/>
    <w:rsid w:val="009601B2"/>
    <w:rsid w:val="00960368"/>
    <w:rsid w:val="00960610"/>
    <w:rsid w:val="00960B90"/>
    <w:rsid w:val="0096118D"/>
    <w:rsid w:val="00961360"/>
    <w:rsid w:val="00961733"/>
    <w:rsid w:val="00962389"/>
    <w:rsid w:val="009623DA"/>
    <w:rsid w:val="00962688"/>
    <w:rsid w:val="00962C28"/>
    <w:rsid w:val="00962FAF"/>
    <w:rsid w:val="00963254"/>
    <w:rsid w:val="00963B7E"/>
    <w:rsid w:val="00964028"/>
    <w:rsid w:val="00964FFB"/>
    <w:rsid w:val="0096563C"/>
    <w:rsid w:val="00965E46"/>
    <w:rsid w:val="00965F30"/>
    <w:rsid w:val="00966048"/>
    <w:rsid w:val="00966308"/>
    <w:rsid w:val="0096677A"/>
    <w:rsid w:val="00966A38"/>
    <w:rsid w:val="00966DA7"/>
    <w:rsid w:val="0096716C"/>
    <w:rsid w:val="0096762C"/>
    <w:rsid w:val="00967EFF"/>
    <w:rsid w:val="00970A77"/>
    <w:rsid w:val="00970DE9"/>
    <w:rsid w:val="009712B5"/>
    <w:rsid w:val="0097150C"/>
    <w:rsid w:val="0097192D"/>
    <w:rsid w:val="00971A5D"/>
    <w:rsid w:val="00971AE9"/>
    <w:rsid w:val="00971B82"/>
    <w:rsid w:val="00972408"/>
    <w:rsid w:val="00972CD5"/>
    <w:rsid w:val="00973AA0"/>
    <w:rsid w:val="00974028"/>
    <w:rsid w:val="0097432C"/>
    <w:rsid w:val="009743DC"/>
    <w:rsid w:val="00974A39"/>
    <w:rsid w:val="0097523A"/>
    <w:rsid w:val="009757A3"/>
    <w:rsid w:val="00976465"/>
    <w:rsid w:val="009767D3"/>
    <w:rsid w:val="00976A64"/>
    <w:rsid w:val="00976AA3"/>
    <w:rsid w:val="00976D76"/>
    <w:rsid w:val="009770EF"/>
    <w:rsid w:val="00977549"/>
    <w:rsid w:val="009776FB"/>
    <w:rsid w:val="00980001"/>
    <w:rsid w:val="009803E4"/>
    <w:rsid w:val="009805D8"/>
    <w:rsid w:val="00980B94"/>
    <w:rsid w:val="00980CD9"/>
    <w:rsid w:val="009812C8"/>
    <w:rsid w:val="00981C2A"/>
    <w:rsid w:val="00981F3E"/>
    <w:rsid w:val="009820B1"/>
    <w:rsid w:val="009822CE"/>
    <w:rsid w:val="00982777"/>
    <w:rsid w:val="00982D6E"/>
    <w:rsid w:val="0098339C"/>
    <w:rsid w:val="00983506"/>
    <w:rsid w:val="00983B1E"/>
    <w:rsid w:val="00984252"/>
    <w:rsid w:val="00984521"/>
    <w:rsid w:val="009848D6"/>
    <w:rsid w:val="00984A88"/>
    <w:rsid w:val="00985949"/>
    <w:rsid w:val="00985C14"/>
    <w:rsid w:val="00985F05"/>
    <w:rsid w:val="00986580"/>
    <w:rsid w:val="00986588"/>
    <w:rsid w:val="009875EC"/>
    <w:rsid w:val="009877F9"/>
    <w:rsid w:val="009904B1"/>
    <w:rsid w:val="00990C26"/>
    <w:rsid w:val="009913EC"/>
    <w:rsid w:val="0099160F"/>
    <w:rsid w:val="00991E10"/>
    <w:rsid w:val="009921B3"/>
    <w:rsid w:val="009924EB"/>
    <w:rsid w:val="0099271A"/>
    <w:rsid w:val="00992B30"/>
    <w:rsid w:val="00992BD2"/>
    <w:rsid w:val="00992CC6"/>
    <w:rsid w:val="009934AB"/>
    <w:rsid w:val="00993975"/>
    <w:rsid w:val="00993EBF"/>
    <w:rsid w:val="009943E8"/>
    <w:rsid w:val="009946FF"/>
    <w:rsid w:val="00995116"/>
    <w:rsid w:val="009957C7"/>
    <w:rsid w:val="00995A05"/>
    <w:rsid w:val="00995CED"/>
    <w:rsid w:val="0099611F"/>
    <w:rsid w:val="009968B1"/>
    <w:rsid w:val="0099753F"/>
    <w:rsid w:val="009979F1"/>
    <w:rsid w:val="009979FE"/>
    <w:rsid w:val="009A0F85"/>
    <w:rsid w:val="009A173A"/>
    <w:rsid w:val="009A175D"/>
    <w:rsid w:val="009A1B6B"/>
    <w:rsid w:val="009A1B87"/>
    <w:rsid w:val="009A3769"/>
    <w:rsid w:val="009A45EE"/>
    <w:rsid w:val="009A48D8"/>
    <w:rsid w:val="009A4CC1"/>
    <w:rsid w:val="009A5197"/>
    <w:rsid w:val="009A543C"/>
    <w:rsid w:val="009A5AD5"/>
    <w:rsid w:val="009A5BCE"/>
    <w:rsid w:val="009A6246"/>
    <w:rsid w:val="009A7617"/>
    <w:rsid w:val="009A7C43"/>
    <w:rsid w:val="009A7F70"/>
    <w:rsid w:val="009B0EFD"/>
    <w:rsid w:val="009B1A7D"/>
    <w:rsid w:val="009B1DD6"/>
    <w:rsid w:val="009B2026"/>
    <w:rsid w:val="009B2137"/>
    <w:rsid w:val="009B2556"/>
    <w:rsid w:val="009B2789"/>
    <w:rsid w:val="009B284D"/>
    <w:rsid w:val="009B2A1F"/>
    <w:rsid w:val="009B3010"/>
    <w:rsid w:val="009B35F4"/>
    <w:rsid w:val="009B3732"/>
    <w:rsid w:val="009B3AB2"/>
    <w:rsid w:val="009B3F2B"/>
    <w:rsid w:val="009B4847"/>
    <w:rsid w:val="009B4949"/>
    <w:rsid w:val="009B4D3C"/>
    <w:rsid w:val="009B5768"/>
    <w:rsid w:val="009B5A3F"/>
    <w:rsid w:val="009B5B38"/>
    <w:rsid w:val="009B5C56"/>
    <w:rsid w:val="009B5DA0"/>
    <w:rsid w:val="009B63D0"/>
    <w:rsid w:val="009B672D"/>
    <w:rsid w:val="009B6994"/>
    <w:rsid w:val="009B69C3"/>
    <w:rsid w:val="009B6C6C"/>
    <w:rsid w:val="009B6F16"/>
    <w:rsid w:val="009B749A"/>
    <w:rsid w:val="009B7A8C"/>
    <w:rsid w:val="009B7DD9"/>
    <w:rsid w:val="009C02A6"/>
    <w:rsid w:val="009C07F8"/>
    <w:rsid w:val="009C09F8"/>
    <w:rsid w:val="009C0E00"/>
    <w:rsid w:val="009C1091"/>
    <w:rsid w:val="009C12B8"/>
    <w:rsid w:val="009C1783"/>
    <w:rsid w:val="009C1807"/>
    <w:rsid w:val="009C1A6B"/>
    <w:rsid w:val="009C1BC0"/>
    <w:rsid w:val="009C1DA1"/>
    <w:rsid w:val="009C22F8"/>
    <w:rsid w:val="009C2B9F"/>
    <w:rsid w:val="009C2F5D"/>
    <w:rsid w:val="009C33F7"/>
    <w:rsid w:val="009C34E4"/>
    <w:rsid w:val="009C35C6"/>
    <w:rsid w:val="009C36C7"/>
    <w:rsid w:val="009C4458"/>
    <w:rsid w:val="009C4A54"/>
    <w:rsid w:val="009C4F3B"/>
    <w:rsid w:val="009C502A"/>
    <w:rsid w:val="009C56DA"/>
    <w:rsid w:val="009C61EA"/>
    <w:rsid w:val="009C66B5"/>
    <w:rsid w:val="009C6DED"/>
    <w:rsid w:val="009C7832"/>
    <w:rsid w:val="009C78A7"/>
    <w:rsid w:val="009C78CA"/>
    <w:rsid w:val="009D0283"/>
    <w:rsid w:val="009D07F8"/>
    <w:rsid w:val="009D0AF0"/>
    <w:rsid w:val="009D0B77"/>
    <w:rsid w:val="009D0DAE"/>
    <w:rsid w:val="009D128F"/>
    <w:rsid w:val="009D1901"/>
    <w:rsid w:val="009D1FFD"/>
    <w:rsid w:val="009D21EE"/>
    <w:rsid w:val="009D2E16"/>
    <w:rsid w:val="009D3598"/>
    <w:rsid w:val="009D3614"/>
    <w:rsid w:val="009D3B4C"/>
    <w:rsid w:val="009D409C"/>
    <w:rsid w:val="009D4139"/>
    <w:rsid w:val="009D43DE"/>
    <w:rsid w:val="009D4B9F"/>
    <w:rsid w:val="009D4DCC"/>
    <w:rsid w:val="009D5DBC"/>
    <w:rsid w:val="009D6353"/>
    <w:rsid w:val="009D6AAD"/>
    <w:rsid w:val="009D6DCB"/>
    <w:rsid w:val="009D776A"/>
    <w:rsid w:val="009D79C7"/>
    <w:rsid w:val="009D7FEF"/>
    <w:rsid w:val="009E09D2"/>
    <w:rsid w:val="009E0F76"/>
    <w:rsid w:val="009E1615"/>
    <w:rsid w:val="009E16B3"/>
    <w:rsid w:val="009E176B"/>
    <w:rsid w:val="009E1A67"/>
    <w:rsid w:val="009E1C76"/>
    <w:rsid w:val="009E2304"/>
    <w:rsid w:val="009E2EFD"/>
    <w:rsid w:val="009E347A"/>
    <w:rsid w:val="009E3912"/>
    <w:rsid w:val="009E3BC9"/>
    <w:rsid w:val="009E3DDD"/>
    <w:rsid w:val="009E3F26"/>
    <w:rsid w:val="009E4259"/>
    <w:rsid w:val="009E4E65"/>
    <w:rsid w:val="009E55B9"/>
    <w:rsid w:val="009E5788"/>
    <w:rsid w:val="009E63EE"/>
    <w:rsid w:val="009E6901"/>
    <w:rsid w:val="009E7590"/>
    <w:rsid w:val="009E7723"/>
    <w:rsid w:val="009E7A3D"/>
    <w:rsid w:val="009F0110"/>
    <w:rsid w:val="009F035A"/>
    <w:rsid w:val="009F0E6A"/>
    <w:rsid w:val="009F247B"/>
    <w:rsid w:val="009F2993"/>
    <w:rsid w:val="009F30E4"/>
    <w:rsid w:val="009F30F9"/>
    <w:rsid w:val="009F3317"/>
    <w:rsid w:val="009F3738"/>
    <w:rsid w:val="009F485F"/>
    <w:rsid w:val="009F492B"/>
    <w:rsid w:val="009F4BF2"/>
    <w:rsid w:val="009F548E"/>
    <w:rsid w:val="009F5AFD"/>
    <w:rsid w:val="009F6301"/>
    <w:rsid w:val="009F6785"/>
    <w:rsid w:val="009F6F99"/>
    <w:rsid w:val="009F72CE"/>
    <w:rsid w:val="009F75DB"/>
    <w:rsid w:val="009F7F4B"/>
    <w:rsid w:val="00A00DDF"/>
    <w:rsid w:val="00A0113D"/>
    <w:rsid w:val="00A011A3"/>
    <w:rsid w:val="00A011AA"/>
    <w:rsid w:val="00A020D5"/>
    <w:rsid w:val="00A02131"/>
    <w:rsid w:val="00A025CA"/>
    <w:rsid w:val="00A02E54"/>
    <w:rsid w:val="00A031D9"/>
    <w:rsid w:val="00A03795"/>
    <w:rsid w:val="00A03A01"/>
    <w:rsid w:val="00A04692"/>
    <w:rsid w:val="00A04CD8"/>
    <w:rsid w:val="00A0559F"/>
    <w:rsid w:val="00A057A1"/>
    <w:rsid w:val="00A05B75"/>
    <w:rsid w:val="00A06018"/>
    <w:rsid w:val="00A06739"/>
    <w:rsid w:val="00A078A5"/>
    <w:rsid w:val="00A10DD2"/>
    <w:rsid w:val="00A10EF5"/>
    <w:rsid w:val="00A111A8"/>
    <w:rsid w:val="00A112C0"/>
    <w:rsid w:val="00A11C13"/>
    <w:rsid w:val="00A11EF2"/>
    <w:rsid w:val="00A12321"/>
    <w:rsid w:val="00A12770"/>
    <w:rsid w:val="00A12CFA"/>
    <w:rsid w:val="00A12FBA"/>
    <w:rsid w:val="00A130C1"/>
    <w:rsid w:val="00A13252"/>
    <w:rsid w:val="00A133DB"/>
    <w:rsid w:val="00A13A17"/>
    <w:rsid w:val="00A13D29"/>
    <w:rsid w:val="00A13D50"/>
    <w:rsid w:val="00A13F1A"/>
    <w:rsid w:val="00A13FDB"/>
    <w:rsid w:val="00A14B29"/>
    <w:rsid w:val="00A14B61"/>
    <w:rsid w:val="00A14CC9"/>
    <w:rsid w:val="00A15BFA"/>
    <w:rsid w:val="00A16327"/>
    <w:rsid w:val="00A16B8B"/>
    <w:rsid w:val="00A16CD7"/>
    <w:rsid w:val="00A16DFE"/>
    <w:rsid w:val="00A16EB8"/>
    <w:rsid w:val="00A1798A"/>
    <w:rsid w:val="00A20000"/>
    <w:rsid w:val="00A20042"/>
    <w:rsid w:val="00A2009F"/>
    <w:rsid w:val="00A200E7"/>
    <w:rsid w:val="00A2020F"/>
    <w:rsid w:val="00A2054B"/>
    <w:rsid w:val="00A20802"/>
    <w:rsid w:val="00A20CED"/>
    <w:rsid w:val="00A20D5F"/>
    <w:rsid w:val="00A20F65"/>
    <w:rsid w:val="00A20FB5"/>
    <w:rsid w:val="00A211A8"/>
    <w:rsid w:val="00A21474"/>
    <w:rsid w:val="00A215B0"/>
    <w:rsid w:val="00A218F9"/>
    <w:rsid w:val="00A21A2A"/>
    <w:rsid w:val="00A21B83"/>
    <w:rsid w:val="00A2271B"/>
    <w:rsid w:val="00A22A69"/>
    <w:rsid w:val="00A243D5"/>
    <w:rsid w:val="00A243EE"/>
    <w:rsid w:val="00A24500"/>
    <w:rsid w:val="00A2483D"/>
    <w:rsid w:val="00A24992"/>
    <w:rsid w:val="00A252DA"/>
    <w:rsid w:val="00A2615B"/>
    <w:rsid w:val="00A261B1"/>
    <w:rsid w:val="00A2627D"/>
    <w:rsid w:val="00A264E8"/>
    <w:rsid w:val="00A30173"/>
    <w:rsid w:val="00A30177"/>
    <w:rsid w:val="00A30C41"/>
    <w:rsid w:val="00A30C81"/>
    <w:rsid w:val="00A31406"/>
    <w:rsid w:val="00A31731"/>
    <w:rsid w:val="00A31A8D"/>
    <w:rsid w:val="00A32172"/>
    <w:rsid w:val="00A3259B"/>
    <w:rsid w:val="00A334CA"/>
    <w:rsid w:val="00A337E1"/>
    <w:rsid w:val="00A33873"/>
    <w:rsid w:val="00A33A13"/>
    <w:rsid w:val="00A3410F"/>
    <w:rsid w:val="00A34671"/>
    <w:rsid w:val="00A346FE"/>
    <w:rsid w:val="00A348BA"/>
    <w:rsid w:val="00A34B13"/>
    <w:rsid w:val="00A34C18"/>
    <w:rsid w:val="00A34D47"/>
    <w:rsid w:val="00A35130"/>
    <w:rsid w:val="00A357A4"/>
    <w:rsid w:val="00A358EF"/>
    <w:rsid w:val="00A36A10"/>
    <w:rsid w:val="00A37713"/>
    <w:rsid w:val="00A379C0"/>
    <w:rsid w:val="00A37EBA"/>
    <w:rsid w:val="00A402B3"/>
    <w:rsid w:val="00A408F9"/>
    <w:rsid w:val="00A41190"/>
    <w:rsid w:val="00A41299"/>
    <w:rsid w:val="00A413C5"/>
    <w:rsid w:val="00A41502"/>
    <w:rsid w:val="00A41AD9"/>
    <w:rsid w:val="00A41EE6"/>
    <w:rsid w:val="00A422AB"/>
    <w:rsid w:val="00A42A25"/>
    <w:rsid w:val="00A43042"/>
    <w:rsid w:val="00A43119"/>
    <w:rsid w:val="00A43874"/>
    <w:rsid w:val="00A43F38"/>
    <w:rsid w:val="00A445D2"/>
    <w:rsid w:val="00A44BF3"/>
    <w:rsid w:val="00A454CD"/>
    <w:rsid w:val="00A45714"/>
    <w:rsid w:val="00A45F23"/>
    <w:rsid w:val="00A45F4F"/>
    <w:rsid w:val="00A4622A"/>
    <w:rsid w:val="00A46366"/>
    <w:rsid w:val="00A467AC"/>
    <w:rsid w:val="00A46A5A"/>
    <w:rsid w:val="00A47171"/>
    <w:rsid w:val="00A47363"/>
    <w:rsid w:val="00A47E66"/>
    <w:rsid w:val="00A500B3"/>
    <w:rsid w:val="00A50A81"/>
    <w:rsid w:val="00A51318"/>
    <w:rsid w:val="00A5131D"/>
    <w:rsid w:val="00A513C0"/>
    <w:rsid w:val="00A51409"/>
    <w:rsid w:val="00A51657"/>
    <w:rsid w:val="00A52A0A"/>
    <w:rsid w:val="00A52AD1"/>
    <w:rsid w:val="00A52D1C"/>
    <w:rsid w:val="00A53E5B"/>
    <w:rsid w:val="00A54420"/>
    <w:rsid w:val="00A54481"/>
    <w:rsid w:val="00A5466E"/>
    <w:rsid w:val="00A5505B"/>
    <w:rsid w:val="00A55309"/>
    <w:rsid w:val="00A553A0"/>
    <w:rsid w:val="00A554CD"/>
    <w:rsid w:val="00A56337"/>
    <w:rsid w:val="00A56D78"/>
    <w:rsid w:val="00A5739E"/>
    <w:rsid w:val="00A57CB3"/>
    <w:rsid w:val="00A57CEC"/>
    <w:rsid w:val="00A617BA"/>
    <w:rsid w:val="00A61BA6"/>
    <w:rsid w:val="00A61DA2"/>
    <w:rsid w:val="00A61F19"/>
    <w:rsid w:val="00A621F4"/>
    <w:rsid w:val="00A62BAE"/>
    <w:rsid w:val="00A63034"/>
    <w:rsid w:val="00A63C32"/>
    <w:rsid w:val="00A63F70"/>
    <w:rsid w:val="00A63FCC"/>
    <w:rsid w:val="00A64360"/>
    <w:rsid w:val="00A643AD"/>
    <w:rsid w:val="00A64788"/>
    <w:rsid w:val="00A64A66"/>
    <w:rsid w:val="00A64F46"/>
    <w:rsid w:val="00A65110"/>
    <w:rsid w:val="00A653C3"/>
    <w:rsid w:val="00A653E2"/>
    <w:rsid w:val="00A6585F"/>
    <w:rsid w:val="00A65943"/>
    <w:rsid w:val="00A66969"/>
    <w:rsid w:val="00A66CA9"/>
    <w:rsid w:val="00A66F2B"/>
    <w:rsid w:val="00A66FC8"/>
    <w:rsid w:val="00A67ECF"/>
    <w:rsid w:val="00A7015D"/>
    <w:rsid w:val="00A70A25"/>
    <w:rsid w:val="00A70D83"/>
    <w:rsid w:val="00A70DC7"/>
    <w:rsid w:val="00A710BA"/>
    <w:rsid w:val="00A711ED"/>
    <w:rsid w:val="00A71C42"/>
    <w:rsid w:val="00A732FA"/>
    <w:rsid w:val="00A73834"/>
    <w:rsid w:val="00A73C02"/>
    <w:rsid w:val="00A749AB"/>
    <w:rsid w:val="00A74F7C"/>
    <w:rsid w:val="00A752E9"/>
    <w:rsid w:val="00A75CFB"/>
    <w:rsid w:val="00A75E65"/>
    <w:rsid w:val="00A765FF"/>
    <w:rsid w:val="00A767BA"/>
    <w:rsid w:val="00A76B3B"/>
    <w:rsid w:val="00A77458"/>
    <w:rsid w:val="00A8020E"/>
    <w:rsid w:val="00A8075D"/>
    <w:rsid w:val="00A807B2"/>
    <w:rsid w:val="00A80B2A"/>
    <w:rsid w:val="00A80C49"/>
    <w:rsid w:val="00A80D75"/>
    <w:rsid w:val="00A8163C"/>
    <w:rsid w:val="00A81904"/>
    <w:rsid w:val="00A81DDE"/>
    <w:rsid w:val="00A829CC"/>
    <w:rsid w:val="00A82F61"/>
    <w:rsid w:val="00A83205"/>
    <w:rsid w:val="00A83565"/>
    <w:rsid w:val="00A84084"/>
    <w:rsid w:val="00A843FD"/>
    <w:rsid w:val="00A849C1"/>
    <w:rsid w:val="00A849FF"/>
    <w:rsid w:val="00A84C59"/>
    <w:rsid w:val="00A84CBC"/>
    <w:rsid w:val="00A84EBD"/>
    <w:rsid w:val="00A854A1"/>
    <w:rsid w:val="00A8553B"/>
    <w:rsid w:val="00A85558"/>
    <w:rsid w:val="00A85834"/>
    <w:rsid w:val="00A85DFB"/>
    <w:rsid w:val="00A85E6D"/>
    <w:rsid w:val="00A86C19"/>
    <w:rsid w:val="00A870D1"/>
    <w:rsid w:val="00A8741C"/>
    <w:rsid w:val="00A87731"/>
    <w:rsid w:val="00A87F31"/>
    <w:rsid w:val="00A903C3"/>
    <w:rsid w:val="00A904D8"/>
    <w:rsid w:val="00A91D92"/>
    <w:rsid w:val="00A92209"/>
    <w:rsid w:val="00A92431"/>
    <w:rsid w:val="00A92672"/>
    <w:rsid w:val="00A92732"/>
    <w:rsid w:val="00A92B34"/>
    <w:rsid w:val="00A93423"/>
    <w:rsid w:val="00A9394E"/>
    <w:rsid w:val="00A93ADA"/>
    <w:rsid w:val="00A93FBF"/>
    <w:rsid w:val="00A9431E"/>
    <w:rsid w:val="00A94A71"/>
    <w:rsid w:val="00A95F1E"/>
    <w:rsid w:val="00A96200"/>
    <w:rsid w:val="00A964BA"/>
    <w:rsid w:val="00A96CD0"/>
    <w:rsid w:val="00A9720B"/>
    <w:rsid w:val="00A972B9"/>
    <w:rsid w:val="00A973D6"/>
    <w:rsid w:val="00A9765E"/>
    <w:rsid w:val="00A977DD"/>
    <w:rsid w:val="00A979C2"/>
    <w:rsid w:val="00A97A7F"/>
    <w:rsid w:val="00A97ECE"/>
    <w:rsid w:val="00AA0060"/>
    <w:rsid w:val="00AA0515"/>
    <w:rsid w:val="00AA1861"/>
    <w:rsid w:val="00AA2849"/>
    <w:rsid w:val="00AA309F"/>
    <w:rsid w:val="00AA318B"/>
    <w:rsid w:val="00AA3DB2"/>
    <w:rsid w:val="00AA4245"/>
    <w:rsid w:val="00AA4732"/>
    <w:rsid w:val="00AA4F95"/>
    <w:rsid w:val="00AA529E"/>
    <w:rsid w:val="00AA589F"/>
    <w:rsid w:val="00AA64E1"/>
    <w:rsid w:val="00AA7677"/>
    <w:rsid w:val="00AA77A9"/>
    <w:rsid w:val="00AA7B36"/>
    <w:rsid w:val="00AB013A"/>
    <w:rsid w:val="00AB0510"/>
    <w:rsid w:val="00AB089B"/>
    <w:rsid w:val="00AB11D0"/>
    <w:rsid w:val="00AB1755"/>
    <w:rsid w:val="00AB1A39"/>
    <w:rsid w:val="00AB1B77"/>
    <w:rsid w:val="00AB1C38"/>
    <w:rsid w:val="00AB2120"/>
    <w:rsid w:val="00AB2490"/>
    <w:rsid w:val="00AB25C6"/>
    <w:rsid w:val="00AB2B62"/>
    <w:rsid w:val="00AB32FE"/>
    <w:rsid w:val="00AB355B"/>
    <w:rsid w:val="00AB3708"/>
    <w:rsid w:val="00AB4D50"/>
    <w:rsid w:val="00AB51AE"/>
    <w:rsid w:val="00AB521C"/>
    <w:rsid w:val="00AB55BF"/>
    <w:rsid w:val="00AB6355"/>
    <w:rsid w:val="00AB64C6"/>
    <w:rsid w:val="00AB6CE2"/>
    <w:rsid w:val="00AB70EF"/>
    <w:rsid w:val="00AB72EF"/>
    <w:rsid w:val="00AB7921"/>
    <w:rsid w:val="00AB7CCA"/>
    <w:rsid w:val="00AB7F76"/>
    <w:rsid w:val="00AC05F9"/>
    <w:rsid w:val="00AC0C41"/>
    <w:rsid w:val="00AC0E0F"/>
    <w:rsid w:val="00AC15C7"/>
    <w:rsid w:val="00AC1661"/>
    <w:rsid w:val="00AC1EB2"/>
    <w:rsid w:val="00AC1FC2"/>
    <w:rsid w:val="00AC21C9"/>
    <w:rsid w:val="00AC236E"/>
    <w:rsid w:val="00AC26B2"/>
    <w:rsid w:val="00AC2964"/>
    <w:rsid w:val="00AC3696"/>
    <w:rsid w:val="00AC3966"/>
    <w:rsid w:val="00AC3C78"/>
    <w:rsid w:val="00AC4796"/>
    <w:rsid w:val="00AC48B8"/>
    <w:rsid w:val="00AC567F"/>
    <w:rsid w:val="00AC58D0"/>
    <w:rsid w:val="00AC58F7"/>
    <w:rsid w:val="00AC5C49"/>
    <w:rsid w:val="00AC5E8D"/>
    <w:rsid w:val="00AC6494"/>
    <w:rsid w:val="00AC6691"/>
    <w:rsid w:val="00AC6D5C"/>
    <w:rsid w:val="00AC6DAE"/>
    <w:rsid w:val="00AC6F82"/>
    <w:rsid w:val="00AC70F9"/>
    <w:rsid w:val="00AC71FC"/>
    <w:rsid w:val="00AC7789"/>
    <w:rsid w:val="00AC7846"/>
    <w:rsid w:val="00AC7A09"/>
    <w:rsid w:val="00AD0E3F"/>
    <w:rsid w:val="00AD11B6"/>
    <w:rsid w:val="00AD17B9"/>
    <w:rsid w:val="00AD1EFC"/>
    <w:rsid w:val="00AD1FE4"/>
    <w:rsid w:val="00AD20C8"/>
    <w:rsid w:val="00AD260A"/>
    <w:rsid w:val="00AD283A"/>
    <w:rsid w:val="00AD2F4C"/>
    <w:rsid w:val="00AD2FCF"/>
    <w:rsid w:val="00AD3463"/>
    <w:rsid w:val="00AD3CA6"/>
    <w:rsid w:val="00AD3E3F"/>
    <w:rsid w:val="00AD41BF"/>
    <w:rsid w:val="00AD44BF"/>
    <w:rsid w:val="00AD46BA"/>
    <w:rsid w:val="00AD4ED1"/>
    <w:rsid w:val="00AD52EA"/>
    <w:rsid w:val="00AD5CAE"/>
    <w:rsid w:val="00AD60EC"/>
    <w:rsid w:val="00AD63AC"/>
    <w:rsid w:val="00AD68F9"/>
    <w:rsid w:val="00AD6ABA"/>
    <w:rsid w:val="00AD6AC3"/>
    <w:rsid w:val="00AD6D7C"/>
    <w:rsid w:val="00AD7A2D"/>
    <w:rsid w:val="00AE0483"/>
    <w:rsid w:val="00AE05F5"/>
    <w:rsid w:val="00AE0CAA"/>
    <w:rsid w:val="00AE0FA6"/>
    <w:rsid w:val="00AE1A5C"/>
    <w:rsid w:val="00AE1F7B"/>
    <w:rsid w:val="00AE20B2"/>
    <w:rsid w:val="00AE2246"/>
    <w:rsid w:val="00AE29DE"/>
    <w:rsid w:val="00AE31D2"/>
    <w:rsid w:val="00AE33B4"/>
    <w:rsid w:val="00AE3684"/>
    <w:rsid w:val="00AE3A80"/>
    <w:rsid w:val="00AE3C30"/>
    <w:rsid w:val="00AE4C21"/>
    <w:rsid w:val="00AE506E"/>
    <w:rsid w:val="00AE53D8"/>
    <w:rsid w:val="00AE5468"/>
    <w:rsid w:val="00AE5A4D"/>
    <w:rsid w:val="00AE5A5D"/>
    <w:rsid w:val="00AE5FA3"/>
    <w:rsid w:val="00AE60B5"/>
    <w:rsid w:val="00AE65C0"/>
    <w:rsid w:val="00AE67DA"/>
    <w:rsid w:val="00AE6E7D"/>
    <w:rsid w:val="00AE773A"/>
    <w:rsid w:val="00AF0452"/>
    <w:rsid w:val="00AF05DA"/>
    <w:rsid w:val="00AF0914"/>
    <w:rsid w:val="00AF093D"/>
    <w:rsid w:val="00AF0976"/>
    <w:rsid w:val="00AF0A45"/>
    <w:rsid w:val="00AF0AB7"/>
    <w:rsid w:val="00AF10A8"/>
    <w:rsid w:val="00AF248C"/>
    <w:rsid w:val="00AF2533"/>
    <w:rsid w:val="00AF29CC"/>
    <w:rsid w:val="00AF3D06"/>
    <w:rsid w:val="00AF4142"/>
    <w:rsid w:val="00AF41B3"/>
    <w:rsid w:val="00AF44DE"/>
    <w:rsid w:val="00AF4710"/>
    <w:rsid w:val="00AF47E8"/>
    <w:rsid w:val="00AF4ABE"/>
    <w:rsid w:val="00AF4C45"/>
    <w:rsid w:val="00AF5146"/>
    <w:rsid w:val="00AF56AF"/>
    <w:rsid w:val="00AF58C5"/>
    <w:rsid w:val="00AF5964"/>
    <w:rsid w:val="00AF5AD9"/>
    <w:rsid w:val="00AF61A6"/>
    <w:rsid w:val="00AF6442"/>
    <w:rsid w:val="00AF7188"/>
    <w:rsid w:val="00AF7214"/>
    <w:rsid w:val="00AF727C"/>
    <w:rsid w:val="00AF756A"/>
    <w:rsid w:val="00AF789C"/>
    <w:rsid w:val="00AF7C8D"/>
    <w:rsid w:val="00AF7CB4"/>
    <w:rsid w:val="00B003E6"/>
    <w:rsid w:val="00B004EB"/>
    <w:rsid w:val="00B01EA8"/>
    <w:rsid w:val="00B020C9"/>
    <w:rsid w:val="00B023B1"/>
    <w:rsid w:val="00B024B3"/>
    <w:rsid w:val="00B02541"/>
    <w:rsid w:val="00B026EA"/>
    <w:rsid w:val="00B02CEF"/>
    <w:rsid w:val="00B0379D"/>
    <w:rsid w:val="00B03E11"/>
    <w:rsid w:val="00B04740"/>
    <w:rsid w:val="00B057A2"/>
    <w:rsid w:val="00B0580A"/>
    <w:rsid w:val="00B05C97"/>
    <w:rsid w:val="00B05D4E"/>
    <w:rsid w:val="00B06462"/>
    <w:rsid w:val="00B06B7D"/>
    <w:rsid w:val="00B070DC"/>
    <w:rsid w:val="00B07B75"/>
    <w:rsid w:val="00B104C5"/>
    <w:rsid w:val="00B10B14"/>
    <w:rsid w:val="00B10BE5"/>
    <w:rsid w:val="00B10C67"/>
    <w:rsid w:val="00B1109C"/>
    <w:rsid w:val="00B1140A"/>
    <w:rsid w:val="00B11607"/>
    <w:rsid w:val="00B117CE"/>
    <w:rsid w:val="00B12068"/>
    <w:rsid w:val="00B121D3"/>
    <w:rsid w:val="00B12DC4"/>
    <w:rsid w:val="00B1347F"/>
    <w:rsid w:val="00B13646"/>
    <w:rsid w:val="00B1367D"/>
    <w:rsid w:val="00B13A44"/>
    <w:rsid w:val="00B13E6D"/>
    <w:rsid w:val="00B14369"/>
    <w:rsid w:val="00B147BD"/>
    <w:rsid w:val="00B153FD"/>
    <w:rsid w:val="00B15AE4"/>
    <w:rsid w:val="00B15CD9"/>
    <w:rsid w:val="00B15FE1"/>
    <w:rsid w:val="00B16BB8"/>
    <w:rsid w:val="00B16CE2"/>
    <w:rsid w:val="00B16FBA"/>
    <w:rsid w:val="00B170E1"/>
    <w:rsid w:val="00B17684"/>
    <w:rsid w:val="00B17D45"/>
    <w:rsid w:val="00B207BA"/>
    <w:rsid w:val="00B20820"/>
    <w:rsid w:val="00B208BC"/>
    <w:rsid w:val="00B2187A"/>
    <w:rsid w:val="00B22A92"/>
    <w:rsid w:val="00B233FD"/>
    <w:rsid w:val="00B23D8F"/>
    <w:rsid w:val="00B23F56"/>
    <w:rsid w:val="00B242D8"/>
    <w:rsid w:val="00B24EBF"/>
    <w:rsid w:val="00B2536E"/>
    <w:rsid w:val="00B2574A"/>
    <w:rsid w:val="00B2601C"/>
    <w:rsid w:val="00B2668C"/>
    <w:rsid w:val="00B267F8"/>
    <w:rsid w:val="00B2693E"/>
    <w:rsid w:val="00B269CB"/>
    <w:rsid w:val="00B26FA4"/>
    <w:rsid w:val="00B27543"/>
    <w:rsid w:val="00B27C69"/>
    <w:rsid w:val="00B27FF2"/>
    <w:rsid w:val="00B301CF"/>
    <w:rsid w:val="00B3039E"/>
    <w:rsid w:val="00B30466"/>
    <w:rsid w:val="00B3046D"/>
    <w:rsid w:val="00B30611"/>
    <w:rsid w:val="00B308B3"/>
    <w:rsid w:val="00B309BD"/>
    <w:rsid w:val="00B30C77"/>
    <w:rsid w:val="00B31536"/>
    <w:rsid w:val="00B31C9D"/>
    <w:rsid w:val="00B31D30"/>
    <w:rsid w:val="00B31E6F"/>
    <w:rsid w:val="00B3206B"/>
    <w:rsid w:val="00B32300"/>
    <w:rsid w:val="00B32458"/>
    <w:rsid w:val="00B3303C"/>
    <w:rsid w:val="00B33044"/>
    <w:rsid w:val="00B336FE"/>
    <w:rsid w:val="00B33C9D"/>
    <w:rsid w:val="00B34374"/>
    <w:rsid w:val="00B34D9C"/>
    <w:rsid w:val="00B34FB3"/>
    <w:rsid w:val="00B358B4"/>
    <w:rsid w:val="00B35B93"/>
    <w:rsid w:val="00B35CB6"/>
    <w:rsid w:val="00B36963"/>
    <w:rsid w:val="00B36EF5"/>
    <w:rsid w:val="00B37524"/>
    <w:rsid w:val="00B37606"/>
    <w:rsid w:val="00B37A1E"/>
    <w:rsid w:val="00B37CCF"/>
    <w:rsid w:val="00B400E1"/>
    <w:rsid w:val="00B401F1"/>
    <w:rsid w:val="00B4049E"/>
    <w:rsid w:val="00B4087D"/>
    <w:rsid w:val="00B40E61"/>
    <w:rsid w:val="00B41594"/>
    <w:rsid w:val="00B42021"/>
    <w:rsid w:val="00B42A73"/>
    <w:rsid w:val="00B42C83"/>
    <w:rsid w:val="00B42EF1"/>
    <w:rsid w:val="00B43329"/>
    <w:rsid w:val="00B43AE9"/>
    <w:rsid w:val="00B4410D"/>
    <w:rsid w:val="00B44484"/>
    <w:rsid w:val="00B444DC"/>
    <w:rsid w:val="00B445AE"/>
    <w:rsid w:val="00B45A98"/>
    <w:rsid w:val="00B45F05"/>
    <w:rsid w:val="00B460CE"/>
    <w:rsid w:val="00B465FA"/>
    <w:rsid w:val="00B4677F"/>
    <w:rsid w:val="00B46E88"/>
    <w:rsid w:val="00B478D5"/>
    <w:rsid w:val="00B47FC3"/>
    <w:rsid w:val="00B502CA"/>
    <w:rsid w:val="00B50654"/>
    <w:rsid w:val="00B5120E"/>
    <w:rsid w:val="00B517D9"/>
    <w:rsid w:val="00B51CF3"/>
    <w:rsid w:val="00B51DA5"/>
    <w:rsid w:val="00B52684"/>
    <w:rsid w:val="00B52A12"/>
    <w:rsid w:val="00B52FAB"/>
    <w:rsid w:val="00B533C1"/>
    <w:rsid w:val="00B53535"/>
    <w:rsid w:val="00B53742"/>
    <w:rsid w:val="00B53B8E"/>
    <w:rsid w:val="00B544DF"/>
    <w:rsid w:val="00B549AF"/>
    <w:rsid w:val="00B55387"/>
    <w:rsid w:val="00B55806"/>
    <w:rsid w:val="00B5643C"/>
    <w:rsid w:val="00B56488"/>
    <w:rsid w:val="00B56A11"/>
    <w:rsid w:val="00B56F21"/>
    <w:rsid w:val="00B57043"/>
    <w:rsid w:val="00B572A8"/>
    <w:rsid w:val="00B57A3C"/>
    <w:rsid w:val="00B57A8B"/>
    <w:rsid w:val="00B57ACA"/>
    <w:rsid w:val="00B57C8A"/>
    <w:rsid w:val="00B605D1"/>
    <w:rsid w:val="00B60750"/>
    <w:rsid w:val="00B607DA"/>
    <w:rsid w:val="00B61389"/>
    <w:rsid w:val="00B61575"/>
    <w:rsid w:val="00B61AF5"/>
    <w:rsid w:val="00B62416"/>
    <w:rsid w:val="00B62481"/>
    <w:rsid w:val="00B628D0"/>
    <w:rsid w:val="00B62EC7"/>
    <w:rsid w:val="00B62EE7"/>
    <w:rsid w:val="00B62F98"/>
    <w:rsid w:val="00B63CF3"/>
    <w:rsid w:val="00B64BC6"/>
    <w:rsid w:val="00B65331"/>
    <w:rsid w:val="00B65C32"/>
    <w:rsid w:val="00B65CC5"/>
    <w:rsid w:val="00B65DF9"/>
    <w:rsid w:val="00B6612B"/>
    <w:rsid w:val="00B66456"/>
    <w:rsid w:val="00B66746"/>
    <w:rsid w:val="00B67A49"/>
    <w:rsid w:val="00B67DF3"/>
    <w:rsid w:val="00B67F0C"/>
    <w:rsid w:val="00B7006D"/>
    <w:rsid w:val="00B709B4"/>
    <w:rsid w:val="00B710AD"/>
    <w:rsid w:val="00B71176"/>
    <w:rsid w:val="00B7154F"/>
    <w:rsid w:val="00B715D2"/>
    <w:rsid w:val="00B72A47"/>
    <w:rsid w:val="00B732CE"/>
    <w:rsid w:val="00B7371D"/>
    <w:rsid w:val="00B73C29"/>
    <w:rsid w:val="00B73EC6"/>
    <w:rsid w:val="00B748D9"/>
    <w:rsid w:val="00B74DD2"/>
    <w:rsid w:val="00B753B7"/>
    <w:rsid w:val="00B75581"/>
    <w:rsid w:val="00B757AA"/>
    <w:rsid w:val="00B75F49"/>
    <w:rsid w:val="00B76513"/>
    <w:rsid w:val="00B76585"/>
    <w:rsid w:val="00B76EF4"/>
    <w:rsid w:val="00B77169"/>
    <w:rsid w:val="00B77B4D"/>
    <w:rsid w:val="00B77E5A"/>
    <w:rsid w:val="00B77FD1"/>
    <w:rsid w:val="00B800A7"/>
    <w:rsid w:val="00B802D6"/>
    <w:rsid w:val="00B80594"/>
    <w:rsid w:val="00B808C7"/>
    <w:rsid w:val="00B81274"/>
    <w:rsid w:val="00B815AA"/>
    <w:rsid w:val="00B81726"/>
    <w:rsid w:val="00B81840"/>
    <w:rsid w:val="00B818E8"/>
    <w:rsid w:val="00B81D79"/>
    <w:rsid w:val="00B82299"/>
    <w:rsid w:val="00B8288B"/>
    <w:rsid w:val="00B82AAA"/>
    <w:rsid w:val="00B82C48"/>
    <w:rsid w:val="00B832EA"/>
    <w:rsid w:val="00B83312"/>
    <w:rsid w:val="00B83543"/>
    <w:rsid w:val="00B83623"/>
    <w:rsid w:val="00B838EA"/>
    <w:rsid w:val="00B83CFD"/>
    <w:rsid w:val="00B83E06"/>
    <w:rsid w:val="00B84D91"/>
    <w:rsid w:val="00B84F85"/>
    <w:rsid w:val="00B8556D"/>
    <w:rsid w:val="00B855DA"/>
    <w:rsid w:val="00B8642C"/>
    <w:rsid w:val="00B864AF"/>
    <w:rsid w:val="00B866E2"/>
    <w:rsid w:val="00B86C82"/>
    <w:rsid w:val="00B86DDD"/>
    <w:rsid w:val="00B86FD9"/>
    <w:rsid w:val="00B871F5"/>
    <w:rsid w:val="00B87683"/>
    <w:rsid w:val="00B8794E"/>
    <w:rsid w:val="00B87EFF"/>
    <w:rsid w:val="00B9024A"/>
    <w:rsid w:val="00B90C09"/>
    <w:rsid w:val="00B90C18"/>
    <w:rsid w:val="00B90C1A"/>
    <w:rsid w:val="00B9124E"/>
    <w:rsid w:val="00B9140A"/>
    <w:rsid w:val="00B91979"/>
    <w:rsid w:val="00B9241C"/>
    <w:rsid w:val="00B92F38"/>
    <w:rsid w:val="00B93378"/>
    <w:rsid w:val="00B93CE2"/>
    <w:rsid w:val="00B93D52"/>
    <w:rsid w:val="00B94311"/>
    <w:rsid w:val="00B94F8F"/>
    <w:rsid w:val="00B95082"/>
    <w:rsid w:val="00B955E2"/>
    <w:rsid w:val="00B95914"/>
    <w:rsid w:val="00B95A04"/>
    <w:rsid w:val="00B963EE"/>
    <w:rsid w:val="00B96A4B"/>
    <w:rsid w:val="00B96A61"/>
    <w:rsid w:val="00B97828"/>
    <w:rsid w:val="00B978B5"/>
    <w:rsid w:val="00B97963"/>
    <w:rsid w:val="00B97D43"/>
    <w:rsid w:val="00B97F92"/>
    <w:rsid w:val="00BA019F"/>
    <w:rsid w:val="00BA167C"/>
    <w:rsid w:val="00BA233E"/>
    <w:rsid w:val="00BA23F1"/>
    <w:rsid w:val="00BA2A6C"/>
    <w:rsid w:val="00BA2A78"/>
    <w:rsid w:val="00BA3E06"/>
    <w:rsid w:val="00BA3FD9"/>
    <w:rsid w:val="00BA5320"/>
    <w:rsid w:val="00BA5635"/>
    <w:rsid w:val="00BA5F2D"/>
    <w:rsid w:val="00BA6861"/>
    <w:rsid w:val="00BA6EE9"/>
    <w:rsid w:val="00BA721E"/>
    <w:rsid w:val="00BA72A0"/>
    <w:rsid w:val="00BA73AA"/>
    <w:rsid w:val="00BA761D"/>
    <w:rsid w:val="00BA7920"/>
    <w:rsid w:val="00BA7A4E"/>
    <w:rsid w:val="00BB01F9"/>
    <w:rsid w:val="00BB0FC6"/>
    <w:rsid w:val="00BB0FEC"/>
    <w:rsid w:val="00BB1728"/>
    <w:rsid w:val="00BB1CCB"/>
    <w:rsid w:val="00BB206C"/>
    <w:rsid w:val="00BB2588"/>
    <w:rsid w:val="00BB2FC3"/>
    <w:rsid w:val="00BB343D"/>
    <w:rsid w:val="00BB3579"/>
    <w:rsid w:val="00BB36E3"/>
    <w:rsid w:val="00BB3D7E"/>
    <w:rsid w:val="00BB3E35"/>
    <w:rsid w:val="00BB3F5E"/>
    <w:rsid w:val="00BB41C7"/>
    <w:rsid w:val="00BB45F9"/>
    <w:rsid w:val="00BB4943"/>
    <w:rsid w:val="00BB4C21"/>
    <w:rsid w:val="00BB524B"/>
    <w:rsid w:val="00BB5D85"/>
    <w:rsid w:val="00BB5FA7"/>
    <w:rsid w:val="00BB5FC0"/>
    <w:rsid w:val="00BB638B"/>
    <w:rsid w:val="00BB6953"/>
    <w:rsid w:val="00BB701A"/>
    <w:rsid w:val="00BB7750"/>
    <w:rsid w:val="00BB7B9F"/>
    <w:rsid w:val="00BB7C16"/>
    <w:rsid w:val="00BB7DF1"/>
    <w:rsid w:val="00BC050A"/>
    <w:rsid w:val="00BC055E"/>
    <w:rsid w:val="00BC12EC"/>
    <w:rsid w:val="00BC15D1"/>
    <w:rsid w:val="00BC19DC"/>
    <w:rsid w:val="00BC1AB8"/>
    <w:rsid w:val="00BC1DC5"/>
    <w:rsid w:val="00BC1F27"/>
    <w:rsid w:val="00BC215B"/>
    <w:rsid w:val="00BC2297"/>
    <w:rsid w:val="00BC242B"/>
    <w:rsid w:val="00BC2840"/>
    <w:rsid w:val="00BC2D65"/>
    <w:rsid w:val="00BC3370"/>
    <w:rsid w:val="00BC38FD"/>
    <w:rsid w:val="00BC4020"/>
    <w:rsid w:val="00BC4444"/>
    <w:rsid w:val="00BC44D6"/>
    <w:rsid w:val="00BC4A74"/>
    <w:rsid w:val="00BC4C76"/>
    <w:rsid w:val="00BC532A"/>
    <w:rsid w:val="00BC5BA3"/>
    <w:rsid w:val="00BC6458"/>
    <w:rsid w:val="00BC6D6A"/>
    <w:rsid w:val="00BC6EC0"/>
    <w:rsid w:val="00BC7571"/>
    <w:rsid w:val="00BD01CC"/>
    <w:rsid w:val="00BD0602"/>
    <w:rsid w:val="00BD074F"/>
    <w:rsid w:val="00BD07BF"/>
    <w:rsid w:val="00BD20EA"/>
    <w:rsid w:val="00BD2381"/>
    <w:rsid w:val="00BD2986"/>
    <w:rsid w:val="00BD2CF4"/>
    <w:rsid w:val="00BD31F6"/>
    <w:rsid w:val="00BD36A3"/>
    <w:rsid w:val="00BD37EF"/>
    <w:rsid w:val="00BD38AB"/>
    <w:rsid w:val="00BD3F04"/>
    <w:rsid w:val="00BD42BF"/>
    <w:rsid w:val="00BD43C5"/>
    <w:rsid w:val="00BD43F1"/>
    <w:rsid w:val="00BD44AE"/>
    <w:rsid w:val="00BD5247"/>
    <w:rsid w:val="00BD58CD"/>
    <w:rsid w:val="00BD693D"/>
    <w:rsid w:val="00BD7493"/>
    <w:rsid w:val="00BD76B0"/>
    <w:rsid w:val="00BE0D1C"/>
    <w:rsid w:val="00BE1658"/>
    <w:rsid w:val="00BE2AC8"/>
    <w:rsid w:val="00BE2BFF"/>
    <w:rsid w:val="00BE39D8"/>
    <w:rsid w:val="00BE3C63"/>
    <w:rsid w:val="00BE3FED"/>
    <w:rsid w:val="00BE40B6"/>
    <w:rsid w:val="00BE465F"/>
    <w:rsid w:val="00BE4708"/>
    <w:rsid w:val="00BE47B4"/>
    <w:rsid w:val="00BE486A"/>
    <w:rsid w:val="00BE4A23"/>
    <w:rsid w:val="00BE4D7F"/>
    <w:rsid w:val="00BE5587"/>
    <w:rsid w:val="00BE5688"/>
    <w:rsid w:val="00BE580A"/>
    <w:rsid w:val="00BE60A6"/>
    <w:rsid w:val="00BE6552"/>
    <w:rsid w:val="00BE6858"/>
    <w:rsid w:val="00BE6E8B"/>
    <w:rsid w:val="00BE75BB"/>
    <w:rsid w:val="00BE7A49"/>
    <w:rsid w:val="00BE7DF8"/>
    <w:rsid w:val="00BE7E83"/>
    <w:rsid w:val="00BF0242"/>
    <w:rsid w:val="00BF048A"/>
    <w:rsid w:val="00BF0881"/>
    <w:rsid w:val="00BF0BF9"/>
    <w:rsid w:val="00BF1192"/>
    <w:rsid w:val="00BF154A"/>
    <w:rsid w:val="00BF2260"/>
    <w:rsid w:val="00BF235A"/>
    <w:rsid w:val="00BF28D5"/>
    <w:rsid w:val="00BF3134"/>
    <w:rsid w:val="00BF3300"/>
    <w:rsid w:val="00BF3562"/>
    <w:rsid w:val="00BF3AF6"/>
    <w:rsid w:val="00BF3BD4"/>
    <w:rsid w:val="00BF3F25"/>
    <w:rsid w:val="00BF42DD"/>
    <w:rsid w:val="00BF44C7"/>
    <w:rsid w:val="00BF4516"/>
    <w:rsid w:val="00BF4BAB"/>
    <w:rsid w:val="00BF4EAE"/>
    <w:rsid w:val="00BF5476"/>
    <w:rsid w:val="00BF5780"/>
    <w:rsid w:val="00BF57BF"/>
    <w:rsid w:val="00BF63FF"/>
    <w:rsid w:val="00BF6430"/>
    <w:rsid w:val="00BF645C"/>
    <w:rsid w:val="00BF655F"/>
    <w:rsid w:val="00BF6D71"/>
    <w:rsid w:val="00BF6E29"/>
    <w:rsid w:val="00BF6E9B"/>
    <w:rsid w:val="00C0083A"/>
    <w:rsid w:val="00C0087B"/>
    <w:rsid w:val="00C00986"/>
    <w:rsid w:val="00C009C1"/>
    <w:rsid w:val="00C00AD2"/>
    <w:rsid w:val="00C01063"/>
    <w:rsid w:val="00C01548"/>
    <w:rsid w:val="00C01AAD"/>
    <w:rsid w:val="00C01AD4"/>
    <w:rsid w:val="00C01B49"/>
    <w:rsid w:val="00C020B0"/>
    <w:rsid w:val="00C0217B"/>
    <w:rsid w:val="00C02856"/>
    <w:rsid w:val="00C03205"/>
    <w:rsid w:val="00C03525"/>
    <w:rsid w:val="00C037D5"/>
    <w:rsid w:val="00C03817"/>
    <w:rsid w:val="00C03EB6"/>
    <w:rsid w:val="00C040CA"/>
    <w:rsid w:val="00C04A63"/>
    <w:rsid w:val="00C0516C"/>
    <w:rsid w:val="00C0545C"/>
    <w:rsid w:val="00C05857"/>
    <w:rsid w:val="00C05EE2"/>
    <w:rsid w:val="00C0605E"/>
    <w:rsid w:val="00C061A7"/>
    <w:rsid w:val="00C06631"/>
    <w:rsid w:val="00C0671D"/>
    <w:rsid w:val="00C06ECB"/>
    <w:rsid w:val="00C07288"/>
    <w:rsid w:val="00C07735"/>
    <w:rsid w:val="00C07CD7"/>
    <w:rsid w:val="00C10004"/>
    <w:rsid w:val="00C100F5"/>
    <w:rsid w:val="00C10B4A"/>
    <w:rsid w:val="00C11131"/>
    <w:rsid w:val="00C116F6"/>
    <w:rsid w:val="00C11E6C"/>
    <w:rsid w:val="00C126A0"/>
    <w:rsid w:val="00C12701"/>
    <w:rsid w:val="00C1275A"/>
    <w:rsid w:val="00C12D29"/>
    <w:rsid w:val="00C12ED8"/>
    <w:rsid w:val="00C13011"/>
    <w:rsid w:val="00C13249"/>
    <w:rsid w:val="00C1332C"/>
    <w:rsid w:val="00C13759"/>
    <w:rsid w:val="00C13E68"/>
    <w:rsid w:val="00C14572"/>
    <w:rsid w:val="00C146F1"/>
    <w:rsid w:val="00C148FA"/>
    <w:rsid w:val="00C14AD5"/>
    <w:rsid w:val="00C14DA6"/>
    <w:rsid w:val="00C14F43"/>
    <w:rsid w:val="00C1508A"/>
    <w:rsid w:val="00C15416"/>
    <w:rsid w:val="00C15E74"/>
    <w:rsid w:val="00C1652A"/>
    <w:rsid w:val="00C17690"/>
    <w:rsid w:val="00C17D25"/>
    <w:rsid w:val="00C17E17"/>
    <w:rsid w:val="00C203A8"/>
    <w:rsid w:val="00C216D2"/>
    <w:rsid w:val="00C21A39"/>
    <w:rsid w:val="00C21B65"/>
    <w:rsid w:val="00C22964"/>
    <w:rsid w:val="00C2321E"/>
    <w:rsid w:val="00C233C2"/>
    <w:rsid w:val="00C23702"/>
    <w:rsid w:val="00C23AA9"/>
    <w:rsid w:val="00C23DA7"/>
    <w:rsid w:val="00C23FDB"/>
    <w:rsid w:val="00C240C1"/>
    <w:rsid w:val="00C2426C"/>
    <w:rsid w:val="00C25210"/>
    <w:rsid w:val="00C2559C"/>
    <w:rsid w:val="00C25C02"/>
    <w:rsid w:val="00C26161"/>
    <w:rsid w:val="00C26BA0"/>
    <w:rsid w:val="00C26E5E"/>
    <w:rsid w:val="00C2701A"/>
    <w:rsid w:val="00C27B85"/>
    <w:rsid w:val="00C30017"/>
    <w:rsid w:val="00C30076"/>
    <w:rsid w:val="00C300EC"/>
    <w:rsid w:val="00C304D8"/>
    <w:rsid w:val="00C30DC4"/>
    <w:rsid w:val="00C3171D"/>
    <w:rsid w:val="00C317A6"/>
    <w:rsid w:val="00C31985"/>
    <w:rsid w:val="00C319AC"/>
    <w:rsid w:val="00C32391"/>
    <w:rsid w:val="00C323BF"/>
    <w:rsid w:val="00C324BA"/>
    <w:rsid w:val="00C3275F"/>
    <w:rsid w:val="00C32A46"/>
    <w:rsid w:val="00C336EE"/>
    <w:rsid w:val="00C33AC7"/>
    <w:rsid w:val="00C33E8B"/>
    <w:rsid w:val="00C340D4"/>
    <w:rsid w:val="00C3417D"/>
    <w:rsid w:val="00C346C3"/>
    <w:rsid w:val="00C3513B"/>
    <w:rsid w:val="00C35C40"/>
    <w:rsid w:val="00C364B9"/>
    <w:rsid w:val="00C37F77"/>
    <w:rsid w:val="00C37FC3"/>
    <w:rsid w:val="00C402C4"/>
    <w:rsid w:val="00C4087A"/>
    <w:rsid w:val="00C40E1B"/>
    <w:rsid w:val="00C413F3"/>
    <w:rsid w:val="00C41ACC"/>
    <w:rsid w:val="00C41C60"/>
    <w:rsid w:val="00C41C9C"/>
    <w:rsid w:val="00C422F2"/>
    <w:rsid w:val="00C42346"/>
    <w:rsid w:val="00C42E35"/>
    <w:rsid w:val="00C43434"/>
    <w:rsid w:val="00C448F0"/>
    <w:rsid w:val="00C4523B"/>
    <w:rsid w:val="00C452D2"/>
    <w:rsid w:val="00C4545D"/>
    <w:rsid w:val="00C4560D"/>
    <w:rsid w:val="00C458E4"/>
    <w:rsid w:val="00C45C42"/>
    <w:rsid w:val="00C45D8D"/>
    <w:rsid w:val="00C4696F"/>
    <w:rsid w:val="00C46F7E"/>
    <w:rsid w:val="00C47723"/>
    <w:rsid w:val="00C47BE0"/>
    <w:rsid w:val="00C47EA3"/>
    <w:rsid w:val="00C5029C"/>
    <w:rsid w:val="00C51248"/>
    <w:rsid w:val="00C51CF3"/>
    <w:rsid w:val="00C52036"/>
    <w:rsid w:val="00C52302"/>
    <w:rsid w:val="00C523CB"/>
    <w:rsid w:val="00C52ADE"/>
    <w:rsid w:val="00C52BA8"/>
    <w:rsid w:val="00C52C1B"/>
    <w:rsid w:val="00C52F7A"/>
    <w:rsid w:val="00C53A91"/>
    <w:rsid w:val="00C54394"/>
    <w:rsid w:val="00C56A88"/>
    <w:rsid w:val="00C56FB5"/>
    <w:rsid w:val="00C57E16"/>
    <w:rsid w:val="00C57EDF"/>
    <w:rsid w:val="00C602BB"/>
    <w:rsid w:val="00C61589"/>
    <w:rsid w:val="00C61ADB"/>
    <w:rsid w:val="00C62516"/>
    <w:rsid w:val="00C629CD"/>
    <w:rsid w:val="00C62CCD"/>
    <w:rsid w:val="00C631A2"/>
    <w:rsid w:val="00C6329E"/>
    <w:rsid w:val="00C634CB"/>
    <w:rsid w:val="00C638F9"/>
    <w:rsid w:val="00C63FF9"/>
    <w:rsid w:val="00C64173"/>
    <w:rsid w:val="00C64C6E"/>
    <w:rsid w:val="00C65105"/>
    <w:rsid w:val="00C6523D"/>
    <w:rsid w:val="00C6531D"/>
    <w:rsid w:val="00C65B2C"/>
    <w:rsid w:val="00C66812"/>
    <w:rsid w:val="00C668F7"/>
    <w:rsid w:val="00C669EB"/>
    <w:rsid w:val="00C66CDD"/>
    <w:rsid w:val="00C66E6E"/>
    <w:rsid w:val="00C67054"/>
    <w:rsid w:val="00C672A9"/>
    <w:rsid w:val="00C6733C"/>
    <w:rsid w:val="00C6754C"/>
    <w:rsid w:val="00C675A1"/>
    <w:rsid w:val="00C67C13"/>
    <w:rsid w:val="00C70493"/>
    <w:rsid w:val="00C7119E"/>
    <w:rsid w:val="00C7157C"/>
    <w:rsid w:val="00C7211E"/>
    <w:rsid w:val="00C72470"/>
    <w:rsid w:val="00C72AF3"/>
    <w:rsid w:val="00C72C48"/>
    <w:rsid w:val="00C73119"/>
    <w:rsid w:val="00C7320D"/>
    <w:rsid w:val="00C738D5"/>
    <w:rsid w:val="00C73B51"/>
    <w:rsid w:val="00C73CB5"/>
    <w:rsid w:val="00C7405B"/>
    <w:rsid w:val="00C74BC5"/>
    <w:rsid w:val="00C75291"/>
    <w:rsid w:val="00C7568F"/>
    <w:rsid w:val="00C767A8"/>
    <w:rsid w:val="00C76A16"/>
    <w:rsid w:val="00C76AD0"/>
    <w:rsid w:val="00C779D2"/>
    <w:rsid w:val="00C77CD4"/>
    <w:rsid w:val="00C77E94"/>
    <w:rsid w:val="00C803FF"/>
    <w:rsid w:val="00C804A8"/>
    <w:rsid w:val="00C805FB"/>
    <w:rsid w:val="00C808D4"/>
    <w:rsid w:val="00C8098A"/>
    <w:rsid w:val="00C809EE"/>
    <w:rsid w:val="00C80CB7"/>
    <w:rsid w:val="00C81A40"/>
    <w:rsid w:val="00C81C9A"/>
    <w:rsid w:val="00C81E4B"/>
    <w:rsid w:val="00C82029"/>
    <w:rsid w:val="00C824A4"/>
    <w:rsid w:val="00C8254E"/>
    <w:rsid w:val="00C825A5"/>
    <w:rsid w:val="00C83313"/>
    <w:rsid w:val="00C83782"/>
    <w:rsid w:val="00C837E7"/>
    <w:rsid w:val="00C83C37"/>
    <w:rsid w:val="00C84153"/>
    <w:rsid w:val="00C8474E"/>
    <w:rsid w:val="00C84CB0"/>
    <w:rsid w:val="00C85047"/>
    <w:rsid w:val="00C85551"/>
    <w:rsid w:val="00C85791"/>
    <w:rsid w:val="00C85C5E"/>
    <w:rsid w:val="00C85DEA"/>
    <w:rsid w:val="00C86536"/>
    <w:rsid w:val="00C86615"/>
    <w:rsid w:val="00C86713"/>
    <w:rsid w:val="00C875FF"/>
    <w:rsid w:val="00C8777D"/>
    <w:rsid w:val="00C87C97"/>
    <w:rsid w:val="00C87D3B"/>
    <w:rsid w:val="00C87F40"/>
    <w:rsid w:val="00C901C7"/>
    <w:rsid w:val="00C902BB"/>
    <w:rsid w:val="00C90534"/>
    <w:rsid w:val="00C907F3"/>
    <w:rsid w:val="00C9157B"/>
    <w:rsid w:val="00C91FAF"/>
    <w:rsid w:val="00C92B70"/>
    <w:rsid w:val="00C93811"/>
    <w:rsid w:val="00C93E16"/>
    <w:rsid w:val="00C94521"/>
    <w:rsid w:val="00C94A67"/>
    <w:rsid w:val="00C94A76"/>
    <w:rsid w:val="00C94DBF"/>
    <w:rsid w:val="00C96A11"/>
    <w:rsid w:val="00C96C3D"/>
    <w:rsid w:val="00C96C49"/>
    <w:rsid w:val="00C9723E"/>
    <w:rsid w:val="00C976B9"/>
    <w:rsid w:val="00C9785A"/>
    <w:rsid w:val="00C97B47"/>
    <w:rsid w:val="00C97D38"/>
    <w:rsid w:val="00C97ED5"/>
    <w:rsid w:val="00C97F01"/>
    <w:rsid w:val="00CA0D2A"/>
    <w:rsid w:val="00CA10DE"/>
    <w:rsid w:val="00CA157D"/>
    <w:rsid w:val="00CA1C6D"/>
    <w:rsid w:val="00CA1F55"/>
    <w:rsid w:val="00CA2BD4"/>
    <w:rsid w:val="00CA2D01"/>
    <w:rsid w:val="00CA3023"/>
    <w:rsid w:val="00CA3683"/>
    <w:rsid w:val="00CA464A"/>
    <w:rsid w:val="00CA465C"/>
    <w:rsid w:val="00CA4A53"/>
    <w:rsid w:val="00CA4DEE"/>
    <w:rsid w:val="00CA50E9"/>
    <w:rsid w:val="00CA53FE"/>
    <w:rsid w:val="00CA5922"/>
    <w:rsid w:val="00CA5A3C"/>
    <w:rsid w:val="00CA5D83"/>
    <w:rsid w:val="00CA5DA8"/>
    <w:rsid w:val="00CA68C6"/>
    <w:rsid w:val="00CA6F7A"/>
    <w:rsid w:val="00CA74FB"/>
    <w:rsid w:val="00CA76B0"/>
    <w:rsid w:val="00CA7B18"/>
    <w:rsid w:val="00CA7E00"/>
    <w:rsid w:val="00CA7F40"/>
    <w:rsid w:val="00CB1043"/>
    <w:rsid w:val="00CB105B"/>
    <w:rsid w:val="00CB179B"/>
    <w:rsid w:val="00CB1AB3"/>
    <w:rsid w:val="00CB259F"/>
    <w:rsid w:val="00CB2619"/>
    <w:rsid w:val="00CB2CD7"/>
    <w:rsid w:val="00CB2FB7"/>
    <w:rsid w:val="00CB338A"/>
    <w:rsid w:val="00CB45A2"/>
    <w:rsid w:val="00CB484C"/>
    <w:rsid w:val="00CB4FF4"/>
    <w:rsid w:val="00CB50C0"/>
    <w:rsid w:val="00CB6134"/>
    <w:rsid w:val="00CB636C"/>
    <w:rsid w:val="00CB692F"/>
    <w:rsid w:val="00CB6B88"/>
    <w:rsid w:val="00CB7253"/>
    <w:rsid w:val="00CB749E"/>
    <w:rsid w:val="00CB7521"/>
    <w:rsid w:val="00CB77D2"/>
    <w:rsid w:val="00CB7F7D"/>
    <w:rsid w:val="00CC002E"/>
    <w:rsid w:val="00CC0A94"/>
    <w:rsid w:val="00CC0D48"/>
    <w:rsid w:val="00CC0EB7"/>
    <w:rsid w:val="00CC1784"/>
    <w:rsid w:val="00CC1794"/>
    <w:rsid w:val="00CC1A9E"/>
    <w:rsid w:val="00CC20D7"/>
    <w:rsid w:val="00CC22E7"/>
    <w:rsid w:val="00CC23E1"/>
    <w:rsid w:val="00CC25DA"/>
    <w:rsid w:val="00CC29F0"/>
    <w:rsid w:val="00CC2B6C"/>
    <w:rsid w:val="00CC2CD2"/>
    <w:rsid w:val="00CC3343"/>
    <w:rsid w:val="00CC3731"/>
    <w:rsid w:val="00CC3919"/>
    <w:rsid w:val="00CC407A"/>
    <w:rsid w:val="00CC4296"/>
    <w:rsid w:val="00CC4622"/>
    <w:rsid w:val="00CC4779"/>
    <w:rsid w:val="00CC4796"/>
    <w:rsid w:val="00CC4C88"/>
    <w:rsid w:val="00CC4F71"/>
    <w:rsid w:val="00CC5398"/>
    <w:rsid w:val="00CC5883"/>
    <w:rsid w:val="00CC5B98"/>
    <w:rsid w:val="00CC5C60"/>
    <w:rsid w:val="00CC5CF9"/>
    <w:rsid w:val="00CC626F"/>
    <w:rsid w:val="00CC63AD"/>
    <w:rsid w:val="00CC78F6"/>
    <w:rsid w:val="00CC7E5D"/>
    <w:rsid w:val="00CD0182"/>
    <w:rsid w:val="00CD02CF"/>
    <w:rsid w:val="00CD0A2B"/>
    <w:rsid w:val="00CD0AC3"/>
    <w:rsid w:val="00CD0F8A"/>
    <w:rsid w:val="00CD1592"/>
    <w:rsid w:val="00CD20C1"/>
    <w:rsid w:val="00CD22A0"/>
    <w:rsid w:val="00CD247B"/>
    <w:rsid w:val="00CD2E3A"/>
    <w:rsid w:val="00CD2E84"/>
    <w:rsid w:val="00CD39DE"/>
    <w:rsid w:val="00CD41AA"/>
    <w:rsid w:val="00CD487F"/>
    <w:rsid w:val="00CD5294"/>
    <w:rsid w:val="00CD53D3"/>
    <w:rsid w:val="00CD6196"/>
    <w:rsid w:val="00CD6376"/>
    <w:rsid w:val="00CD67FD"/>
    <w:rsid w:val="00CD6C2F"/>
    <w:rsid w:val="00CD6E7B"/>
    <w:rsid w:val="00CD7272"/>
    <w:rsid w:val="00CD7D8F"/>
    <w:rsid w:val="00CE118D"/>
    <w:rsid w:val="00CE1535"/>
    <w:rsid w:val="00CE1737"/>
    <w:rsid w:val="00CE2C66"/>
    <w:rsid w:val="00CE32B8"/>
    <w:rsid w:val="00CE32ED"/>
    <w:rsid w:val="00CE3E4B"/>
    <w:rsid w:val="00CE3F8D"/>
    <w:rsid w:val="00CE419C"/>
    <w:rsid w:val="00CE4383"/>
    <w:rsid w:val="00CE4D66"/>
    <w:rsid w:val="00CE5022"/>
    <w:rsid w:val="00CE6225"/>
    <w:rsid w:val="00CE6398"/>
    <w:rsid w:val="00CE63CE"/>
    <w:rsid w:val="00CE680D"/>
    <w:rsid w:val="00CE6DEA"/>
    <w:rsid w:val="00CE7C10"/>
    <w:rsid w:val="00CE7C56"/>
    <w:rsid w:val="00CF016A"/>
    <w:rsid w:val="00CF02DB"/>
    <w:rsid w:val="00CF07E1"/>
    <w:rsid w:val="00CF0B7C"/>
    <w:rsid w:val="00CF0F46"/>
    <w:rsid w:val="00CF102A"/>
    <w:rsid w:val="00CF222F"/>
    <w:rsid w:val="00CF2408"/>
    <w:rsid w:val="00CF24ED"/>
    <w:rsid w:val="00CF2700"/>
    <w:rsid w:val="00CF32C7"/>
    <w:rsid w:val="00CF3421"/>
    <w:rsid w:val="00CF3652"/>
    <w:rsid w:val="00CF500A"/>
    <w:rsid w:val="00CF5032"/>
    <w:rsid w:val="00CF517D"/>
    <w:rsid w:val="00CF5865"/>
    <w:rsid w:val="00CF61C2"/>
    <w:rsid w:val="00CF631F"/>
    <w:rsid w:val="00CF672A"/>
    <w:rsid w:val="00CF6835"/>
    <w:rsid w:val="00CF6CE2"/>
    <w:rsid w:val="00CF70F3"/>
    <w:rsid w:val="00CF764A"/>
    <w:rsid w:val="00D002CD"/>
    <w:rsid w:val="00D00360"/>
    <w:rsid w:val="00D00717"/>
    <w:rsid w:val="00D00F8C"/>
    <w:rsid w:val="00D0165A"/>
    <w:rsid w:val="00D018E4"/>
    <w:rsid w:val="00D01F4E"/>
    <w:rsid w:val="00D0239D"/>
    <w:rsid w:val="00D0275D"/>
    <w:rsid w:val="00D032B1"/>
    <w:rsid w:val="00D03309"/>
    <w:rsid w:val="00D036B1"/>
    <w:rsid w:val="00D03A89"/>
    <w:rsid w:val="00D03E43"/>
    <w:rsid w:val="00D0473F"/>
    <w:rsid w:val="00D05941"/>
    <w:rsid w:val="00D05B16"/>
    <w:rsid w:val="00D05CC0"/>
    <w:rsid w:val="00D06419"/>
    <w:rsid w:val="00D06C09"/>
    <w:rsid w:val="00D10CC3"/>
    <w:rsid w:val="00D111E0"/>
    <w:rsid w:val="00D1124B"/>
    <w:rsid w:val="00D112AE"/>
    <w:rsid w:val="00D115BD"/>
    <w:rsid w:val="00D1299B"/>
    <w:rsid w:val="00D12E93"/>
    <w:rsid w:val="00D1383C"/>
    <w:rsid w:val="00D143C8"/>
    <w:rsid w:val="00D14B18"/>
    <w:rsid w:val="00D1519A"/>
    <w:rsid w:val="00D151F6"/>
    <w:rsid w:val="00D15672"/>
    <w:rsid w:val="00D1603F"/>
    <w:rsid w:val="00D161C5"/>
    <w:rsid w:val="00D16B96"/>
    <w:rsid w:val="00D16DF8"/>
    <w:rsid w:val="00D174B4"/>
    <w:rsid w:val="00D203AC"/>
    <w:rsid w:val="00D20598"/>
    <w:rsid w:val="00D207DB"/>
    <w:rsid w:val="00D20B99"/>
    <w:rsid w:val="00D212C8"/>
    <w:rsid w:val="00D217EB"/>
    <w:rsid w:val="00D21E8D"/>
    <w:rsid w:val="00D220EC"/>
    <w:rsid w:val="00D228D1"/>
    <w:rsid w:val="00D22C7A"/>
    <w:rsid w:val="00D2300D"/>
    <w:rsid w:val="00D23946"/>
    <w:rsid w:val="00D23D5A"/>
    <w:rsid w:val="00D23FA7"/>
    <w:rsid w:val="00D24283"/>
    <w:rsid w:val="00D24596"/>
    <w:rsid w:val="00D24CB0"/>
    <w:rsid w:val="00D25112"/>
    <w:rsid w:val="00D25383"/>
    <w:rsid w:val="00D25440"/>
    <w:rsid w:val="00D262D6"/>
    <w:rsid w:val="00D2664C"/>
    <w:rsid w:val="00D26B13"/>
    <w:rsid w:val="00D27534"/>
    <w:rsid w:val="00D27884"/>
    <w:rsid w:val="00D27BD3"/>
    <w:rsid w:val="00D27D28"/>
    <w:rsid w:val="00D3012F"/>
    <w:rsid w:val="00D3145E"/>
    <w:rsid w:val="00D314F0"/>
    <w:rsid w:val="00D318BE"/>
    <w:rsid w:val="00D31F5A"/>
    <w:rsid w:val="00D3308A"/>
    <w:rsid w:val="00D331AB"/>
    <w:rsid w:val="00D33413"/>
    <w:rsid w:val="00D33569"/>
    <w:rsid w:val="00D337A1"/>
    <w:rsid w:val="00D33EB1"/>
    <w:rsid w:val="00D33FF7"/>
    <w:rsid w:val="00D34214"/>
    <w:rsid w:val="00D342A4"/>
    <w:rsid w:val="00D34524"/>
    <w:rsid w:val="00D34CF7"/>
    <w:rsid w:val="00D34D6F"/>
    <w:rsid w:val="00D351E5"/>
    <w:rsid w:val="00D35A81"/>
    <w:rsid w:val="00D36115"/>
    <w:rsid w:val="00D361CC"/>
    <w:rsid w:val="00D36511"/>
    <w:rsid w:val="00D373E3"/>
    <w:rsid w:val="00D374B9"/>
    <w:rsid w:val="00D3756E"/>
    <w:rsid w:val="00D37DBF"/>
    <w:rsid w:val="00D4024C"/>
    <w:rsid w:val="00D402CA"/>
    <w:rsid w:val="00D4034A"/>
    <w:rsid w:val="00D40425"/>
    <w:rsid w:val="00D4048B"/>
    <w:rsid w:val="00D40708"/>
    <w:rsid w:val="00D40822"/>
    <w:rsid w:val="00D40976"/>
    <w:rsid w:val="00D416D5"/>
    <w:rsid w:val="00D42663"/>
    <w:rsid w:val="00D429F2"/>
    <w:rsid w:val="00D42AB5"/>
    <w:rsid w:val="00D432AE"/>
    <w:rsid w:val="00D43486"/>
    <w:rsid w:val="00D437B3"/>
    <w:rsid w:val="00D4467A"/>
    <w:rsid w:val="00D44A05"/>
    <w:rsid w:val="00D44EC4"/>
    <w:rsid w:val="00D44FB0"/>
    <w:rsid w:val="00D4568C"/>
    <w:rsid w:val="00D4571C"/>
    <w:rsid w:val="00D45921"/>
    <w:rsid w:val="00D45AC1"/>
    <w:rsid w:val="00D45B04"/>
    <w:rsid w:val="00D45F42"/>
    <w:rsid w:val="00D46083"/>
    <w:rsid w:val="00D46408"/>
    <w:rsid w:val="00D47268"/>
    <w:rsid w:val="00D477CC"/>
    <w:rsid w:val="00D47CF4"/>
    <w:rsid w:val="00D50385"/>
    <w:rsid w:val="00D50AA7"/>
    <w:rsid w:val="00D51453"/>
    <w:rsid w:val="00D51EF9"/>
    <w:rsid w:val="00D520B1"/>
    <w:rsid w:val="00D52998"/>
    <w:rsid w:val="00D52A06"/>
    <w:rsid w:val="00D52B4C"/>
    <w:rsid w:val="00D5371D"/>
    <w:rsid w:val="00D53BD3"/>
    <w:rsid w:val="00D53E51"/>
    <w:rsid w:val="00D54228"/>
    <w:rsid w:val="00D54E28"/>
    <w:rsid w:val="00D54F75"/>
    <w:rsid w:val="00D550AA"/>
    <w:rsid w:val="00D5519C"/>
    <w:rsid w:val="00D552C1"/>
    <w:rsid w:val="00D553C1"/>
    <w:rsid w:val="00D55680"/>
    <w:rsid w:val="00D55BF9"/>
    <w:rsid w:val="00D55EED"/>
    <w:rsid w:val="00D55F52"/>
    <w:rsid w:val="00D56188"/>
    <w:rsid w:val="00D562A2"/>
    <w:rsid w:val="00D564B0"/>
    <w:rsid w:val="00D565B9"/>
    <w:rsid w:val="00D56D9B"/>
    <w:rsid w:val="00D57A0E"/>
    <w:rsid w:val="00D57B9E"/>
    <w:rsid w:val="00D57C1B"/>
    <w:rsid w:val="00D57C59"/>
    <w:rsid w:val="00D57CAD"/>
    <w:rsid w:val="00D608E4"/>
    <w:rsid w:val="00D60CD5"/>
    <w:rsid w:val="00D612C4"/>
    <w:rsid w:val="00D61E69"/>
    <w:rsid w:val="00D62220"/>
    <w:rsid w:val="00D625DC"/>
    <w:rsid w:val="00D62695"/>
    <w:rsid w:val="00D6298F"/>
    <w:rsid w:val="00D632D2"/>
    <w:rsid w:val="00D63488"/>
    <w:rsid w:val="00D640A2"/>
    <w:rsid w:val="00D64F84"/>
    <w:rsid w:val="00D6573C"/>
    <w:rsid w:val="00D658D2"/>
    <w:rsid w:val="00D65C48"/>
    <w:rsid w:val="00D65DC4"/>
    <w:rsid w:val="00D6655C"/>
    <w:rsid w:val="00D669F1"/>
    <w:rsid w:val="00D66BA6"/>
    <w:rsid w:val="00D66F61"/>
    <w:rsid w:val="00D66FD5"/>
    <w:rsid w:val="00D6748E"/>
    <w:rsid w:val="00D67CAA"/>
    <w:rsid w:val="00D67FAC"/>
    <w:rsid w:val="00D708F7"/>
    <w:rsid w:val="00D711B2"/>
    <w:rsid w:val="00D71712"/>
    <w:rsid w:val="00D71E4D"/>
    <w:rsid w:val="00D71F38"/>
    <w:rsid w:val="00D720A6"/>
    <w:rsid w:val="00D721ED"/>
    <w:rsid w:val="00D724FC"/>
    <w:rsid w:val="00D72C09"/>
    <w:rsid w:val="00D73B6D"/>
    <w:rsid w:val="00D751A3"/>
    <w:rsid w:val="00D75208"/>
    <w:rsid w:val="00D756B6"/>
    <w:rsid w:val="00D758E4"/>
    <w:rsid w:val="00D76FDF"/>
    <w:rsid w:val="00D77160"/>
    <w:rsid w:val="00D77448"/>
    <w:rsid w:val="00D7750E"/>
    <w:rsid w:val="00D77831"/>
    <w:rsid w:val="00D77C4C"/>
    <w:rsid w:val="00D802E6"/>
    <w:rsid w:val="00D80A36"/>
    <w:rsid w:val="00D814FA"/>
    <w:rsid w:val="00D81668"/>
    <w:rsid w:val="00D817C2"/>
    <w:rsid w:val="00D81BAE"/>
    <w:rsid w:val="00D81C74"/>
    <w:rsid w:val="00D821CE"/>
    <w:rsid w:val="00D826BC"/>
    <w:rsid w:val="00D83B46"/>
    <w:rsid w:val="00D83B4E"/>
    <w:rsid w:val="00D84968"/>
    <w:rsid w:val="00D84F3F"/>
    <w:rsid w:val="00D85413"/>
    <w:rsid w:val="00D85EF6"/>
    <w:rsid w:val="00D861AB"/>
    <w:rsid w:val="00D86202"/>
    <w:rsid w:val="00D86607"/>
    <w:rsid w:val="00D86BAC"/>
    <w:rsid w:val="00D87CCA"/>
    <w:rsid w:val="00D9018D"/>
    <w:rsid w:val="00D90819"/>
    <w:rsid w:val="00D90C77"/>
    <w:rsid w:val="00D91683"/>
    <w:rsid w:val="00D91786"/>
    <w:rsid w:val="00D91817"/>
    <w:rsid w:val="00D91B6A"/>
    <w:rsid w:val="00D91C10"/>
    <w:rsid w:val="00D92050"/>
    <w:rsid w:val="00D92228"/>
    <w:rsid w:val="00D9224A"/>
    <w:rsid w:val="00D9242D"/>
    <w:rsid w:val="00D926E9"/>
    <w:rsid w:val="00D92BC9"/>
    <w:rsid w:val="00D92CEA"/>
    <w:rsid w:val="00D9338A"/>
    <w:rsid w:val="00D93969"/>
    <w:rsid w:val="00D93F44"/>
    <w:rsid w:val="00D94737"/>
    <w:rsid w:val="00D9493B"/>
    <w:rsid w:val="00D95044"/>
    <w:rsid w:val="00D95BEA"/>
    <w:rsid w:val="00D96413"/>
    <w:rsid w:val="00D9652B"/>
    <w:rsid w:val="00D96878"/>
    <w:rsid w:val="00D97058"/>
    <w:rsid w:val="00D97973"/>
    <w:rsid w:val="00DA1086"/>
    <w:rsid w:val="00DA17DB"/>
    <w:rsid w:val="00DA181F"/>
    <w:rsid w:val="00DA2223"/>
    <w:rsid w:val="00DA227A"/>
    <w:rsid w:val="00DA28C9"/>
    <w:rsid w:val="00DA2994"/>
    <w:rsid w:val="00DA2C60"/>
    <w:rsid w:val="00DA39DC"/>
    <w:rsid w:val="00DA3F4A"/>
    <w:rsid w:val="00DA4066"/>
    <w:rsid w:val="00DA4617"/>
    <w:rsid w:val="00DA4F12"/>
    <w:rsid w:val="00DA4F3A"/>
    <w:rsid w:val="00DA643E"/>
    <w:rsid w:val="00DA685F"/>
    <w:rsid w:val="00DA695B"/>
    <w:rsid w:val="00DA6F33"/>
    <w:rsid w:val="00DA74FF"/>
    <w:rsid w:val="00DA774D"/>
    <w:rsid w:val="00DB04E4"/>
    <w:rsid w:val="00DB0825"/>
    <w:rsid w:val="00DB12E0"/>
    <w:rsid w:val="00DB1775"/>
    <w:rsid w:val="00DB1820"/>
    <w:rsid w:val="00DB1A76"/>
    <w:rsid w:val="00DB2542"/>
    <w:rsid w:val="00DB2CC2"/>
    <w:rsid w:val="00DB2DC3"/>
    <w:rsid w:val="00DB347B"/>
    <w:rsid w:val="00DB3AEF"/>
    <w:rsid w:val="00DB3FB9"/>
    <w:rsid w:val="00DB432A"/>
    <w:rsid w:val="00DB4439"/>
    <w:rsid w:val="00DB4606"/>
    <w:rsid w:val="00DB46B0"/>
    <w:rsid w:val="00DB4951"/>
    <w:rsid w:val="00DB49EA"/>
    <w:rsid w:val="00DB4CE2"/>
    <w:rsid w:val="00DB5A3D"/>
    <w:rsid w:val="00DB5E58"/>
    <w:rsid w:val="00DB69EF"/>
    <w:rsid w:val="00DB6AD9"/>
    <w:rsid w:val="00DB71AC"/>
    <w:rsid w:val="00DB7ABF"/>
    <w:rsid w:val="00DB7F56"/>
    <w:rsid w:val="00DC12CD"/>
    <w:rsid w:val="00DC14D3"/>
    <w:rsid w:val="00DC1648"/>
    <w:rsid w:val="00DC2037"/>
    <w:rsid w:val="00DC24E2"/>
    <w:rsid w:val="00DC26EE"/>
    <w:rsid w:val="00DC3711"/>
    <w:rsid w:val="00DC3A51"/>
    <w:rsid w:val="00DC3CD1"/>
    <w:rsid w:val="00DC4C6E"/>
    <w:rsid w:val="00DC4DCB"/>
    <w:rsid w:val="00DC5653"/>
    <w:rsid w:val="00DC59F2"/>
    <w:rsid w:val="00DC5BE1"/>
    <w:rsid w:val="00DC5D17"/>
    <w:rsid w:val="00DC6AE6"/>
    <w:rsid w:val="00DC6C18"/>
    <w:rsid w:val="00DC7062"/>
    <w:rsid w:val="00DC7BBE"/>
    <w:rsid w:val="00DD1ED6"/>
    <w:rsid w:val="00DD2501"/>
    <w:rsid w:val="00DD28C9"/>
    <w:rsid w:val="00DD2911"/>
    <w:rsid w:val="00DD2DC5"/>
    <w:rsid w:val="00DD3225"/>
    <w:rsid w:val="00DD36A3"/>
    <w:rsid w:val="00DD3DE1"/>
    <w:rsid w:val="00DD3E13"/>
    <w:rsid w:val="00DD3E23"/>
    <w:rsid w:val="00DD3FFF"/>
    <w:rsid w:val="00DD4D36"/>
    <w:rsid w:val="00DD5B46"/>
    <w:rsid w:val="00DD5D08"/>
    <w:rsid w:val="00DD5D0A"/>
    <w:rsid w:val="00DD5EAF"/>
    <w:rsid w:val="00DD601E"/>
    <w:rsid w:val="00DD6115"/>
    <w:rsid w:val="00DD6515"/>
    <w:rsid w:val="00DD6544"/>
    <w:rsid w:val="00DD6778"/>
    <w:rsid w:val="00DD72F6"/>
    <w:rsid w:val="00DD7EC2"/>
    <w:rsid w:val="00DE064C"/>
    <w:rsid w:val="00DE0B64"/>
    <w:rsid w:val="00DE0C8B"/>
    <w:rsid w:val="00DE1125"/>
    <w:rsid w:val="00DE1A79"/>
    <w:rsid w:val="00DE2171"/>
    <w:rsid w:val="00DE2815"/>
    <w:rsid w:val="00DE2EE0"/>
    <w:rsid w:val="00DE3665"/>
    <w:rsid w:val="00DE46DE"/>
    <w:rsid w:val="00DE48FF"/>
    <w:rsid w:val="00DE4B17"/>
    <w:rsid w:val="00DE5913"/>
    <w:rsid w:val="00DE5A65"/>
    <w:rsid w:val="00DE5DAA"/>
    <w:rsid w:val="00DE6599"/>
    <w:rsid w:val="00DE666E"/>
    <w:rsid w:val="00DE6ACD"/>
    <w:rsid w:val="00DE70A3"/>
    <w:rsid w:val="00DE75BB"/>
    <w:rsid w:val="00DE7A0C"/>
    <w:rsid w:val="00DE7F20"/>
    <w:rsid w:val="00DF0027"/>
    <w:rsid w:val="00DF03C4"/>
    <w:rsid w:val="00DF09AE"/>
    <w:rsid w:val="00DF0CC1"/>
    <w:rsid w:val="00DF0EA4"/>
    <w:rsid w:val="00DF2057"/>
    <w:rsid w:val="00DF208B"/>
    <w:rsid w:val="00DF2396"/>
    <w:rsid w:val="00DF2765"/>
    <w:rsid w:val="00DF27C1"/>
    <w:rsid w:val="00DF3541"/>
    <w:rsid w:val="00DF363C"/>
    <w:rsid w:val="00DF3E62"/>
    <w:rsid w:val="00DF41EE"/>
    <w:rsid w:val="00DF471E"/>
    <w:rsid w:val="00DF47C3"/>
    <w:rsid w:val="00DF47F1"/>
    <w:rsid w:val="00DF4D9C"/>
    <w:rsid w:val="00DF5792"/>
    <w:rsid w:val="00DF5AA5"/>
    <w:rsid w:val="00DF5C94"/>
    <w:rsid w:val="00DF5E94"/>
    <w:rsid w:val="00DF5EA4"/>
    <w:rsid w:val="00DF6130"/>
    <w:rsid w:val="00DF6D06"/>
    <w:rsid w:val="00DF6EA4"/>
    <w:rsid w:val="00DF786E"/>
    <w:rsid w:val="00E00349"/>
    <w:rsid w:val="00E00E1F"/>
    <w:rsid w:val="00E00F34"/>
    <w:rsid w:val="00E013A1"/>
    <w:rsid w:val="00E01426"/>
    <w:rsid w:val="00E01B08"/>
    <w:rsid w:val="00E02062"/>
    <w:rsid w:val="00E022B1"/>
    <w:rsid w:val="00E0275B"/>
    <w:rsid w:val="00E02AEC"/>
    <w:rsid w:val="00E0301C"/>
    <w:rsid w:val="00E03032"/>
    <w:rsid w:val="00E034E7"/>
    <w:rsid w:val="00E03E48"/>
    <w:rsid w:val="00E03F9A"/>
    <w:rsid w:val="00E04023"/>
    <w:rsid w:val="00E0421A"/>
    <w:rsid w:val="00E045BB"/>
    <w:rsid w:val="00E04FCE"/>
    <w:rsid w:val="00E04FFC"/>
    <w:rsid w:val="00E0517E"/>
    <w:rsid w:val="00E055D2"/>
    <w:rsid w:val="00E05D6C"/>
    <w:rsid w:val="00E06141"/>
    <w:rsid w:val="00E0694B"/>
    <w:rsid w:val="00E06961"/>
    <w:rsid w:val="00E07361"/>
    <w:rsid w:val="00E0757B"/>
    <w:rsid w:val="00E07612"/>
    <w:rsid w:val="00E078E8"/>
    <w:rsid w:val="00E10199"/>
    <w:rsid w:val="00E10558"/>
    <w:rsid w:val="00E10A3A"/>
    <w:rsid w:val="00E10EAE"/>
    <w:rsid w:val="00E11347"/>
    <w:rsid w:val="00E11476"/>
    <w:rsid w:val="00E117F2"/>
    <w:rsid w:val="00E11DC1"/>
    <w:rsid w:val="00E12B48"/>
    <w:rsid w:val="00E12CAA"/>
    <w:rsid w:val="00E133E6"/>
    <w:rsid w:val="00E138AC"/>
    <w:rsid w:val="00E1391B"/>
    <w:rsid w:val="00E14374"/>
    <w:rsid w:val="00E148DC"/>
    <w:rsid w:val="00E15024"/>
    <w:rsid w:val="00E15063"/>
    <w:rsid w:val="00E153DF"/>
    <w:rsid w:val="00E15427"/>
    <w:rsid w:val="00E1553D"/>
    <w:rsid w:val="00E155B5"/>
    <w:rsid w:val="00E1568C"/>
    <w:rsid w:val="00E16138"/>
    <w:rsid w:val="00E163A1"/>
    <w:rsid w:val="00E166CD"/>
    <w:rsid w:val="00E16BAD"/>
    <w:rsid w:val="00E16CD3"/>
    <w:rsid w:val="00E16DCC"/>
    <w:rsid w:val="00E1726C"/>
    <w:rsid w:val="00E20B0E"/>
    <w:rsid w:val="00E20BE8"/>
    <w:rsid w:val="00E20DEF"/>
    <w:rsid w:val="00E21249"/>
    <w:rsid w:val="00E2168E"/>
    <w:rsid w:val="00E220D7"/>
    <w:rsid w:val="00E221FB"/>
    <w:rsid w:val="00E223CC"/>
    <w:rsid w:val="00E227D6"/>
    <w:rsid w:val="00E2378C"/>
    <w:rsid w:val="00E23BED"/>
    <w:rsid w:val="00E2430D"/>
    <w:rsid w:val="00E2492C"/>
    <w:rsid w:val="00E24A93"/>
    <w:rsid w:val="00E24EE2"/>
    <w:rsid w:val="00E24FDA"/>
    <w:rsid w:val="00E25370"/>
    <w:rsid w:val="00E260EE"/>
    <w:rsid w:val="00E26270"/>
    <w:rsid w:val="00E271EE"/>
    <w:rsid w:val="00E27F49"/>
    <w:rsid w:val="00E30986"/>
    <w:rsid w:val="00E30A95"/>
    <w:rsid w:val="00E31310"/>
    <w:rsid w:val="00E31597"/>
    <w:rsid w:val="00E316B0"/>
    <w:rsid w:val="00E31781"/>
    <w:rsid w:val="00E31D3F"/>
    <w:rsid w:val="00E31E01"/>
    <w:rsid w:val="00E322FD"/>
    <w:rsid w:val="00E32A17"/>
    <w:rsid w:val="00E33000"/>
    <w:rsid w:val="00E335EB"/>
    <w:rsid w:val="00E33E7A"/>
    <w:rsid w:val="00E34478"/>
    <w:rsid w:val="00E34AE6"/>
    <w:rsid w:val="00E34DD9"/>
    <w:rsid w:val="00E35FD9"/>
    <w:rsid w:val="00E3621B"/>
    <w:rsid w:val="00E364FC"/>
    <w:rsid w:val="00E36801"/>
    <w:rsid w:val="00E369F5"/>
    <w:rsid w:val="00E377F3"/>
    <w:rsid w:val="00E378F0"/>
    <w:rsid w:val="00E37BB2"/>
    <w:rsid w:val="00E4011B"/>
    <w:rsid w:val="00E417CB"/>
    <w:rsid w:val="00E4198B"/>
    <w:rsid w:val="00E42016"/>
    <w:rsid w:val="00E42111"/>
    <w:rsid w:val="00E422B9"/>
    <w:rsid w:val="00E42307"/>
    <w:rsid w:val="00E42622"/>
    <w:rsid w:val="00E42A14"/>
    <w:rsid w:val="00E42D70"/>
    <w:rsid w:val="00E442FE"/>
    <w:rsid w:val="00E44507"/>
    <w:rsid w:val="00E44938"/>
    <w:rsid w:val="00E45320"/>
    <w:rsid w:val="00E4571F"/>
    <w:rsid w:val="00E45B9B"/>
    <w:rsid w:val="00E4600E"/>
    <w:rsid w:val="00E4641F"/>
    <w:rsid w:val="00E46496"/>
    <w:rsid w:val="00E46D3D"/>
    <w:rsid w:val="00E46F85"/>
    <w:rsid w:val="00E47555"/>
    <w:rsid w:val="00E47D4F"/>
    <w:rsid w:val="00E50706"/>
    <w:rsid w:val="00E50C24"/>
    <w:rsid w:val="00E50E2C"/>
    <w:rsid w:val="00E5110C"/>
    <w:rsid w:val="00E520A5"/>
    <w:rsid w:val="00E5245B"/>
    <w:rsid w:val="00E52A1B"/>
    <w:rsid w:val="00E52D01"/>
    <w:rsid w:val="00E53265"/>
    <w:rsid w:val="00E534AE"/>
    <w:rsid w:val="00E53691"/>
    <w:rsid w:val="00E53F7D"/>
    <w:rsid w:val="00E54009"/>
    <w:rsid w:val="00E54046"/>
    <w:rsid w:val="00E54047"/>
    <w:rsid w:val="00E54528"/>
    <w:rsid w:val="00E54AD4"/>
    <w:rsid w:val="00E54B05"/>
    <w:rsid w:val="00E54C45"/>
    <w:rsid w:val="00E555EF"/>
    <w:rsid w:val="00E5593A"/>
    <w:rsid w:val="00E562B2"/>
    <w:rsid w:val="00E5641A"/>
    <w:rsid w:val="00E56443"/>
    <w:rsid w:val="00E56690"/>
    <w:rsid w:val="00E56843"/>
    <w:rsid w:val="00E575AA"/>
    <w:rsid w:val="00E57602"/>
    <w:rsid w:val="00E57FE4"/>
    <w:rsid w:val="00E60500"/>
    <w:rsid w:val="00E609A5"/>
    <w:rsid w:val="00E60D26"/>
    <w:rsid w:val="00E60E36"/>
    <w:rsid w:val="00E615AB"/>
    <w:rsid w:val="00E61C9C"/>
    <w:rsid w:val="00E61F0F"/>
    <w:rsid w:val="00E62381"/>
    <w:rsid w:val="00E62F9F"/>
    <w:rsid w:val="00E630F8"/>
    <w:rsid w:val="00E632D5"/>
    <w:rsid w:val="00E634D4"/>
    <w:rsid w:val="00E640F0"/>
    <w:rsid w:val="00E6415D"/>
    <w:rsid w:val="00E6437D"/>
    <w:rsid w:val="00E644AE"/>
    <w:rsid w:val="00E646F5"/>
    <w:rsid w:val="00E64A32"/>
    <w:rsid w:val="00E64DE4"/>
    <w:rsid w:val="00E65152"/>
    <w:rsid w:val="00E652D6"/>
    <w:rsid w:val="00E65DA2"/>
    <w:rsid w:val="00E664EA"/>
    <w:rsid w:val="00E666BE"/>
    <w:rsid w:val="00E66AE6"/>
    <w:rsid w:val="00E66BED"/>
    <w:rsid w:val="00E6732F"/>
    <w:rsid w:val="00E674D5"/>
    <w:rsid w:val="00E6767E"/>
    <w:rsid w:val="00E679BC"/>
    <w:rsid w:val="00E67EB9"/>
    <w:rsid w:val="00E67EE2"/>
    <w:rsid w:val="00E700F9"/>
    <w:rsid w:val="00E702E1"/>
    <w:rsid w:val="00E70451"/>
    <w:rsid w:val="00E704D2"/>
    <w:rsid w:val="00E70902"/>
    <w:rsid w:val="00E70D7B"/>
    <w:rsid w:val="00E70EB6"/>
    <w:rsid w:val="00E713E1"/>
    <w:rsid w:val="00E71F92"/>
    <w:rsid w:val="00E724D3"/>
    <w:rsid w:val="00E728D5"/>
    <w:rsid w:val="00E73424"/>
    <w:rsid w:val="00E734B3"/>
    <w:rsid w:val="00E735F9"/>
    <w:rsid w:val="00E73B30"/>
    <w:rsid w:val="00E74013"/>
    <w:rsid w:val="00E74080"/>
    <w:rsid w:val="00E7509F"/>
    <w:rsid w:val="00E7517A"/>
    <w:rsid w:val="00E7552C"/>
    <w:rsid w:val="00E759F0"/>
    <w:rsid w:val="00E75C88"/>
    <w:rsid w:val="00E75DAB"/>
    <w:rsid w:val="00E75E43"/>
    <w:rsid w:val="00E7602F"/>
    <w:rsid w:val="00E76A8A"/>
    <w:rsid w:val="00E77372"/>
    <w:rsid w:val="00E777AB"/>
    <w:rsid w:val="00E77BB2"/>
    <w:rsid w:val="00E77BD5"/>
    <w:rsid w:val="00E77D1C"/>
    <w:rsid w:val="00E77D83"/>
    <w:rsid w:val="00E77E03"/>
    <w:rsid w:val="00E77E08"/>
    <w:rsid w:val="00E77FCB"/>
    <w:rsid w:val="00E80368"/>
    <w:rsid w:val="00E8062C"/>
    <w:rsid w:val="00E820FC"/>
    <w:rsid w:val="00E82237"/>
    <w:rsid w:val="00E82291"/>
    <w:rsid w:val="00E82F5B"/>
    <w:rsid w:val="00E83003"/>
    <w:rsid w:val="00E8326C"/>
    <w:rsid w:val="00E838A5"/>
    <w:rsid w:val="00E83B4A"/>
    <w:rsid w:val="00E83E20"/>
    <w:rsid w:val="00E83EF4"/>
    <w:rsid w:val="00E842CB"/>
    <w:rsid w:val="00E844F1"/>
    <w:rsid w:val="00E8473C"/>
    <w:rsid w:val="00E847FE"/>
    <w:rsid w:val="00E84968"/>
    <w:rsid w:val="00E84AB4"/>
    <w:rsid w:val="00E850BE"/>
    <w:rsid w:val="00E85178"/>
    <w:rsid w:val="00E8599A"/>
    <w:rsid w:val="00E866FC"/>
    <w:rsid w:val="00E86C16"/>
    <w:rsid w:val="00E86E3C"/>
    <w:rsid w:val="00E870EE"/>
    <w:rsid w:val="00E90327"/>
    <w:rsid w:val="00E90356"/>
    <w:rsid w:val="00E914AA"/>
    <w:rsid w:val="00E92073"/>
    <w:rsid w:val="00E92544"/>
    <w:rsid w:val="00E92DCB"/>
    <w:rsid w:val="00E93269"/>
    <w:rsid w:val="00E934F8"/>
    <w:rsid w:val="00E94455"/>
    <w:rsid w:val="00E94B57"/>
    <w:rsid w:val="00E94BFB"/>
    <w:rsid w:val="00E9547D"/>
    <w:rsid w:val="00E9594E"/>
    <w:rsid w:val="00E96160"/>
    <w:rsid w:val="00E961BA"/>
    <w:rsid w:val="00E9696C"/>
    <w:rsid w:val="00E96A13"/>
    <w:rsid w:val="00E96C77"/>
    <w:rsid w:val="00E971A3"/>
    <w:rsid w:val="00E97AE1"/>
    <w:rsid w:val="00EA06DF"/>
    <w:rsid w:val="00EA0A4E"/>
    <w:rsid w:val="00EA0B0B"/>
    <w:rsid w:val="00EA0CCA"/>
    <w:rsid w:val="00EA0EB6"/>
    <w:rsid w:val="00EA1373"/>
    <w:rsid w:val="00EA142C"/>
    <w:rsid w:val="00EA14F8"/>
    <w:rsid w:val="00EA2631"/>
    <w:rsid w:val="00EA2891"/>
    <w:rsid w:val="00EA2DA6"/>
    <w:rsid w:val="00EA3110"/>
    <w:rsid w:val="00EA32AC"/>
    <w:rsid w:val="00EA35DF"/>
    <w:rsid w:val="00EA372C"/>
    <w:rsid w:val="00EA405E"/>
    <w:rsid w:val="00EA415E"/>
    <w:rsid w:val="00EA42D8"/>
    <w:rsid w:val="00EA46DD"/>
    <w:rsid w:val="00EA5210"/>
    <w:rsid w:val="00EA584D"/>
    <w:rsid w:val="00EA5CC5"/>
    <w:rsid w:val="00EA5D7B"/>
    <w:rsid w:val="00EA5E9B"/>
    <w:rsid w:val="00EA67CE"/>
    <w:rsid w:val="00EA6E0B"/>
    <w:rsid w:val="00EA70E9"/>
    <w:rsid w:val="00EA72E7"/>
    <w:rsid w:val="00EA78C9"/>
    <w:rsid w:val="00EA7A32"/>
    <w:rsid w:val="00EA7AF1"/>
    <w:rsid w:val="00EB0194"/>
    <w:rsid w:val="00EB06EE"/>
    <w:rsid w:val="00EB0DFE"/>
    <w:rsid w:val="00EB0E31"/>
    <w:rsid w:val="00EB1B64"/>
    <w:rsid w:val="00EB1EB6"/>
    <w:rsid w:val="00EB2201"/>
    <w:rsid w:val="00EB2304"/>
    <w:rsid w:val="00EB231C"/>
    <w:rsid w:val="00EB266E"/>
    <w:rsid w:val="00EB303F"/>
    <w:rsid w:val="00EB3899"/>
    <w:rsid w:val="00EB4650"/>
    <w:rsid w:val="00EB4862"/>
    <w:rsid w:val="00EB4AA5"/>
    <w:rsid w:val="00EB4B03"/>
    <w:rsid w:val="00EB4C1E"/>
    <w:rsid w:val="00EB4CC5"/>
    <w:rsid w:val="00EB6003"/>
    <w:rsid w:val="00EB60DA"/>
    <w:rsid w:val="00EB60F8"/>
    <w:rsid w:val="00EB62A1"/>
    <w:rsid w:val="00EB6358"/>
    <w:rsid w:val="00EB65D5"/>
    <w:rsid w:val="00EB6E2B"/>
    <w:rsid w:val="00EB7526"/>
    <w:rsid w:val="00EB798C"/>
    <w:rsid w:val="00EB7D2F"/>
    <w:rsid w:val="00EC0407"/>
    <w:rsid w:val="00EC0723"/>
    <w:rsid w:val="00EC099E"/>
    <w:rsid w:val="00EC163D"/>
    <w:rsid w:val="00EC1740"/>
    <w:rsid w:val="00EC1C62"/>
    <w:rsid w:val="00EC1F5E"/>
    <w:rsid w:val="00EC22B2"/>
    <w:rsid w:val="00EC2301"/>
    <w:rsid w:val="00EC242D"/>
    <w:rsid w:val="00EC297A"/>
    <w:rsid w:val="00EC3ECF"/>
    <w:rsid w:val="00EC4E44"/>
    <w:rsid w:val="00EC5485"/>
    <w:rsid w:val="00EC5CFB"/>
    <w:rsid w:val="00EC5D79"/>
    <w:rsid w:val="00EC5FCE"/>
    <w:rsid w:val="00EC61A6"/>
    <w:rsid w:val="00EC65BF"/>
    <w:rsid w:val="00EC6D47"/>
    <w:rsid w:val="00EC6D62"/>
    <w:rsid w:val="00EC6FB2"/>
    <w:rsid w:val="00EC72DD"/>
    <w:rsid w:val="00EC74ED"/>
    <w:rsid w:val="00EC7590"/>
    <w:rsid w:val="00ED01D6"/>
    <w:rsid w:val="00ED0229"/>
    <w:rsid w:val="00ED0BFC"/>
    <w:rsid w:val="00ED15DF"/>
    <w:rsid w:val="00ED1737"/>
    <w:rsid w:val="00ED1EA5"/>
    <w:rsid w:val="00ED3488"/>
    <w:rsid w:val="00ED3AE2"/>
    <w:rsid w:val="00ED41BB"/>
    <w:rsid w:val="00ED45CC"/>
    <w:rsid w:val="00ED4F59"/>
    <w:rsid w:val="00ED5578"/>
    <w:rsid w:val="00ED62AD"/>
    <w:rsid w:val="00ED752D"/>
    <w:rsid w:val="00EE003C"/>
    <w:rsid w:val="00EE01AB"/>
    <w:rsid w:val="00EE0BAC"/>
    <w:rsid w:val="00EE1D82"/>
    <w:rsid w:val="00EE1F4B"/>
    <w:rsid w:val="00EE2D92"/>
    <w:rsid w:val="00EE2FE1"/>
    <w:rsid w:val="00EE30C9"/>
    <w:rsid w:val="00EE3319"/>
    <w:rsid w:val="00EE3B31"/>
    <w:rsid w:val="00EE3D26"/>
    <w:rsid w:val="00EE3E1C"/>
    <w:rsid w:val="00EE4E83"/>
    <w:rsid w:val="00EE542D"/>
    <w:rsid w:val="00EE5866"/>
    <w:rsid w:val="00EE587F"/>
    <w:rsid w:val="00EE5B4A"/>
    <w:rsid w:val="00EE6978"/>
    <w:rsid w:val="00EE6B4B"/>
    <w:rsid w:val="00EE73C4"/>
    <w:rsid w:val="00EE76D5"/>
    <w:rsid w:val="00EF0C7F"/>
    <w:rsid w:val="00EF103D"/>
    <w:rsid w:val="00EF173C"/>
    <w:rsid w:val="00EF1EB5"/>
    <w:rsid w:val="00EF2661"/>
    <w:rsid w:val="00EF2E15"/>
    <w:rsid w:val="00EF2E1B"/>
    <w:rsid w:val="00EF351C"/>
    <w:rsid w:val="00EF3664"/>
    <w:rsid w:val="00EF3721"/>
    <w:rsid w:val="00EF4439"/>
    <w:rsid w:val="00EF48FD"/>
    <w:rsid w:val="00EF4E84"/>
    <w:rsid w:val="00EF4EFB"/>
    <w:rsid w:val="00EF55C0"/>
    <w:rsid w:val="00EF5C59"/>
    <w:rsid w:val="00EF5ED9"/>
    <w:rsid w:val="00EF6286"/>
    <w:rsid w:val="00F00029"/>
    <w:rsid w:val="00F0056F"/>
    <w:rsid w:val="00F0134D"/>
    <w:rsid w:val="00F015FE"/>
    <w:rsid w:val="00F01A03"/>
    <w:rsid w:val="00F02712"/>
    <w:rsid w:val="00F02F34"/>
    <w:rsid w:val="00F03B7B"/>
    <w:rsid w:val="00F04016"/>
    <w:rsid w:val="00F0498E"/>
    <w:rsid w:val="00F04B87"/>
    <w:rsid w:val="00F0538A"/>
    <w:rsid w:val="00F05B9B"/>
    <w:rsid w:val="00F06809"/>
    <w:rsid w:val="00F069A8"/>
    <w:rsid w:val="00F06CA2"/>
    <w:rsid w:val="00F06E4D"/>
    <w:rsid w:val="00F06EC7"/>
    <w:rsid w:val="00F073AE"/>
    <w:rsid w:val="00F07515"/>
    <w:rsid w:val="00F07B03"/>
    <w:rsid w:val="00F07BC2"/>
    <w:rsid w:val="00F07C2B"/>
    <w:rsid w:val="00F10265"/>
    <w:rsid w:val="00F10430"/>
    <w:rsid w:val="00F10508"/>
    <w:rsid w:val="00F10557"/>
    <w:rsid w:val="00F10BF3"/>
    <w:rsid w:val="00F11326"/>
    <w:rsid w:val="00F1172E"/>
    <w:rsid w:val="00F119CB"/>
    <w:rsid w:val="00F11DDD"/>
    <w:rsid w:val="00F11F50"/>
    <w:rsid w:val="00F12110"/>
    <w:rsid w:val="00F122FA"/>
    <w:rsid w:val="00F12909"/>
    <w:rsid w:val="00F12FE4"/>
    <w:rsid w:val="00F130E3"/>
    <w:rsid w:val="00F135CE"/>
    <w:rsid w:val="00F1392D"/>
    <w:rsid w:val="00F13FA7"/>
    <w:rsid w:val="00F14080"/>
    <w:rsid w:val="00F1486F"/>
    <w:rsid w:val="00F149E3"/>
    <w:rsid w:val="00F15055"/>
    <w:rsid w:val="00F15A56"/>
    <w:rsid w:val="00F15F4B"/>
    <w:rsid w:val="00F174A1"/>
    <w:rsid w:val="00F174BD"/>
    <w:rsid w:val="00F1789F"/>
    <w:rsid w:val="00F20233"/>
    <w:rsid w:val="00F20576"/>
    <w:rsid w:val="00F20B5D"/>
    <w:rsid w:val="00F20F99"/>
    <w:rsid w:val="00F2106A"/>
    <w:rsid w:val="00F21555"/>
    <w:rsid w:val="00F216AB"/>
    <w:rsid w:val="00F218B9"/>
    <w:rsid w:val="00F21D41"/>
    <w:rsid w:val="00F2276A"/>
    <w:rsid w:val="00F22F6D"/>
    <w:rsid w:val="00F2304F"/>
    <w:rsid w:val="00F231E4"/>
    <w:rsid w:val="00F233EE"/>
    <w:rsid w:val="00F239A7"/>
    <w:rsid w:val="00F23BA7"/>
    <w:rsid w:val="00F2424E"/>
    <w:rsid w:val="00F242AB"/>
    <w:rsid w:val="00F24873"/>
    <w:rsid w:val="00F24CD8"/>
    <w:rsid w:val="00F24CF3"/>
    <w:rsid w:val="00F24E94"/>
    <w:rsid w:val="00F252D7"/>
    <w:rsid w:val="00F25355"/>
    <w:rsid w:val="00F253C2"/>
    <w:rsid w:val="00F2561B"/>
    <w:rsid w:val="00F25A36"/>
    <w:rsid w:val="00F25C52"/>
    <w:rsid w:val="00F26670"/>
    <w:rsid w:val="00F26780"/>
    <w:rsid w:val="00F267AD"/>
    <w:rsid w:val="00F267B6"/>
    <w:rsid w:val="00F267EA"/>
    <w:rsid w:val="00F2681C"/>
    <w:rsid w:val="00F26F52"/>
    <w:rsid w:val="00F27352"/>
    <w:rsid w:val="00F27679"/>
    <w:rsid w:val="00F30036"/>
    <w:rsid w:val="00F30354"/>
    <w:rsid w:val="00F303BC"/>
    <w:rsid w:val="00F30E3F"/>
    <w:rsid w:val="00F3135B"/>
    <w:rsid w:val="00F3162F"/>
    <w:rsid w:val="00F31E82"/>
    <w:rsid w:val="00F32150"/>
    <w:rsid w:val="00F322C8"/>
    <w:rsid w:val="00F323EE"/>
    <w:rsid w:val="00F3276A"/>
    <w:rsid w:val="00F32BC6"/>
    <w:rsid w:val="00F32FDC"/>
    <w:rsid w:val="00F3356B"/>
    <w:rsid w:val="00F33D0F"/>
    <w:rsid w:val="00F3435D"/>
    <w:rsid w:val="00F34733"/>
    <w:rsid w:val="00F35B09"/>
    <w:rsid w:val="00F35C56"/>
    <w:rsid w:val="00F36030"/>
    <w:rsid w:val="00F3623F"/>
    <w:rsid w:val="00F37053"/>
    <w:rsid w:val="00F3769C"/>
    <w:rsid w:val="00F3780B"/>
    <w:rsid w:val="00F37857"/>
    <w:rsid w:val="00F40F2F"/>
    <w:rsid w:val="00F412FF"/>
    <w:rsid w:val="00F418EF"/>
    <w:rsid w:val="00F41967"/>
    <w:rsid w:val="00F41D6D"/>
    <w:rsid w:val="00F420B0"/>
    <w:rsid w:val="00F424C7"/>
    <w:rsid w:val="00F4284A"/>
    <w:rsid w:val="00F42CE0"/>
    <w:rsid w:val="00F42F92"/>
    <w:rsid w:val="00F434AD"/>
    <w:rsid w:val="00F435F3"/>
    <w:rsid w:val="00F4439C"/>
    <w:rsid w:val="00F44904"/>
    <w:rsid w:val="00F45164"/>
    <w:rsid w:val="00F458EF"/>
    <w:rsid w:val="00F45DE3"/>
    <w:rsid w:val="00F4615F"/>
    <w:rsid w:val="00F46946"/>
    <w:rsid w:val="00F4705E"/>
    <w:rsid w:val="00F4708E"/>
    <w:rsid w:val="00F47399"/>
    <w:rsid w:val="00F47830"/>
    <w:rsid w:val="00F50994"/>
    <w:rsid w:val="00F50A01"/>
    <w:rsid w:val="00F50C0F"/>
    <w:rsid w:val="00F50C41"/>
    <w:rsid w:val="00F50CCF"/>
    <w:rsid w:val="00F50D2C"/>
    <w:rsid w:val="00F50E68"/>
    <w:rsid w:val="00F50EBC"/>
    <w:rsid w:val="00F50EED"/>
    <w:rsid w:val="00F510BB"/>
    <w:rsid w:val="00F51A67"/>
    <w:rsid w:val="00F520B4"/>
    <w:rsid w:val="00F5254A"/>
    <w:rsid w:val="00F52735"/>
    <w:rsid w:val="00F52B5A"/>
    <w:rsid w:val="00F52E70"/>
    <w:rsid w:val="00F5358F"/>
    <w:rsid w:val="00F53687"/>
    <w:rsid w:val="00F538DB"/>
    <w:rsid w:val="00F53B4F"/>
    <w:rsid w:val="00F53EC3"/>
    <w:rsid w:val="00F53F1B"/>
    <w:rsid w:val="00F5432D"/>
    <w:rsid w:val="00F543AD"/>
    <w:rsid w:val="00F54ABE"/>
    <w:rsid w:val="00F54D36"/>
    <w:rsid w:val="00F54FB7"/>
    <w:rsid w:val="00F54FF3"/>
    <w:rsid w:val="00F550C3"/>
    <w:rsid w:val="00F55B13"/>
    <w:rsid w:val="00F564FA"/>
    <w:rsid w:val="00F568EE"/>
    <w:rsid w:val="00F56CEB"/>
    <w:rsid w:val="00F56EB3"/>
    <w:rsid w:val="00F5727C"/>
    <w:rsid w:val="00F576C0"/>
    <w:rsid w:val="00F5788D"/>
    <w:rsid w:val="00F57A3E"/>
    <w:rsid w:val="00F57AF1"/>
    <w:rsid w:val="00F60405"/>
    <w:rsid w:val="00F6069E"/>
    <w:rsid w:val="00F6087F"/>
    <w:rsid w:val="00F60C24"/>
    <w:rsid w:val="00F60D43"/>
    <w:rsid w:val="00F60E45"/>
    <w:rsid w:val="00F61105"/>
    <w:rsid w:val="00F6120E"/>
    <w:rsid w:val="00F614D8"/>
    <w:rsid w:val="00F6198C"/>
    <w:rsid w:val="00F61D42"/>
    <w:rsid w:val="00F61D55"/>
    <w:rsid w:val="00F61E58"/>
    <w:rsid w:val="00F62297"/>
    <w:rsid w:val="00F62620"/>
    <w:rsid w:val="00F63A6A"/>
    <w:rsid w:val="00F63B24"/>
    <w:rsid w:val="00F63CB8"/>
    <w:rsid w:val="00F63D4F"/>
    <w:rsid w:val="00F6436E"/>
    <w:rsid w:val="00F64A66"/>
    <w:rsid w:val="00F64CBA"/>
    <w:rsid w:val="00F65194"/>
    <w:rsid w:val="00F65A34"/>
    <w:rsid w:val="00F65CD4"/>
    <w:rsid w:val="00F661ED"/>
    <w:rsid w:val="00F66915"/>
    <w:rsid w:val="00F66F3C"/>
    <w:rsid w:val="00F66FCE"/>
    <w:rsid w:val="00F67434"/>
    <w:rsid w:val="00F702AE"/>
    <w:rsid w:val="00F71840"/>
    <w:rsid w:val="00F71861"/>
    <w:rsid w:val="00F71C1F"/>
    <w:rsid w:val="00F71CFD"/>
    <w:rsid w:val="00F72EF4"/>
    <w:rsid w:val="00F72EF9"/>
    <w:rsid w:val="00F73592"/>
    <w:rsid w:val="00F73A71"/>
    <w:rsid w:val="00F73C1F"/>
    <w:rsid w:val="00F73DA8"/>
    <w:rsid w:val="00F7410F"/>
    <w:rsid w:val="00F74915"/>
    <w:rsid w:val="00F74AAB"/>
    <w:rsid w:val="00F74B89"/>
    <w:rsid w:val="00F74D2C"/>
    <w:rsid w:val="00F7503D"/>
    <w:rsid w:val="00F752C6"/>
    <w:rsid w:val="00F7539E"/>
    <w:rsid w:val="00F75BB9"/>
    <w:rsid w:val="00F75E01"/>
    <w:rsid w:val="00F75ED0"/>
    <w:rsid w:val="00F75F22"/>
    <w:rsid w:val="00F761C6"/>
    <w:rsid w:val="00F765A1"/>
    <w:rsid w:val="00F76B6B"/>
    <w:rsid w:val="00F76CE9"/>
    <w:rsid w:val="00F77092"/>
    <w:rsid w:val="00F77760"/>
    <w:rsid w:val="00F77789"/>
    <w:rsid w:val="00F77A99"/>
    <w:rsid w:val="00F80333"/>
    <w:rsid w:val="00F8034A"/>
    <w:rsid w:val="00F803CC"/>
    <w:rsid w:val="00F80FE3"/>
    <w:rsid w:val="00F8135C"/>
    <w:rsid w:val="00F813BF"/>
    <w:rsid w:val="00F81F3E"/>
    <w:rsid w:val="00F82131"/>
    <w:rsid w:val="00F82380"/>
    <w:rsid w:val="00F8293E"/>
    <w:rsid w:val="00F82958"/>
    <w:rsid w:val="00F829B1"/>
    <w:rsid w:val="00F82CE0"/>
    <w:rsid w:val="00F82EA2"/>
    <w:rsid w:val="00F832AA"/>
    <w:rsid w:val="00F83541"/>
    <w:rsid w:val="00F83651"/>
    <w:rsid w:val="00F83CEA"/>
    <w:rsid w:val="00F840F0"/>
    <w:rsid w:val="00F842DF"/>
    <w:rsid w:val="00F84E43"/>
    <w:rsid w:val="00F85624"/>
    <w:rsid w:val="00F856FB"/>
    <w:rsid w:val="00F85E4F"/>
    <w:rsid w:val="00F85FA6"/>
    <w:rsid w:val="00F86344"/>
    <w:rsid w:val="00F865BE"/>
    <w:rsid w:val="00F86613"/>
    <w:rsid w:val="00F86970"/>
    <w:rsid w:val="00F8773E"/>
    <w:rsid w:val="00F8782F"/>
    <w:rsid w:val="00F90ABD"/>
    <w:rsid w:val="00F91052"/>
    <w:rsid w:val="00F91879"/>
    <w:rsid w:val="00F920C0"/>
    <w:rsid w:val="00F92581"/>
    <w:rsid w:val="00F92AD7"/>
    <w:rsid w:val="00F93107"/>
    <w:rsid w:val="00F942AD"/>
    <w:rsid w:val="00F94BB8"/>
    <w:rsid w:val="00F94CF1"/>
    <w:rsid w:val="00F954F7"/>
    <w:rsid w:val="00F9558E"/>
    <w:rsid w:val="00F95E41"/>
    <w:rsid w:val="00F95E6A"/>
    <w:rsid w:val="00F9632E"/>
    <w:rsid w:val="00F96C93"/>
    <w:rsid w:val="00F96CD6"/>
    <w:rsid w:val="00F97123"/>
    <w:rsid w:val="00F97379"/>
    <w:rsid w:val="00F979AB"/>
    <w:rsid w:val="00F97E26"/>
    <w:rsid w:val="00FA076F"/>
    <w:rsid w:val="00FA0D5B"/>
    <w:rsid w:val="00FA0EA3"/>
    <w:rsid w:val="00FA178A"/>
    <w:rsid w:val="00FA1F30"/>
    <w:rsid w:val="00FA2060"/>
    <w:rsid w:val="00FA301B"/>
    <w:rsid w:val="00FA3491"/>
    <w:rsid w:val="00FA3B4A"/>
    <w:rsid w:val="00FA3EC2"/>
    <w:rsid w:val="00FA493C"/>
    <w:rsid w:val="00FA4CFF"/>
    <w:rsid w:val="00FA55AD"/>
    <w:rsid w:val="00FA58F4"/>
    <w:rsid w:val="00FA5A66"/>
    <w:rsid w:val="00FA5B87"/>
    <w:rsid w:val="00FA65C3"/>
    <w:rsid w:val="00FA65FC"/>
    <w:rsid w:val="00FA6616"/>
    <w:rsid w:val="00FA68EA"/>
    <w:rsid w:val="00FA692C"/>
    <w:rsid w:val="00FA6A53"/>
    <w:rsid w:val="00FA7441"/>
    <w:rsid w:val="00FA78C7"/>
    <w:rsid w:val="00FA78D7"/>
    <w:rsid w:val="00FA7F7F"/>
    <w:rsid w:val="00FB0287"/>
    <w:rsid w:val="00FB0A75"/>
    <w:rsid w:val="00FB0C28"/>
    <w:rsid w:val="00FB11BF"/>
    <w:rsid w:val="00FB1358"/>
    <w:rsid w:val="00FB16B5"/>
    <w:rsid w:val="00FB225A"/>
    <w:rsid w:val="00FB296F"/>
    <w:rsid w:val="00FB2ED4"/>
    <w:rsid w:val="00FB390B"/>
    <w:rsid w:val="00FB452C"/>
    <w:rsid w:val="00FB453A"/>
    <w:rsid w:val="00FB4720"/>
    <w:rsid w:val="00FB4C1D"/>
    <w:rsid w:val="00FB4C4C"/>
    <w:rsid w:val="00FB4D4C"/>
    <w:rsid w:val="00FB4E43"/>
    <w:rsid w:val="00FB4F86"/>
    <w:rsid w:val="00FB52CA"/>
    <w:rsid w:val="00FB54FE"/>
    <w:rsid w:val="00FB5CF2"/>
    <w:rsid w:val="00FB5F7F"/>
    <w:rsid w:val="00FB6725"/>
    <w:rsid w:val="00FB68BC"/>
    <w:rsid w:val="00FB6B7D"/>
    <w:rsid w:val="00FB74D3"/>
    <w:rsid w:val="00FB78F3"/>
    <w:rsid w:val="00FB7A2C"/>
    <w:rsid w:val="00FB7CF9"/>
    <w:rsid w:val="00FC020E"/>
    <w:rsid w:val="00FC048C"/>
    <w:rsid w:val="00FC0509"/>
    <w:rsid w:val="00FC0FC3"/>
    <w:rsid w:val="00FC157E"/>
    <w:rsid w:val="00FC237A"/>
    <w:rsid w:val="00FC303F"/>
    <w:rsid w:val="00FC308F"/>
    <w:rsid w:val="00FC30A5"/>
    <w:rsid w:val="00FC387C"/>
    <w:rsid w:val="00FC3ADC"/>
    <w:rsid w:val="00FC3B3C"/>
    <w:rsid w:val="00FC3B86"/>
    <w:rsid w:val="00FC43FA"/>
    <w:rsid w:val="00FC4A34"/>
    <w:rsid w:val="00FC4C20"/>
    <w:rsid w:val="00FC4EB8"/>
    <w:rsid w:val="00FC4F67"/>
    <w:rsid w:val="00FC50E7"/>
    <w:rsid w:val="00FC51A3"/>
    <w:rsid w:val="00FC5786"/>
    <w:rsid w:val="00FC5D91"/>
    <w:rsid w:val="00FC5FE7"/>
    <w:rsid w:val="00FC6287"/>
    <w:rsid w:val="00FC6B5B"/>
    <w:rsid w:val="00FC6EAF"/>
    <w:rsid w:val="00FC734B"/>
    <w:rsid w:val="00FC7490"/>
    <w:rsid w:val="00FD0464"/>
    <w:rsid w:val="00FD0BC9"/>
    <w:rsid w:val="00FD1028"/>
    <w:rsid w:val="00FD1535"/>
    <w:rsid w:val="00FD1DAB"/>
    <w:rsid w:val="00FD1EE6"/>
    <w:rsid w:val="00FD255D"/>
    <w:rsid w:val="00FD26FC"/>
    <w:rsid w:val="00FD2893"/>
    <w:rsid w:val="00FD31DF"/>
    <w:rsid w:val="00FD3447"/>
    <w:rsid w:val="00FD4545"/>
    <w:rsid w:val="00FD4576"/>
    <w:rsid w:val="00FD466B"/>
    <w:rsid w:val="00FD4F28"/>
    <w:rsid w:val="00FD524A"/>
    <w:rsid w:val="00FD5764"/>
    <w:rsid w:val="00FD5CC8"/>
    <w:rsid w:val="00FD5E9C"/>
    <w:rsid w:val="00FD5F5C"/>
    <w:rsid w:val="00FD5FF6"/>
    <w:rsid w:val="00FD6425"/>
    <w:rsid w:val="00FD65CC"/>
    <w:rsid w:val="00FD669D"/>
    <w:rsid w:val="00FD67FF"/>
    <w:rsid w:val="00FD6C55"/>
    <w:rsid w:val="00FD71B1"/>
    <w:rsid w:val="00FD7330"/>
    <w:rsid w:val="00FD7966"/>
    <w:rsid w:val="00FD7A74"/>
    <w:rsid w:val="00FD7F2F"/>
    <w:rsid w:val="00FD7F35"/>
    <w:rsid w:val="00FD7F57"/>
    <w:rsid w:val="00FE01F1"/>
    <w:rsid w:val="00FE042D"/>
    <w:rsid w:val="00FE1662"/>
    <w:rsid w:val="00FE26D0"/>
    <w:rsid w:val="00FE2704"/>
    <w:rsid w:val="00FE2C2D"/>
    <w:rsid w:val="00FE2F48"/>
    <w:rsid w:val="00FE3051"/>
    <w:rsid w:val="00FE309E"/>
    <w:rsid w:val="00FE3C5F"/>
    <w:rsid w:val="00FE3DD3"/>
    <w:rsid w:val="00FE43FA"/>
    <w:rsid w:val="00FE4925"/>
    <w:rsid w:val="00FE584E"/>
    <w:rsid w:val="00FE5CA2"/>
    <w:rsid w:val="00FE640D"/>
    <w:rsid w:val="00FE67AB"/>
    <w:rsid w:val="00FE7996"/>
    <w:rsid w:val="00FF03FE"/>
    <w:rsid w:val="00FF12C0"/>
    <w:rsid w:val="00FF19A1"/>
    <w:rsid w:val="00FF1B43"/>
    <w:rsid w:val="00FF2210"/>
    <w:rsid w:val="00FF234F"/>
    <w:rsid w:val="00FF25F9"/>
    <w:rsid w:val="00FF2869"/>
    <w:rsid w:val="00FF2B48"/>
    <w:rsid w:val="00FF2CB3"/>
    <w:rsid w:val="00FF305D"/>
    <w:rsid w:val="00FF344C"/>
    <w:rsid w:val="00FF3627"/>
    <w:rsid w:val="00FF37EA"/>
    <w:rsid w:val="00FF3969"/>
    <w:rsid w:val="00FF3B4F"/>
    <w:rsid w:val="00FF472C"/>
    <w:rsid w:val="00FF4E4E"/>
    <w:rsid w:val="00FF53F1"/>
    <w:rsid w:val="00FF5E21"/>
    <w:rsid w:val="00FF622F"/>
    <w:rsid w:val="00FF642B"/>
    <w:rsid w:val="00FF6599"/>
    <w:rsid w:val="00FF65B4"/>
    <w:rsid w:val="00FF65CC"/>
    <w:rsid w:val="00FF65D5"/>
    <w:rsid w:val="00FF661C"/>
    <w:rsid w:val="00FF665C"/>
    <w:rsid w:val="00FF721B"/>
    <w:rsid w:val="00FF72C5"/>
    <w:rsid w:val="00FF7551"/>
    <w:rsid w:val="00FF7D95"/>
    <w:rsid w:val="132D7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FFFF"/>
    </o:shapedefaults>
    <o:shapelayout v:ext="edit">
      <o:idmap v:ext="edit" data="1,15"/>
      <o:rules v:ext="edit">
        <o:r id="V:Rule1" type="connector" idref="#自选图形 1565"/>
        <o:r id="V:Rule2" type="connector" idref="#自选图形 1580"/>
        <o:r id="V:Rule3" type="connector" idref="#自选图形 1581"/>
        <o:r id="V:Rule4" type="connector" idref="#自选图形 1584"/>
        <o:r id="V:Rule5" type="connector" idref="#自选图形 1585"/>
        <o:r id="V:Rule6" type="connector" idref="#自选图形 1586"/>
        <o:r id="V:Rule7" type="connector" idref="#自选图形 1591"/>
        <o:r id="V:Rule8" type="connector" idref="#自选图形 1598"/>
        <o:r id="V:Rule9" type="connector" idref="#自选图形 1608"/>
        <o:r id="V:Rule10" type="connector" idref="#自选图形 1611"/>
        <o:r id="V:Rule11" type="connector" idref="#自选图形 1615"/>
        <o:r id="V:Rule12" type="connector" idref="#自选图形 1616"/>
        <o:r id="V:Rule13" type="connector" idref="#自选图形 1619"/>
        <o:r id="V:Rule14" type="connector" idref="#自选图形 1456"/>
        <o:r id="V:Rule15" type="connector" idref="#自选图形 1457"/>
        <o:r id="V:Rule16" type="connector" idref="#自选图形 1459"/>
        <o:r id="V:Rule17" type="connector" idref="#自选图形 1460"/>
        <o:r id="V:Rule18" type="connector" idref="#自选图形 1461"/>
        <o:r id="V:Rule19" type="connector" idref="#自选图形 1462"/>
        <o:r id="V:Rule20" type="connector" idref="#自选图形 1463"/>
        <o:r id="V:Rule21" type="connector" idref="#自选图形 1464"/>
        <o:r id="V:Rule22" type="connector" idref="#自选图形 1465"/>
        <o:r id="V:Rule23" type="connector" idref="#自选图形 1466"/>
        <o:r id="V:Rule24" type="connector" idref="#自选图形 1467"/>
        <o:r id="V:Rule25" type="connector" idref="#自选图形 1468"/>
        <o:r id="V:Rule26" type="connector" idref="#自选图形 1476"/>
        <o:r id="V:Rule27" type="connector" idref="#自选图形 1477"/>
        <o:r id="V:Rule28" type="connector" idref="#自选图形 1478"/>
        <o:r id="V:Rule29" type="connector" idref="#自选图形 1479"/>
        <o:r id="V:Rule30" type="connector" idref="#自选图形 1480"/>
        <o:r id="V:Rule31" type="connector" idref="#自选图形 1481"/>
        <o:r id="V:Rule32" type="connector" idref="#自选图形 1482"/>
        <o:r id="V:Rule33" type="connector" idref="#自选图形 1483"/>
        <o:r id="V:Rule34" type="connector" idref="#自选图形 1484"/>
        <o:r id="V:Rule35" type="connector" idref="#自选图形 1485"/>
        <o:r id="V:Rule36" type="connector" idref="#自选图形 1488"/>
        <o:r id="V:Rule37" type="connector" idref="#自选图形 1538"/>
        <o:r id="V:Rule38" type="connector" idref="#自选图形 1539"/>
        <o:r id="V:Rule39" type="connector" idref="#自选图形 1623"/>
        <o:r id="V:Rule40" type="connector" idref="#自选图形 1624"/>
        <o:r id="V:Rule41" type="connector" idref="#自选图形 1626"/>
        <o:r id="V:Rule42" type="connector" idref="#自选图形 1630"/>
        <o:r id="V:Rule43" type="connector" idref="#自选图形 1633"/>
        <o:r id="V:Rule44" type="connector" idref="#自选图形 1635"/>
        <o:r id="V:Rule45" type="connector" idref="#自选图形 1637"/>
        <o:r id="V:Rule46" type="connector" idref="#自选图形 1638"/>
        <o:r id="V:Rule47" type="connector" idref="#自选图形 1639"/>
        <o:r id="V:Rule48" type="connector" idref="#自选图形 1644"/>
        <o:r id="V:Rule49" type="connector" idref="#自选图形 1693"/>
        <o:r id="V:Rule50" type="connector" idref="#自选图形 1694"/>
        <o:r id="V:Rule51" type="connector" idref="#自选图形 1696"/>
        <o:r id="V:Rule52" type="connector" idref="#自选图形 1448"/>
        <o:r id="V:Rule53" type="connector" idref="#自选图形 1449"/>
        <o:r id="V:Rule54" type="connector" idref="#自选图形 1528"/>
        <o:r id="V:Rule55" type="connector" idref="#自选图形 1534"/>
        <o:r id="V:Rule56" type="connector" idref="#自选图形 1535"/>
        <o:r id="V:Rule57" type="connector" idref="#自选图形 1641"/>
        <o:r id="V:Rule58" type="connector" idref="#自选图形 1657"/>
        <o:r id="V:Rule59" type="connector" idref="#自选图形 1658"/>
        <o:r id="V:Rule60" type="connector" idref="#自选图形 1659"/>
        <o:r id="V:Rule61" type="connector" idref="#自选图形 1660"/>
        <o:r id="V:Rule62" type="connector" idref="#自选图形 1661"/>
        <o:r id="V:Rule63" type="connector" idref="#自选图形 1665"/>
        <o:r id="V:Rule64" type="connector" idref="#自选图形 1667"/>
        <o:r id="V:Rule65" type="connector" idref="#自选图形 1668"/>
        <o:r id="V:Rule66" type="connector" idref="#自选图形 1669"/>
        <o:r id="V:Rule67" type="connector" idref="#自选图形 1671"/>
        <o:r id="V:Rule68" type="connector" idref="#自选图形 1675"/>
        <o:r id="V:Rule69" type="connector" idref="#自选图形 1676"/>
        <o:r id="V:Rule70" type="connector" idref="#自选图形 1677"/>
        <o:r id="V:Rule71" type="connector" idref="#自选图形 1683"/>
        <o:r id="V:Rule72" type="connector" idref="#自选图形 1493"/>
        <o:r id="V:Rule73" type="connector" idref="#自选图形 1494"/>
        <o:r id="V:Rule74" type="connector" idref="#自选图形 1495"/>
        <o:r id="V:Rule75" type="connector" idref="#自选图形 154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99"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99" w:semiHidden="0" w:name="HTML Keyboard"/>
    <w:lsdException w:qFormat="1" w:unhideWhenUsed="0" w:uiPriority="99"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spacing w:line="360" w:lineRule="auto"/>
      <w:jc w:val="center"/>
      <w:outlineLvl w:val="0"/>
    </w:pPr>
    <w:rPr>
      <w:sz w:val="28"/>
    </w:rPr>
  </w:style>
  <w:style w:type="paragraph" w:styleId="4">
    <w:name w:val="heading 2"/>
    <w:basedOn w:val="1"/>
    <w:next w:val="1"/>
    <w:link w:val="7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78"/>
    <w:qFormat/>
    <w:uiPriority w:val="0"/>
    <w:pPr>
      <w:keepNext/>
      <w:keepLines/>
      <w:spacing w:before="260" w:after="260" w:line="416" w:lineRule="auto"/>
      <w:outlineLvl w:val="2"/>
    </w:pPr>
    <w:rPr>
      <w:b/>
      <w:bCs/>
      <w:sz w:val="32"/>
      <w:szCs w:val="32"/>
    </w:rPr>
  </w:style>
  <w:style w:type="paragraph" w:styleId="6">
    <w:name w:val="heading 4"/>
    <w:basedOn w:val="1"/>
    <w:next w:val="1"/>
    <w:link w:val="7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0"/>
    <w:qFormat/>
    <w:uiPriority w:val="0"/>
    <w:pPr>
      <w:keepNext/>
      <w:keepLines/>
      <w:adjustRightInd w:val="0"/>
      <w:spacing w:before="280" w:after="290" w:line="376" w:lineRule="atLeast"/>
      <w:jc w:val="left"/>
      <w:textAlignment w:val="baseline"/>
      <w:outlineLvl w:val="4"/>
    </w:pPr>
    <w:rPr>
      <w:b/>
      <w:kern w:val="0"/>
      <w:sz w:val="28"/>
      <w:szCs w:val="20"/>
    </w:rPr>
  </w:style>
  <w:style w:type="paragraph" w:styleId="8">
    <w:name w:val="heading 6"/>
    <w:basedOn w:val="1"/>
    <w:next w:val="1"/>
    <w:link w:val="81"/>
    <w:qFormat/>
    <w:uiPriority w:val="0"/>
    <w:pPr>
      <w:keepNext/>
      <w:keepLines/>
      <w:adjustRightInd w:val="0"/>
      <w:spacing w:before="240" w:after="64" w:line="320" w:lineRule="atLeast"/>
      <w:jc w:val="left"/>
      <w:textAlignment w:val="baseline"/>
      <w:outlineLvl w:val="5"/>
    </w:pPr>
    <w:rPr>
      <w:rFonts w:ascii="Arial" w:hAnsi="Arial" w:eastAsia="黑体"/>
      <w:b/>
      <w:kern w:val="0"/>
      <w:sz w:val="24"/>
      <w:szCs w:val="20"/>
    </w:rPr>
  </w:style>
  <w:style w:type="paragraph" w:styleId="9">
    <w:name w:val="heading 7"/>
    <w:basedOn w:val="1"/>
    <w:next w:val="1"/>
    <w:link w:val="82"/>
    <w:qFormat/>
    <w:uiPriority w:val="0"/>
    <w:pPr>
      <w:keepNext/>
      <w:keepLines/>
      <w:adjustRightInd w:val="0"/>
      <w:spacing w:before="240" w:after="64" w:line="320" w:lineRule="atLeast"/>
      <w:jc w:val="left"/>
      <w:textAlignment w:val="baseline"/>
      <w:outlineLvl w:val="6"/>
    </w:pPr>
    <w:rPr>
      <w:b/>
      <w:kern w:val="0"/>
      <w:sz w:val="24"/>
      <w:szCs w:val="20"/>
    </w:rPr>
  </w:style>
  <w:style w:type="paragraph" w:styleId="10">
    <w:name w:val="heading 8"/>
    <w:basedOn w:val="1"/>
    <w:next w:val="1"/>
    <w:link w:val="83"/>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0"/>
    </w:rPr>
  </w:style>
  <w:style w:type="paragraph" w:styleId="11">
    <w:name w:val="heading 9"/>
    <w:basedOn w:val="1"/>
    <w:next w:val="1"/>
    <w:link w:val="84"/>
    <w:qFormat/>
    <w:uiPriority w:val="0"/>
    <w:pPr>
      <w:keepNext/>
      <w:keepLine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60">
    <w:name w:val="Default Paragraph Font"/>
    <w:semiHidden/>
    <w:unhideWhenUsed/>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2">
    <w:name w:val="macro"/>
    <w:link w:val="17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toc 7"/>
    <w:basedOn w:val="1"/>
    <w:next w:val="1"/>
    <w:qFormat/>
    <w:uiPriority w:val="0"/>
    <w:pPr>
      <w:spacing w:line="360" w:lineRule="auto"/>
      <w:ind w:left="2520" w:leftChars="1200" w:firstLine="480" w:firstLineChars="200"/>
      <w:jc w:val="left"/>
    </w:pPr>
    <w:rPr>
      <w:sz w:val="24"/>
      <w:szCs w:val="21"/>
    </w:rPr>
  </w:style>
  <w:style w:type="paragraph" w:styleId="13">
    <w:name w:val="Normal Indent"/>
    <w:basedOn w:val="1"/>
    <w:link w:val="117"/>
    <w:qFormat/>
    <w:uiPriority w:val="0"/>
    <w:pPr>
      <w:ind w:firstLine="420"/>
    </w:pPr>
    <w:rPr>
      <w:szCs w:val="20"/>
    </w:rPr>
  </w:style>
  <w:style w:type="paragraph" w:styleId="14">
    <w:name w:val="caption"/>
    <w:basedOn w:val="1"/>
    <w:next w:val="1"/>
    <w:qFormat/>
    <w:uiPriority w:val="35"/>
    <w:pPr>
      <w:spacing w:line="480" w:lineRule="exact"/>
      <w:ind w:firstLine="200" w:firstLineChars="200"/>
    </w:pPr>
    <w:rPr>
      <w:rFonts w:ascii="Arial" w:hAnsi="Arial" w:eastAsia="黑体" w:cs="Arial"/>
      <w:sz w:val="20"/>
      <w:szCs w:val="20"/>
    </w:rPr>
  </w:style>
  <w:style w:type="paragraph" w:styleId="15">
    <w:name w:val="List Bullet"/>
    <w:basedOn w:val="1"/>
    <w:uiPriority w:val="0"/>
    <w:pPr>
      <w:tabs>
        <w:tab w:val="left" w:pos="360"/>
      </w:tabs>
      <w:spacing w:line="360" w:lineRule="auto"/>
      <w:ind w:left="360" w:hanging="360" w:hangingChars="200"/>
      <w:jc w:val="left"/>
    </w:pPr>
    <w:rPr>
      <w:sz w:val="24"/>
      <w:szCs w:val="20"/>
    </w:rPr>
  </w:style>
  <w:style w:type="paragraph" w:styleId="16">
    <w:name w:val="Document Map"/>
    <w:basedOn w:val="1"/>
    <w:link w:val="173"/>
    <w:qFormat/>
    <w:uiPriority w:val="0"/>
    <w:pPr>
      <w:shd w:val="clear" w:color="auto" w:fill="000080"/>
    </w:pPr>
  </w:style>
  <w:style w:type="paragraph" w:styleId="17">
    <w:name w:val="annotation text"/>
    <w:basedOn w:val="1"/>
    <w:link w:val="101"/>
    <w:qFormat/>
    <w:uiPriority w:val="0"/>
    <w:pPr>
      <w:jc w:val="left"/>
    </w:pPr>
  </w:style>
  <w:style w:type="paragraph" w:styleId="18">
    <w:name w:val="index 6"/>
    <w:basedOn w:val="1"/>
    <w:next w:val="1"/>
    <w:uiPriority w:val="0"/>
    <w:pPr>
      <w:ind w:left="1000" w:leftChars="1000"/>
    </w:pPr>
  </w:style>
  <w:style w:type="paragraph" w:styleId="19">
    <w:name w:val="Salutation"/>
    <w:basedOn w:val="1"/>
    <w:next w:val="1"/>
    <w:link w:val="166"/>
    <w:qFormat/>
    <w:uiPriority w:val="0"/>
  </w:style>
  <w:style w:type="paragraph" w:styleId="20">
    <w:name w:val="Body Text 3"/>
    <w:basedOn w:val="1"/>
    <w:link w:val="114"/>
    <w:uiPriority w:val="0"/>
    <w:pPr>
      <w:spacing w:after="120"/>
    </w:pPr>
    <w:rPr>
      <w:sz w:val="16"/>
      <w:szCs w:val="16"/>
    </w:rPr>
  </w:style>
  <w:style w:type="paragraph" w:styleId="21">
    <w:name w:val="Body Text"/>
    <w:basedOn w:val="1"/>
    <w:link w:val="110"/>
    <w:qFormat/>
    <w:uiPriority w:val="0"/>
    <w:pPr>
      <w:spacing w:line="480" w:lineRule="exact"/>
      <w:ind w:firstLine="200" w:firstLineChars="200"/>
    </w:pPr>
    <w:rPr>
      <w:sz w:val="24"/>
    </w:rPr>
  </w:style>
  <w:style w:type="paragraph" w:styleId="22">
    <w:name w:val="Body Text Indent"/>
    <w:basedOn w:val="1"/>
    <w:link w:val="118"/>
    <w:qFormat/>
    <w:uiPriority w:val="0"/>
    <w:pPr>
      <w:spacing w:line="360" w:lineRule="auto"/>
      <w:ind w:firstLine="480" w:firstLineChars="200"/>
    </w:pPr>
    <w:rPr>
      <w:sz w:val="24"/>
      <w:szCs w:val="20"/>
    </w:rPr>
  </w:style>
  <w:style w:type="paragraph" w:styleId="23">
    <w:name w:val="List 2"/>
    <w:basedOn w:val="1"/>
    <w:qFormat/>
    <w:uiPriority w:val="0"/>
    <w:pPr>
      <w:adjustRightInd w:val="0"/>
      <w:snapToGrid w:val="0"/>
      <w:spacing w:line="360" w:lineRule="auto"/>
      <w:ind w:left="100" w:leftChars="200" w:hanging="200" w:hangingChars="200"/>
    </w:pPr>
    <w:rPr>
      <w:sz w:val="24"/>
    </w:rPr>
  </w:style>
  <w:style w:type="paragraph" w:styleId="24">
    <w:name w:val="Block Text"/>
    <w:basedOn w:val="1"/>
    <w:uiPriority w:val="0"/>
    <w:pPr>
      <w:spacing w:line="280" w:lineRule="atLeast"/>
      <w:ind w:left="-105" w:leftChars="-50" w:right="-105" w:rightChars="-50"/>
      <w:jc w:val="center"/>
    </w:pPr>
    <w:rPr>
      <w:szCs w:val="20"/>
    </w:rPr>
  </w:style>
  <w:style w:type="paragraph" w:styleId="25">
    <w:name w:val="index 4"/>
    <w:basedOn w:val="1"/>
    <w:next w:val="1"/>
    <w:uiPriority w:val="0"/>
    <w:pPr>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spacing w:line="360" w:lineRule="auto"/>
    </w:pPr>
    <w:rPr>
      <w:spacing w:val="-6"/>
      <w:sz w:val="24"/>
      <w:szCs w:val="20"/>
    </w:rPr>
  </w:style>
  <w:style w:type="paragraph" w:styleId="28">
    <w:name w:val="Plain Text"/>
    <w:basedOn w:val="1"/>
    <w:link w:val="99"/>
    <w:qFormat/>
    <w:uiPriority w:val="0"/>
    <w:rPr>
      <w:rFonts w:ascii="宋体" w:hAnsi="Courier New"/>
      <w:szCs w:val="20"/>
    </w:rPr>
  </w:style>
  <w:style w:type="paragraph" w:styleId="29">
    <w:name w:val="toc 8"/>
    <w:basedOn w:val="1"/>
    <w:next w:val="1"/>
    <w:qFormat/>
    <w:uiPriority w:val="0"/>
    <w:pPr>
      <w:spacing w:line="360" w:lineRule="auto"/>
      <w:ind w:left="2940" w:leftChars="1400" w:firstLine="480" w:firstLineChars="200"/>
      <w:jc w:val="left"/>
    </w:pPr>
    <w:rPr>
      <w:sz w:val="24"/>
      <w:szCs w:val="21"/>
    </w:rPr>
  </w:style>
  <w:style w:type="paragraph" w:styleId="30">
    <w:name w:val="Date"/>
    <w:basedOn w:val="1"/>
    <w:next w:val="1"/>
    <w:link w:val="91"/>
    <w:qFormat/>
    <w:uiPriority w:val="0"/>
    <w:pPr>
      <w:ind w:left="100" w:leftChars="2500"/>
    </w:pPr>
    <w:rPr>
      <w:sz w:val="24"/>
    </w:rPr>
  </w:style>
  <w:style w:type="paragraph" w:styleId="31">
    <w:name w:val="Body Text Indent 2"/>
    <w:basedOn w:val="1"/>
    <w:link w:val="121"/>
    <w:qFormat/>
    <w:uiPriority w:val="0"/>
    <w:pPr>
      <w:spacing w:line="460" w:lineRule="exact"/>
      <w:ind w:left="660"/>
    </w:pPr>
    <w:rPr>
      <w:sz w:val="24"/>
      <w:szCs w:val="20"/>
    </w:rPr>
  </w:style>
  <w:style w:type="paragraph" w:styleId="32">
    <w:name w:val="Balloon Text"/>
    <w:basedOn w:val="1"/>
    <w:link w:val="103"/>
    <w:qFormat/>
    <w:uiPriority w:val="99"/>
    <w:rPr>
      <w:sz w:val="18"/>
      <w:szCs w:val="18"/>
    </w:rPr>
  </w:style>
  <w:style w:type="paragraph" w:styleId="33">
    <w:name w:val="footer"/>
    <w:basedOn w:val="1"/>
    <w:link w:val="90"/>
    <w:qFormat/>
    <w:uiPriority w:val="99"/>
    <w:pPr>
      <w:tabs>
        <w:tab w:val="center" w:pos="4153"/>
        <w:tab w:val="right" w:pos="8306"/>
      </w:tabs>
      <w:snapToGrid w:val="0"/>
      <w:jc w:val="left"/>
    </w:pPr>
    <w:rPr>
      <w:sz w:val="18"/>
      <w:szCs w:val="18"/>
    </w:rPr>
  </w:style>
  <w:style w:type="paragraph" w:styleId="34">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line="360" w:lineRule="auto"/>
      <w:ind w:firstLine="200" w:firstLineChars="200"/>
      <w:jc w:val="left"/>
    </w:pPr>
    <w:rPr>
      <w:sz w:val="24"/>
      <w:szCs w:val="21"/>
    </w:rPr>
  </w:style>
  <w:style w:type="paragraph" w:styleId="36">
    <w:name w:val="toc 4"/>
    <w:basedOn w:val="1"/>
    <w:next w:val="1"/>
    <w:qFormat/>
    <w:uiPriority w:val="0"/>
    <w:pPr>
      <w:spacing w:line="360" w:lineRule="auto"/>
      <w:ind w:left="1260" w:leftChars="600" w:firstLine="480" w:firstLineChars="200"/>
      <w:jc w:val="left"/>
    </w:pPr>
    <w:rPr>
      <w:sz w:val="24"/>
      <w:szCs w:val="21"/>
    </w:rPr>
  </w:style>
  <w:style w:type="paragraph" w:styleId="37">
    <w:name w:val="Subtitle"/>
    <w:basedOn w:val="1"/>
    <w:next w:val="1"/>
    <w:link w:val="520"/>
    <w:qFormat/>
    <w:uiPriority w:val="0"/>
    <w:pPr>
      <w:adjustRightInd w:val="0"/>
      <w:spacing w:before="240" w:after="60" w:line="312" w:lineRule="atLeast"/>
      <w:jc w:val="center"/>
      <w:textAlignment w:val="baseline"/>
      <w:outlineLvl w:val="1"/>
    </w:pPr>
    <w:rPr>
      <w:rFonts w:asciiTheme="majorHAnsi" w:hAnsiTheme="majorHAnsi" w:cstheme="majorBidi"/>
      <w:b/>
      <w:bCs/>
      <w:kern w:val="28"/>
      <w:sz w:val="32"/>
      <w:szCs w:val="32"/>
    </w:rPr>
  </w:style>
  <w:style w:type="paragraph" w:styleId="38">
    <w:name w:val="List"/>
    <w:basedOn w:val="1"/>
    <w:link w:val="93"/>
    <w:qFormat/>
    <w:uiPriority w:val="0"/>
    <w:pPr>
      <w:ind w:left="200" w:hanging="200" w:hangingChars="200"/>
    </w:pPr>
    <w:rPr>
      <w:szCs w:val="20"/>
    </w:rPr>
  </w:style>
  <w:style w:type="paragraph" w:styleId="39">
    <w:name w:val="footnote text"/>
    <w:basedOn w:val="1"/>
    <w:link w:val="309"/>
    <w:uiPriority w:val="0"/>
    <w:pPr>
      <w:snapToGrid w:val="0"/>
      <w:jc w:val="left"/>
    </w:pPr>
    <w:rPr>
      <w:sz w:val="18"/>
      <w:szCs w:val="18"/>
    </w:rPr>
  </w:style>
  <w:style w:type="paragraph" w:styleId="40">
    <w:name w:val="toc 6"/>
    <w:basedOn w:val="1"/>
    <w:next w:val="1"/>
    <w:qFormat/>
    <w:uiPriority w:val="0"/>
    <w:pPr>
      <w:spacing w:line="360" w:lineRule="auto"/>
      <w:ind w:left="2100" w:leftChars="1000" w:firstLine="480" w:firstLineChars="200"/>
      <w:jc w:val="left"/>
    </w:pPr>
    <w:rPr>
      <w:sz w:val="24"/>
      <w:szCs w:val="21"/>
    </w:rPr>
  </w:style>
  <w:style w:type="paragraph" w:styleId="41">
    <w:name w:val="Body Text Indent 3"/>
    <w:basedOn w:val="1"/>
    <w:link w:val="119"/>
    <w:qFormat/>
    <w:uiPriority w:val="0"/>
    <w:pPr>
      <w:spacing w:line="460" w:lineRule="exact"/>
      <w:ind w:left="479" w:leftChars="228" w:firstLine="360" w:firstLineChars="150"/>
    </w:pPr>
    <w:rPr>
      <w:sz w:val="24"/>
      <w:szCs w:val="20"/>
    </w:rPr>
  </w:style>
  <w:style w:type="paragraph" w:styleId="42">
    <w:name w:val="table of figures"/>
    <w:basedOn w:val="1"/>
    <w:next w:val="1"/>
    <w:uiPriority w:val="0"/>
    <w:pPr>
      <w:ind w:left="840" w:leftChars="200" w:hanging="420" w:hangingChars="200"/>
    </w:pPr>
  </w:style>
  <w:style w:type="paragraph" w:styleId="43">
    <w:name w:val="toc 2"/>
    <w:basedOn w:val="1"/>
    <w:next w:val="1"/>
    <w:qFormat/>
    <w:uiPriority w:val="0"/>
    <w:pPr>
      <w:spacing w:line="360" w:lineRule="auto"/>
      <w:ind w:left="480" w:leftChars="200" w:firstLine="200" w:firstLineChars="200"/>
      <w:jc w:val="left"/>
    </w:pPr>
    <w:rPr>
      <w:sz w:val="24"/>
      <w:szCs w:val="21"/>
    </w:rPr>
  </w:style>
  <w:style w:type="paragraph" w:styleId="44">
    <w:name w:val="toc 9"/>
    <w:basedOn w:val="1"/>
    <w:next w:val="1"/>
    <w:qFormat/>
    <w:uiPriority w:val="0"/>
    <w:pPr>
      <w:spacing w:line="360" w:lineRule="auto"/>
      <w:ind w:left="3360" w:leftChars="1600" w:firstLine="480" w:firstLineChars="200"/>
      <w:jc w:val="left"/>
    </w:pPr>
    <w:rPr>
      <w:sz w:val="24"/>
      <w:szCs w:val="21"/>
    </w:rPr>
  </w:style>
  <w:style w:type="paragraph" w:styleId="45">
    <w:name w:val="Body Text 2"/>
    <w:basedOn w:val="1"/>
    <w:link w:val="200"/>
    <w:uiPriority w:val="0"/>
    <w:pPr>
      <w:adjustRightInd w:val="0"/>
      <w:textAlignment w:val="baseline"/>
    </w:pPr>
    <w:rPr>
      <w:rFonts w:ascii="仿宋_GB2312" w:eastAsia="仿宋_GB2312"/>
      <w:kern w:val="0"/>
      <w:szCs w:val="20"/>
    </w:rPr>
  </w:style>
  <w:style w:type="paragraph" w:styleId="46">
    <w:name w:val="HTML Preformatted"/>
    <w:basedOn w:val="1"/>
    <w:link w:val="15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qFormat/>
    <w:uiPriority w:val="0"/>
    <w:pPr>
      <w:widowControl/>
      <w:spacing w:before="100" w:beforeAutospacing="1" w:after="100" w:afterAutospacing="1"/>
      <w:jc w:val="left"/>
    </w:pPr>
    <w:rPr>
      <w:rFonts w:ascii="宋体" w:hAnsi="宋体"/>
      <w:kern w:val="0"/>
      <w:sz w:val="24"/>
    </w:rPr>
  </w:style>
  <w:style w:type="paragraph" w:styleId="48">
    <w:name w:val="index 1"/>
    <w:basedOn w:val="1"/>
    <w:next w:val="1"/>
    <w:uiPriority w:val="0"/>
    <w:pPr>
      <w:adjustRightInd w:val="0"/>
      <w:snapToGrid w:val="0"/>
      <w:spacing w:line="320" w:lineRule="exact"/>
      <w:ind w:firstLine="480" w:firstLineChars="200"/>
      <w:jc w:val="center"/>
    </w:pPr>
    <w:rPr>
      <w:sz w:val="24"/>
      <w:szCs w:val="21"/>
    </w:rPr>
  </w:style>
  <w:style w:type="paragraph" w:styleId="49">
    <w:name w:val="Title"/>
    <w:basedOn w:val="1"/>
    <w:next w:val="1"/>
    <w:link w:val="195"/>
    <w:qFormat/>
    <w:uiPriority w:val="10"/>
    <w:pPr>
      <w:spacing w:before="240" w:after="60"/>
      <w:jc w:val="center"/>
      <w:outlineLvl w:val="0"/>
    </w:pPr>
    <w:rPr>
      <w:rFonts w:ascii="Cambria" w:hAnsi="Cambria"/>
      <w:b/>
      <w:bCs/>
      <w:sz w:val="32"/>
      <w:szCs w:val="32"/>
    </w:rPr>
  </w:style>
  <w:style w:type="paragraph" w:styleId="50">
    <w:name w:val="annotation subject"/>
    <w:basedOn w:val="17"/>
    <w:next w:val="17"/>
    <w:link w:val="102"/>
    <w:qFormat/>
    <w:uiPriority w:val="0"/>
    <w:rPr>
      <w:b/>
      <w:bCs/>
    </w:rPr>
  </w:style>
  <w:style w:type="paragraph" w:styleId="51">
    <w:name w:val="Body Text First Indent"/>
    <w:basedOn w:val="21"/>
    <w:link w:val="556"/>
    <w:qFormat/>
    <w:uiPriority w:val="0"/>
    <w:pPr>
      <w:spacing w:after="120" w:line="240" w:lineRule="auto"/>
      <w:ind w:firstLine="420" w:firstLineChars="0"/>
    </w:pPr>
    <w:rPr>
      <w:sz w:val="21"/>
      <w:szCs w:val="20"/>
    </w:rPr>
  </w:style>
  <w:style w:type="paragraph" w:styleId="52">
    <w:name w:val="Body Text First Indent 2"/>
    <w:basedOn w:val="22"/>
    <w:link w:val="565"/>
    <w:uiPriority w:val="0"/>
    <w:pPr>
      <w:spacing w:after="120" w:line="240" w:lineRule="auto"/>
      <w:ind w:left="420" w:leftChars="200" w:firstLine="420"/>
    </w:pPr>
    <w:rPr>
      <w:sz w:val="21"/>
      <w:szCs w:val="24"/>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5">
    <w:name w:val="Table Theme"/>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6">
    <w:name w:val="Table Colorful 1"/>
    <w:basedOn w:val="53"/>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57">
    <w:name w:val="Table Elegant"/>
    <w:basedOn w:val="53"/>
    <w:uiPriority w:val="0"/>
    <w:pPr>
      <w:widowControl w:val="0"/>
      <w:jc w:val="both"/>
    </w:pPr>
    <w:rPr>
      <w:rFonts w:ascii="Calibri" w:hAnsi="Calibri"/>
      <w:kern w:val="2"/>
      <w:sz w:val="21"/>
      <w:szCs w:val="22"/>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58">
    <w:name w:val="Table Grid 1"/>
    <w:basedOn w:val="53"/>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59">
    <w:name w:val="Table Grid 5"/>
    <w:basedOn w:val="53"/>
    <w:uiPriority w:val="0"/>
    <w:pPr>
      <w:widowControl w:val="0"/>
      <w:jc w:val="both"/>
    </w:pPr>
    <w:rPr>
      <w:rFonts w:ascii="Calibri" w:hAnsi="Calibri"/>
      <w:kern w:val="2"/>
      <w:sz w:val="21"/>
      <w:szCs w:val="22"/>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character" w:styleId="61">
    <w:name w:val="Strong"/>
    <w:qFormat/>
    <w:uiPriority w:val="0"/>
    <w:rPr>
      <w:b/>
      <w:bCs/>
    </w:rPr>
  </w:style>
  <w:style w:type="character" w:styleId="62">
    <w:name w:val="endnote reference"/>
    <w:qFormat/>
    <w:uiPriority w:val="0"/>
    <w:rPr>
      <w:vertAlign w:val="superscript"/>
    </w:rPr>
  </w:style>
  <w:style w:type="character" w:styleId="63">
    <w:name w:val="page number"/>
    <w:basedOn w:val="60"/>
    <w:qFormat/>
    <w:uiPriority w:val="0"/>
  </w:style>
  <w:style w:type="character" w:styleId="64">
    <w:name w:val="FollowedHyperlink"/>
    <w:basedOn w:val="60"/>
    <w:qFormat/>
    <w:uiPriority w:val="0"/>
    <w:rPr>
      <w:color w:val="800080"/>
      <w:u w:val="single"/>
    </w:rPr>
  </w:style>
  <w:style w:type="character" w:styleId="65">
    <w:name w:val="Emphasis"/>
    <w:qFormat/>
    <w:uiPriority w:val="0"/>
    <w:rPr>
      <w:color w:val="CC0000"/>
    </w:rPr>
  </w:style>
  <w:style w:type="character" w:styleId="66">
    <w:name w:val="line number"/>
    <w:basedOn w:val="60"/>
    <w:uiPriority w:val="99"/>
  </w:style>
  <w:style w:type="character" w:styleId="67">
    <w:name w:val="HTML Definition"/>
    <w:unhideWhenUsed/>
    <w:qFormat/>
    <w:uiPriority w:val="0"/>
  </w:style>
  <w:style w:type="character" w:styleId="68">
    <w:name w:val="HTML Variable"/>
    <w:unhideWhenUsed/>
    <w:qFormat/>
    <w:uiPriority w:val="0"/>
  </w:style>
  <w:style w:type="character" w:styleId="69">
    <w:name w:val="Hyperlink"/>
    <w:qFormat/>
    <w:uiPriority w:val="0"/>
    <w:rPr>
      <w:color w:val="0000FF"/>
      <w:u w:val="single"/>
    </w:rPr>
  </w:style>
  <w:style w:type="character" w:styleId="70">
    <w:name w:val="HTML Code"/>
    <w:unhideWhenUsed/>
    <w:qFormat/>
    <w:uiPriority w:val="0"/>
    <w:rPr>
      <w:rFonts w:hint="default" w:ascii="monospace" w:hAnsi="monospace" w:eastAsia="monospace" w:cs="monospace"/>
      <w:sz w:val="21"/>
      <w:szCs w:val="21"/>
    </w:rPr>
  </w:style>
  <w:style w:type="character" w:styleId="71">
    <w:name w:val="annotation reference"/>
    <w:qFormat/>
    <w:uiPriority w:val="0"/>
    <w:rPr>
      <w:sz w:val="21"/>
      <w:szCs w:val="21"/>
    </w:rPr>
  </w:style>
  <w:style w:type="character" w:styleId="72">
    <w:name w:val="HTML Cite"/>
    <w:unhideWhenUsed/>
    <w:qFormat/>
    <w:uiPriority w:val="0"/>
  </w:style>
  <w:style w:type="character" w:styleId="73">
    <w:name w:val="footnote reference"/>
    <w:uiPriority w:val="0"/>
    <w:rPr>
      <w:vertAlign w:val="superscript"/>
    </w:rPr>
  </w:style>
  <w:style w:type="character" w:styleId="74">
    <w:name w:val="HTML Keyboard"/>
    <w:unhideWhenUsed/>
    <w:qFormat/>
    <w:uiPriority w:val="99"/>
    <w:rPr>
      <w:rFonts w:hint="default" w:ascii="monospace" w:hAnsi="monospace" w:eastAsia="monospace" w:cs="monospace"/>
      <w:sz w:val="21"/>
      <w:szCs w:val="21"/>
    </w:rPr>
  </w:style>
  <w:style w:type="character" w:styleId="75">
    <w:name w:val="HTML Sample"/>
    <w:unhideWhenUsed/>
    <w:qFormat/>
    <w:uiPriority w:val="99"/>
    <w:rPr>
      <w:rFonts w:ascii="monospace" w:hAnsi="monospace" w:eastAsia="monospace" w:cs="monospace"/>
      <w:sz w:val="21"/>
      <w:szCs w:val="21"/>
    </w:rPr>
  </w:style>
  <w:style w:type="character" w:customStyle="1" w:styleId="76">
    <w:name w:val="标题 1 Char"/>
    <w:link w:val="3"/>
    <w:qFormat/>
    <w:uiPriority w:val="0"/>
    <w:rPr>
      <w:kern w:val="2"/>
      <w:sz w:val="28"/>
      <w:szCs w:val="24"/>
    </w:rPr>
  </w:style>
  <w:style w:type="character" w:customStyle="1" w:styleId="77">
    <w:name w:val="标题 2 Char2"/>
    <w:link w:val="4"/>
    <w:qFormat/>
    <w:uiPriority w:val="0"/>
    <w:rPr>
      <w:rFonts w:ascii="Arial" w:hAnsi="Arial" w:eastAsia="黑体"/>
      <w:b/>
      <w:bCs/>
      <w:kern w:val="2"/>
      <w:sz w:val="32"/>
      <w:szCs w:val="32"/>
    </w:rPr>
  </w:style>
  <w:style w:type="character" w:customStyle="1" w:styleId="78">
    <w:name w:val="标题 3 Char"/>
    <w:link w:val="5"/>
    <w:qFormat/>
    <w:uiPriority w:val="0"/>
    <w:rPr>
      <w:rFonts w:eastAsia="宋体"/>
      <w:b/>
      <w:bCs/>
      <w:kern w:val="2"/>
      <w:sz w:val="32"/>
      <w:szCs w:val="32"/>
      <w:lang w:val="en-US" w:eastAsia="zh-CN" w:bidi="ar-SA"/>
    </w:rPr>
  </w:style>
  <w:style w:type="character" w:customStyle="1" w:styleId="79">
    <w:name w:val="标题 4 Char"/>
    <w:basedOn w:val="60"/>
    <w:link w:val="6"/>
    <w:uiPriority w:val="0"/>
    <w:rPr>
      <w:rFonts w:ascii="Arial" w:hAnsi="Arial" w:eastAsia="黑体"/>
      <w:b/>
      <w:bCs/>
      <w:kern w:val="2"/>
      <w:sz w:val="28"/>
      <w:szCs w:val="28"/>
    </w:rPr>
  </w:style>
  <w:style w:type="character" w:customStyle="1" w:styleId="80">
    <w:name w:val="标题 5 Char"/>
    <w:basedOn w:val="60"/>
    <w:link w:val="7"/>
    <w:qFormat/>
    <w:uiPriority w:val="0"/>
    <w:rPr>
      <w:b/>
      <w:sz w:val="28"/>
    </w:rPr>
  </w:style>
  <w:style w:type="character" w:customStyle="1" w:styleId="81">
    <w:name w:val="标题 6 Char"/>
    <w:basedOn w:val="60"/>
    <w:link w:val="8"/>
    <w:uiPriority w:val="0"/>
    <w:rPr>
      <w:rFonts w:ascii="Arial" w:hAnsi="Arial" w:eastAsia="黑体"/>
      <w:b/>
      <w:sz w:val="24"/>
    </w:rPr>
  </w:style>
  <w:style w:type="character" w:customStyle="1" w:styleId="82">
    <w:name w:val="标题 7 Char"/>
    <w:basedOn w:val="60"/>
    <w:link w:val="9"/>
    <w:uiPriority w:val="0"/>
    <w:rPr>
      <w:b/>
      <w:sz w:val="24"/>
    </w:rPr>
  </w:style>
  <w:style w:type="character" w:customStyle="1" w:styleId="83">
    <w:name w:val="标题 8 Char"/>
    <w:basedOn w:val="60"/>
    <w:link w:val="10"/>
    <w:qFormat/>
    <w:uiPriority w:val="0"/>
    <w:rPr>
      <w:rFonts w:ascii="Arial" w:hAnsi="Arial" w:eastAsia="黑体"/>
      <w:sz w:val="24"/>
    </w:rPr>
  </w:style>
  <w:style w:type="character" w:customStyle="1" w:styleId="84">
    <w:name w:val="标题 9 Char"/>
    <w:basedOn w:val="60"/>
    <w:link w:val="11"/>
    <w:qFormat/>
    <w:uiPriority w:val="0"/>
    <w:rPr>
      <w:rFonts w:ascii="Arial" w:hAnsi="Arial" w:eastAsia="黑体"/>
      <w:sz w:val="24"/>
    </w:rPr>
  </w:style>
  <w:style w:type="character" w:customStyle="1" w:styleId="85">
    <w:name w:val="-表格 Char"/>
    <w:link w:val="86"/>
    <w:uiPriority w:val="0"/>
    <w:rPr>
      <w:rFonts w:ascii="宋体" w:hAnsi="宋体" w:eastAsia="宋体" w:cs="宋体"/>
      <w:snapToGrid w:val="0"/>
      <w:kern w:val="2"/>
      <w:sz w:val="21"/>
      <w:lang w:val="en-US" w:eastAsia="zh-CN" w:bidi="ar-SA"/>
    </w:rPr>
  </w:style>
  <w:style w:type="paragraph" w:customStyle="1" w:styleId="86">
    <w:name w:val="-表格"/>
    <w:basedOn w:val="87"/>
    <w:next w:val="1"/>
    <w:link w:val="85"/>
    <w:qFormat/>
    <w:uiPriority w:val="0"/>
    <w:pPr>
      <w:tabs>
        <w:tab w:val="left" w:pos="3696"/>
      </w:tabs>
      <w:spacing w:line="240" w:lineRule="auto"/>
    </w:pPr>
    <w:rPr>
      <w:rFonts w:cs="宋体"/>
      <w:kern w:val="2"/>
    </w:rPr>
  </w:style>
  <w:style w:type="paragraph" w:customStyle="1" w:styleId="87">
    <w:name w:val="表格"/>
    <w:link w:val="88"/>
    <w:qFormat/>
    <w:uiPriority w:val="0"/>
    <w:pPr>
      <w:spacing w:line="380" w:lineRule="exact"/>
      <w:jc w:val="center"/>
    </w:pPr>
    <w:rPr>
      <w:rFonts w:ascii="宋体" w:hAnsi="宋体" w:eastAsia="宋体" w:cs="Times New Roman"/>
      <w:snapToGrid w:val="0"/>
      <w:sz w:val="21"/>
      <w:lang w:val="en-US" w:eastAsia="zh-CN" w:bidi="ar-SA"/>
    </w:rPr>
  </w:style>
  <w:style w:type="character" w:customStyle="1" w:styleId="88">
    <w:name w:val="表格 Char"/>
    <w:link w:val="87"/>
    <w:qFormat/>
    <w:uiPriority w:val="0"/>
    <w:rPr>
      <w:rFonts w:ascii="宋体" w:hAnsi="宋体"/>
      <w:snapToGrid w:val="0"/>
      <w:sz w:val="21"/>
      <w:lang w:val="en-US" w:eastAsia="zh-CN" w:bidi="ar-SA"/>
    </w:rPr>
  </w:style>
  <w:style w:type="character" w:customStyle="1" w:styleId="89">
    <w:name w:val="页眉 Char"/>
    <w:link w:val="34"/>
    <w:qFormat/>
    <w:uiPriority w:val="99"/>
    <w:rPr>
      <w:rFonts w:eastAsia="宋体"/>
      <w:kern w:val="2"/>
      <w:sz w:val="18"/>
      <w:szCs w:val="18"/>
      <w:lang w:val="en-US" w:eastAsia="zh-CN" w:bidi="ar-SA"/>
    </w:rPr>
  </w:style>
  <w:style w:type="character" w:customStyle="1" w:styleId="90">
    <w:name w:val="页脚 Char"/>
    <w:link w:val="33"/>
    <w:qFormat/>
    <w:uiPriority w:val="99"/>
    <w:rPr>
      <w:kern w:val="2"/>
      <w:sz w:val="18"/>
      <w:szCs w:val="18"/>
    </w:rPr>
  </w:style>
  <w:style w:type="character" w:customStyle="1" w:styleId="91">
    <w:name w:val="日期 Char"/>
    <w:link w:val="30"/>
    <w:qFormat/>
    <w:uiPriority w:val="0"/>
    <w:rPr>
      <w:kern w:val="2"/>
      <w:sz w:val="24"/>
      <w:szCs w:val="24"/>
    </w:rPr>
  </w:style>
  <w:style w:type="paragraph" w:customStyle="1" w:styleId="92">
    <w:name w:val="居中"/>
    <w:qFormat/>
    <w:uiPriority w:val="0"/>
    <w:pPr>
      <w:spacing w:line="360" w:lineRule="auto"/>
      <w:ind w:firstLine="482" w:firstLineChars="200"/>
    </w:pPr>
    <w:rPr>
      <w:rFonts w:ascii="Times New Roman" w:hAnsi="Times New Roman" w:eastAsia="宋体" w:cs="宋体"/>
      <w:kern w:val="2"/>
      <w:sz w:val="21"/>
      <w:lang w:val="en-US" w:eastAsia="zh-CN" w:bidi="ar-SA"/>
    </w:rPr>
  </w:style>
  <w:style w:type="character" w:customStyle="1" w:styleId="93">
    <w:name w:val="列表 Char"/>
    <w:link w:val="38"/>
    <w:qFormat/>
    <w:uiPriority w:val="0"/>
    <w:rPr>
      <w:kern w:val="2"/>
      <w:sz w:val="21"/>
    </w:rPr>
  </w:style>
  <w:style w:type="paragraph" w:customStyle="1" w:styleId="94">
    <w:name w:val="表格文字"/>
    <w:basedOn w:val="1"/>
    <w:link w:val="95"/>
    <w:qFormat/>
    <w:uiPriority w:val="0"/>
    <w:pPr>
      <w:autoSpaceDE w:val="0"/>
      <w:autoSpaceDN w:val="0"/>
      <w:adjustRightInd w:val="0"/>
      <w:spacing w:before="60" w:after="60"/>
      <w:jc w:val="left"/>
      <w:textAlignment w:val="bottom"/>
    </w:pPr>
    <w:rPr>
      <w:kern w:val="0"/>
      <w:szCs w:val="20"/>
    </w:rPr>
  </w:style>
  <w:style w:type="character" w:customStyle="1" w:styleId="95">
    <w:name w:val="表格文字 Char"/>
    <w:link w:val="94"/>
    <w:qFormat/>
    <w:uiPriority w:val="0"/>
    <w:rPr>
      <w:sz w:val="21"/>
    </w:rPr>
  </w:style>
  <w:style w:type="paragraph" w:customStyle="1" w:styleId="96">
    <w:name w:val="段落"/>
    <w:basedOn w:val="1"/>
    <w:qFormat/>
    <w:uiPriority w:val="0"/>
    <w:pPr>
      <w:spacing w:line="360" w:lineRule="auto"/>
      <w:ind w:firstLine="560" w:firstLineChars="200"/>
    </w:pPr>
    <w:rPr>
      <w:rFonts w:ascii="宋体" w:hAnsi="宋体"/>
      <w:color w:val="FF0000"/>
      <w:sz w:val="28"/>
      <w:szCs w:val="28"/>
    </w:rPr>
  </w:style>
  <w:style w:type="paragraph" w:customStyle="1" w:styleId="97">
    <w:name w:val="默认段落字体 Para Char Char Char Char"/>
    <w:basedOn w:val="1"/>
    <w:qFormat/>
    <w:uiPriority w:val="0"/>
    <w:rPr>
      <w:sz w:val="24"/>
    </w:rPr>
  </w:style>
  <w:style w:type="paragraph" w:customStyle="1" w:styleId="98">
    <w:name w:val="标题-3"/>
    <w:basedOn w:val="1"/>
    <w:qFormat/>
    <w:uiPriority w:val="0"/>
    <w:pPr>
      <w:spacing w:line="480" w:lineRule="exact"/>
      <w:ind w:firstLine="482" w:firstLineChars="200"/>
    </w:pPr>
    <w:rPr>
      <w:rFonts w:cs="宋体"/>
      <w:b/>
      <w:bCs/>
      <w:sz w:val="24"/>
      <w:szCs w:val="20"/>
    </w:rPr>
  </w:style>
  <w:style w:type="character" w:customStyle="1" w:styleId="99">
    <w:name w:val="纯文本 Char1"/>
    <w:link w:val="28"/>
    <w:qFormat/>
    <w:uiPriority w:val="99"/>
    <w:rPr>
      <w:rFonts w:ascii="宋体" w:hAnsi="Courier New" w:eastAsia="宋体"/>
      <w:kern w:val="2"/>
      <w:sz w:val="21"/>
      <w:lang w:val="en-US" w:eastAsia="zh-CN" w:bidi="ar-SA"/>
    </w:rPr>
  </w:style>
  <w:style w:type="paragraph" w:customStyle="1" w:styleId="100">
    <w:name w:val="默认段落字体 Para Char Char"/>
    <w:basedOn w:val="1"/>
    <w:qFormat/>
    <w:uiPriority w:val="0"/>
    <w:rPr>
      <w:rFonts w:ascii="仿宋_GB2312" w:hAnsi="宋体" w:eastAsia="仿宋_GB2312"/>
      <w:sz w:val="24"/>
      <w:szCs w:val="20"/>
    </w:rPr>
  </w:style>
  <w:style w:type="character" w:customStyle="1" w:styleId="101">
    <w:name w:val="批注文字 Char"/>
    <w:link w:val="17"/>
    <w:qFormat/>
    <w:uiPriority w:val="0"/>
    <w:rPr>
      <w:kern w:val="2"/>
      <w:sz w:val="21"/>
      <w:szCs w:val="24"/>
    </w:rPr>
  </w:style>
  <w:style w:type="character" w:customStyle="1" w:styleId="102">
    <w:name w:val="批注主题 Char"/>
    <w:link w:val="50"/>
    <w:qFormat/>
    <w:uiPriority w:val="0"/>
    <w:rPr>
      <w:b/>
      <w:bCs/>
      <w:kern w:val="2"/>
      <w:sz w:val="21"/>
      <w:szCs w:val="24"/>
    </w:rPr>
  </w:style>
  <w:style w:type="character" w:customStyle="1" w:styleId="103">
    <w:name w:val="批注框文本 Char"/>
    <w:link w:val="32"/>
    <w:uiPriority w:val="99"/>
    <w:rPr>
      <w:rFonts w:eastAsia="宋体"/>
      <w:kern w:val="2"/>
      <w:sz w:val="18"/>
      <w:szCs w:val="18"/>
      <w:lang w:val="en-US" w:eastAsia="zh-CN" w:bidi="ar-SA"/>
    </w:rPr>
  </w:style>
  <w:style w:type="paragraph" w:customStyle="1" w:styleId="104">
    <w:name w:val="表题"/>
    <w:link w:val="105"/>
    <w:qFormat/>
    <w:uiPriority w:val="0"/>
    <w:pPr>
      <w:spacing w:line="480" w:lineRule="exact"/>
      <w:jc w:val="center"/>
    </w:pPr>
    <w:rPr>
      <w:rFonts w:ascii="Times New Roman" w:hAnsi="宋体" w:eastAsia="宋体" w:cs="Times New Roman"/>
      <w:b/>
      <w:kern w:val="2"/>
      <w:sz w:val="21"/>
      <w:szCs w:val="24"/>
      <w:lang w:val="en-US" w:eastAsia="zh-CN" w:bidi="ar-SA"/>
    </w:rPr>
  </w:style>
  <w:style w:type="character" w:customStyle="1" w:styleId="105">
    <w:name w:val="表题 Char"/>
    <w:link w:val="104"/>
    <w:uiPriority w:val="0"/>
    <w:rPr>
      <w:rFonts w:hAnsi="宋体"/>
      <w:b/>
      <w:kern w:val="2"/>
      <w:sz w:val="21"/>
      <w:szCs w:val="24"/>
      <w:lang w:val="en-US" w:eastAsia="zh-CN" w:bidi="ar-SA"/>
    </w:rPr>
  </w:style>
  <w:style w:type="paragraph" w:customStyle="1" w:styleId="106">
    <w:name w:val="正文-1"/>
    <w:link w:val="107"/>
    <w:qFormat/>
    <w:uiPriority w:val="0"/>
    <w:pPr>
      <w:spacing w:line="480" w:lineRule="exact"/>
      <w:ind w:firstLine="200" w:firstLineChars="200"/>
      <w:jc w:val="both"/>
    </w:pPr>
    <w:rPr>
      <w:rFonts w:ascii="Times New Roman" w:hAnsi="Times New Roman" w:eastAsia="宋体" w:cs="宋体"/>
      <w:kern w:val="2"/>
      <w:sz w:val="24"/>
      <w:lang w:val="en-US" w:eastAsia="zh-CN" w:bidi="ar-SA"/>
    </w:rPr>
  </w:style>
  <w:style w:type="character" w:customStyle="1" w:styleId="107">
    <w:name w:val="正文-1 Char"/>
    <w:link w:val="106"/>
    <w:uiPriority w:val="0"/>
    <w:rPr>
      <w:rFonts w:cs="宋体"/>
      <w:kern w:val="2"/>
      <w:sz w:val="24"/>
      <w:lang w:val="en-US" w:eastAsia="zh-CN" w:bidi="ar-SA"/>
    </w:rPr>
  </w:style>
  <w:style w:type="paragraph" w:customStyle="1" w:styleId="108">
    <w:name w:val="标题-2"/>
    <w:basedOn w:val="1"/>
    <w:qFormat/>
    <w:uiPriority w:val="0"/>
    <w:pPr>
      <w:spacing w:line="360" w:lineRule="auto"/>
    </w:pPr>
    <w:rPr>
      <w:rFonts w:ascii="宋体" w:hAnsi="宋体" w:cs="宋体"/>
      <w:b/>
      <w:bCs/>
      <w:sz w:val="30"/>
      <w:szCs w:val="20"/>
    </w:rPr>
  </w:style>
  <w:style w:type="paragraph" w:customStyle="1" w:styleId="109">
    <w:name w:val="标题-1"/>
    <w:basedOn w:val="1"/>
    <w:uiPriority w:val="0"/>
    <w:pPr>
      <w:spacing w:line="360" w:lineRule="auto"/>
    </w:pPr>
    <w:rPr>
      <w:rFonts w:cs="宋体"/>
      <w:b/>
      <w:bCs/>
      <w:sz w:val="30"/>
      <w:szCs w:val="20"/>
    </w:rPr>
  </w:style>
  <w:style w:type="character" w:customStyle="1" w:styleId="110">
    <w:name w:val="正文文本 Char"/>
    <w:link w:val="21"/>
    <w:uiPriority w:val="0"/>
    <w:rPr>
      <w:rFonts w:eastAsia="宋体"/>
      <w:kern w:val="2"/>
      <w:sz w:val="24"/>
      <w:szCs w:val="24"/>
      <w:lang w:val="en-US" w:eastAsia="zh-CN" w:bidi="ar-SA"/>
    </w:rPr>
  </w:style>
  <w:style w:type="character" w:customStyle="1" w:styleId="111">
    <w:name w:val="Char Char3"/>
    <w:uiPriority w:val="0"/>
    <w:rPr>
      <w:rFonts w:eastAsia="宋体"/>
      <w:kern w:val="2"/>
      <w:sz w:val="24"/>
      <w:szCs w:val="24"/>
      <w:lang w:val="en-US" w:eastAsia="zh-CN" w:bidi="ar-SA"/>
    </w:rPr>
  </w:style>
  <w:style w:type="paragraph" w:customStyle="1" w:styleId="112">
    <w:name w:val="批注"/>
    <w:basedOn w:val="1"/>
    <w:next w:val="1"/>
    <w:link w:val="113"/>
    <w:uiPriority w:val="0"/>
    <w:pPr>
      <w:ind w:firstLine="525" w:firstLineChars="250"/>
    </w:pPr>
    <w:rPr>
      <w:rFonts w:cs="宋体"/>
      <w:szCs w:val="20"/>
    </w:rPr>
  </w:style>
  <w:style w:type="character" w:customStyle="1" w:styleId="113">
    <w:name w:val="批注 Char"/>
    <w:link w:val="112"/>
    <w:uiPriority w:val="0"/>
    <w:rPr>
      <w:rFonts w:eastAsia="宋体" w:cs="宋体"/>
      <w:kern w:val="2"/>
      <w:sz w:val="21"/>
      <w:lang w:val="en-US" w:eastAsia="zh-CN" w:bidi="ar-SA"/>
    </w:rPr>
  </w:style>
  <w:style w:type="character" w:customStyle="1" w:styleId="114">
    <w:name w:val="正文文本 3 Char1"/>
    <w:link w:val="20"/>
    <w:uiPriority w:val="99"/>
    <w:rPr>
      <w:kern w:val="2"/>
      <w:sz w:val="16"/>
      <w:szCs w:val="16"/>
    </w:rPr>
  </w:style>
  <w:style w:type="character" w:customStyle="1" w:styleId="115">
    <w:name w:val="鋘drad Char"/>
    <w:uiPriority w:val="0"/>
    <w:rPr>
      <w:rFonts w:eastAsia="宋体"/>
      <w:kern w:val="2"/>
      <w:sz w:val="24"/>
      <w:szCs w:val="24"/>
      <w:lang w:val="en-US" w:eastAsia="zh-CN" w:bidi="ar-SA"/>
    </w:rPr>
  </w:style>
  <w:style w:type="character" w:customStyle="1" w:styleId="116">
    <w:name w:val="bt Char1"/>
    <w:uiPriority w:val="0"/>
    <w:rPr>
      <w:rFonts w:eastAsia="宋体"/>
      <w:kern w:val="2"/>
      <w:sz w:val="21"/>
      <w:lang w:val="en-US" w:eastAsia="zh-CN" w:bidi="ar-SA"/>
    </w:rPr>
  </w:style>
  <w:style w:type="character" w:customStyle="1" w:styleId="117">
    <w:name w:val="正文缩进 Char"/>
    <w:link w:val="13"/>
    <w:qFormat/>
    <w:uiPriority w:val="0"/>
    <w:rPr>
      <w:rFonts w:eastAsia="宋体"/>
      <w:kern w:val="2"/>
      <w:sz w:val="21"/>
      <w:lang w:val="en-US" w:eastAsia="zh-CN" w:bidi="ar-SA"/>
    </w:rPr>
  </w:style>
  <w:style w:type="character" w:customStyle="1" w:styleId="118">
    <w:name w:val="正文文本缩进 Char"/>
    <w:link w:val="22"/>
    <w:uiPriority w:val="0"/>
    <w:rPr>
      <w:kern w:val="2"/>
      <w:sz w:val="24"/>
    </w:rPr>
  </w:style>
  <w:style w:type="character" w:customStyle="1" w:styleId="119">
    <w:name w:val="正文文本缩进 3 Char"/>
    <w:link w:val="41"/>
    <w:uiPriority w:val="0"/>
    <w:rPr>
      <w:kern w:val="2"/>
      <w:sz w:val="24"/>
    </w:rPr>
  </w:style>
  <w:style w:type="paragraph" w:customStyle="1" w:styleId="120">
    <w:name w:val="居中正文"/>
    <w:basedOn w:val="51"/>
    <w:uiPriority w:val="0"/>
    <w:pPr>
      <w:adjustRightInd w:val="0"/>
      <w:spacing w:before="120" w:after="0" w:line="360" w:lineRule="auto"/>
      <w:ind w:firstLine="0"/>
      <w:jc w:val="center"/>
      <w:textAlignment w:val="baseline"/>
    </w:pPr>
    <w:rPr>
      <w:rFonts w:ascii="宋体"/>
      <w:kern w:val="28"/>
      <w:sz w:val="24"/>
    </w:rPr>
  </w:style>
  <w:style w:type="character" w:customStyle="1" w:styleId="121">
    <w:name w:val="正文文本缩进 2 Char"/>
    <w:link w:val="31"/>
    <w:qFormat/>
    <w:uiPriority w:val="0"/>
    <w:rPr>
      <w:kern w:val="2"/>
      <w:sz w:val="24"/>
    </w:rPr>
  </w:style>
  <w:style w:type="paragraph" w:customStyle="1" w:styleId="122">
    <w:name w:val="样式4"/>
    <w:basedOn w:val="1"/>
    <w:next w:val="1"/>
    <w:link w:val="123"/>
    <w:qFormat/>
    <w:uiPriority w:val="0"/>
    <w:pPr>
      <w:spacing w:line="440" w:lineRule="exact"/>
    </w:pPr>
    <w:rPr>
      <w:sz w:val="24"/>
      <w:szCs w:val="20"/>
    </w:rPr>
  </w:style>
  <w:style w:type="character" w:customStyle="1" w:styleId="123">
    <w:name w:val="样式4 Char"/>
    <w:link w:val="122"/>
    <w:uiPriority w:val="0"/>
    <w:rPr>
      <w:kern w:val="2"/>
      <w:sz w:val="24"/>
    </w:rPr>
  </w:style>
  <w:style w:type="paragraph" w:customStyle="1" w:styleId="124">
    <w:name w:val="报告表正文"/>
    <w:basedOn w:val="1"/>
    <w:link w:val="125"/>
    <w:qFormat/>
    <w:uiPriority w:val="0"/>
    <w:pPr>
      <w:adjustRightInd w:val="0"/>
      <w:spacing w:line="312" w:lineRule="auto"/>
      <w:ind w:left="113" w:right="113" w:firstLine="482"/>
      <w:jc w:val="left"/>
      <w:textAlignment w:val="baseline"/>
    </w:pPr>
    <w:rPr>
      <w:kern w:val="0"/>
      <w:sz w:val="24"/>
      <w:szCs w:val="20"/>
    </w:rPr>
  </w:style>
  <w:style w:type="character" w:customStyle="1" w:styleId="125">
    <w:name w:val="报告表正文 Char"/>
    <w:link w:val="124"/>
    <w:qFormat/>
    <w:uiPriority w:val="0"/>
    <w:rPr>
      <w:sz w:val="24"/>
    </w:rPr>
  </w:style>
  <w:style w:type="paragraph" w:customStyle="1" w:styleId="126">
    <w:name w:val="表格抬头"/>
    <w:basedOn w:val="1"/>
    <w:link w:val="127"/>
    <w:qFormat/>
    <w:uiPriority w:val="0"/>
    <w:pPr>
      <w:adjustRightInd w:val="0"/>
      <w:snapToGrid w:val="0"/>
      <w:spacing w:line="360" w:lineRule="auto"/>
      <w:jc w:val="center"/>
    </w:pPr>
    <w:rPr>
      <w:rFonts w:eastAsia="黑体"/>
      <w:snapToGrid w:val="0"/>
      <w:kern w:val="0"/>
      <w:szCs w:val="21"/>
    </w:rPr>
  </w:style>
  <w:style w:type="character" w:customStyle="1" w:styleId="127">
    <w:name w:val="表格抬头 Char"/>
    <w:link w:val="126"/>
    <w:qFormat/>
    <w:uiPriority w:val="0"/>
    <w:rPr>
      <w:rFonts w:eastAsia="黑体"/>
      <w:snapToGrid w:val="0"/>
      <w:sz w:val="21"/>
      <w:szCs w:val="21"/>
      <w:lang w:val="en-US" w:eastAsia="zh-CN" w:bidi="ar-SA"/>
    </w:rPr>
  </w:style>
  <w:style w:type="paragraph" w:customStyle="1" w:styleId="128">
    <w:name w:val="样式 标题 3小标题小节标题标题3H3h33rd level第二层条标题4标题 3 Char标题 3 Cha...1"/>
    <w:basedOn w:val="5"/>
    <w:link w:val="129"/>
    <w:qFormat/>
    <w:uiPriority w:val="0"/>
    <w:pPr>
      <w:adjustRightInd w:val="0"/>
      <w:spacing w:before="60" w:after="60" w:line="360" w:lineRule="auto"/>
      <w:jc w:val="left"/>
      <w:textAlignment w:val="baseline"/>
    </w:pPr>
    <w:rPr>
      <w:kern w:val="0"/>
      <w:sz w:val="24"/>
      <w:szCs w:val="20"/>
    </w:rPr>
  </w:style>
  <w:style w:type="character" w:customStyle="1" w:styleId="129">
    <w:name w:val="样式 标题 3小标题小节标题标题3H3h33rd level第二层条标题4标题 3 Char标题 3 Cha...1 Char"/>
    <w:link w:val="128"/>
    <w:qFormat/>
    <w:uiPriority w:val="0"/>
    <w:rPr>
      <w:rFonts w:eastAsia="宋体"/>
      <w:b/>
      <w:bCs/>
      <w:sz w:val="24"/>
      <w:lang w:val="en-US" w:eastAsia="zh-CN" w:bidi="ar-SA"/>
    </w:rPr>
  </w:style>
  <w:style w:type="paragraph" w:customStyle="1" w:styleId="130">
    <w:name w:val="样式 宋体 小四 行距: 1.5 倍行距"/>
    <w:basedOn w:val="1"/>
    <w:link w:val="131"/>
    <w:qFormat/>
    <w:uiPriority w:val="0"/>
    <w:pPr>
      <w:spacing w:line="360" w:lineRule="auto"/>
      <w:ind w:firstLine="480" w:firstLineChars="200"/>
    </w:pPr>
    <w:rPr>
      <w:rFonts w:cs="宋体"/>
      <w:sz w:val="24"/>
      <w:szCs w:val="20"/>
    </w:rPr>
  </w:style>
  <w:style w:type="character" w:customStyle="1" w:styleId="131">
    <w:name w:val="样式 宋体 小四 行距: 1.5 倍行距 Char"/>
    <w:link w:val="130"/>
    <w:qFormat/>
    <w:uiPriority w:val="0"/>
    <w:rPr>
      <w:rFonts w:eastAsia="宋体" w:cs="宋体"/>
      <w:kern w:val="2"/>
      <w:sz w:val="24"/>
      <w:lang w:val="en-US" w:eastAsia="zh-CN" w:bidi="ar-SA"/>
    </w:rPr>
  </w:style>
  <w:style w:type="paragraph" w:customStyle="1" w:styleId="132">
    <w:name w:val="样式 小四 加粗 黑色 居中 行距: 1.5 倍行距1"/>
    <w:basedOn w:val="1"/>
    <w:link w:val="133"/>
    <w:qFormat/>
    <w:uiPriority w:val="0"/>
    <w:pPr>
      <w:tabs>
        <w:tab w:val="left" w:pos="360"/>
      </w:tabs>
      <w:spacing w:line="360" w:lineRule="auto"/>
      <w:jc w:val="center"/>
    </w:pPr>
    <w:rPr>
      <w:rFonts w:cs="宋体"/>
      <w:bCs/>
      <w:color w:val="000000"/>
      <w:sz w:val="24"/>
      <w:szCs w:val="20"/>
    </w:rPr>
  </w:style>
  <w:style w:type="character" w:customStyle="1" w:styleId="133">
    <w:name w:val="样式 小四 加粗 黑色 居中 行距: 1.5 倍行距1 Char"/>
    <w:link w:val="132"/>
    <w:qFormat/>
    <w:uiPriority w:val="0"/>
    <w:rPr>
      <w:rFonts w:eastAsia="宋体" w:cs="宋体"/>
      <w:bCs/>
      <w:color w:val="000000"/>
      <w:kern w:val="2"/>
      <w:sz w:val="24"/>
      <w:lang w:val="en-US" w:eastAsia="zh-CN" w:bidi="ar-SA"/>
    </w:rPr>
  </w:style>
  <w:style w:type="character" w:customStyle="1" w:styleId="134">
    <w:name w:val="表格内容1 Char"/>
    <w:link w:val="135"/>
    <w:qFormat/>
    <w:uiPriority w:val="0"/>
    <w:rPr>
      <w:rFonts w:ascii="宋体" w:hAnsi="宋体"/>
      <w:snapToGrid w:val="0"/>
      <w:sz w:val="21"/>
      <w:szCs w:val="21"/>
      <w:lang w:bidi="ar-SA"/>
    </w:rPr>
  </w:style>
  <w:style w:type="paragraph" w:customStyle="1" w:styleId="135">
    <w:name w:val="表格内容1"/>
    <w:basedOn w:val="1"/>
    <w:link w:val="134"/>
    <w:qFormat/>
    <w:uiPriority w:val="0"/>
    <w:pPr>
      <w:adjustRightInd w:val="0"/>
      <w:snapToGrid w:val="0"/>
      <w:spacing w:beforeLines="10" w:afterLines="10"/>
      <w:jc w:val="center"/>
    </w:pPr>
    <w:rPr>
      <w:rFonts w:ascii="宋体" w:hAnsi="宋体"/>
      <w:snapToGrid w:val="0"/>
      <w:kern w:val="0"/>
      <w:szCs w:val="21"/>
    </w:rPr>
  </w:style>
  <w:style w:type="paragraph" w:customStyle="1" w:styleId="136">
    <w:name w:val="样式 标题 2标题2节标题1.1H2h2第一层条4.1二级标题标题 lxb2二级标题 Char表标题单位..."/>
    <w:basedOn w:val="4"/>
    <w:link w:val="137"/>
    <w:qFormat/>
    <w:uiPriority w:val="0"/>
    <w:pPr>
      <w:adjustRightInd w:val="0"/>
      <w:spacing w:line="240" w:lineRule="auto"/>
      <w:jc w:val="left"/>
      <w:textAlignment w:val="baseline"/>
    </w:pPr>
    <w:rPr>
      <w:rFonts w:ascii="Times New Roman" w:hAnsi="Times New Roman" w:eastAsia="宋体" w:cs="宋体"/>
      <w:kern w:val="0"/>
      <w:sz w:val="28"/>
      <w:szCs w:val="20"/>
    </w:rPr>
  </w:style>
  <w:style w:type="character" w:customStyle="1" w:styleId="137">
    <w:name w:val="样式 标题 2标题2节标题1.1H2h2第一层条4.1二级标题标题 lxb2二级标题 Char表标题单位... Char"/>
    <w:link w:val="136"/>
    <w:qFormat/>
    <w:uiPriority w:val="0"/>
    <w:rPr>
      <w:rFonts w:eastAsia="宋体" w:cs="宋体"/>
      <w:b/>
      <w:bCs/>
      <w:sz w:val="28"/>
      <w:lang w:val="en-US" w:eastAsia="zh-CN" w:bidi="ar-SA"/>
    </w:rPr>
  </w:style>
  <w:style w:type="paragraph" w:customStyle="1" w:styleId="138">
    <w:name w:val="普通 (Web)"/>
    <w:basedOn w:val="1"/>
    <w:qFormat/>
    <w:uiPriority w:val="0"/>
    <w:pPr>
      <w:widowControl/>
      <w:numPr>
        <w:ilvl w:val="1"/>
        <w:numId w:val="1"/>
      </w:numPr>
      <w:tabs>
        <w:tab w:val="clear" w:pos="360"/>
      </w:tabs>
      <w:spacing w:before="100" w:beforeAutospacing="1" w:after="100" w:afterAutospacing="1"/>
      <w:ind w:left="0" w:firstLine="0"/>
      <w:jc w:val="left"/>
    </w:pPr>
    <w:rPr>
      <w:rFonts w:ascii="宋体" w:hAnsi="宋体"/>
      <w:kern w:val="0"/>
      <w:sz w:val="24"/>
    </w:rPr>
  </w:style>
  <w:style w:type="paragraph" w:customStyle="1" w:styleId="139">
    <w:name w:val="正文(首行缩进)"/>
    <w:basedOn w:val="1"/>
    <w:link w:val="140"/>
    <w:qFormat/>
    <w:uiPriority w:val="0"/>
    <w:pPr>
      <w:spacing w:line="360" w:lineRule="auto"/>
      <w:ind w:firstLine="425" w:firstLineChars="177"/>
    </w:pPr>
    <w:rPr>
      <w:rFonts w:ascii="宋体" w:hAnsi="宋体"/>
      <w:snapToGrid w:val="0"/>
      <w:color w:val="000000"/>
      <w:sz w:val="24"/>
    </w:rPr>
  </w:style>
  <w:style w:type="character" w:customStyle="1" w:styleId="140">
    <w:name w:val="正文(首行缩进) Char1"/>
    <w:link w:val="139"/>
    <w:qFormat/>
    <w:uiPriority w:val="0"/>
    <w:rPr>
      <w:rFonts w:ascii="宋体" w:hAnsi="宋体" w:eastAsia="宋体"/>
      <w:snapToGrid w:val="0"/>
      <w:color w:val="000000"/>
      <w:kern w:val="2"/>
      <w:sz w:val="24"/>
      <w:szCs w:val="24"/>
      <w:lang w:val="en-US" w:eastAsia="zh-CN" w:bidi="ar-SA"/>
    </w:rPr>
  </w:style>
  <w:style w:type="character" w:customStyle="1" w:styleId="141">
    <w:name w:val="样式 样式 行距: 1.5 倍行距 + 黑色 Char"/>
    <w:link w:val="142"/>
    <w:qFormat/>
    <w:uiPriority w:val="0"/>
    <w:rPr>
      <w:color w:val="000000"/>
      <w:kern w:val="2"/>
      <w:sz w:val="24"/>
      <w:lang w:bidi="ar-SA"/>
    </w:rPr>
  </w:style>
  <w:style w:type="paragraph" w:customStyle="1" w:styleId="142">
    <w:name w:val="样式 样式 行距: 1.5 倍行距 + 黑色"/>
    <w:basedOn w:val="1"/>
    <w:link w:val="141"/>
    <w:qFormat/>
    <w:uiPriority w:val="0"/>
    <w:pPr>
      <w:spacing w:line="360" w:lineRule="auto"/>
      <w:ind w:firstLine="200" w:firstLineChars="200"/>
    </w:pPr>
    <w:rPr>
      <w:color w:val="000000"/>
      <w:sz w:val="24"/>
      <w:szCs w:val="20"/>
    </w:rPr>
  </w:style>
  <w:style w:type="paragraph" w:customStyle="1" w:styleId="143">
    <w:name w:val="样式 宋体 四号 行距: 固定值 23 磅"/>
    <w:basedOn w:val="1"/>
    <w:qFormat/>
    <w:uiPriority w:val="0"/>
    <w:pPr>
      <w:spacing w:line="460" w:lineRule="exact"/>
      <w:ind w:firstLine="200" w:firstLineChars="200"/>
    </w:pPr>
    <w:rPr>
      <w:rFonts w:ascii="宋体" w:hAnsi="宋体" w:cs="宋体"/>
      <w:sz w:val="28"/>
      <w:szCs w:val="20"/>
    </w:rPr>
  </w:style>
  <w:style w:type="character" w:customStyle="1" w:styleId="144">
    <w:name w:val="xz正文 Char"/>
    <w:link w:val="145"/>
    <w:qFormat/>
    <w:uiPriority w:val="0"/>
    <w:rPr>
      <w:rFonts w:eastAsia="宋体"/>
      <w:kern w:val="2"/>
      <w:sz w:val="28"/>
      <w:lang w:val="en-US" w:eastAsia="zh-CN" w:bidi="ar-SA"/>
    </w:rPr>
  </w:style>
  <w:style w:type="paragraph" w:customStyle="1" w:styleId="145">
    <w:name w:val="xz正文"/>
    <w:basedOn w:val="1"/>
    <w:link w:val="144"/>
    <w:qFormat/>
    <w:uiPriority w:val="0"/>
    <w:pPr>
      <w:spacing w:line="360" w:lineRule="auto"/>
      <w:ind w:firstLine="200" w:firstLineChars="200"/>
      <w:jc w:val="left"/>
    </w:pPr>
    <w:rPr>
      <w:sz w:val="28"/>
      <w:szCs w:val="20"/>
    </w:rPr>
  </w:style>
  <w:style w:type="paragraph" w:customStyle="1" w:styleId="146">
    <w:name w:val="Char2"/>
    <w:basedOn w:val="1"/>
    <w:qFormat/>
    <w:uiPriority w:val="0"/>
    <w:rPr>
      <w:sz w:val="24"/>
    </w:rPr>
  </w:style>
  <w:style w:type="character" w:customStyle="1" w:styleId="147">
    <w:name w:val="正文文本 Char1"/>
    <w:qFormat/>
    <w:uiPriority w:val="99"/>
    <w:rPr>
      <w:rFonts w:eastAsia="宋体"/>
      <w:kern w:val="2"/>
      <w:sz w:val="24"/>
      <w:szCs w:val="24"/>
      <w:lang w:val="en-US" w:eastAsia="zh-CN" w:bidi="ar-SA"/>
    </w:rPr>
  </w:style>
  <w:style w:type="character" w:customStyle="1" w:styleId="148">
    <w:name w:val="报告书 Char"/>
    <w:link w:val="149"/>
    <w:qFormat/>
    <w:uiPriority w:val="0"/>
    <w:rPr>
      <w:bCs/>
      <w:sz w:val="21"/>
      <w:szCs w:val="28"/>
    </w:rPr>
  </w:style>
  <w:style w:type="paragraph" w:customStyle="1" w:styleId="149">
    <w:name w:val="报告书"/>
    <w:basedOn w:val="1"/>
    <w:link w:val="148"/>
    <w:qFormat/>
    <w:uiPriority w:val="0"/>
    <w:pPr>
      <w:autoSpaceDE w:val="0"/>
      <w:autoSpaceDN w:val="0"/>
      <w:adjustRightInd w:val="0"/>
      <w:ind w:firstLine="560" w:firstLineChars="200"/>
      <w:jc w:val="left"/>
      <w:textAlignment w:val="bottom"/>
    </w:pPr>
    <w:rPr>
      <w:bCs/>
      <w:kern w:val="0"/>
      <w:szCs w:val="28"/>
    </w:rPr>
  </w:style>
  <w:style w:type="paragraph" w:customStyle="1" w:styleId="150">
    <w:name w:val="表格内容"/>
    <w:basedOn w:val="1"/>
    <w:next w:val="1"/>
    <w:link w:val="151"/>
    <w:qFormat/>
    <w:uiPriority w:val="0"/>
    <w:pPr>
      <w:jc w:val="center"/>
    </w:pPr>
    <w:rPr>
      <w:szCs w:val="21"/>
    </w:rPr>
  </w:style>
  <w:style w:type="character" w:customStyle="1" w:styleId="151">
    <w:name w:val="表格内容 Char"/>
    <w:link w:val="150"/>
    <w:qFormat/>
    <w:uiPriority w:val="0"/>
    <w:rPr>
      <w:rFonts w:cs="Courier New"/>
      <w:kern w:val="2"/>
      <w:sz w:val="21"/>
      <w:szCs w:val="21"/>
    </w:rPr>
  </w:style>
  <w:style w:type="paragraph" w:customStyle="1" w:styleId="152">
    <w:name w:val="报告"/>
    <w:basedOn w:val="1"/>
    <w:link w:val="153"/>
    <w:qFormat/>
    <w:uiPriority w:val="0"/>
    <w:pPr>
      <w:adjustRightInd w:val="0"/>
      <w:spacing w:line="360" w:lineRule="auto"/>
      <w:ind w:firstLine="505"/>
      <w:textAlignment w:val="center"/>
    </w:pPr>
    <w:rPr>
      <w:rFonts w:ascii="TimesNewRoman" w:hAnsi="TimesNewRoman"/>
      <w:kern w:val="0"/>
      <w:sz w:val="24"/>
      <w:szCs w:val="20"/>
    </w:rPr>
  </w:style>
  <w:style w:type="character" w:customStyle="1" w:styleId="153">
    <w:name w:val="报告 Char"/>
    <w:link w:val="152"/>
    <w:qFormat/>
    <w:uiPriority w:val="0"/>
    <w:rPr>
      <w:rFonts w:ascii="TimesNewRoman" w:hAnsi="TimesNewRoman"/>
      <w:sz w:val="24"/>
    </w:rPr>
  </w:style>
  <w:style w:type="paragraph" w:customStyle="1" w:styleId="154">
    <w:name w:val="-正文"/>
    <w:basedOn w:val="1"/>
    <w:link w:val="155"/>
    <w:qFormat/>
    <w:uiPriority w:val="0"/>
    <w:pPr>
      <w:spacing w:line="480" w:lineRule="exact"/>
      <w:ind w:firstLine="200" w:firstLineChars="200"/>
    </w:pPr>
    <w:rPr>
      <w:sz w:val="24"/>
      <w:szCs w:val="20"/>
    </w:rPr>
  </w:style>
  <w:style w:type="character" w:customStyle="1" w:styleId="155">
    <w:name w:val="-正文 Char"/>
    <w:link w:val="154"/>
    <w:qFormat/>
    <w:uiPriority w:val="0"/>
    <w:rPr>
      <w:rFonts w:cs="宋体"/>
      <w:kern w:val="2"/>
      <w:sz w:val="24"/>
    </w:rPr>
  </w:style>
  <w:style w:type="paragraph" w:customStyle="1" w:styleId="156">
    <w:name w:val="表中文字"/>
    <w:basedOn w:val="1"/>
    <w:qFormat/>
    <w:uiPriority w:val="0"/>
    <w:pPr>
      <w:spacing w:line="300" w:lineRule="exact"/>
      <w:jc w:val="center"/>
    </w:pPr>
    <w:rPr>
      <w:color w:val="000000"/>
    </w:rPr>
  </w:style>
  <w:style w:type="paragraph" w:customStyle="1" w:styleId="157">
    <w:name w:val="样式1"/>
    <w:basedOn w:val="1"/>
    <w:link w:val="532"/>
    <w:qFormat/>
    <w:uiPriority w:val="0"/>
    <w:pPr>
      <w:widowControl/>
      <w:adjustRightInd w:val="0"/>
      <w:spacing w:line="360" w:lineRule="auto"/>
      <w:ind w:left="50" w:leftChars="50" w:right="50" w:rightChars="50" w:firstLine="200" w:firstLineChars="200"/>
      <w:jc w:val="left"/>
      <w:textAlignment w:val="baseline"/>
    </w:pPr>
    <w:rPr>
      <w:rFonts w:ascii="宋体" w:hAnsi="宋体"/>
      <w:kern w:val="0"/>
      <w:sz w:val="28"/>
      <w:szCs w:val="20"/>
    </w:rPr>
  </w:style>
  <w:style w:type="paragraph" w:customStyle="1" w:styleId="158">
    <w:name w:val="正文123"/>
    <w:basedOn w:val="51"/>
    <w:next w:val="51"/>
    <w:qFormat/>
    <w:uiPriority w:val="0"/>
    <w:pPr>
      <w:tabs>
        <w:tab w:val="left" w:pos="360"/>
        <w:tab w:val="left" w:pos="900"/>
      </w:tabs>
      <w:adjustRightInd w:val="0"/>
      <w:spacing w:after="0" w:line="360" w:lineRule="auto"/>
      <w:ind w:firstLine="400" w:firstLineChars="400"/>
      <w:jc w:val="left"/>
      <w:textAlignment w:val="baseline"/>
    </w:pPr>
    <w:rPr>
      <w:rFonts w:ascii="宋体" w:hAnsi="宋体" w:cs="宋体"/>
      <w:kern w:val="0"/>
      <w:szCs w:val="24"/>
    </w:rPr>
  </w:style>
  <w:style w:type="character" w:customStyle="1" w:styleId="159">
    <w:name w:val="HTML 预设格式 Char"/>
    <w:basedOn w:val="60"/>
    <w:link w:val="46"/>
    <w:qFormat/>
    <w:uiPriority w:val="99"/>
    <w:rPr>
      <w:rFonts w:ascii="宋体" w:hAnsi="宋体" w:cs="宋体"/>
      <w:sz w:val="24"/>
      <w:szCs w:val="24"/>
    </w:rPr>
  </w:style>
  <w:style w:type="paragraph" w:customStyle="1" w:styleId="160">
    <w:name w:val="xz标题4"/>
    <w:basedOn w:val="6"/>
    <w:qFormat/>
    <w:uiPriority w:val="0"/>
    <w:pPr>
      <w:spacing w:before="0" w:after="0" w:line="360" w:lineRule="auto"/>
      <w:jc w:val="left"/>
    </w:pPr>
    <w:rPr>
      <w:rFonts w:eastAsia="宋体"/>
    </w:rPr>
  </w:style>
  <w:style w:type="paragraph" w:customStyle="1" w:styleId="161">
    <w:name w:val="p0"/>
    <w:basedOn w:val="1"/>
    <w:qFormat/>
    <w:uiPriority w:val="0"/>
    <w:pPr>
      <w:widowControl/>
    </w:pPr>
    <w:rPr>
      <w:rFonts w:ascii="Calibri" w:hAnsi="Calibri" w:cs="宋体"/>
      <w:kern w:val="0"/>
      <w:szCs w:val="21"/>
    </w:rPr>
  </w:style>
  <w:style w:type="character" w:customStyle="1" w:styleId="162">
    <w:name w:val="正文(首行缩进)宋旭峰 Char Char"/>
    <w:link w:val="163"/>
    <w:qFormat/>
    <w:uiPriority w:val="0"/>
    <w:rPr>
      <w:rFonts w:ascii="宋体" w:hAnsi="宋体" w:cs="宋体"/>
      <w:snapToGrid w:val="0"/>
      <w:color w:val="0000FF"/>
      <w:sz w:val="24"/>
      <w:szCs w:val="24"/>
    </w:rPr>
  </w:style>
  <w:style w:type="paragraph" w:customStyle="1" w:styleId="163">
    <w:name w:val="正文(首行缩进)宋旭峰"/>
    <w:basedOn w:val="13"/>
    <w:link w:val="162"/>
    <w:qFormat/>
    <w:uiPriority w:val="0"/>
    <w:pPr>
      <w:spacing w:line="360" w:lineRule="auto"/>
      <w:ind w:firstLine="480" w:firstLineChars="200"/>
      <w:contextualSpacing/>
    </w:pPr>
    <w:rPr>
      <w:rFonts w:ascii="宋体" w:hAnsi="宋体"/>
      <w:snapToGrid w:val="0"/>
      <w:color w:val="0000FF"/>
      <w:kern w:val="0"/>
      <w:sz w:val="24"/>
      <w:szCs w:val="24"/>
    </w:rPr>
  </w:style>
  <w:style w:type="paragraph" w:customStyle="1" w:styleId="164">
    <w:name w:val="+正文 Char"/>
    <w:basedOn w:val="1"/>
    <w:qFormat/>
    <w:uiPriority w:val="0"/>
    <w:pPr>
      <w:adjustRightInd w:val="0"/>
      <w:spacing w:line="360" w:lineRule="auto"/>
      <w:ind w:firstLine="200" w:firstLineChars="200"/>
      <w:textAlignment w:val="baseline"/>
    </w:pPr>
    <w:rPr>
      <w:kern w:val="0"/>
      <w:szCs w:val="28"/>
    </w:rPr>
  </w:style>
  <w:style w:type="character" w:customStyle="1" w:styleId="165">
    <w:name w:val="content1"/>
    <w:qFormat/>
    <w:uiPriority w:val="0"/>
    <w:rPr>
      <w:rFonts w:hint="eastAsia" w:ascii="宋体" w:hAnsi="宋体" w:eastAsia="宋体" w:cs="宋体"/>
      <w:color w:val="333333"/>
      <w:sz w:val="21"/>
      <w:szCs w:val="21"/>
    </w:rPr>
  </w:style>
  <w:style w:type="character" w:customStyle="1" w:styleId="166">
    <w:name w:val="称呼 Char"/>
    <w:basedOn w:val="60"/>
    <w:link w:val="19"/>
    <w:qFormat/>
    <w:uiPriority w:val="0"/>
    <w:rPr>
      <w:kern w:val="2"/>
      <w:sz w:val="21"/>
      <w:szCs w:val="24"/>
    </w:rPr>
  </w:style>
  <w:style w:type="paragraph" w:customStyle="1" w:styleId="167">
    <w:name w:val="表格文字2"/>
    <w:basedOn w:val="94"/>
    <w:qFormat/>
    <w:uiPriority w:val="0"/>
    <w:pPr>
      <w:autoSpaceDE/>
      <w:autoSpaceDN/>
      <w:spacing w:after="0"/>
      <w:jc w:val="center"/>
      <w:textAlignment w:val="baseline"/>
    </w:pPr>
    <w:rPr>
      <w:rFonts w:ascii="宋体"/>
      <w:sz w:val="24"/>
    </w:rPr>
  </w:style>
  <w:style w:type="paragraph" w:customStyle="1" w:styleId="168">
    <w:name w:val="报告表格"/>
    <w:basedOn w:val="1"/>
    <w:qFormat/>
    <w:uiPriority w:val="0"/>
    <w:pPr>
      <w:autoSpaceDE w:val="0"/>
      <w:autoSpaceDN w:val="0"/>
      <w:adjustRightInd w:val="0"/>
      <w:spacing w:before="40" w:after="40"/>
      <w:jc w:val="center"/>
      <w:textAlignment w:val="bottom"/>
    </w:pPr>
    <w:rPr>
      <w:kern w:val="0"/>
      <w:szCs w:val="20"/>
    </w:rPr>
  </w:style>
  <w:style w:type="paragraph" w:customStyle="1" w:styleId="169">
    <w:name w:val="1表格"/>
    <w:basedOn w:val="1"/>
    <w:qFormat/>
    <w:uiPriority w:val="0"/>
    <w:pPr>
      <w:snapToGrid w:val="0"/>
      <w:spacing w:line="160" w:lineRule="atLeast"/>
      <w:jc w:val="center"/>
    </w:pPr>
    <w:rPr>
      <w:rFonts w:eastAsia="仿宋_GB2312"/>
      <w:szCs w:val="20"/>
    </w:rPr>
  </w:style>
  <w:style w:type="paragraph" w:customStyle="1" w:styleId="170">
    <w:name w:val="正文标准样式"/>
    <w:basedOn w:val="1"/>
    <w:qFormat/>
    <w:uiPriority w:val="0"/>
    <w:pPr>
      <w:adjustRightInd w:val="0"/>
      <w:spacing w:line="300" w:lineRule="auto"/>
      <w:ind w:firstLine="482"/>
      <w:textAlignment w:val="baseline"/>
    </w:pPr>
    <w:rPr>
      <w:kern w:val="0"/>
      <w:sz w:val="24"/>
      <w:szCs w:val="20"/>
    </w:rPr>
  </w:style>
  <w:style w:type="paragraph" w:customStyle="1" w:styleId="171">
    <w:name w:val="表格03"/>
    <w:basedOn w:val="1"/>
    <w:qFormat/>
    <w:uiPriority w:val="0"/>
    <w:pPr>
      <w:spacing w:line="400" w:lineRule="exact"/>
      <w:jc w:val="center"/>
    </w:pPr>
    <w:rPr>
      <w:color w:val="000000"/>
      <w:sz w:val="24"/>
      <w:szCs w:val="21"/>
    </w:rPr>
  </w:style>
  <w:style w:type="paragraph" w:customStyle="1" w:styleId="172">
    <w:name w:val="表正文"/>
    <w:basedOn w:val="21"/>
    <w:qFormat/>
    <w:uiPriority w:val="0"/>
    <w:pPr>
      <w:spacing w:after="120" w:line="240" w:lineRule="auto"/>
    </w:pPr>
    <w:rPr>
      <w:rFonts w:ascii="宋体" w:hAnsi="宋体"/>
      <w:bCs/>
    </w:rPr>
  </w:style>
  <w:style w:type="character" w:customStyle="1" w:styleId="173">
    <w:name w:val="文档结构图 Char"/>
    <w:basedOn w:val="60"/>
    <w:link w:val="16"/>
    <w:qFormat/>
    <w:uiPriority w:val="0"/>
    <w:rPr>
      <w:kern w:val="2"/>
      <w:sz w:val="21"/>
      <w:szCs w:val="24"/>
      <w:shd w:val="clear" w:color="auto" w:fill="000080"/>
    </w:rPr>
  </w:style>
  <w:style w:type="paragraph" w:customStyle="1" w:styleId="174">
    <w:name w:val="应填表格"/>
    <w:basedOn w:val="1"/>
    <w:qFormat/>
    <w:uiPriority w:val="0"/>
    <w:pPr>
      <w:adjustRightInd w:val="0"/>
      <w:spacing w:before="40" w:after="40"/>
      <w:jc w:val="left"/>
      <w:textAlignment w:val="baseline"/>
    </w:pPr>
    <w:rPr>
      <w:kern w:val="0"/>
      <w:sz w:val="24"/>
      <w:szCs w:val="20"/>
    </w:rPr>
  </w:style>
  <w:style w:type="paragraph" w:customStyle="1" w:styleId="175">
    <w:name w:val="Char Char Char Char Char Char"/>
    <w:basedOn w:val="1"/>
    <w:next w:val="2"/>
    <w:qFormat/>
    <w:uiPriority w:val="0"/>
  </w:style>
  <w:style w:type="character" w:customStyle="1" w:styleId="176">
    <w:name w:val="宏文本 Char"/>
    <w:basedOn w:val="60"/>
    <w:link w:val="2"/>
    <w:qFormat/>
    <w:uiPriority w:val="0"/>
    <w:rPr>
      <w:rFonts w:ascii="Courier New" w:hAnsi="Courier New" w:cs="Courier New"/>
      <w:kern w:val="2"/>
      <w:sz w:val="24"/>
      <w:szCs w:val="24"/>
      <w:lang w:val="en-US" w:eastAsia="zh-CN" w:bidi="ar-SA"/>
    </w:rPr>
  </w:style>
  <w:style w:type="paragraph" w:customStyle="1" w:styleId="177">
    <w:name w:val="表格标题"/>
    <w:basedOn w:val="1"/>
    <w:qFormat/>
    <w:uiPriority w:val="0"/>
    <w:pPr>
      <w:spacing w:before="120"/>
      <w:jc w:val="center"/>
    </w:pPr>
    <w:rPr>
      <w:sz w:val="24"/>
      <w:szCs w:val="20"/>
    </w:rPr>
  </w:style>
  <w:style w:type="character" w:customStyle="1" w:styleId="178">
    <w:name w:val="蒲正文 Char"/>
    <w:link w:val="179"/>
    <w:qFormat/>
    <w:uiPriority w:val="0"/>
    <w:rPr>
      <w:rFonts w:ascii="仿宋_GB2312" w:hAnsi="宋体" w:eastAsia="仿宋_GB2312"/>
      <w:sz w:val="24"/>
    </w:rPr>
  </w:style>
  <w:style w:type="paragraph" w:customStyle="1" w:styleId="179">
    <w:name w:val="蒲正文"/>
    <w:basedOn w:val="1"/>
    <w:link w:val="178"/>
    <w:qFormat/>
    <w:uiPriority w:val="0"/>
    <w:pPr>
      <w:adjustRightInd w:val="0"/>
      <w:snapToGrid w:val="0"/>
      <w:spacing w:line="360" w:lineRule="auto"/>
      <w:ind w:firstLine="480" w:firstLineChars="200"/>
    </w:pPr>
    <w:rPr>
      <w:rFonts w:ascii="仿宋_GB2312" w:hAnsi="宋体" w:eastAsia="仿宋_GB2312"/>
      <w:kern w:val="0"/>
      <w:sz w:val="24"/>
      <w:szCs w:val="20"/>
    </w:rPr>
  </w:style>
  <w:style w:type="paragraph" w:customStyle="1" w:styleId="180">
    <w:name w:val="环表头"/>
    <w:basedOn w:val="1"/>
    <w:qFormat/>
    <w:uiPriority w:val="0"/>
    <w:pPr>
      <w:widowControl/>
      <w:suppressAutoHyphens/>
      <w:adjustRightInd w:val="0"/>
      <w:spacing w:line="360" w:lineRule="exact"/>
      <w:jc w:val="center"/>
      <w:textAlignment w:val="baseline"/>
    </w:pPr>
    <w:rPr>
      <w:rFonts w:eastAsia="黑体"/>
      <w:kern w:val="0"/>
      <w:sz w:val="24"/>
    </w:rPr>
  </w:style>
  <w:style w:type="paragraph" w:customStyle="1" w:styleId="181">
    <w:name w:val="Char1 Char Char Char"/>
    <w:basedOn w:val="1"/>
    <w:uiPriority w:val="0"/>
    <w:pPr>
      <w:widowControl/>
      <w:adjustRightInd w:val="0"/>
      <w:snapToGrid w:val="0"/>
      <w:spacing w:line="360" w:lineRule="auto"/>
      <w:textAlignment w:val="center"/>
    </w:pPr>
    <w:rPr>
      <w:kern w:val="0"/>
      <w:sz w:val="24"/>
    </w:rPr>
  </w:style>
  <w:style w:type="character" w:customStyle="1" w:styleId="182">
    <w:name w:val="普通文字 Char Char Char Char"/>
    <w:uiPriority w:val="0"/>
    <w:rPr>
      <w:rFonts w:ascii="宋体" w:hAnsi="Courier New"/>
      <w:kern w:val="2"/>
      <w:sz w:val="21"/>
    </w:rPr>
  </w:style>
  <w:style w:type="paragraph" w:customStyle="1" w:styleId="183">
    <w:name w:val="dc正文"/>
    <w:basedOn w:val="1"/>
    <w:link w:val="184"/>
    <w:uiPriority w:val="0"/>
    <w:pPr>
      <w:spacing w:line="420" w:lineRule="exact"/>
      <w:ind w:firstLine="480" w:firstLineChars="200"/>
    </w:pPr>
    <w:rPr>
      <w:rFonts w:ascii="宋体" w:hAnsi="宋体"/>
      <w:sz w:val="24"/>
      <w:szCs w:val="20"/>
    </w:rPr>
  </w:style>
  <w:style w:type="character" w:customStyle="1" w:styleId="184">
    <w:name w:val="dc正文 Char"/>
    <w:link w:val="183"/>
    <w:uiPriority w:val="0"/>
    <w:rPr>
      <w:rFonts w:ascii="宋体" w:hAnsi="宋体" w:cs="宋体"/>
      <w:kern w:val="2"/>
      <w:sz w:val="24"/>
    </w:rPr>
  </w:style>
  <w:style w:type="paragraph" w:customStyle="1" w:styleId="185">
    <w:name w:val="Bt1.1"/>
    <w:basedOn w:val="4"/>
    <w:next w:val="1"/>
    <w:uiPriority w:val="0"/>
    <w:pPr>
      <w:adjustRightInd w:val="0"/>
      <w:spacing w:before="0" w:after="0" w:line="360" w:lineRule="auto"/>
      <w:jc w:val="left"/>
    </w:pPr>
    <w:rPr>
      <w:rFonts w:ascii="Times New Roman" w:hAnsi="Times New Roman" w:eastAsia="宋体"/>
      <w:bCs w:val="0"/>
      <w:snapToGrid w:val="0"/>
      <w:sz w:val="28"/>
      <w:szCs w:val="28"/>
    </w:rPr>
  </w:style>
  <w:style w:type="character" w:customStyle="1" w:styleId="186">
    <w:name w:val="正文-xin Char Char"/>
    <w:link w:val="187"/>
    <w:uiPriority w:val="0"/>
    <w:rPr>
      <w:bCs/>
      <w:color w:val="0000FF"/>
      <w:kern w:val="2"/>
      <w:sz w:val="24"/>
      <w:szCs w:val="24"/>
    </w:rPr>
  </w:style>
  <w:style w:type="paragraph" w:customStyle="1" w:styleId="187">
    <w:name w:val="正文-xin"/>
    <w:basedOn w:val="1"/>
    <w:next w:val="1"/>
    <w:link w:val="186"/>
    <w:uiPriority w:val="0"/>
    <w:pPr>
      <w:tabs>
        <w:tab w:val="left" w:pos="360"/>
        <w:tab w:val="left" w:pos="540"/>
      </w:tabs>
      <w:adjustRightInd w:val="0"/>
      <w:spacing w:line="360" w:lineRule="auto"/>
      <w:ind w:firstLine="480" w:firstLineChars="200"/>
    </w:pPr>
    <w:rPr>
      <w:bCs/>
      <w:color w:val="0000FF"/>
      <w:sz w:val="24"/>
    </w:rPr>
  </w:style>
  <w:style w:type="paragraph" w:customStyle="1" w:styleId="188">
    <w:name w:val="表格标题-3"/>
    <w:basedOn w:val="1"/>
    <w:next w:val="28"/>
    <w:uiPriority w:val="0"/>
    <w:pPr>
      <w:adjustRightInd w:val="0"/>
      <w:snapToGrid w:val="0"/>
      <w:spacing w:line="360" w:lineRule="auto"/>
      <w:jc w:val="center"/>
    </w:pPr>
    <w:rPr>
      <w:rFonts w:ascii="宋体" w:hAnsi="宋体"/>
      <w:b/>
      <w:sz w:val="24"/>
      <w:szCs w:val="21"/>
    </w:rPr>
  </w:style>
  <w:style w:type="character" w:customStyle="1" w:styleId="189">
    <w:name w:val="样式2 Char Char"/>
    <w:link w:val="190"/>
    <w:uiPriority w:val="0"/>
    <w:rPr>
      <w:rFonts w:eastAsia="仿宋_GB2312"/>
      <w:sz w:val="28"/>
    </w:rPr>
  </w:style>
  <w:style w:type="paragraph" w:customStyle="1" w:styleId="190">
    <w:name w:val="样式2"/>
    <w:basedOn w:val="1"/>
    <w:link w:val="189"/>
    <w:uiPriority w:val="0"/>
    <w:pPr>
      <w:spacing w:line="360" w:lineRule="auto"/>
      <w:ind w:firstLine="420" w:firstLineChars="200"/>
    </w:pPr>
    <w:rPr>
      <w:rFonts w:eastAsia="仿宋_GB2312"/>
      <w:kern w:val="0"/>
      <w:sz w:val="28"/>
      <w:szCs w:val="20"/>
    </w:rPr>
  </w:style>
  <w:style w:type="paragraph" w:customStyle="1" w:styleId="191">
    <w:name w:val="正文-欣欣"/>
    <w:basedOn w:val="1"/>
    <w:next w:val="1"/>
    <w:qFormat/>
    <w:uiPriority w:val="0"/>
    <w:pPr>
      <w:spacing w:line="360" w:lineRule="auto"/>
      <w:ind w:firstLine="480" w:firstLineChars="200"/>
      <w:jc w:val="left"/>
    </w:pPr>
    <w:rPr>
      <w:bCs/>
      <w:sz w:val="24"/>
    </w:rPr>
  </w:style>
  <w:style w:type="paragraph" w:customStyle="1" w:styleId="192">
    <w:name w:val="表头"/>
    <w:basedOn w:val="1"/>
    <w:next w:val="1"/>
    <w:link w:val="193"/>
    <w:qFormat/>
    <w:uiPriority w:val="0"/>
    <w:pPr>
      <w:tabs>
        <w:tab w:val="left" w:pos="7380"/>
      </w:tabs>
      <w:snapToGrid w:val="0"/>
      <w:spacing w:line="480" w:lineRule="exact"/>
      <w:jc w:val="center"/>
    </w:pPr>
    <w:rPr>
      <w:b/>
      <w:sz w:val="24"/>
      <w:szCs w:val="20"/>
    </w:rPr>
  </w:style>
  <w:style w:type="character" w:customStyle="1" w:styleId="193">
    <w:name w:val="表头[858D7CFB-ED40-4347-BF05-701D383B685F]"/>
    <w:link w:val="192"/>
    <w:qFormat/>
    <w:uiPriority w:val="0"/>
    <w:rPr>
      <w:b/>
      <w:kern w:val="2"/>
      <w:sz w:val="24"/>
    </w:rPr>
  </w:style>
  <w:style w:type="paragraph" w:customStyle="1" w:styleId="194">
    <w:name w:val="Char Char Char Char Char Char Char Char Char1 Char Char Char Char Char Char Char Char Char Char Char Char1 Char Char Char Char"/>
    <w:basedOn w:val="1"/>
    <w:uiPriority w:val="0"/>
    <w:rPr>
      <w:rFonts w:ascii="宋体" w:hAnsi="宋体" w:cs="Courier New"/>
      <w:sz w:val="32"/>
      <w:szCs w:val="32"/>
    </w:rPr>
  </w:style>
  <w:style w:type="character" w:customStyle="1" w:styleId="195">
    <w:name w:val="标题 Char"/>
    <w:basedOn w:val="60"/>
    <w:link w:val="49"/>
    <w:uiPriority w:val="10"/>
    <w:rPr>
      <w:rFonts w:ascii="Cambria" w:hAnsi="Cambria"/>
      <w:b/>
      <w:bCs/>
      <w:kern w:val="2"/>
      <w:sz w:val="32"/>
      <w:szCs w:val="32"/>
    </w:rPr>
  </w:style>
  <w:style w:type="character" w:customStyle="1" w:styleId="196">
    <w:name w:val="报告 Char1"/>
    <w:uiPriority w:val="0"/>
    <w:rPr>
      <w:rFonts w:eastAsia="宋体"/>
      <w:bCs/>
      <w:sz w:val="24"/>
      <w:szCs w:val="24"/>
    </w:rPr>
  </w:style>
  <w:style w:type="paragraph" w:customStyle="1" w:styleId="197">
    <w:name w:val="小四+首行缩进"/>
    <w:basedOn w:val="1"/>
    <w:link w:val="198"/>
    <w:uiPriority w:val="0"/>
    <w:pPr>
      <w:spacing w:line="360" w:lineRule="auto"/>
      <w:ind w:firstLine="482"/>
    </w:pPr>
    <w:rPr>
      <w:rFonts w:ascii="宋体" w:hAnsi="宋体"/>
      <w:sz w:val="24"/>
      <w:szCs w:val="20"/>
    </w:rPr>
  </w:style>
  <w:style w:type="character" w:customStyle="1" w:styleId="198">
    <w:name w:val="小四+首行缩进 Char2"/>
    <w:link w:val="197"/>
    <w:uiPriority w:val="0"/>
    <w:rPr>
      <w:rFonts w:ascii="宋体" w:hAnsi="宋体"/>
      <w:kern w:val="2"/>
      <w:sz w:val="24"/>
    </w:rPr>
  </w:style>
  <w:style w:type="paragraph" w:customStyle="1" w:styleId="199">
    <w:name w:val="8--"/>
    <w:basedOn w:val="1"/>
    <w:uiPriority w:val="0"/>
    <w:pPr>
      <w:adjustRightInd w:val="0"/>
      <w:spacing w:line="360" w:lineRule="atLeast"/>
      <w:jc w:val="left"/>
      <w:textAlignment w:val="baseline"/>
    </w:pPr>
    <w:rPr>
      <w:kern w:val="0"/>
      <w:sz w:val="24"/>
      <w:szCs w:val="20"/>
    </w:rPr>
  </w:style>
  <w:style w:type="character" w:customStyle="1" w:styleId="200">
    <w:name w:val="正文文本 2 Char"/>
    <w:basedOn w:val="60"/>
    <w:link w:val="45"/>
    <w:uiPriority w:val="0"/>
    <w:rPr>
      <w:rFonts w:ascii="仿宋_GB2312" w:eastAsia="仿宋_GB2312"/>
      <w:sz w:val="21"/>
    </w:rPr>
  </w:style>
  <w:style w:type="paragraph" w:customStyle="1" w:styleId="201">
    <w:name w:val="xl30"/>
    <w:basedOn w:val="1"/>
    <w:uiPriority w:val="0"/>
    <w:pPr>
      <w:widowControl/>
      <w:pBdr>
        <w:left w:val="single" w:color="auto" w:sz="12" w:space="0"/>
        <w:right w:val="single" w:color="auto" w:sz="4" w:space="0"/>
      </w:pBdr>
      <w:spacing w:before="100" w:after="100"/>
      <w:jc w:val="center"/>
    </w:pPr>
    <w:rPr>
      <w:rFonts w:ascii="宋体" w:hAnsi="宋体"/>
      <w:kern w:val="0"/>
      <w:sz w:val="24"/>
      <w:szCs w:val="20"/>
    </w:rPr>
  </w:style>
  <w:style w:type="paragraph" w:customStyle="1" w:styleId="202">
    <w:name w:val="环评正文"/>
    <w:basedOn w:val="3"/>
    <w:link w:val="203"/>
    <w:uiPriority w:val="0"/>
    <w:pPr>
      <w:keepNext w:val="0"/>
      <w:tabs>
        <w:tab w:val="left" w:pos="432"/>
      </w:tabs>
      <w:spacing w:line="240" w:lineRule="auto"/>
      <w:ind w:left="432" w:firstLine="440" w:firstLineChars="200"/>
      <w:jc w:val="both"/>
      <w:outlineLvl w:val="9"/>
    </w:pPr>
    <w:rPr>
      <w:rFonts w:hAnsi="宋体"/>
      <w:bCs/>
      <w:color w:val="0000FF"/>
      <w:sz w:val="22"/>
      <w:szCs w:val="22"/>
    </w:rPr>
  </w:style>
  <w:style w:type="character" w:customStyle="1" w:styleId="203">
    <w:name w:val="环评正文 Char"/>
    <w:link w:val="202"/>
    <w:uiPriority w:val="0"/>
    <w:rPr>
      <w:rFonts w:hAnsi="宋体"/>
      <w:bCs/>
      <w:color w:val="0000FF"/>
      <w:kern w:val="2"/>
      <w:sz w:val="22"/>
      <w:szCs w:val="22"/>
    </w:rPr>
  </w:style>
  <w:style w:type="paragraph" w:customStyle="1" w:styleId="204">
    <w:name w:val="常用封面编制单位"/>
    <w:basedOn w:val="1"/>
    <w:next w:val="1"/>
    <w:link w:val="205"/>
    <w:uiPriority w:val="0"/>
    <w:pPr>
      <w:spacing w:line="360" w:lineRule="auto"/>
      <w:jc w:val="center"/>
    </w:pPr>
    <w:rPr>
      <w:rFonts w:ascii="宋体" w:hAnsi="新宋体" w:eastAsia="华文新魏"/>
      <w:b/>
      <w:sz w:val="32"/>
    </w:rPr>
  </w:style>
  <w:style w:type="character" w:customStyle="1" w:styleId="205">
    <w:name w:val="常用封面编制单位 Char"/>
    <w:link w:val="204"/>
    <w:uiPriority w:val="0"/>
    <w:rPr>
      <w:rFonts w:ascii="宋体" w:hAnsi="新宋体" w:eastAsia="华文新魏"/>
      <w:b/>
      <w:kern w:val="2"/>
      <w:sz w:val="32"/>
      <w:szCs w:val="24"/>
    </w:rPr>
  </w:style>
  <w:style w:type="character" w:customStyle="1" w:styleId="206">
    <w:name w:val="标题 4 Char1"/>
    <w:uiPriority w:val="0"/>
    <w:rPr>
      <w:rFonts w:ascii="Arial" w:hAnsi="Arial" w:eastAsia="黑体"/>
      <w:b/>
      <w:bCs/>
      <w:kern w:val="2"/>
      <w:sz w:val="28"/>
      <w:szCs w:val="28"/>
      <w:lang w:val="en-US" w:eastAsia="zh-CN" w:bidi="ar-SA"/>
    </w:rPr>
  </w:style>
  <w:style w:type="character" w:customStyle="1" w:styleId="207">
    <w:name w:val="标题 5 Char1"/>
    <w:uiPriority w:val="0"/>
    <w:rPr>
      <w:rFonts w:ascii="宋体" w:eastAsia="宋体"/>
      <w:b/>
      <w:kern w:val="2"/>
      <w:sz w:val="24"/>
      <w:szCs w:val="21"/>
      <w:lang w:val="en-US" w:eastAsia="zh-CN" w:bidi="ar-SA"/>
    </w:rPr>
  </w:style>
  <w:style w:type="paragraph" w:customStyle="1" w:styleId="208">
    <w:name w:val="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正文+"/>
    <w:basedOn w:val="1"/>
    <w:uiPriority w:val="0"/>
    <w:pPr>
      <w:spacing w:line="480" w:lineRule="exact"/>
      <w:ind w:firstLine="480" w:firstLineChars="200"/>
    </w:pPr>
    <w:rPr>
      <w:sz w:val="24"/>
    </w:rPr>
  </w:style>
  <w:style w:type="paragraph" w:customStyle="1" w:styleId="210">
    <w:name w:val="样式 表题 + 五号 首行缩进:  2 字符"/>
    <w:basedOn w:val="104"/>
    <w:uiPriority w:val="0"/>
    <w:pPr>
      <w:widowControl w:val="0"/>
    </w:pPr>
    <w:rPr>
      <w:rFonts w:hAnsi="Times New Roman" w:cs="宋体"/>
      <w:bCs/>
      <w:szCs w:val="20"/>
    </w:rPr>
  </w:style>
  <w:style w:type="character" w:customStyle="1" w:styleId="211">
    <w:name w:val="标题4 Char Char"/>
    <w:uiPriority w:val="0"/>
    <w:rPr>
      <w:rFonts w:eastAsia="宋体"/>
      <w:b/>
      <w:sz w:val="24"/>
      <w:szCs w:val="24"/>
      <w:lang w:val="en-US" w:eastAsia="zh-CN" w:bidi="ar-SA"/>
    </w:rPr>
  </w:style>
  <w:style w:type="character" w:customStyle="1" w:styleId="212">
    <w:name w:val="标题 5 Char Char"/>
    <w:uiPriority w:val="0"/>
    <w:rPr>
      <w:rFonts w:ascii="宋体" w:eastAsia="宋体"/>
      <w:b/>
      <w:kern w:val="2"/>
      <w:sz w:val="24"/>
      <w:lang w:val="en-US" w:eastAsia="zh-CN" w:bidi="ar-SA"/>
    </w:rPr>
  </w:style>
  <w:style w:type="character" w:customStyle="1" w:styleId="213">
    <w:name w:val="报告正文 Char Char"/>
    <w:link w:val="214"/>
    <w:uiPriority w:val="0"/>
    <w:rPr>
      <w:rFonts w:ascii="宋体" w:hAnsi="Courier New"/>
      <w:kern w:val="2"/>
      <w:sz w:val="24"/>
    </w:rPr>
  </w:style>
  <w:style w:type="paragraph" w:customStyle="1" w:styleId="214">
    <w:name w:val="报告正文"/>
    <w:basedOn w:val="28"/>
    <w:link w:val="213"/>
    <w:qFormat/>
    <w:uiPriority w:val="0"/>
    <w:pPr>
      <w:adjustRightInd w:val="0"/>
      <w:spacing w:line="400" w:lineRule="exact"/>
      <w:ind w:firstLine="510" w:firstLineChars="200"/>
      <w:jc w:val="left"/>
    </w:pPr>
    <w:rPr>
      <w:sz w:val="24"/>
    </w:rPr>
  </w:style>
  <w:style w:type="character" w:customStyle="1" w:styleId="215">
    <w:name w:val="样式 正文文本 + 首行缩进:  2 字符1 Char Char"/>
    <w:link w:val="216"/>
    <w:uiPriority w:val="0"/>
    <w:rPr>
      <w:rFonts w:cs="宋体"/>
      <w:kern w:val="2"/>
      <w:sz w:val="24"/>
      <w:szCs w:val="24"/>
    </w:rPr>
  </w:style>
  <w:style w:type="paragraph" w:customStyle="1" w:styleId="216">
    <w:name w:val="样式 正文文本 + 首行缩进:  2 字符1"/>
    <w:basedOn w:val="21"/>
    <w:link w:val="215"/>
    <w:uiPriority w:val="0"/>
    <w:pPr>
      <w:spacing w:line="360" w:lineRule="auto"/>
      <w:jc w:val="left"/>
    </w:pPr>
  </w:style>
  <w:style w:type="character" w:customStyle="1" w:styleId="217">
    <w:name w:val="x正文 Char1"/>
    <w:link w:val="218"/>
    <w:uiPriority w:val="0"/>
    <w:rPr>
      <w:kern w:val="2"/>
      <w:sz w:val="24"/>
      <w:szCs w:val="24"/>
    </w:rPr>
  </w:style>
  <w:style w:type="paragraph" w:customStyle="1" w:styleId="218">
    <w:name w:val="x正文"/>
    <w:basedOn w:val="1"/>
    <w:link w:val="217"/>
    <w:uiPriority w:val="0"/>
    <w:pPr>
      <w:spacing w:line="360" w:lineRule="auto"/>
      <w:ind w:firstLine="480" w:firstLineChars="200"/>
      <w:jc w:val="left"/>
    </w:pPr>
    <w:rPr>
      <w:sz w:val="24"/>
    </w:rPr>
  </w:style>
  <w:style w:type="character" w:customStyle="1" w:styleId="219">
    <w:name w:val="表格 Char Char"/>
    <w:uiPriority w:val="0"/>
    <w:rPr>
      <w:sz w:val="21"/>
      <w:szCs w:val="24"/>
    </w:rPr>
  </w:style>
  <w:style w:type="character" w:customStyle="1" w:styleId="220">
    <w:name w:val="样式 小四 Char Char"/>
    <w:link w:val="221"/>
    <w:uiPriority w:val="0"/>
    <w:rPr>
      <w:kern w:val="2"/>
      <w:sz w:val="24"/>
      <w:szCs w:val="24"/>
    </w:rPr>
  </w:style>
  <w:style w:type="paragraph" w:customStyle="1" w:styleId="221">
    <w:name w:val="样式 小四"/>
    <w:basedOn w:val="1"/>
    <w:link w:val="220"/>
    <w:uiPriority w:val="0"/>
    <w:pPr>
      <w:spacing w:line="360" w:lineRule="auto"/>
      <w:ind w:firstLine="480" w:firstLineChars="200"/>
      <w:jc w:val="left"/>
    </w:pPr>
    <w:rPr>
      <w:sz w:val="24"/>
    </w:rPr>
  </w:style>
  <w:style w:type="character" w:customStyle="1" w:styleId="222">
    <w:name w:val="白鹤滩标题 2 Char"/>
    <w:uiPriority w:val="0"/>
    <w:rPr>
      <w:rFonts w:ascii="Arial" w:hAnsi="Arial" w:eastAsia="黑体" w:cs="Times New Roman"/>
      <w:b/>
      <w:bCs/>
      <w:sz w:val="32"/>
      <w:szCs w:val="32"/>
    </w:rPr>
  </w:style>
  <w:style w:type="character" w:customStyle="1" w:styleId="223">
    <w:name w:val="标题四 Char Char"/>
    <w:link w:val="224"/>
    <w:uiPriority w:val="0"/>
    <w:rPr>
      <w:rFonts w:ascii="宋体" w:hAnsi="宋体" w:cs="宋体"/>
      <w:b/>
      <w:bCs/>
      <w:kern w:val="2"/>
      <w:sz w:val="24"/>
    </w:rPr>
  </w:style>
  <w:style w:type="paragraph" w:customStyle="1" w:styleId="224">
    <w:name w:val="标题四"/>
    <w:basedOn w:val="1"/>
    <w:next w:val="21"/>
    <w:link w:val="223"/>
    <w:uiPriority w:val="0"/>
    <w:pPr>
      <w:spacing w:line="360" w:lineRule="auto"/>
      <w:ind w:firstLine="480" w:firstLineChars="200"/>
      <w:jc w:val="left"/>
    </w:pPr>
    <w:rPr>
      <w:rFonts w:ascii="宋体" w:hAnsi="宋体"/>
      <w:b/>
      <w:bCs/>
      <w:sz w:val="24"/>
      <w:szCs w:val="20"/>
    </w:rPr>
  </w:style>
  <w:style w:type="character" w:customStyle="1" w:styleId="225">
    <w:name w:val="图表说明 Char"/>
    <w:uiPriority w:val="0"/>
    <w:rPr>
      <w:rFonts w:ascii="宋体" w:hAnsi="Plotter" w:eastAsia="宋体" w:cs="Times New Roman"/>
      <w:sz w:val="24"/>
      <w:szCs w:val="21"/>
    </w:rPr>
  </w:style>
  <w:style w:type="character" w:customStyle="1" w:styleId="226">
    <w:name w:val="标题 3 Char Char1"/>
    <w:uiPriority w:val="0"/>
    <w:rPr>
      <w:rFonts w:eastAsia="宋体"/>
      <w:b/>
      <w:bCs/>
      <w:kern w:val="2"/>
      <w:sz w:val="28"/>
      <w:szCs w:val="32"/>
      <w:lang w:val="en-US" w:eastAsia="zh-CN" w:bidi="ar-SA"/>
    </w:rPr>
  </w:style>
  <w:style w:type="character" w:customStyle="1" w:styleId="227">
    <w:name w:val="x正文 Char Char"/>
    <w:uiPriority w:val="0"/>
    <w:rPr>
      <w:rFonts w:eastAsia="宋体"/>
      <w:kern w:val="2"/>
      <w:sz w:val="24"/>
      <w:szCs w:val="24"/>
      <w:lang w:val="en-US" w:eastAsia="zh-CN" w:bidi="ar-SA"/>
    </w:rPr>
  </w:style>
  <w:style w:type="character" w:customStyle="1" w:styleId="228">
    <w:name w:val="样式 宋体 小四 Char"/>
    <w:uiPriority w:val="0"/>
    <w:rPr>
      <w:rFonts w:ascii="ti" w:hAnsi="ti" w:eastAsia="宋体"/>
      <w:kern w:val="2"/>
      <w:sz w:val="24"/>
      <w:szCs w:val="24"/>
      <w:lang w:val="en-US" w:eastAsia="zh-CN" w:bidi="ar-SA"/>
    </w:rPr>
  </w:style>
  <w:style w:type="character" w:customStyle="1" w:styleId="229">
    <w:name w:val="样式 样式 正文文本1 + 首行缩进:  2 字符 + Arial1 Char Char"/>
    <w:link w:val="230"/>
    <w:uiPriority w:val="0"/>
    <w:rPr>
      <w:rFonts w:cs="宋体"/>
      <w:kern w:val="2"/>
      <w:sz w:val="24"/>
      <w:szCs w:val="24"/>
    </w:rPr>
  </w:style>
  <w:style w:type="paragraph" w:customStyle="1" w:styleId="230">
    <w:name w:val="样式 样式 正文文本1 + 首行缩进:  2 字符 + Arial1"/>
    <w:basedOn w:val="1"/>
    <w:link w:val="229"/>
    <w:uiPriority w:val="0"/>
    <w:pPr>
      <w:spacing w:line="360" w:lineRule="auto"/>
      <w:ind w:firstLine="480" w:firstLineChars="200"/>
      <w:jc w:val="left"/>
    </w:pPr>
    <w:rPr>
      <w:sz w:val="24"/>
    </w:rPr>
  </w:style>
  <w:style w:type="character" w:customStyle="1" w:styleId="231">
    <w:name w:val="x表头 Char Char"/>
    <w:link w:val="232"/>
    <w:uiPriority w:val="0"/>
    <w:rPr>
      <w:b/>
      <w:kern w:val="2"/>
      <w:sz w:val="24"/>
      <w:szCs w:val="24"/>
    </w:rPr>
  </w:style>
  <w:style w:type="paragraph" w:customStyle="1" w:styleId="232">
    <w:name w:val="x表头"/>
    <w:basedOn w:val="218"/>
    <w:link w:val="231"/>
    <w:uiPriority w:val="0"/>
    <w:pPr>
      <w:spacing w:beforeLines="50"/>
      <w:ind w:firstLine="200"/>
    </w:pPr>
    <w:rPr>
      <w:b/>
    </w:rPr>
  </w:style>
  <w:style w:type="character" w:customStyle="1" w:styleId="233">
    <w:name w:val="三级标题 Char3"/>
    <w:uiPriority w:val="0"/>
    <w:rPr>
      <w:rFonts w:eastAsia="宋体"/>
      <w:b/>
      <w:bCs/>
      <w:kern w:val="2"/>
      <w:sz w:val="32"/>
      <w:szCs w:val="32"/>
      <w:lang w:val="en-US" w:eastAsia="zh-CN" w:bidi="ar-SA"/>
    </w:rPr>
  </w:style>
  <w:style w:type="character" w:customStyle="1" w:styleId="234">
    <w:name w:val="标题 1 Char Char"/>
    <w:uiPriority w:val="0"/>
    <w:rPr>
      <w:rFonts w:eastAsia="宋体"/>
      <w:b/>
      <w:bCs/>
      <w:kern w:val="44"/>
      <w:sz w:val="44"/>
      <w:szCs w:val="44"/>
      <w:lang w:val="en-US" w:eastAsia="zh-CN" w:bidi="ar-SA"/>
    </w:rPr>
  </w:style>
  <w:style w:type="character" w:customStyle="1" w:styleId="235">
    <w:name w:val="样式 标题 2白鹤滩标题 2标题 2 Char Char Char Char Char Char Char标题 21标题... Char Char"/>
    <w:basedOn w:val="60"/>
    <w:link w:val="236"/>
    <w:uiPriority w:val="0"/>
    <w:rPr>
      <w:rFonts w:ascii="Arial" w:hAnsi="Arial" w:eastAsia="黑体"/>
      <w:b/>
      <w:bCs/>
      <w:kern w:val="2"/>
      <w:sz w:val="32"/>
      <w:szCs w:val="32"/>
    </w:rPr>
  </w:style>
  <w:style w:type="paragraph" w:customStyle="1" w:styleId="236">
    <w:name w:val="样式 标题 2白鹤滩标题 2标题 2 Char Char Char Char Char Char Char标题 21标题..."/>
    <w:basedOn w:val="4"/>
    <w:link w:val="235"/>
    <w:uiPriority w:val="0"/>
    <w:pPr>
      <w:spacing w:before="100" w:after="100" w:line="360" w:lineRule="auto"/>
      <w:ind w:firstLine="200" w:firstLineChars="200"/>
      <w:jc w:val="left"/>
    </w:pPr>
  </w:style>
  <w:style w:type="character" w:customStyle="1" w:styleId="237">
    <w:name w:val="样式 x正文 + 黑色 左侧:  -0.19 厘米 右侧:  -0.19 厘米 Char Char"/>
    <w:link w:val="238"/>
    <w:uiPriority w:val="0"/>
    <w:rPr>
      <w:rFonts w:cs="宋体"/>
      <w:color w:val="000000"/>
      <w:kern w:val="2"/>
      <w:sz w:val="24"/>
      <w:szCs w:val="24"/>
    </w:rPr>
  </w:style>
  <w:style w:type="paragraph" w:customStyle="1" w:styleId="238">
    <w:name w:val="样式 x正文 + 黑色 左侧:  -0.19 厘米 右侧:  -0.19 厘米"/>
    <w:basedOn w:val="218"/>
    <w:link w:val="237"/>
    <w:uiPriority w:val="0"/>
    <w:pPr>
      <w:ind w:firstLine="200"/>
    </w:pPr>
    <w:rPr>
      <w:color w:val="000000"/>
    </w:rPr>
  </w:style>
  <w:style w:type="character" w:customStyle="1" w:styleId="239">
    <w:name w:val="样式 方正书宋简体 Char Char Char Char Char Char Char"/>
    <w:link w:val="240"/>
    <w:uiPriority w:val="0"/>
    <w:rPr>
      <w:rFonts w:ascii="方正书宋简体"/>
      <w:kern w:val="2"/>
      <w:sz w:val="24"/>
    </w:rPr>
  </w:style>
  <w:style w:type="paragraph" w:customStyle="1" w:styleId="240">
    <w:name w:val="样式 方正书宋简体 Char Char Char Char Char"/>
    <w:basedOn w:val="1"/>
    <w:link w:val="239"/>
    <w:uiPriority w:val="0"/>
    <w:pPr>
      <w:spacing w:line="360" w:lineRule="auto"/>
      <w:ind w:right="-2" w:firstLine="523" w:firstLineChars="218"/>
      <w:jc w:val="left"/>
    </w:pPr>
    <w:rPr>
      <w:rFonts w:ascii="方正书宋简体"/>
      <w:sz w:val="24"/>
      <w:szCs w:val="20"/>
    </w:rPr>
  </w:style>
  <w:style w:type="character" w:customStyle="1" w:styleId="241">
    <w:name w:val="标题 1 Char Char Char"/>
    <w:uiPriority w:val="0"/>
    <w:rPr>
      <w:rFonts w:eastAsia="宋体"/>
      <w:b/>
      <w:bCs/>
      <w:kern w:val="44"/>
      <w:sz w:val="44"/>
      <w:szCs w:val="44"/>
      <w:lang w:val="en-US" w:eastAsia="zh-CN" w:bidi="ar-SA"/>
    </w:rPr>
  </w:style>
  <w:style w:type="character" w:customStyle="1" w:styleId="242">
    <w:name w:val="白鹤滩标题 2 Char1"/>
    <w:uiPriority w:val="0"/>
    <w:rPr>
      <w:rFonts w:ascii="Arial" w:hAnsi="Arial" w:eastAsia="黑体"/>
      <w:b/>
      <w:bCs/>
      <w:kern w:val="2"/>
      <w:sz w:val="32"/>
      <w:szCs w:val="32"/>
      <w:lang w:val="en-US" w:eastAsia="zh-CN" w:bidi="ar-SA"/>
    </w:rPr>
  </w:style>
  <w:style w:type="character" w:customStyle="1" w:styleId="243">
    <w:name w:val="三级标题 Char"/>
    <w:uiPriority w:val="0"/>
    <w:rPr>
      <w:rFonts w:ascii="Times New Roman" w:hAnsi="Times New Roman" w:eastAsia="宋体" w:cs="Times New Roman"/>
      <w:b/>
      <w:bCs/>
      <w:sz w:val="30"/>
      <w:szCs w:val="32"/>
    </w:rPr>
  </w:style>
  <w:style w:type="character" w:customStyle="1" w:styleId="244">
    <w:name w:val="样式 正文文本 + 首行缩进:  2 字符 Char Char"/>
    <w:link w:val="245"/>
    <w:uiPriority w:val="0"/>
    <w:rPr>
      <w:rFonts w:cs="宋体"/>
      <w:kern w:val="2"/>
      <w:sz w:val="24"/>
      <w:szCs w:val="24"/>
    </w:rPr>
  </w:style>
  <w:style w:type="paragraph" w:customStyle="1" w:styleId="245">
    <w:name w:val="样式 正文文本 + 首行缩进:  2 字符"/>
    <w:basedOn w:val="21"/>
    <w:link w:val="244"/>
    <w:uiPriority w:val="0"/>
    <w:pPr>
      <w:spacing w:line="360" w:lineRule="auto"/>
      <w:jc w:val="left"/>
    </w:pPr>
  </w:style>
  <w:style w:type="character" w:customStyle="1" w:styleId="246">
    <w:name w:val="样式 样式 正文文本 + 首行缩进:  2 字符 + 宋体 Char Char"/>
    <w:link w:val="247"/>
    <w:uiPriority w:val="0"/>
    <w:rPr>
      <w:rFonts w:ascii="ti" w:hAnsi="ti" w:cs="宋体"/>
      <w:kern w:val="2"/>
      <w:sz w:val="24"/>
      <w:szCs w:val="24"/>
    </w:rPr>
  </w:style>
  <w:style w:type="paragraph" w:customStyle="1" w:styleId="247">
    <w:name w:val="样式 样式 正文文本 + 首行缩进:  2 字符 + 宋体"/>
    <w:basedOn w:val="245"/>
    <w:link w:val="246"/>
    <w:uiPriority w:val="0"/>
    <w:rPr>
      <w:rFonts w:ascii="ti" w:hAnsi="ti"/>
    </w:rPr>
  </w:style>
  <w:style w:type="character" w:customStyle="1" w:styleId="248">
    <w:name w:val="样式 宋体 小四 Char Char"/>
    <w:link w:val="249"/>
    <w:uiPriority w:val="0"/>
    <w:rPr>
      <w:rFonts w:ascii="ti" w:hAnsi="ti"/>
      <w:kern w:val="2"/>
      <w:sz w:val="24"/>
      <w:szCs w:val="24"/>
    </w:rPr>
  </w:style>
  <w:style w:type="paragraph" w:customStyle="1" w:styleId="249">
    <w:name w:val="样式 宋体 小四"/>
    <w:basedOn w:val="1"/>
    <w:link w:val="248"/>
    <w:uiPriority w:val="0"/>
    <w:pPr>
      <w:spacing w:line="360" w:lineRule="auto"/>
      <w:ind w:firstLine="200" w:firstLineChars="200"/>
      <w:jc w:val="left"/>
    </w:pPr>
    <w:rPr>
      <w:rFonts w:ascii="ti" w:hAnsi="ti"/>
      <w:sz w:val="24"/>
    </w:rPr>
  </w:style>
  <w:style w:type="paragraph" w:customStyle="1" w:styleId="250">
    <w:name w:val="样式 样式 首行缩进:  2 字符 + 首行缩进:  2 字符"/>
    <w:basedOn w:val="1"/>
    <w:uiPriority w:val="0"/>
    <w:pPr>
      <w:spacing w:line="360" w:lineRule="auto"/>
      <w:ind w:firstLine="480" w:firstLineChars="200"/>
      <w:jc w:val="left"/>
    </w:pPr>
    <w:rPr>
      <w:rFonts w:hAnsi="宋体"/>
      <w:color w:val="000000"/>
      <w:sz w:val="24"/>
      <w:szCs w:val="21"/>
    </w:rPr>
  </w:style>
  <w:style w:type="paragraph" w:customStyle="1" w:styleId="251">
    <w:name w:val="样式 样式 样式 正文文本 + 首行缩进:  2 字符 + 首行缩进:  2 字符 + 首行缩进:  2 字符"/>
    <w:basedOn w:val="1"/>
    <w:uiPriority w:val="0"/>
    <w:pPr>
      <w:spacing w:line="360" w:lineRule="auto"/>
      <w:ind w:firstLine="200" w:firstLineChars="200"/>
      <w:jc w:val="left"/>
    </w:pPr>
    <w:rPr>
      <w:rFonts w:cs="宋体"/>
      <w:sz w:val="24"/>
      <w:szCs w:val="20"/>
    </w:rPr>
  </w:style>
  <w:style w:type="paragraph" w:customStyle="1" w:styleId="252">
    <w:name w:val="样式 x表头 + 黑色 段前: 0.5 行"/>
    <w:basedOn w:val="232"/>
    <w:uiPriority w:val="0"/>
    <w:pPr>
      <w:spacing w:beforeLines="0"/>
      <w:ind w:firstLine="964" w:firstLineChars="400"/>
      <w:jc w:val="center"/>
    </w:pPr>
    <w:rPr>
      <w:rFonts w:eastAsia="黑体" w:cs="宋体"/>
      <w:bCs/>
      <w:color w:val="000000"/>
      <w:kern w:val="0"/>
      <w:szCs w:val="20"/>
    </w:rPr>
  </w:style>
  <w:style w:type="paragraph" w:customStyle="1" w:styleId="253">
    <w:name w:val="x标题2"/>
    <w:basedOn w:val="4"/>
    <w:uiPriority w:val="0"/>
    <w:pPr>
      <w:widowControl/>
      <w:spacing w:beforeLines="50" w:after="0" w:line="360" w:lineRule="auto"/>
      <w:ind w:firstLine="200" w:firstLineChars="200"/>
      <w:jc w:val="left"/>
    </w:pPr>
    <w:rPr>
      <w:rFonts w:ascii="Times New Roman" w:hAnsi="Times New Roman" w:eastAsia="宋体"/>
      <w:bCs w:val="0"/>
      <w:kern w:val="0"/>
      <w:sz w:val="30"/>
      <w:szCs w:val="30"/>
    </w:rPr>
  </w:style>
  <w:style w:type="paragraph" w:customStyle="1" w:styleId="254">
    <w:name w:val="样式 小四 行距: 多倍行距 1.3 字行"/>
    <w:basedOn w:val="1"/>
    <w:uiPriority w:val="0"/>
    <w:pPr>
      <w:spacing w:line="360" w:lineRule="auto"/>
      <w:ind w:firstLine="200" w:firstLineChars="200"/>
      <w:jc w:val="left"/>
    </w:pPr>
    <w:rPr>
      <w:rFonts w:cs="宋体"/>
      <w:sz w:val="24"/>
      <w:szCs w:val="20"/>
    </w:rPr>
  </w:style>
  <w:style w:type="paragraph" w:customStyle="1" w:styleId="255">
    <w:name w:val="样式 标题4 + 黑色"/>
    <w:basedOn w:val="5"/>
    <w:uiPriority w:val="0"/>
    <w:pPr>
      <w:keepNext w:val="0"/>
      <w:keepLines w:val="0"/>
      <w:adjustRightInd w:val="0"/>
      <w:spacing w:before="0" w:after="0" w:line="360" w:lineRule="auto"/>
      <w:ind w:firstLine="480" w:firstLineChars="200"/>
      <w:jc w:val="left"/>
      <w:textAlignment w:val="baseline"/>
      <w:outlineLvl w:val="9"/>
    </w:pPr>
    <w:rPr>
      <w:color w:val="000000"/>
      <w:kern w:val="0"/>
      <w:sz w:val="24"/>
      <w:szCs w:val="24"/>
    </w:rPr>
  </w:style>
  <w:style w:type="paragraph" w:customStyle="1" w:styleId="256">
    <w:name w:val="样式 x表头 + (中文) 黑体 五号 非加粗 黑色 行距: 单倍行距"/>
    <w:basedOn w:val="232"/>
    <w:uiPriority w:val="0"/>
    <w:pPr>
      <w:spacing w:line="240" w:lineRule="auto"/>
      <w:ind w:firstLine="1254" w:firstLineChars="597"/>
      <w:jc w:val="center"/>
    </w:pPr>
    <w:rPr>
      <w:rFonts w:eastAsia="黑体" w:cs="宋体"/>
      <w:color w:val="000000"/>
      <w:szCs w:val="20"/>
    </w:rPr>
  </w:style>
  <w:style w:type="paragraph" w:customStyle="1" w:styleId="257">
    <w:name w:val="样式 (符号) 宋体 行距: 最小值 12 磅1"/>
    <w:basedOn w:val="1"/>
    <w:uiPriority w:val="0"/>
    <w:pPr>
      <w:spacing w:line="240" w:lineRule="atLeast"/>
      <w:ind w:right="-191" w:rightChars="-91" w:firstLine="480" w:firstLineChars="200"/>
      <w:jc w:val="left"/>
    </w:pPr>
    <w:rPr>
      <w:rFonts w:ascii="ti" w:hAnsi="ti" w:cs="宋体"/>
      <w:sz w:val="24"/>
      <w:szCs w:val="20"/>
    </w:rPr>
  </w:style>
  <w:style w:type="paragraph" w:customStyle="1" w:styleId="258">
    <w:name w:val="样式 样式 样式 样式 样式 宋体 小四 行距: 1.5 倍行距 + 首行缩进:  2 字符 + 首行缩进:  2 字符 + 首..."/>
    <w:basedOn w:val="1"/>
    <w:uiPriority w:val="0"/>
    <w:pPr>
      <w:spacing w:line="360" w:lineRule="auto"/>
      <w:ind w:firstLine="200" w:firstLineChars="200"/>
      <w:jc w:val="left"/>
    </w:pPr>
    <w:rPr>
      <w:rFonts w:cs="宋体"/>
      <w:sz w:val="24"/>
      <w:szCs w:val="20"/>
    </w:rPr>
  </w:style>
  <w:style w:type="paragraph" w:customStyle="1" w:styleId="259">
    <w:name w:val="样式 小四 行距: 1.5 倍行距"/>
    <w:basedOn w:val="1"/>
    <w:uiPriority w:val="0"/>
    <w:pPr>
      <w:spacing w:line="360" w:lineRule="auto"/>
      <w:ind w:firstLine="200" w:firstLineChars="200"/>
      <w:jc w:val="left"/>
    </w:pPr>
    <w:rPr>
      <w:rFonts w:cs="宋体"/>
      <w:sz w:val="24"/>
      <w:szCs w:val="20"/>
    </w:rPr>
  </w:style>
  <w:style w:type="paragraph" w:customStyle="1" w:styleId="260">
    <w:name w:val="样式 样式 样式 样式 样式 正文文本 + 首行缩进:  2 字符 + 首行缩进:  2 字符 + 首行缩进:  2 字符 + ..."/>
    <w:basedOn w:val="261"/>
    <w:uiPriority w:val="0"/>
  </w:style>
  <w:style w:type="paragraph" w:customStyle="1" w:styleId="261">
    <w:name w:val="样式 样式 样式 样式 正文文本 + 首行缩进:  2 字符 + 首行缩进:  2 字符 + 首行缩进:  2 字符 + 加粗..."/>
    <w:basedOn w:val="251"/>
    <w:uiPriority w:val="0"/>
    <w:rPr>
      <w:b/>
      <w:bCs/>
    </w:rPr>
  </w:style>
  <w:style w:type="paragraph" w:customStyle="1" w:styleId="262">
    <w:name w:val="样式 正文文本 + (符号) 宋体 居中 首行缩进:  2 字符"/>
    <w:basedOn w:val="21"/>
    <w:uiPriority w:val="0"/>
    <w:pPr>
      <w:adjustRightInd w:val="0"/>
      <w:snapToGrid w:val="0"/>
      <w:spacing w:line="360" w:lineRule="auto"/>
      <w:jc w:val="center"/>
    </w:pPr>
    <w:rPr>
      <w:rFonts w:hAnsi="宋体" w:cs="宋体"/>
      <w:szCs w:val="20"/>
    </w:rPr>
  </w:style>
  <w:style w:type="paragraph" w:customStyle="1" w:styleId="263">
    <w:name w:val="样式 样式 样式 正文文本 + 首行缩进:  2 字符 + 首行缩进:  2 字符 + 加粗 首行缩进:  2 字符"/>
    <w:basedOn w:val="264"/>
    <w:uiPriority w:val="0"/>
    <w:rPr>
      <w:b/>
      <w:bCs/>
    </w:rPr>
  </w:style>
  <w:style w:type="paragraph" w:customStyle="1" w:styleId="264">
    <w:name w:val="样式 样式 正文文本 + 首行缩进:  2 字符 + 首行缩进:  2 字符"/>
    <w:basedOn w:val="245"/>
    <w:uiPriority w:val="0"/>
  </w:style>
  <w:style w:type="paragraph" w:customStyle="1" w:styleId="265">
    <w:name w:val="样式 样式 正文文本 + 首行缩进:  2 字符 + 两端对齐 首行缩进:  2 字符 行距: 多倍行距 1.3 字行"/>
    <w:basedOn w:val="245"/>
    <w:uiPriority w:val="0"/>
  </w:style>
  <w:style w:type="paragraph" w:customStyle="1" w:styleId="266">
    <w:name w:val="样式 样式 正文文本 + 首行缩进:  2 字符 + 首行缩进:  2 字符1"/>
    <w:basedOn w:val="245"/>
    <w:uiPriority w:val="0"/>
    <w:pPr>
      <w:ind w:firstLine="480"/>
    </w:pPr>
  </w:style>
  <w:style w:type="paragraph" w:customStyle="1" w:styleId="267">
    <w:name w:val="x标题3"/>
    <w:basedOn w:val="5"/>
    <w:uiPriority w:val="0"/>
    <w:pPr>
      <w:spacing w:before="0" w:after="0" w:line="360" w:lineRule="auto"/>
      <w:ind w:firstLine="200" w:firstLineChars="200"/>
      <w:jc w:val="left"/>
    </w:pPr>
    <w:rPr>
      <w:sz w:val="28"/>
      <w:szCs w:val="21"/>
    </w:rPr>
  </w:style>
  <w:style w:type="paragraph" w:customStyle="1" w:styleId="268">
    <w:name w:val="注释文字"/>
    <w:basedOn w:val="1"/>
    <w:uiPriority w:val="0"/>
    <w:pPr>
      <w:adjustRightInd w:val="0"/>
      <w:snapToGrid w:val="0"/>
      <w:ind w:firstLine="200" w:firstLineChars="200"/>
      <w:jc w:val="left"/>
    </w:pPr>
    <w:rPr>
      <w:sz w:val="18"/>
    </w:rPr>
  </w:style>
  <w:style w:type="paragraph" w:customStyle="1" w:styleId="269">
    <w:name w:val="小金正文"/>
    <w:basedOn w:val="1"/>
    <w:uiPriority w:val="0"/>
    <w:pPr>
      <w:adjustRightInd w:val="0"/>
      <w:snapToGrid w:val="0"/>
      <w:spacing w:line="360" w:lineRule="auto"/>
      <w:ind w:firstLine="200" w:firstLineChars="200"/>
      <w:jc w:val="left"/>
    </w:pPr>
    <w:rPr>
      <w:sz w:val="24"/>
      <w:szCs w:val="21"/>
    </w:rPr>
  </w:style>
  <w:style w:type="paragraph" w:customStyle="1" w:styleId="270">
    <w:name w:val="小表文"/>
    <w:basedOn w:val="1"/>
    <w:uiPriority w:val="0"/>
    <w:pPr>
      <w:widowControl/>
      <w:adjustRightInd w:val="0"/>
      <w:snapToGrid w:val="0"/>
      <w:spacing w:before="20" w:line="360" w:lineRule="auto"/>
      <w:ind w:firstLine="480" w:firstLineChars="200"/>
      <w:jc w:val="left"/>
    </w:pPr>
    <w:rPr>
      <w:kern w:val="0"/>
      <w:sz w:val="18"/>
      <w:szCs w:val="18"/>
    </w:rPr>
  </w:style>
  <w:style w:type="paragraph" w:customStyle="1" w:styleId="271">
    <w:name w:val="样式 样式 样式 样式 正文文本 + 首行缩进:  2 字符 + 首行缩进:  2 字符 + 首行缩进:  2 字符 + 首行缩..."/>
    <w:basedOn w:val="251"/>
    <w:uiPriority w:val="0"/>
  </w:style>
  <w:style w:type="paragraph" w:customStyle="1" w:styleId="272">
    <w:name w:val="样式 (符号) 宋体 11 磅 居中"/>
    <w:basedOn w:val="1"/>
    <w:uiPriority w:val="0"/>
    <w:pPr>
      <w:spacing w:line="360" w:lineRule="auto"/>
      <w:ind w:firstLine="480" w:firstLineChars="200"/>
      <w:jc w:val="center"/>
    </w:pPr>
    <w:rPr>
      <w:rFonts w:cs="宋体"/>
      <w:kern w:val="0"/>
      <w:sz w:val="22"/>
      <w:szCs w:val="20"/>
    </w:rPr>
  </w:style>
  <w:style w:type="paragraph" w:customStyle="1" w:styleId="273">
    <w:name w:val="样式 样式 样式 样式 正文文本 + 首行缩进:  2 字符 + 首行缩进:  2 字符 + 加粗 首行缩进:  2 字符 + ..."/>
    <w:basedOn w:val="263"/>
    <w:uiPriority w:val="0"/>
  </w:style>
  <w:style w:type="paragraph" w:customStyle="1" w:styleId="274">
    <w:name w:val="样式 样式 宋体 小四 + 首行缩进:  2 字符"/>
    <w:basedOn w:val="249"/>
    <w:uiPriority w:val="0"/>
    <w:rPr>
      <w:rFonts w:ascii="Times New Roman" w:hAnsi="Times New Roman" w:cs="宋体"/>
      <w:szCs w:val="20"/>
    </w:rPr>
  </w:style>
  <w:style w:type="paragraph" w:customStyle="1" w:styleId="275">
    <w:name w:val="样式 (符号) 宋体 行距: 最小值 12 磅"/>
    <w:basedOn w:val="1"/>
    <w:uiPriority w:val="0"/>
    <w:pPr>
      <w:spacing w:line="240" w:lineRule="atLeast"/>
      <w:ind w:firstLine="480" w:firstLineChars="200"/>
      <w:jc w:val="left"/>
    </w:pPr>
    <w:rPr>
      <w:rFonts w:ascii="ti" w:hAnsi="ti" w:cs="宋体"/>
      <w:sz w:val="24"/>
      <w:szCs w:val="20"/>
    </w:rPr>
  </w:style>
  <w:style w:type="paragraph" w:customStyle="1" w:styleId="276">
    <w:name w:val="x标题1"/>
    <w:basedOn w:val="3"/>
    <w:uiPriority w:val="0"/>
    <w:pPr>
      <w:keepLines/>
      <w:spacing w:before="340" w:after="330" w:line="576" w:lineRule="auto"/>
      <w:ind w:firstLine="200" w:firstLineChars="200"/>
    </w:pPr>
    <w:rPr>
      <w:b/>
      <w:bCs/>
      <w:kern w:val="44"/>
      <w:sz w:val="44"/>
      <w:szCs w:val="44"/>
    </w:rPr>
  </w:style>
  <w:style w:type="character" w:customStyle="1" w:styleId="277">
    <w:name w:val="综合规划正文格式 Char Char"/>
    <w:link w:val="278"/>
    <w:uiPriority w:val="0"/>
    <w:rPr>
      <w:sz w:val="24"/>
      <w:szCs w:val="24"/>
    </w:rPr>
  </w:style>
  <w:style w:type="paragraph" w:customStyle="1" w:styleId="278">
    <w:name w:val="综合规划正文格式"/>
    <w:basedOn w:val="1"/>
    <w:link w:val="277"/>
    <w:qFormat/>
    <w:uiPriority w:val="0"/>
    <w:pPr>
      <w:spacing w:line="360" w:lineRule="auto"/>
      <w:ind w:firstLine="200" w:firstLineChars="200"/>
      <w:jc w:val="left"/>
    </w:pPr>
    <w:rPr>
      <w:kern w:val="0"/>
      <w:sz w:val="24"/>
    </w:rPr>
  </w:style>
  <w:style w:type="paragraph" w:styleId="279">
    <w:name w:val="No Spacing"/>
    <w:basedOn w:val="1"/>
    <w:link w:val="280"/>
    <w:qFormat/>
    <w:uiPriority w:val="1"/>
    <w:pPr>
      <w:adjustRightInd w:val="0"/>
      <w:snapToGrid w:val="0"/>
      <w:spacing w:line="320" w:lineRule="exact"/>
      <w:jc w:val="center"/>
      <w:textAlignment w:val="baseline"/>
    </w:pPr>
    <w:rPr>
      <w:kern w:val="0"/>
      <w:szCs w:val="21"/>
    </w:rPr>
  </w:style>
  <w:style w:type="character" w:customStyle="1" w:styleId="280">
    <w:name w:val="无间隔 Char"/>
    <w:link w:val="279"/>
    <w:uiPriority w:val="1"/>
    <w:rPr>
      <w:sz w:val="21"/>
      <w:szCs w:val="21"/>
    </w:rPr>
  </w:style>
  <w:style w:type="character" w:customStyle="1" w:styleId="281">
    <w:name w:val="页眉 Char1"/>
    <w:basedOn w:val="60"/>
    <w:uiPriority w:val="99"/>
    <w:rPr>
      <w:rFonts w:ascii="Times New Roman" w:hAnsi="Times New Roman" w:eastAsia="宋体" w:cs="Times New Roman"/>
      <w:sz w:val="18"/>
      <w:szCs w:val="18"/>
    </w:rPr>
  </w:style>
  <w:style w:type="paragraph" w:styleId="282">
    <w:name w:val="List Paragraph"/>
    <w:basedOn w:val="1"/>
    <w:qFormat/>
    <w:uiPriority w:val="34"/>
    <w:pPr>
      <w:ind w:firstLine="420" w:firstLineChars="200"/>
    </w:pPr>
  </w:style>
  <w:style w:type="paragraph" w:customStyle="1" w:styleId="283">
    <w:name w:val="正文表格"/>
    <w:basedOn w:val="1"/>
    <w:link w:val="284"/>
    <w:qFormat/>
    <w:uiPriority w:val="0"/>
    <w:pPr>
      <w:spacing w:line="400" w:lineRule="exact"/>
      <w:jc w:val="center"/>
    </w:pPr>
    <w:rPr>
      <w:szCs w:val="21"/>
    </w:rPr>
  </w:style>
  <w:style w:type="character" w:customStyle="1" w:styleId="284">
    <w:name w:val="正文表格 Char"/>
    <w:link w:val="283"/>
    <w:uiPriority w:val="0"/>
    <w:rPr>
      <w:kern w:val="2"/>
      <w:sz w:val="21"/>
      <w:szCs w:val="21"/>
    </w:rPr>
  </w:style>
  <w:style w:type="paragraph" w:customStyle="1" w:styleId="285">
    <w:name w:val="1、正文"/>
    <w:basedOn w:val="1"/>
    <w:qFormat/>
    <w:uiPriority w:val="0"/>
    <w:pPr>
      <w:adjustRightInd w:val="0"/>
      <w:snapToGrid w:val="0"/>
      <w:spacing w:line="360" w:lineRule="auto"/>
      <w:ind w:firstLine="200" w:firstLineChars="200"/>
    </w:pPr>
    <w:rPr>
      <w:sz w:val="24"/>
    </w:rPr>
  </w:style>
  <w:style w:type="paragraph" w:customStyle="1" w:styleId="286">
    <w:name w:val="3、表内字"/>
    <w:basedOn w:val="1"/>
    <w:qFormat/>
    <w:uiPriority w:val="0"/>
    <w:pPr>
      <w:adjustRightInd w:val="0"/>
      <w:snapToGrid w:val="0"/>
      <w:jc w:val="center"/>
    </w:pPr>
    <w:rPr>
      <w:szCs w:val="21"/>
    </w:rPr>
  </w:style>
  <w:style w:type="paragraph" w:customStyle="1" w:styleId="287">
    <w:name w:val="2、表名"/>
    <w:basedOn w:val="1"/>
    <w:qFormat/>
    <w:uiPriority w:val="0"/>
    <w:pPr>
      <w:adjustRightInd w:val="0"/>
      <w:snapToGrid w:val="0"/>
      <w:spacing w:beforeLines="50"/>
      <w:jc w:val="center"/>
    </w:pPr>
    <w:rPr>
      <w:b/>
      <w:bCs/>
      <w:szCs w:val="21"/>
    </w:rPr>
  </w:style>
  <w:style w:type="character" w:customStyle="1" w:styleId="288">
    <w:name w:val="Intense Emphasis"/>
    <w:qFormat/>
    <w:uiPriority w:val="0"/>
    <w:rPr>
      <w:b/>
      <w:i/>
      <w:color w:val="auto"/>
    </w:rPr>
  </w:style>
  <w:style w:type="paragraph" w:customStyle="1" w:styleId="289">
    <w:name w:val="vsbcontent_end"/>
    <w:basedOn w:val="1"/>
    <w:uiPriority w:val="0"/>
    <w:pPr>
      <w:widowControl/>
      <w:spacing w:before="100" w:beforeAutospacing="1" w:after="100" w:afterAutospacing="1"/>
      <w:jc w:val="left"/>
    </w:pPr>
    <w:rPr>
      <w:rFonts w:ascii="宋体" w:hAnsi="宋体" w:cs="宋体"/>
      <w:kern w:val="0"/>
      <w:sz w:val="24"/>
    </w:rPr>
  </w:style>
  <w:style w:type="paragraph" w:customStyle="1" w:styleId="290">
    <w:name w:val="A-正文"/>
    <w:basedOn w:val="1"/>
    <w:link w:val="291"/>
    <w:qFormat/>
    <w:uiPriority w:val="0"/>
    <w:pPr>
      <w:widowControl/>
      <w:adjustRightInd w:val="0"/>
      <w:snapToGrid w:val="0"/>
      <w:spacing w:line="360" w:lineRule="auto"/>
      <w:ind w:firstLine="480" w:firstLineChars="200"/>
    </w:pPr>
    <w:rPr>
      <w:color w:val="00B050"/>
      <w:sz w:val="24"/>
    </w:rPr>
  </w:style>
  <w:style w:type="character" w:customStyle="1" w:styleId="291">
    <w:name w:val="A-正文 Char"/>
    <w:link w:val="290"/>
    <w:uiPriority w:val="0"/>
    <w:rPr>
      <w:color w:val="00B050"/>
      <w:kern w:val="2"/>
      <w:sz w:val="24"/>
      <w:szCs w:val="24"/>
    </w:rPr>
  </w:style>
  <w:style w:type="paragraph" w:customStyle="1" w:styleId="292">
    <w:name w:val="4、图名"/>
    <w:basedOn w:val="1"/>
    <w:qFormat/>
    <w:uiPriority w:val="0"/>
    <w:pPr>
      <w:autoSpaceDE w:val="0"/>
      <w:autoSpaceDN w:val="0"/>
      <w:adjustRightInd w:val="0"/>
      <w:snapToGrid w:val="0"/>
      <w:spacing w:afterLines="50"/>
      <w:jc w:val="center"/>
    </w:pPr>
    <w:rPr>
      <w:b/>
      <w:szCs w:val="21"/>
    </w:rPr>
  </w:style>
  <w:style w:type="character" w:styleId="293">
    <w:name w:val="Placeholder Text"/>
    <w:basedOn w:val="60"/>
    <w:uiPriority w:val="99"/>
    <w:rPr>
      <w:color w:val="808080"/>
    </w:rPr>
  </w:style>
  <w:style w:type="character" w:customStyle="1" w:styleId="294">
    <w:name w:val="报告表正文 Char Char"/>
    <w:uiPriority w:val="0"/>
    <w:rPr>
      <w:sz w:val="24"/>
    </w:rPr>
  </w:style>
  <w:style w:type="character" w:customStyle="1" w:styleId="295">
    <w:name w:val="表头-lcc Char Char"/>
    <w:link w:val="296"/>
    <w:uiPriority w:val="0"/>
    <w:rPr>
      <w:b/>
      <w:szCs w:val="21"/>
    </w:rPr>
  </w:style>
  <w:style w:type="paragraph" w:customStyle="1" w:styleId="296">
    <w:name w:val="表头-lcc"/>
    <w:basedOn w:val="1"/>
    <w:link w:val="295"/>
    <w:qFormat/>
    <w:uiPriority w:val="0"/>
    <w:pPr>
      <w:jc w:val="center"/>
    </w:pPr>
    <w:rPr>
      <w:b/>
      <w:kern w:val="0"/>
      <w:sz w:val="20"/>
      <w:szCs w:val="21"/>
    </w:rPr>
  </w:style>
  <w:style w:type="character" w:customStyle="1" w:styleId="297">
    <w:name w:val="环评正文 Char Char"/>
    <w:uiPriority w:val="0"/>
    <w:rPr>
      <w:rFonts w:eastAsia="宋体"/>
      <w:sz w:val="24"/>
    </w:rPr>
  </w:style>
  <w:style w:type="paragraph" w:customStyle="1" w:styleId="298">
    <w:name w:val="Revision"/>
    <w:hidden/>
    <w:uiPriority w:val="99"/>
    <w:rPr>
      <w:rFonts w:ascii="Times New Roman" w:hAnsi="Times New Roman" w:eastAsia="宋体" w:cs="Times New Roman"/>
      <w:kern w:val="2"/>
      <w:sz w:val="21"/>
      <w:szCs w:val="24"/>
      <w:lang w:val="en-US" w:eastAsia="zh-CN" w:bidi="ar-SA"/>
    </w:rPr>
  </w:style>
  <w:style w:type="character" w:customStyle="1" w:styleId="299">
    <w:name w:val="脚注文本 Char"/>
    <w:link w:val="39"/>
    <w:uiPriority w:val="0"/>
    <w:rPr>
      <w:kern w:val="2"/>
      <w:sz w:val="18"/>
      <w:szCs w:val="18"/>
    </w:rPr>
  </w:style>
  <w:style w:type="character" w:customStyle="1" w:styleId="300">
    <w:name w:val="headline-content2"/>
    <w:basedOn w:val="60"/>
    <w:uiPriority w:val="0"/>
  </w:style>
  <w:style w:type="character" w:customStyle="1" w:styleId="301">
    <w:name w:val="报告 Char Char"/>
    <w:uiPriority w:val="0"/>
    <w:rPr>
      <w:rFonts w:ascii="TimesNewRoman" w:hAnsi="TimesNewRoman" w:eastAsia="宋体"/>
      <w:sz w:val="24"/>
      <w:lang w:val="en-US" w:eastAsia="zh-CN" w:bidi="ar-SA"/>
    </w:rPr>
  </w:style>
  <w:style w:type="paragraph" w:customStyle="1" w:styleId="302">
    <w:name w:val="图表标题"/>
    <w:basedOn w:val="1"/>
    <w:next w:val="168"/>
    <w:uiPriority w:val="0"/>
    <w:pPr>
      <w:adjustRightInd w:val="0"/>
      <w:snapToGrid w:val="0"/>
      <w:spacing w:line="360" w:lineRule="auto"/>
      <w:ind w:firstLine="480"/>
      <w:jc w:val="center"/>
    </w:pPr>
    <w:rPr>
      <w:rFonts w:ascii="黑体" w:hAnsi="宋体" w:eastAsia="黑体"/>
      <w:bCs/>
      <w:snapToGrid w:val="0"/>
      <w:sz w:val="24"/>
    </w:rPr>
  </w:style>
  <w:style w:type="paragraph" w:customStyle="1" w:styleId="303">
    <w:name w:val="Char4 Char Char Char Char Char Char1"/>
    <w:basedOn w:val="1"/>
    <w:uiPriority w:val="0"/>
    <w:pPr>
      <w:spacing w:line="360" w:lineRule="auto"/>
      <w:ind w:firstLine="200" w:firstLineChars="200"/>
    </w:pPr>
    <w:rPr>
      <w:rFonts w:ascii="宋体" w:hAnsi="宋体" w:cs="宋体"/>
      <w:sz w:val="24"/>
    </w:rPr>
  </w:style>
  <w:style w:type="paragraph" w:customStyle="1" w:styleId="304">
    <w:name w:val="Char Char Char Char"/>
    <w:basedOn w:val="1"/>
    <w:uiPriority w:val="0"/>
  </w:style>
  <w:style w:type="paragraph" w:customStyle="1" w:styleId="305">
    <w:name w:val="Char Char Char Char2"/>
    <w:basedOn w:val="1"/>
    <w:uiPriority w:val="0"/>
    <w:pPr>
      <w:tabs>
        <w:tab w:val="left" w:pos="360"/>
      </w:tabs>
    </w:pPr>
    <w:rPr>
      <w:sz w:val="24"/>
    </w:rPr>
  </w:style>
  <w:style w:type="paragraph" w:customStyle="1" w:styleId="306">
    <w:name w:val="Char Char Char Char Char Char1 Char"/>
    <w:basedOn w:val="1"/>
    <w:uiPriority w:val="0"/>
    <w:rPr>
      <w:sz w:val="24"/>
    </w:rPr>
  </w:style>
  <w:style w:type="paragraph" w:customStyle="1" w:styleId="307">
    <w:name w:val="表文"/>
    <w:basedOn w:val="1"/>
    <w:qFormat/>
    <w:uiPriority w:val="0"/>
    <w:pPr>
      <w:spacing w:beforeLines="20" w:afterLines="20"/>
      <w:jc w:val="center"/>
    </w:pPr>
  </w:style>
  <w:style w:type="paragraph" w:customStyle="1" w:styleId="308">
    <w:name w:val="xl31"/>
    <w:basedOn w:val="1"/>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character" w:customStyle="1" w:styleId="309">
    <w:name w:val="脚注文本 Char1"/>
    <w:basedOn w:val="60"/>
    <w:link w:val="39"/>
    <w:uiPriority w:val="99"/>
    <w:rPr>
      <w:kern w:val="2"/>
      <w:sz w:val="18"/>
      <w:szCs w:val="18"/>
    </w:rPr>
  </w:style>
  <w:style w:type="paragraph" w:customStyle="1" w:styleId="310">
    <w:name w:val="默认段落字体 Para Char"/>
    <w:basedOn w:val="1"/>
    <w:qFormat/>
    <w:uiPriority w:val="0"/>
    <w:rPr>
      <w:rFonts w:ascii="宋体"/>
      <w:sz w:val="28"/>
    </w:rPr>
  </w:style>
  <w:style w:type="paragraph" w:customStyle="1" w:styleId="311">
    <w:name w:val="Char Char2"/>
    <w:basedOn w:val="1"/>
    <w:uiPriority w:val="0"/>
  </w:style>
  <w:style w:type="paragraph" w:customStyle="1" w:styleId="312">
    <w:name w:val="pic-info"/>
    <w:basedOn w:val="1"/>
    <w:uiPriority w:val="0"/>
    <w:pPr>
      <w:widowControl/>
      <w:spacing w:before="100" w:beforeAutospacing="1" w:after="100" w:afterAutospacing="1"/>
      <w:jc w:val="left"/>
    </w:pPr>
    <w:rPr>
      <w:rFonts w:ascii="宋体" w:hAnsi="宋体" w:cs="宋体"/>
      <w:kern w:val="0"/>
      <w:sz w:val="24"/>
    </w:rPr>
  </w:style>
  <w:style w:type="paragraph" w:customStyle="1" w:styleId="313">
    <w:name w:val="3级"/>
    <w:basedOn w:val="1"/>
    <w:uiPriority w:val="0"/>
    <w:pPr>
      <w:spacing w:line="360" w:lineRule="auto"/>
      <w:outlineLvl w:val="2"/>
    </w:pPr>
    <w:rPr>
      <w:rFonts w:ascii="宋体" w:hAnsi="宋体"/>
      <w:b/>
      <w:sz w:val="30"/>
      <w:szCs w:val="20"/>
    </w:rPr>
  </w:style>
  <w:style w:type="paragraph" w:customStyle="1" w:styleId="314">
    <w:name w:val="Char1"/>
    <w:basedOn w:val="1"/>
    <w:uiPriority w:val="0"/>
    <w:pPr>
      <w:ind w:left="510"/>
    </w:pPr>
    <w:rPr>
      <w:rFonts w:ascii="宋体" w:hAnsi="宋体"/>
      <w:color w:val="000000"/>
      <w:kern w:val="0"/>
      <w:sz w:val="24"/>
      <w:szCs w:val="20"/>
    </w:rPr>
  </w:style>
  <w:style w:type="paragraph" w:customStyle="1" w:styleId="315">
    <w:name w:val="album-div"/>
    <w:basedOn w:val="1"/>
    <w:uiPriority w:val="0"/>
    <w:pPr>
      <w:widowControl/>
      <w:spacing w:before="100" w:beforeAutospacing="1" w:after="100" w:afterAutospacing="1"/>
      <w:jc w:val="left"/>
    </w:pPr>
    <w:rPr>
      <w:rFonts w:ascii="宋体" w:hAnsi="宋体" w:cs="宋体"/>
      <w:kern w:val="0"/>
      <w:sz w:val="24"/>
    </w:rPr>
  </w:style>
  <w:style w:type="character" w:customStyle="1" w:styleId="316">
    <w:name w:val="title11"/>
    <w:uiPriority w:val="0"/>
  </w:style>
  <w:style w:type="character" w:customStyle="1" w:styleId="317">
    <w:name w:val="count4"/>
    <w:uiPriority w:val="0"/>
  </w:style>
  <w:style w:type="character" w:customStyle="1" w:styleId="318">
    <w:name w:val="text_edit1"/>
    <w:uiPriority w:val="0"/>
    <w:rPr>
      <w:color w:val="3366CC"/>
      <w:sz w:val="18"/>
      <w:szCs w:val="18"/>
    </w:rPr>
  </w:style>
  <w:style w:type="paragraph" w:customStyle="1" w:styleId="319">
    <w:name w:val="正文1"/>
    <w:basedOn w:val="1"/>
    <w:link w:val="320"/>
    <w:uiPriority w:val="0"/>
    <w:pPr>
      <w:spacing w:line="360" w:lineRule="auto"/>
      <w:ind w:firstLine="480" w:firstLineChars="200"/>
    </w:pPr>
    <w:rPr>
      <w:rFonts w:ascii="宋体" w:hAnsi="宋体"/>
      <w:sz w:val="24"/>
    </w:rPr>
  </w:style>
  <w:style w:type="character" w:customStyle="1" w:styleId="320">
    <w:name w:val="正文 Char"/>
    <w:link w:val="319"/>
    <w:uiPriority w:val="0"/>
    <w:rPr>
      <w:rFonts w:ascii="宋体" w:hAnsi="宋体"/>
      <w:kern w:val="2"/>
      <w:sz w:val="24"/>
      <w:szCs w:val="24"/>
    </w:rPr>
  </w:style>
  <w:style w:type="character" w:customStyle="1" w:styleId="321">
    <w:name w:val="正文文本缩进 Char1"/>
    <w:uiPriority w:val="0"/>
    <w:rPr>
      <w:kern w:val="2"/>
      <w:sz w:val="21"/>
      <w:szCs w:val="24"/>
    </w:rPr>
  </w:style>
  <w:style w:type="character" w:customStyle="1" w:styleId="322">
    <w:name w:val="段 Char"/>
    <w:link w:val="323"/>
    <w:uiPriority w:val="0"/>
    <w:rPr>
      <w:rFonts w:ascii="宋体"/>
      <w:sz w:val="21"/>
      <w:lang w:val="en-US" w:eastAsia="zh-CN" w:bidi="ar-SA"/>
    </w:rPr>
  </w:style>
  <w:style w:type="paragraph" w:customStyle="1" w:styleId="323">
    <w:name w:val="段"/>
    <w:link w:val="322"/>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24">
    <w:name w:val="Char Char Char Char Char Char2"/>
    <w:basedOn w:val="1"/>
    <w:uiPriority w:val="0"/>
    <w:rPr>
      <w:sz w:val="24"/>
    </w:rPr>
  </w:style>
  <w:style w:type="paragraph" w:customStyle="1" w:styleId="325">
    <w:name w:val="样式13"/>
    <w:basedOn w:val="1"/>
    <w:uiPriority w:val="0"/>
    <w:pPr>
      <w:spacing w:line="360" w:lineRule="auto"/>
      <w:ind w:firstLine="480" w:firstLineChars="200"/>
    </w:pPr>
    <w:rPr>
      <w:rFonts w:ascii="Arial" w:hAnsi="Arial" w:cs="Arial"/>
      <w:sz w:val="24"/>
    </w:rPr>
  </w:style>
  <w:style w:type="paragraph" w:customStyle="1" w:styleId="326">
    <w:name w:val="表"/>
    <w:basedOn w:val="1"/>
    <w:uiPriority w:val="0"/>
    <w:pPr>
      <w:spacing w:line="320" w:lineRule="atLeast"/>
      <w:jc w:val="center"/>
    </w:pPr>
    <w:rPr>
      <w:szCs w:val="20"/>
    </w:rPr>
  </w:style>
  <w:style w:type="paragraph" w:customStyle="1" w:styleId="327">
    <w:name w:val="xl63"/>
    <w:basedOn w:val="1"/>
    <w:uiPriority w:val="0"/>
    <w:pPr>
      <w:widowControl/>
      <w:spacing w:before="100" w:after="100"/>
      <w:jc w:val="center"/>
      <w:textAlignment w:val="center"/>
    </w:pPr>
    <w:rPr>
      <w:rFonts w:hint="eastAsia" w:ascii="黑体" w:hAnsi="宋体" w:eastAsia="黑体"/>
      <w:kern w:val="0"/>
      <w:sz w:val="24"/>
      <w:szCs w:val="20"/>
    </w:rPr>
  </w:style>
  <w:style w:type="paragraph" w:customStyle="1" w:styleId="328">
    <w:name w:val="君邦正文"/>
    <w:uiPriority w:val="0"/>
    <w:pPr>
      <w:spacing w:line="360" w:lineRule="auto"/>
      <w:ind w:left="-4" w:leftChars="-2" w:firstLine="480" w:firstLineChars="200"/>
      <w:jc w:val="both"/>
    </w:pPr>
    <w:rPr>
      <w:rFonts w:ascii="宋体" w:hAnsi="宋体" w:eastAsia="宋体" w:cs="Times New Roman"/>
      <w:kern w:val="2"/>
      <w:sz w:val="24"/>
      <w:lang w:val="en-US" w:eastAsia="zh-CN" w:bidi="ar-SA"/>
    </w:rPr>
  </w:style>
  <w:style w:type="paragraph" w:customStyle="1" w:styleId="329">
    <w:name w:val="Char Char8 Char Char"/>
    <w:basedOn w:val="1"/>
    <w:uiPriority w:val="0"/>
    <w:pPr>
      <w:spacing w:line="360" w:lineRule="auto"/>
      <w:ind w:firstLine="200" w:firstLineChars="200"/>
    </w:pPr>
  </w:style>
  <w:style w:type="paragraph" w:customStyle="1" w:styleId="330">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31">
    <w:name w:val="Char Char"/>
    <w:basedOn w:val="1"/>
    <w:uiPriority w:val="0"/>
    <w:pPr>
      <w:ind w:left="510"/>
    </w:pPr>
    <w:rPr>
      <w:rFonts w:ascii="宋体" w:hAnsi="宋体"/>
      <w:color w:val="000000"/>
      <w:kern w:val="0"/>
      <w:sz w:val="24"/>
      <w:szCs w:val="20"/>
    </w:rPr>
  </w:style>
  <w:style w:type="paragraph" w:customStyle="1" w:styleId="332">
    <w:name w:val="样式17"/>
    <w:basedOn w:val="325"/>
    <w:link w:val="563"/>
    <w:uiPriority w:val="0"/>
  </w:style>
  <w:style w:type="paragraph" w:customStyle="1" w:styleId="333">
    <w:name w:val="Char Char2 Char Char Char Char"/>
    <w:basedOn w:val="1"/>
    <w:uiPriority w:val="0"/>
  </w:style>
  <w:style w:type="paragraph" w:customStyle="1" w:styleId="334">
    <w:name w:val="样式3"/>
    <w:basedOn w:val="1"/>
    <w:qFormat/>
    <w:uiPriority w:val="0"/>
    <w:pPr>
      <w:adjustRightInd w:val="0"/>
      <w:snapToGrid w:val="0"/>
      <w:spacing w:line="280" w:lineRule="exact"/>
    </w:pPr>
    <w:rPr>
      <w:bCs/>
      <w:snapToGrid w:val="0"/>
      <w:kern w:val="0"/>
      <w:szCs w:val="21"/>
    </w:rPr>
  </w:style>
  <w:style w:type="paragraph" w:customStyle="1" w:styleId="335">
    <w:name w:val="新正文样式"/>
    <w:basedOn w:val="1"/>
    <w:uiPriority w:val="0"/>
    <w:pPr>
      <w:spacing w:line="360" w:lineRule="auto"/>
    </w:pPr>
    <w:rPr>
      <w:spacing w:val="20"/>
      <w:sz w:val="24"/>
      <w:szCs w:val="20"/>
    </w:rPr>
  </w:style>
  <w:style w:type="character" w:customStyle="1" w:styleId="336">
    <w:name w:val="正文文本 3 Char"/>
    <w:uiPriority w:val="0"/>
    <w:rPr>
      <w:rFonts w:eastAsia="宋体"/>
      <w:kern w:val="2"/>
      <w:sz w:val="16"/>
      <w:szCs w:val="16"/>
      <w:lang w:val="en-US" w:eastAsia="zh-CN" w:bidi="ar-SA"/>
    </w:rPr>
  </w:style>
  <w:style w:type="paragraph" w:customStyle="1" w:styleId="337">
    <w:name w:val="表内"/>
    <w:basedOn w:val="1"/>
    <w:uiPriority w:val="0"/>
    <w:pPr>
      <w:jc w:val="center"/>
    </w:pPr>
  </w:style>
  <w:style w:type="character" w:customStyle="1" w:styleId="338">
    <w:name w:val="标准正文 Char"/>
    <w:link w:val="339"/>
    <w:uiPriority w:val="0"/>
    <w:rPr>
      <w:sz w:val="24"/>
      <w:szCs w:val="24"/>
      <w:lang w:val="en-US" w:eastAsia="zh-CN" w:bidi="ar-SA"/>
    </w:rPr>
  </w:style>
  <w:style w:type="paragraph" w:customStyle="1" w:styleId="339">
    <w:name w:val="标准正文"/>
    <w:link w:val="338"/>
    <w:uiPriority w:val="0"/>
    <w:pPr>
      <w:keepNext/>
      <w:keepLines/>
      <w:snapToGrid w:val="0"/>
      <w:spacing w:beforeLines="50" w:afterLines="50" w:line="360" w:lineRule="auto"/>
      <w:ind w:firstLine="200" w:firstLineChars="200"/>
      <w:jc w:val="both"/>
    </w:pPr>
    <w:rPr>
      <w:rFonts w:ascii="Times New Roman" w:hAnsi="Times New Roman" w:eastAsia="宋体" w:cs="Times New Roman"/>
      <w:sz w:val="24"/>
      <w:szCs w:val="24"/>
      <w:lang w:val="en-US" w:eastAsia="zh-CN" w:bidi="ar-SA"/>
    </w:rPr>
  </w:style>
  <w:style w:type="character" w:customStyle="1" w:styleId="340">
    <w:name w:val="fontstyle01"/>
    <w:basedOn w:val="60"/>
    <w:uiPriority w:val="0"/>
    <w:rPr>
      <w:rFonts w:hint="default" w:ascii="TimesNewRomanPS-ItalicMT" w:hAnsi="TimesNewRomanPS-ItalicMT"/>
      <w:i/>
      <w:iCs/>
      <w:color w:val="000000"/>
      <w:sz w:val="24"/>
      <w:szCs w:val="24"/>
    </w:rPr>
  </w:style>
  <w:style w:type="character" w:customStyle="1" w:styleId="341">
    <w:name w:val="fontstyle21"/>
    <w:basedOn w:val="60"/>
    <w:uiPriority w:val="0"/>
    <w:rPr>
      <w:rFonts w:hint="default" w:ascii="SymbolMT" w:hAnsi="SymbolMT"/>
      <w:color w:val="000000"/>
      <w:sz w:val="24"/>
      <w:szCs w:val="24"/>
    </w:rPr>
  </w:style>
  <w:style w:type="character" w:customStyle="1" w:styleId="342">
    <w:name w:val="fontstyle31"/>
    <w:basedOn w:val="60"/>
    <w:uiPriority w:val="0"/>
    <w:rPr>
      <w:rFonts w:hint="eastAsia" w:ascii="TimesNewRomanPSMT" w:eastAsia="TimesNewRomanPSMT"/>
      <w:color w:val="000000"/>
      <w:sz w:val="14"/>
      <w:szCs w:val="14"/>
    </w:rPr>
  </w:style>
  <w:style w:type="paragraph" w:customStyle="1" w:styleId="343">
    <w:name w:val="中文报告书样式"/>
    <w:basedOn w:val="1"/>
    <w:qFormat/>
    <w:uiPriority w:val="0"/>
    <w:pPr>
      <w:widowControl/>
      <w:adjustRightInd w:val="0"/>
      <w:snapToGrid w:val="0"/>
      <w:spacing w:line="480" w:lineRule="atLeast"/>
      <w:ind w:firstLine="200" w:firstLineChars="200"/>
      <w:jc w:val="left"/>
      <w:textAlignment w:val="baseline"/>
    </w:pPr>
    <w:rPr>
      <w:snapToGrid w:val="0"/>
      <w:kern w:val="0"/>
      <w:sz w:val="24"/>
      <w:szCs w:val="20"/>
    </w:rPr>
  </w:style>
  <w:style w:type="paragraph" w:customStyle="1" w:styleId="344">
    <w:name w:val="正文01"/>
    <w:basedOn w:val="1"/>
    <w:uiPriority w:val="0"/>
    <w:pPr>
      <w:widowControl/>
      <w:adjustRightInd w:val="0"/>
      <w:snapToGrid w:val="0"/>
      <w:spacing w:before="60" w:line="460" w:lineRule="exact"/>
      <w:ind w:firstLine="200" w:firstLineChars="200"/>
      <w:jc w:val="left"/>
    </w:pPr>
    <w:rPr>
      <w:kern w:val="0"/>
      <w:sz w:val="24"/>
      <w:szCs w:val="20"/>
    </w:rPr>
  </w:style>
  <w:style w:type="paragraph" w:customStyle="1" w:styleId="345">
    <w:name w:val="样式 正文首行缩进:  2 字符 + 首行缩进:  2 字符"/>
    <w:basedOn w:val="1"/>
    <w:uiPriority w:val="0"/>
    <w:pPr>
      <w:spacing w:line="360" w:lineRule="auto"/>
      <w:ind w:firstLine="480" w:firstLineChars="200"/>
    </w:pPr>
    <w:rPr>
      <w:rFonts w:cs="宋体"/>
      <w:sz w:val="24"/>
      <w:szCs w:val="20"/>
    </w:rPr>
  </w:style>
  <w:style w:type="character" w:customStyle="1" w:styleId="346">
    <w:name w:val="fontborder"/>
    <w:qFormat/>
    <w:uiPriority w:val="0"/>
    <w:rPr>
      <w:bdr w:val="single" w:color="000000" w:sz="6" w:space="0"/>
    </w:rPr>
  </w:style>
  <w:style w:type="character" w:customStyle="1" w:styleId="347">
    <w:name w:val="fontstrikethrough"/>
    <w:qFormat/>
    <w:uiPriority w:val="0"/>
    <w:rPr>
      <w:strike/>
    </w:rPr>
  </w:style>
  <w:style w:type="character" w:customStyle="1" w:styleId="348">
    <w:name w:val="apple-converted-space"/>
    <w:qFormat/>
    <w:uiPriority w:val="0"/>
  </w:style>
  <w:style w:type="character" w:customStyle="1" w:styleId="349">
    <w:name w:val="普通文字 Char Char1"/>
    <w:uiPriority w:val="0"/>
    <w:rPr>
      <w:rFonts w:ascii="宋体" w:hAnsi="Courier New" w:cs="Courier New"/>
      <w:kern w:val="2"/>
      <w:sz w:val="21"/>
      <w:szCs w:val="21"/>
    </w:rPr>
  </w:style>
  <w:style w:type="paragraph" w:customStyle="1" w:styleId="35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1">
    <w:name w:val="Char Char Char1 Char Char Char Char Char Char Char Char Char Char Char Char1 Char Char Char2 Char Char Char Char"/>
    <w:basedOn w:val="1"/>
    <w:uiPriority w:val="0"/>
    <w:pPr>
      <w:spacing w:line="360" w:lineRule="auto"/>
      <w:ind w:firstLine="200" w:firstLineChars="200"/>
    </w:pPr>
    <w:rPr>
      <w:rFonts w:ascii="宋体" w:hAnsi="宋体" w:cs="宋体"/>
      <w:sz w:val="24"/>
    </w:rPr>
  </w:style>
  <w:style w:type="paragraph" w:customStyle="1" w:styleId="352">
    <w:name w:val="_Style 2"/>
    <w:qFormat/>
    <w:uiPriority w:val="1"/>
    <w:pPr>
      <w:widowControl w:val="0"/>
      <w:spacing w:line="340" w:lineRule="exact"/>
      <w:jc w:val="center"/>
    </w:pPr>
    <w:rPr>
      <w:rFonts w:ascii="Times New Roman" w:hAnsi="Times New Roman" w:eastAsia="宋体" w:cs="Times New Roman"/>
      <w:kern w:val="2"/>
      <w:sz w:val="21"/>
      <w:szCs w:val="22"/>
      <w:lang w:val="en-US" w:eastAsia="zh-CN" w:bidi="ar-SA"/>
    </w:rPr>
  </w:style>
  <w:style w:type="paragraph" w:customStyle="1" w:styleId="353">
    <w:name w:val="Char1 Char Char Char1"/>
    <w:basedOn w:val="1"/>
    <w:qFormat/>
    <w:uiPriority w:val="0"/>
  </w:style>
  <w:style w:type="character" w:customStyle="1" w:styleId="354">
    <w:name w:val="px141"/>
    <w:basedOn w:val="60"/>
    <w:uiPriority w:val="0"/>
    <w:rPr>
      <w:rFonts w:hint="default" w:ascii="ˎ̥" w:hAnsi="ˎ̥"/>
      <w:sz w:val="18"/>
      <w:szCs w:val="18"/>
    </w:rPr>
  </w:style>
  <w:style w:type="paragraph" w:customStyle="1" w:styleId="355">
    <w:name w:val="正文 首行缩进:  2 字符"/>
    <w:basedOn w:val="1"/>
    <w:uiPriority w:val="0"/>
    <w:pPr>
      <w:adjustRightInd w:val="0"/>
      <w:snapToGrid w:val="0"/>
      <w:spacing w:line="360" w:lineRule="auto"/>
      <w:jc w:val="left"/>
    </w:pPr>
    <w:rPr>
      <w:rFonts w:ascii="宋体" w:hAnsi="宋体"/>
      <w:snapToGrid w:val="0"/>
      <w:spacing w:val="4"/>
      <w:kern w:val="0"/>
      <w:sz w:val="24"/>
    </w:rPr>
  </w:style>
  <w:style w:type="paragraph" w:customStyle="1" w:styleId="356">
    <w:name w:val="样式 表头 + 段前: 0.5 行"/>
    <w:basedOn w:val="192"/>
    <w:uiPriority w:val="0"/>
    <w:pPr>
      <w:tabs>
        <w:tab w:val="clear" w:pos="7380"/>
      </w:tabs>
      <w:adjustRightInd w:val="0"/>
      <w:spacing w:beforeLines="30" w:line="360" w:lineRule="exact"/>
    </w:pPr>
    <w:rPr>
      <w:rFonts w:cs="宋体"/>
      <w:color w:val="000000"/>
      <w:kern w:val="0"/>
    </w:rPr>
  </w:style>
  <w:style w:type="paragraph" w:customStyle="1" w:styleId="357">
    <w:name w:val="新格式表"/>
    <w:basedOn w:val="1"/>
    <w:uiPriority w:val="0"/>
    <w:pPr>
      <w:adjustRightInd w:val="0"/>
      <w:snapToGrid w:val="0"/>
      <w:spacing w:line="0" w:lineRule="atLeast"/>
      <w:jc w:val="center"/>
    </w:pPr>
    <w:rPr>
      <w:bCs/>
      <w:snapToGrid w:val="0"/>
      <w:color w:val="000000"/>
      <w:szCs w:val="21"/>
    </w:rPr>
  </w:style>
  <w:style w:type="character" w:customStyle="1" w:styleId="358">
    <w:name w:val="Char Char1"/>
    <w:locked/>
    <w:uiPriority w:val="0"/>
    <w:rPr>
      <w:rFonts w:ascii="宋体" w:hAnsi="Courier New" w:eastAsia="宋体"/>
      <w:kern w:val="2"/>
      <w:sz w:val="21"/>
      <w:lang w:val="en-US" w:eastAsia="zh-CN" w:bidi="ar-SA"/>
    </w:rPr>
  </w:style>
  <w:style w:type="paragraph" w:customStyle="1" w:styleId="359">
    <w:name w:val="Char Char Char Char Char Char Char"/>
    <w:basedOn w:val="1"/>
    <w:uiPriority w:val="0"/>
    <w:rPr>
      <w:sz w:val="24"/>
    </w:rPr>
  </w:style>
  <w:style w:type="character" w:customStyle="1" w:styleId="360">
    <w:name w:val="Char Char6"/>
    <w:uiPriority w:val="0"/>
    <w:rPr>
      <w:kern w:val="2"/>
      <w:sz w:val="21"/>
      <w:szCs w:val="24"/>
    </w:rPr>
  </w:style>
  <w:style w:type="paragraph" w:customStyle="1" w:styleId="361">
    <w:name w:val="表格标题-5"/>
    <w:basedOn w:val="1"/>
    <w:next w:val="1"/>
    <w:uiPriority w:val="0"/>
    <w:pPr>
      <w:numPr>
        <w:ilvl w:val="0"/>
        <w:numId w:val="2"/>
      </w:numPr>
      <w:adjustRightInd w:val="0"/>
      <w:snapToGrid w:val="0"/>
      <w:spacing w:line="360" w:lineRule="auto"/>
      <w:jc w:val="center"/>
    </w:pPr>
    <w:rPr>
      <w:rFonts w:eastAsia="黑体"/>
      <w:sz w:val="24"/>
    </w:rPr>
  </w:style>
  <w:style w:type="paragraph" w:customStyle="1" w:styleId="362">
    <w:name w:val="标准"/>
    <w:basedOn w:val="1"/>
    <w:uiPriority w:val="0"/>
    <w:pPr>
      <w:adjustRightInd w:val="0"/>
      <w:spacing w:line="312" w:lineRule="atLeast"/>
      <w:jc w:val="left"/>
      <w:textAlignment w:val="baseline"/>
    </w:pPr>
    <w:rPr>
      <w:rFonts w:ascii="楷体_GB2312" w:hAnsi="Script" w:eastAsia="楷体_GB2312"/>
      <w:kern w:val="0"/>
      <w:sz w:val="24"/>
      <w:szCs w:val="20"/>
    </w:rPr>
  </w:style>
  <w:style w:type="character" w:customStyle="1" w:styleId="363">
    <w:name w:val="报告正文 Char"/>
    <w:uiPriority w:val="0"/>
    <w:rPr>
      <w:rFonts w:ascii="宋体" w:hAnsi="宋体"/>
      <w:kern w:val="2"/>
      <w:sz w:val="24"/>
    </w:rPr>
  </w:style>
  <w:style w:type="character" w:customStyle="1" w:styleId="364">
    <w:name w:val="font01"/>
    <w:qFormat/>
    <w:uiPriority w:val="0"/>
    <w:rPr>
      <w:rFonts w:hint="eastAsia" w:ascii="宋体" w:hAnsi="宋体" w:eastAsia="宋体" w:cs="宋体"/>
      <w:color w:val="000000"/>
      <w:sz w:val="21"/>
      <w:szCs w:val="21"/>
      <w:u w:val="none"/>
    </w:rPr>
  </w:style>
  <w:style w:type="character" w:customStyle="1" w:styleId="365">
    <w:name w:val="Char Char25"/>
    <w:qFormat/>
    <w:uiPriority w:val="0"/>
    <w:rPr>
      <w:rFonts w:eastAsia="华文中宋"/>
      <w:bCs/>
      <w:kern w:val="2"/>
      <w:sz w:val="24"/>
      <w:szCs w:val="24"/>
      <w:lang w:val="en-US" w:eastAsia="zh-CN" w:bidi="ar-SA"/>
    </w:rPr>
  </w:style>
  <w:style w:type="character" w:customStyle="1" w:styleId="366">
    <w:name w:val="font_2"/>
    <w:basedOn w:val="60"/>
    <w:qFormat/>
    <w:uiPriority w:val="0"/>
  </w:style>
  <w:style w:type="character" w:customStyle="1" w:styleId="367">
    <w:name w:val="表题 Char Char1"/>
    <w:qFormat/>
    <w:uiPriority w:val="0"/>
    <w:rPr>
      <w:rFonts w:eastAsia="黑体"/>
      <w:kern w:val="2"/>
      <w:sz w:val="24"/>
      <w:lang w:val="en-US" w:eastAsia="zh-CN" w:bidi="ar-SA"/>
    </w:rPr>
  </w:style>
  <w:style w:type="character" w:customStyle="1" w:styleId="368">
    <w:name w:val="三级 Char"/>
    <w:link w:val="369"/>
    <w:qFormat/>
    <w:uiPriority w:val="0"/>
    <w:rPr>
      <w:rFonts w:eastAsia="黑体"/>
      <w:b/>
      <w:sz w:val="28"/>
      <w:szCs w:val="28"/>
    </w:rPr>
  </w:style>
  <w:style w:type="paragraph" w:customStyle="1" w:styleId="369">
    <w:name w:val="三级"/>
    <w:basedOn w:val="5"/>
    <w:link w:val="368"/>
    <w:qFormat/>
    <w:uiPriority w:val="0"/>
    <w:pPr>
      <w:adjustRightInd w:val="0"/>
      <w:snapToGrid w:val="0"/>
      <w:spacing w:before="120" w:after="120" w:line="500" w:lineRule="exact"/>
      <w:ind w:firstLine="643" w:firstLineChars="200"/>
      <w:jc w:val="left"/>
    </w:pPr>
    <w:rPr>
      <w:rFonts w:eastAsia="黑体"/>
      <w:bCs w:val="0"/>
      <w:kern w:val="0"/>
      <w:sz w:val="28"/>
      <w:szCs w:val="28"/>
    </w:rPr>
  </w:style>
  <w:style w:type="character" w:customStyle="1" w:styleId="370">
    <w:name w:val="font21"/>
    <w:qFormat/>
    <w:uiPriority w:val="0"/>
    <w:rPr>
      <w:rFonts w:hint="eastAsia" w:ascii="宋体" w:hAnsi="宋体" w:eastAsia="宋体" w:cs="宋体"/>
      <w:b/>
      <w:color w:val="000000"/>
      <w:sz w:val="24"/>
      <w:szCs w:val="24"/>
      <w:u w:val="none"/>
    </w:rPr>
  </w:style>
  <w:style w:type="character" w:customStyle="1" w:styleId="371">
    <w:name w:val="font31"/>
    <w:qFormat/>
    <w:uiPriority w:val="0"/>
    <w:rPr>
      <w:rFonts w:hint="eastAsia" w:ascii="宋体" w:hAnsi="宋体" w:eastAsia="宋体" w:cs="宋体"/>
      <w:b/>
      <w:color w:val="000000"/>
      <w:sz w:val="20"/>
      <w:szCs w:val="20"/>
      <w:u w:val="none"/>
    </w:rPr>
  </w:style>
  <w:style w:type="paragraph" w:customStyle="1" w:styleId="372">
    <w:name w:val="_Style 1"/>
    <w:qFormat/>
    <w:uiPriority w:val="1"/>
    <w:pPr>
      <w:widowControl w:val="0"/>
      <w:jc w:val="center"/>
    </w:pPr>
    <w:rPr>
      <w:rFonts w:ascii="Times New Roman" w:hAnsi="Times New Roman" w:eastAsia="宋体" w:cs="Times New Roman"/>
      <w:kern w:val="2"/>
      <w:sz w:val="21"/>
      <w:szCs w:val="24"/>
      <w:lang w:val="en-US" w:eastAsia="zh-CN" w:bidi="ar-SA"/>
    </w:rPr>
  </w:style>
  <w:style w:type="paragraph" w:customStyle="1" w:styleId="373">
    <w:name w:val="表内文字"/>
    <w:basedOn w:val="1"/>
    <w:qFormat/>
    <w:uiPriority w:val="0"/>
    <w:pPr>
      <w:adjustRightInd w:val="0"/>
      <w:snapToGrid w:val="0"/>
      <w:spacing w:line="360" w:lineRule="auto"/>
      <w:ind w:firstLine="643" w:firstLineChars="200"/>
      <w:jc w:val="center"/>
    </w:pPr>
    <w:rPr>
      <w:rFonts w:ascii="宋体"/>
    </w:rPr>
  </w:style>
  <w:style w:type="paragraph" w:customStyle="1" w:styleId="374">
    <w:name w:val="标题02"/>
    <w:basedOn w:val="1"/>
    <w:next w:val="1"/>
    <w:qFormat/>
    <w:uiPriority w:val="0"/>
    <w:pPr>
      <w:adjustRightInd w:val="0"/>
      <w:snapToGrid w:val="0"/>
      <w:spacing w:line="440" w:lineRule="atLeast"/>
      <w:ind w:firstLine="643" w:firstLineChars="200"/>
      <w:outlineLvl w:val="1"/>
    </w:pPr>
    <w:rPr>
      <w:b/>
      <w:sz w:val="24"/>
      <w:szCs w:val="20"/>
    </w:rPr>
  </w:style>
  <w:style w:type="paragraph" w:customStyle="1" w:styleId="375">
    <w:name w:val="Char Char Char Char Char Char Char Char Char Char Char Char Char Char Char Char Char Char1 Char Char Char Char Char Char Char"/>
    <w:basedOn w:val="1"/>
    <w:qFormat/>
    <w:uiPriority w:val="0"/>
    <w:pPr>
      <w:adjustRightInd w:val="0"/>
      <w:snapToGrid w:val="0"/>
      <w:spacing w:line="360" w:lineRule="auto"/>
      <w:ind w:firstLine="643" w:firstLineChars="200"/>
    </w:pPr>
    <w:rPr>
      <w:sz w:val="24"/>
    </w:rPr>
  </w:style>
  <w:style w:type="paragraph" w:customStyle="1" w:styleId="376">
    <w:name w:val="Char Char Char Char Char Char Char Char Char1 Char Char Char Char Char Char Char Char Char Char Char Char1 Char Char Char Char1"/>
    <w:basedOn w:val="1"/>
    <w:qFormat/>
    <w:uiPriority w:val="0"/>
    <w:pPr>
      <w:adjustRightInd w:val="0"/>
      <w:snapToGrid w:val="0"/>
      <w:spacing w:line="360" w:lineRule="auto"/>
      <w:ind w:firstLine="643" w:firstLineChars="200"/>
    </w:pPr>
    <w:rPr>
      <w:rFonts w:ascii="宋体" w:hAnsi="宋体" w:cs="Courier New"/>
      <w:sz w:val="32"/>
      <w:szCs w:val="32"/>
    </w:rPr>
  </w:style>
  <w:style w:type="paragraph" w:customStyle="1" w:styleId="377">
    <w:name w:val="Char Char Char Char Char Char Char Char Char Char1 Char Char Char Char"/>
    <w:basedOn w:val="1"/>
    <w:qFormat/>
    <w:uiPriority w:val="0"/>
    <w:pPr>
      <w:adjustRightInd w:val="0"/>
      <w:snapToGrid w:val="0"/>
      <w:spacing w:line="360" w:lineRule="auto"/>
      <w:ind w:firstLine="200" w:firstLineChars="200"/>
    </w:pPr>
    <w:rPr>
      <w:sz w:val="24"/>
    </w:rPr>
  </w:style>
  <w:style w:type="paragraph" w:customStyle="1" w:styleId="378">
    <w:name w:val="8.1.1b Char Char Char Char Char Char Char Char Char Char"/>
    <w:next w:val="1"/>
    <w:qFormat/>
    <w:uiPriority w:val="0"/>
    <w:pPr>
      <w:snapToGrid w:val="0"/>
      <w:spacing w:beforeLines="50" w:afterLines="50"/>
    </w:pPr>
    <w:rPr>
      <w:rFonts w:ascii="Times New Roman" w:hAnsi="Times New Roman" w:eastAsia="华文中宋" w:cs="Times New Roman"/>
      <w:b/>
      <w:kern w:val="2"/>
      <w:sz w:val="28"/>
      <w:szCs w:val="28"/>
      <w:lang w:val="en-US" w:eastAsia="zh-CN" w:bidi="ar-SA"/>
    </w:rPr>
  </w:style>
  <w:style w:type="paragraph" w:customStyle="1" w:styleId="379">
    <w:name w:val="content"/>
    <w:basedOn w:val="1"/>
    <w:qFormat/>
    <w:uiPriority w:val="0"/>
    <w:pPr>
      <w:widowControl/>
      <w:adjustRightInd w:val="0"/>
      <w:snapToGrid w:val="0"/>
      <w:spacing w:before="100" w:beforeAutospacing="1" w:after="100" w:afterAutospacing="1" w:line="360" w:lineRule="auto"/>
      <w:ind w:firstLine="643" w:firstLineChars="200"/>
    </w:pPr>
    <w:rPr>
      <w:rFonts w:ascii="宋体" w:hAnsi="宋体"/>
      <w:kern w:val="0"/>
      <w:sz w:val="18"/>
      <w:szCs w:val="18"/>
    </w:rPr>
  </w:style>
  <w:style w:type="character" w:customStyle="1" w:styleId="380">
    <w:name w:val="宏文本 字符"/>
    <w:basedOn w:val="60"/>
    <w:link w:val="381"/>
    <w:uiPriority w:val="0"/>
    <w:rPr>
      <w:rFonts w:ascii="Courier New" w:hAnsi="Courier New" w:cs="Courier New"/>
      <w:kern w:val="2"/>
      <w:sz w:val="24"/>
      <w:szCs w:val="24"/>
      <w:lang w:val="en-US" w:eastAsia="zh-CN" w:bidi="ar-SA"/>
    </w:rPr>
  </w:style>
  <w:style w:type="paragraph" w:customStyle="1" w:styleId="381">
    <w:name w:val="宏文本1"/>
    <w:link w:val="380"/>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382">
    <w:name w:val="我的样式1 Char"/>
    <w:basedOn w:val="60"/>
    <w:link w:val="383"/>
    <w:uiPriority w:val="0"/>
    <w:rPr>
      <w:rFonts w:ascii="宋体" w:hAnsi="宋体"/>
      <w:bCs/>
      <w:kern w:val="2"/>
      <w:sz w:val="24"/>
      <w:szCs w:val="24"/>
    </w:rPr>
  </w:style>
  <w:style w:type="paragraph" w:customStyle="1" w:styleId="383">
    <w:name w:val="我的样式1"/>
    <w:basedOn w:val="1"/>
    <w:link w:val="382"/>
    <w:uiPriority w:val="0"/>
    <w:pPr>
      <w:spacing w:line="360" w:lineRule="auto"/>
      <w:ind w:firstLine="200" w:firstLineChars="200"/>
      <w:jc w:val="left"/>
    </w:pPr>
    <w:rPr>
      <w:rFonts w:ascii="宋体" w:hAnsi="宋体"/>
      <w:bCs/>
      <w:sz w:val="24"/>
    </w:rPr>
  </w:style>
  <w:style w:type="character" w:customStyle="1" w:styleId="384">
    <w:name w:val="正文00 Char"/>
    <w:link w:val="385"/>
    <w:uiPriority w:val="0"/>
    <w:rPr>
      <w:color w:val="0000FF"/>
      <w:sz w:val="24"/>
      <w:szCs w:val="24"/>
      <w:lang w:val="en-US" w:eastAsia="zh-CN" w:bidi="ar-SA"/>
    </w:rPr>
  </w:style>
  <w:style w:type="paragraph" w:customStyle="1" w:styleId="385">
    <w:name w:val="正文00"/>
    <w:link w:val="384"/>
    <w:uiPriority w:val="0"/>
    <w:pPr>
      <w:overflowPunct w:val="0"/>
      <w:topLinePunct/>
      <w:adjustRightInd w:val="0"/>
      <w:snapToGrid w:val="0"/>
      <w:spacing w:line="460" w:lineRule="exact"/>
      <w:ind w:firstLine="200" w:firstLineChars="200"/>
      <w:jc w:val="both"/>
    </w:pPr>
    <w:rPr>
      <w:rFonts w:ascii="Times New Roman" w:hAnsi="Times New Roman" w:eastAsia="宋体" w:cs="Times New Roman"/>
      <w:color w:val="0000FF"/>
      <w:sz w:val="24"/>
      <w:szCs w:val="24"/>
      <w:lang w:val="en-US" w:eastAsia="zh-CN" w:bidi="ar-SA"/>
    </w:rPr>
  </w:style>
  <w:style w:type="character" w:customStyle="1" w:styleId="386">
    <w:name w:val="正文缩进 字符"/>
    <w:link w:val="387"/>
    <w:uiPriority w:val="0"/>
    <w:rPr>
      <w:sz w:val="24"/>
      <w:szCs w:val="24"/>
    </w:rPr>
  </w:style>
  <w:style w:type="paragraph" w:customStyle="1" w:styleId="387">
    <w:name w:val="正文缩进2"/>
    <w:basedOn w:val="1"/>
    <w:link w:val="386"/>
    <w:uiPriority w:val="0"/>
    <w:pPr>
      <w:adjustRightInd w:val="0"/>
      <w:snapToGrid w:val="0"/>
      <w:spacing w:line="360" w:lineRule="auto"/>
      <w:ind w:firstLine="420" w:firstLineChars="200"/>
      <w:jc w:val="left"/>
    </w:pPr>
    <w:rPr>
      <w:kern w:val="0"/>
      <w:sz w:val="24"/>
    </w:rPr>
  </w:style>
  <w:style w:type="character" w:customStyle="1" w:styleId="388">
    <w:name w:val="表格内容 Char Char Char Char Char"/>
    <w:uiPriority w:val="0"/>
    <w:rPr>
      <w:rFonts w:ascii="Times New Roman" w:hAnsi="Times New Roman" w:eastAsia="宋体" w:cs="Times New Roman"/>
      <w:bCs/>
      <w:sz w:val="21"/>
      <w:szCs w:val="20"/>
    </w:rPr>
  </w:style>
  <w:style w:type="character" w:customStyle="1" w:styleId="389">
    <w:name w:val="表头 Char Char"/>
    <w:uiPriority w:val="0"/>
    <w:rPr>
      <w:rFonts w:ascii="宋体" w:hAnsi="宋体"/>
      <w:b/>
      <w:bCs/>
      <w:szCs w:val="21"/>
    </w:rPr>
  </w:style>
  <w:style w:type="character" w:customStyle="1" w:styleId="390">
    <w:name w:val="headline-content"/>
    <w:uiPriority w:val="0"/>
  </w:style>
  <w:style w:type="character" w:customStyle="1" w:styleId="391">
    <w:name w:val="不明显参考1"/>
    <w:uiPriority w:val="0"/>
    <w:rPr>
      <w:smallCaps/>
      <w:color w:val="C0504D"/>
      <w:u w:val="single"/>
    </w:rPr>
  </w:style>
  <w:style w:type="character" w:customStyle="1" w:styleId="392">
    <w:name w:val="真·小标题 Char"/>
    <w:link w:val="393"/>
    <w:uiPriority w:val="0"/>
    <w:rPr>
      <w:rFonts w:eastAsia="黑体"/>
      <w:sz w:val="24"/>
      <w:szCs w:val="24"/>
    </w:rPr>
  </w:style>
  <w:style w:type="paragraph" w:customStyle="1" w:styleId="393">
    <w:name w:val="真·小标题"/>
    <w:basedOn w:val="1"/>
    <w:next w:val="1"/>
    <w:link w:val="392"/>
    <w:uiPriority w:val="0"/>
    <w:pPr>
      <w:adjustRightInd w:val="0"/>
      <w:snapToGrid w:val="0"/>
      <w:spacing w:line="360" w:lineRule="auto"/>
      <w:ind w:firstLine="200" w:firstLineChars="200"/>
      <w:jc w:val="left"/>
    </w:pPr>
    <w:rPr>
      <w:rFonts w:eastAsia="黑体"/>
      <w:kern w:val="0"/>
      <w:sz w:val="24"/>
    </w:rPr>
  </w:style>
  <w:style w:type="character" w:customStyle="1" w:styleId="394">
    <w:name w:val="articlebody1"/>
    <w:uiPriority w:val="0"/>
    <w:rPr>
      <w:sz w:val="21"/>
      <w:szCs w:val="21"/>
    </w:rPr>
  </w:style>
  <w:style w:type="character" w:customStyle="1" w:styleId="395">
    <w:name w:val="明显引用 Char"/>
    <w:uiPriority w:val="0"/>
    <w:rPr>
      <w:b/>
      <w:bCs/>
      <w:iCs/>
      <w:kern w:val="2"/>
      <w:sz w:val="21"/>
      <w:szCs w:val="24"/>
    </w:rPr>
  </w:style>
  <w:style w:type="character" w:customStyle="1" w:styleId="396">
    <w:name w:val="主要文字 Char Char"/>
    <w:link w:val="397"/>
    <w:uiPriority w:val="0"/>
    <w:rPr>
      <w:rFonts w:cs="宋体"/>
      <w:kern w:val="24"/>
      <w:sz w:val="28"/>
      <w:szCs w:val="24"/>
    </w:rPr>
  </w:style>
  <w:style w:type="paragraph" w:customStyle="1" w:styleId="397">
    <w:name w:val="主要文字"/>
    <w:basedOn w:val="1"/>
    <w:link w:val="396"/>
    <w:uiPriority w:val="0"/>
    <w:pPr>
      <w:widowControl/>
      <w:adjustRightInd w:val="0"/>
      <w:snapToGrid w:val="0"/>
      <w:spacing w:line="560" w:lineRule="exact"/>
      <w:ind w:firstLine="200" w:firstLineChars="200"/>
      <w:jc w:val="left"/>
    </w:pPr>
    <w:rPr>
      <w:kern w:val="24"/>
      <w:sz w:val="28"/>
    </w:rPr>
  </w:style>
  <w:style w:type="character" w:customStyle="1" w:styleId="398">
    <w:name w:val="批注引用1"/>
    <w:basedOn w:val="60"/>
    <w:uiPriority w:val="0"/>
    <w:rPr>
      <w:sz w:val="21"/>
      <w:szCs w:val="21"/>
    </w:rPr>
  </w:style>
  <w:style w:type="character" w:customStyle="1" w:styleId="399">
    <w:name w:val="批注主题 字符"/>
    <w:basedOn w:val="101"/>
    <w:link w:val="400"/>
    <w:uiPriority w:val="0"/>
    <w:rPr>
      <w:b/>
      <w:bCs/>
    </w:rPr>
  </w:style>
  <w:style w:type="paragraph" w:customStyle="1" w:styleId="400">
    <w:name w:val="批注主题1"/>
    <w:basedOn w:val="17"/>
    <w:next w:val="17"/>
    <w:link w:val="399"/>
    <w:uiPriority w:val="0"/>
    <w:pPr>
      <w:adjustRightInd w:val="0"/>
      <w:snapToGrid w:val="0"/>
    </w:pPr>
    <w:rPr>
      <w:b/>
      <w:bCs/>
    </w:rPr>
  </w:style>
  <w:style w:type="character" w:customStyle="1" w:styleId="401">
    <w:name w:val="纯文本 字符"/>
    <w:basedOn w:val="60"/>
    <w:link w:val="402"/>
    <w:uiPriority w:val="0"/>
    <w:rPr>
      <w:rFonts w:ascii="宋体" w:hAnsi="Courier New"/>
      <w:kern w:val="2"/>
      <w:sz w:val="24"/>
      <w:szCs w:val="21"/>
    </w:rPr>
  </w:style>
  <w:style w:type="paragraph" w:customStyle="1" w:styleId="402">
    <w:name w:val="纯文本2"/>
    <w:basedOn w:val="1"/>
    <w:link w:val="401"/>
    <w:uiPriority w:val="0"/>
    <w:pPr>
      <w:adjustRightInd w:val="0"/>
      <w:snapToGrid w:val="0"/>
      <w:spacing w:line="360" w:lineRule="auto"/>
      <w:ind w:firstLine="200" w:firstLineChars="200"/>
      <w:jc w:val="left"/>
    </w:pPr>
    <w:rPr>
      <w:rFonts w:ascii="宋体" w:hAnsi="Courier New"/>
      <w:sz w:val="24"/>
      <w:szCs w:val="21"/>
    </w:rPr>
  </w:style>
  <w:style w:type="character" w:customStyle="1" w:styleId="403">
    <w:name w:val="文档结构图 字符"/>
    <w:basedOn w:val="60"/>
    <w:link w:val="404"/>
    <w:uiPriority w:val="0"/>
    <w:rPr>
      <w:rFonts w:cs="宋体"/>
      <w:kern w:val="2"/>
      <w:sz w:val="24"/>
      <w:szCs w:val="24"/>
      <w:shd w:val="clear" w:color="auto" w:fill="000080"/>
    </w:rPr>
  </w:style>
  <w:style w:type="paragraph" w:customStyle="1" w:styleId="404">
    <w:name w:val="文档结构图1"/>
    <w:basedOn w:val="1"/>
    <w:link w:val="403"/>
    <w:uiPriority w:val="0"/>
    <w:pPr>
      <w:shd w:val="clear" w:color="auto" w:fill="000080"/>
      <w:adjustRightInd w:val="0"/>
      <w:snapToGrid w:val="0"/>
      <w:spacing w:line="360" w:lineRule="auto"/>
      <w:ind w:firstLine="200" w:firstLineChars="200"/>
      <w:jc w:val="left"/>
    </w:pPr>
    <w:rPr>
      <w:rFonts w:cs="宋体"/>
      <w:sz w:val="24"/>
      <w:shd w:val="clear" w:color="auto" w:fill="000080"/>
    </w:rPr>
  </w:style>
  <w:style w:type="character" w:customStyle="1" w:styleId="405">
    <w:name w:val="正文文本缩进 2 字符"/>
    <w:link w:val="406"/>
    <w:uiPriority w:val="0"/>
    <w:rPr>
      <w:sz w:val="24"/>
      <w:szCs w:val="24"/>
    </w:rPr>
  </w:style>
  <w:style w:type="paragraph" w:customStyle="1" w:styleId="406">
    <w:name w:val="正文文本缩进 21"/>
    <w:basedOn w:val="1"/>
    <w:link w:val="405"/>
    <w:uiPriority w:val="0"/>
    <w:pPr>
      <w:adjustRightInd w:val="0"/>
      <w:snapToGrid w:val="0"/>
      <w:spacing w:after="120" w:line="480" w:lineRule="auto"/>
      <w:ind w:left="420" w:leftChars="200" w:firstLine="200" w:firstLineChars="200"/>
      <w:jc w:val="left"/>
    </w:pPr>
    <w:rPr>
      <w:kern w:val="0"/>
      <w:sz w:val="24"/>
    </w:rPr>
  </w:style>
  <w:style w:type="character" w:customStyle="1" w:styleId="407">
    <w:name w:val="Char Char7"/>
    <w:uiPriority w:val="0"/>
    <w:rPr>
      <w:rFonts w:eastAsia="黑体"/>
      <w:sz w:val="24"/>
    </w:rPr>
  </w:style>
  <w:style w:type="character" w:customStyle="1" w:styleId="408">
    <w:name w:val="我的样式 Char"/>
    <w:link w:val="409"/>
    <w:uiPriority w:val="0"/>
    <w:rPr>
      <w:snapToGrid w:val="0"/>
      <w:sz w:val="28"/>
    </w:rPr>
  </w:style>
  <w:style w:type="paragraph" w:customStyle="1" w:styleId="409">
    <w:name w:val="我的样式"/>
    <w:basedOn w:val="1"/>
    <w:link w:val="408"/>
    <w:uiPriority w:val="0"/>
    <w:pPr>
      <w:adjustRightInd w:val="0"/>
      <w:snapToGrid w:val="0"/>
      <w:spacing w:line="360" w:lineRule="auto"/>
      <w:ind w:firstLine="200" w:firstLineChars="200"/>
      <w:jc w:val="left"/>
      <w:textAlignment w:val="baseline"/>
    </w:pPr>
    <w:rPr>
      <w:snapToGrid w:val="0"/>
      <w:kern w:val="0"/>
      <w:sz w:val="28"/>
      <w:szCs w:val="20"/>
    </w:rPr>
  </w:style>
  <w:style w:type="character" w:customStyle="1" w:styleId="410">
    <w:name w:val="正文文本缩进 字符"/>
    <w:link w:val="411"/>
    <w:uiPriority w:val="0"/>
    <w:rPr>
      <w:sz w:val="24"/>
      <w:szCs w:val="24"/>
    </w:rPr>
  </w:style>
  <w:style w:type="paragraph" w:customStyle="1" w:styleId="411">
    <w:name w:val="正文文本缩进1"/>
    <w:basedOn w:val="1"/>
    <w:link w:val="410"/>
    <w:uiPriority w:val="0"/>
    <w:pPr>
      <w:adjustRightInd w:val="0"/>
      <w:snapToGrid w:val="0"/>
      <w:spacing w:after="120" w:line="360" w:lineRule="auto"/>
      <w:ind w:left="420" w:leftChars="200" w:firstLine="200" w:firstLineChars="200"/>
      <w:jc w:val="left"/>
    </w:pPr>
    <w:rPr>
      <w:kern w:val="0"/>
      <w:sz w:val="24"/>
    </w:rPr>
  </w:style>
  <w:style w:type="paragraph" w:customStyle="1" w:styleId="412">
    <w:name w:val="无间隔1"/>
    <w:uiPriority w:val="0"/>
    <w:pPr>
      <w:adjustRightInd w:val="0"/>
      <w:snapToGrid w:val="0"/>
      <w:spacing w:line="360" w:lineRule="auto"/>
    </w:pPr>
    <w:rPr>
      <w:rFonts w:ascii="Times New Roman" w:hAnsi="Times New Roman" w:eastAsia="黑体" w:cs="Times New Roman"/>
      <w:sz w:val="24"/>
      <w:lang w:val="en-US" w:eastAsia="zh-CN" w:bidi="ar-SA"/>
    </w:rPr>
  </w:style>
  <w:style w:type="paragraph" w:customStyle="1" w:styleId="413">
    <w:name w:val="正文2"/>
    <w:basedOn w:val="1"/>
    <w:uiPriority w:val="0"/>
    <w:pPr>
      <w:adjustRightInd w:val="0"/>
      <w:snapToGrid w:val="0"/>
      <w:spacing w:line="440" w:lineRule="atLeast"/>
      <w:ind w:firstLine="567"/>
      <w:jc w:val="left"/>
    </w:pPr>
    <w:rPr>
      <w:sz w:val="24"/>
      <w:szCs w:val="20"/>
    </w:rPr>
  </w:style>
  <w:style w:type="paragraph" w:customStyle="1" w:styleId="414">
    <w:name w:val="Char Char Char Char Char Char Char1"/>
    <w:basedOn w:val="1"/>
    <w:uiPriority w:val="0"/>
    <w:pPr>
      <w:adjustRightInd w:val="0"/>
      <w:snapToGrid w:val="0"/>
      <w:jc w:val="left"/>
    </w:pPr>
    <w:rPr>
      <w:rFonts w:cs="宋体"/>
      <w:sz w:val="24"/>
    </w:rPr>
  </w:style>
  <w:style w:type="paragraph" w:customStyle="1" w:styleId="415">
    <w:name w:val="样式9"/>
    <w:basedOn w:val="1"/>
    <w:uiPriority w:val="0"/>
    <w:pPr>
      <w:adjustRightInd w:val="0"/>
      <w:snapToGrid w:val="0"/>
      <w:spacing w:beforeLines="50" w:afterLines="50" w:line="460" w:lineRule="exact"/>
      <w:ind w:firstLine="480" w:firstLineChars="200"/>
      <w:jc w:val="left"/>
    </w:pPr>
    <w:rPr>
      <w:rFonts w:ascii="宋体"/>
      <w:sz w:val="24"/>
      <w:szCs w:val="20"/>
    </w:rPr>
  </w:style>
  <w:style w:type="paragraph" w:customStyle="1" w:styleId="416">
    <w:name w:val="三章正文"/>
    <w:basedOn w:val="21"/>
    <w:uiPriority w:val="0"/>
    <w:pPr>
      <w:adjustRightInd w:val="0"/>
      <w:snapToGrid w:val="0"/>
      <w:spacing w:line="360" w:lineRule="auto"/>
      <w:jc w:val="left"/>
    </w:pPr>
    <w:rPr>
      <w:kern w:val="0"/>
      <w:szCs w:val="20"/>
    </w:rPr>
  </w:style>
  <w:style w:type="paragraph" w:customStyle="1" w:styleId="417">
    <w:name w:val="普通(网站)1"/>
    <w:basedOn w:val="1"/>
    <w:uiPriority w:val="0"/>
    <w:pPr>
      <w:widowControl/>
      <w:adjustRightInd w:val="0"/>
      <w:snapToGrid w:val="0"/>
      <w:spacing w:line="288" w:lineRule="atLeast"/>
      <w:jc w:val="left"/>
    </w:pPr>
    <w:rPr>
      <w:rFonts w:ascii="Verdana" w:hAnsi="Verdana" w:cs="宋体"/>
      <w:color w:val="444444"/>
      <w:kern w:val="0"/>
      <w:sz w:val="20"/>
      <w:szCs w:val="20"/>
    </w:rPr>
  </w:style>
  <w:style w:type="paragraph" w:customStyle="1" w:styleId="418">
    <w:name w:val="真·标题"/>
    <w:uiPriority w:val="0"/>
    <w:pPr>
      <w:adjustRightInd w:val="0"/>
      <w:snapToGrid w:val="0"/>
      <w:spacing w:line="360" w:lineRule="auto"/>
      <w:ind w:firstLine="200" w:firstLineChars="200"/>
      <w:jc w:val="both"/>
    </w:pPr>
    <w:rPr>
      <w:rFonts w:ascii="Times New Roman" w:hAnsi="Times New Roman" w:eastAsia="黑体" w:cs="Times New Roman"/>
      <w:kern w:val="2"/>
      <w:sz w:val="24"/>
      <w:lang w:val="en-US" w:eastAsia="zh-CN" w:bidi="ar-SA"/>
    </w:rPr>
  </w:style>
  <w:style w:type="paragraph" w:customStyle="1" w:styleId="419">
    <w:name w:val="Char Char Char Char Char Char1"/>
    <w:basedOn w:val="1"/>
    <w:next w:val="381"/>
    <w:uiPriority w:val="0"/>
    <w:pPr>
      <w:adjustRightInd w:val="0"/>
      <w:snapToGrid w:val="0"/>
      <w:jc w:val="left"/>
    </w:pPr>
    <w:rPr>
      <w:sz w:val="28"/>
      <w:szCs w:val="28"/>
    </w:rPr>
  </w:style>
  <w:style w:type="paragraph" w:customStyle="1" w:styleId="420">
    <w:name w:val="p15"/>
    <w:basedOn w:val="1"/>
    <w:uiPriority w:val="0"/>
    <w:pPr>
      <w:widowControl/>
      <w:adjustRightInd w:val="0"/>
      <w:snapToGrid w:val="0"/>
      <w:jc w:val="center"/>
    </w:pPr>
    <w:rPr>
      <w:rFonts w:cs="宋体"/>
      <w:kern w:val="0"/>
      <w:sz w:val="24"/>
      <w:szCs w:val="21"/>
    </w:rPr>
  </w:style>
  <w:style w:type="paragraph" w:customStyle="1" w:styleId="421">
    <w:name w:val="小四正文格式"/>
    <w:basedOn w:val="1"/>
    <w:uiPriority w:val="0"/>
    <w:pPr>
      <w:widowControl/>
      <w:adjustRightInd w:val="0"/>
      <w:snapToGrid w:val="0"/>
      <w:spacing w:after="200" w:line="360" w:lineRule="auto"/>
      <w:ind w:firstLine="200" w:firstLineChars="200"/>
      <w:jc w:val="left"/>
    </w:pPr>
    <w:rPr>
      <w:rFonts w:ascii="宋体" w:hAnsi="Tahoma" w:eastAsia="微软雅黑"/>
      <w:kern w:val="0"/>
      <w:sz w:val="24"/>
    </w:rPr>
  </w:style>
  <w:style w:type="paragraph" w:customStyle="1" w:styleId="422">
    <w:name w:val="Table Paragraph"/>
    <w:basedOn w:val="1"/>
    <w:qFormat/>
    <w:uiPriority w:val="0"/>
    <w:pPr>
      <w:widowControl/>
      <w:adjustRightInd w:val="0"/>
      <w:snapToGrid w:val="0"/>
      <w:spacing w:after="200"/>
      <w:jc w:val="left"/>
    </w:pPr>
    <w:rPr>
      <w:rFonts w:ascii="Tahoma" w:hAnsi="Tahoma" w:eastAsia="微软雅黑"/>
      <w:kern w:val="0"/>
      <w:sz w:val="22"/>
      <w:szCs w:val="22"/>
    </w:rPr>
  </w:style>
  <w:style w:type="paragraph" w:customStyle="1" w:styleId="423">
    <w:name w:val="无间隔11"/>
    <w:uiPriority w:val="0"/>
    <w:pPr>
      <w:adjustRightInd w:val="0"/>
      <w:snapToGrid w:val="0"/>
      <w:spacing w:line="360" w:lineRule="auto"/>
    </w:pPr>
    <w:rPr>
      <w:rFonts w:ascii="Times New Roman" w:hAnsi="Times New Roman" w:eastAsia="黑体" w:cs="Times New Roman"/>
      <w:sz w:val="24"/>
      <w:szCs w:val="22"/>
      <w:lang w:val="en-US" w:eastAsia="zh-CN" w:bidi="ar-SA"/>
    </w:rPr>
  </w:style>
  <w:style w:type="paragraph" w:customStyle="1" w:styleId="424">
    <w:name w:val="真·表头"/>
    <w:basedOn w:val="1"/>
    <w:uiPriority w:val="0"/>
    <w:pPr>
      <w:adjustRightInd w:val="0"/>
      <w:snapToGrid w:val="0"/>
      <w:spacing w:beforeLines="50" w:line="360" w:lineRule="auto"/>
      <w:jc w:val="center"/>
    </w:pPr>
    <w:rPr>
      <w:rFonts w:eastAsia="黑体"/>
      <w:sz w:val="24"/>
      <w:szCs w:val="30"/>
    </w:rPr>
  </w:style>
  <w:style w:type="paragraph" w:customStyle="1" w:styleId="425">
    <w:name w:val="album-div1"/>
    <w:basedOn w:val="1"/>
    <w:uiPriority w:val="0"/>
    <w:pPr>
      <w:widowControl/>
      <w:shd w:val="clear" w:color="auto" w:fill="FFFFFF"/>
      <w:adjustRightInd w:val="0"/>
      <w:snapToGrid w:val="0"/>
      <w:spacing w:before="100" w:beforeAutospacing="1" w:after="100" w:afterAutospacing="1"/>
      <w:jc w:val="left"/>
    </w:pPr>
    <w:rPr>
      <w:rFonts w:ascii="宋体" w:hAnsi="宋体" w:cs="宋体"/>
      <w:kern w:val="0"/>
      <w:sz w:val="24"/>
    </w:rPr>
  </w:style>
  <w:style w:type="paragraph" w:customStyle="1" w:styleId="426">
    <w:name w:val="1、表内字"/>
    <w:basedOn w:val="1"/>
    <w:uiPriority w:val="0"/>
    <w:pPr>
      <w:adjustRightInd w:val="0"/>
      <w:snapToGrid w:val="0"/>
      <w:jc w:val="center"/>
    </w:pPr>
    <w:rPr>
      <w:sz w:val="24"/>
      <w:szCs w:val="21"/>
    </w:rPr>
  </w:style>
  <w:style w:type="paragraph" w:customStyle="1" w:styleId="427">
    <w:name w:val="样式 正文文本缩进 3 + 12 磅 左侧:  2 字符"/>
    <w:basedOn w:val="428"/>
    <w:uiPriority w:val="0"/>
    <w:pPr>
      <w:spacing w:after="120" w:line="360" w:lineRule="auto"/>
      <w:ind w:firstLine="200"/>
    </w:pPr>
    <w:rPr>
      <w:rFonts w:ascii="Times New Roman" w:cs="PMingLiU"/>
      <w:szCs w:val="20"/>
    </w:rPr>
  </w:style>
  <w:style w:type="paragraph" w:customStyle="1" w:styleId="428">
    <w:name w:val="正文文本缩进 31"/>
    <w:basedOn w:val="1"/>
    <w:uiPriority w:val="0"/>
    <w:pPr>
      <w:widowControl/>
      <w:adjustRightInd w:val="0"/>
      <w:snapToGrid w:val="0"/>
      <w:spacing w:after="200" w:line="500" w:lineRule="exact"/>
      <w:ind w:firstLine="480" w:firstLineChars="200"/>
      <w:jc w:val="left"/>
    </w:pPr>
    <w:rPr>
      <w:rFonts w:ascii="宋体" w:hAnsi="Tahoma" w:eastAsia="微软雅黑"/>
      <w:kern w:val="0"/>
      <w:sz w:val="24"/>
      <w:szCs w:val="22"/>
    </w:rPr>
  </w:style>
  <w:style w:type="paragraph" w:customStyle="1" w:styleId="429">
    <w:name w:val="自定义缩进"/>
    <w:basedOn w:val="1"/>
    <w:uiPriority w:val="0"/>
    <w:pPr>
      <w:keepNext/>
      <w:spacing w:line="336" w:lineRule="auto"/>
      <w:ind w:firstLine="480" w:firstLineChars="200"/>
      <w:jc w:val="left"/>
    </w:pPr>
    <w:rPr>
      <w:rFonts w:ascii="宋体" w:hAnsi="宋体"/>
      <w:color w:val="000000"/>
      <w:kern w:val="0"/>
      <w:sz w:val="24"/>
    </w:rPr>
  </w:style>
  <w:style w:type="paragraph" w:customStyle="1" w:styleId="430">
    <w:name w:val="图件标题"/>
    <w:basedOn w:val="1"/>
    <w:uiPriority w:val="0"/>
    <w:pPr>
      <w:adjustRightInd w:val="0"/>
      <w:snapToGrid w:val="0"/>
      <w:spacing w:before="60"/>
      <w:jc w:val="center"/>
    </w:pPr>
    <w:rPr>
      <w:rFonts w:ascii="黑体" w:hAnsi="Arial Unicode MS"/>
      <w:b/>
      <w:sz w:val="24"/>
    </w:rPr>
  </w:style>
  <w:style w:type="paragraph" w:customStyle="1" w:styleId="431">
    <w:name w:val="表格首行"/>
    <w:basedOn w:val="1"/>
    <w:next w:val="1"/>
    <w:uiPriority w:val="0"/>
    <w:pPr>
      <w:adjustRightInd w:val="0"/>
      <w:snapToGrid w:val="0"/>
      <w:jc w:val="center"/>
    </w:pPr>
    <w:rPr>
      <w:rFonts w:cs="宋体"/>
      <w:b/>
      <w:sz w:val="24"/>
      <w:szCs w:val="20"/>
    </w:rPr>
  </w:style>
  <w:style w:type="paragraph" w:customStyle="1" w:styleId="432">
    <w:name w:val="列出段落2"/>
    <w:basedOn w:val="1"/>
    <w:uiPriority w:val="0"/>
    <w:pPr>
      <w:adjustRightInd w:val="0"/>
      <w:snapToGrid w:val="0"/>
      <w:jc w:val="center"/>
    </w:pPr>
  </w:style>
  <w:style w:type="paragraph" w:customStyle="1" w:styleId="433">
    <w:name w:val="Char11"/>
    <w:basedOn w:val="1"/>
    <w:uiPriority w:val="0"/>
    <w:pPr>
      <w:adjustRightInd w:val="0"/>
      <w:snapToGrid w:val="0"/>
      <w:jc w:val="left"/>
    </w:pPr>
    <w:rPr>
      <w:rFonts w:cs="宋体"/>
      <w:sz w:val="24"/>
    </w:rPr>
  </w:style>
  <w:style w:type="paragraph" w:customStyle="1" w:styleId="434">
    <w:name w:val="p16"/>
    <w:basedOn w:val="1"/>
    <w:uiPriority w:val="0"/>
    <w:pPr>
      <w:widowControl/>
      <w:adjustRightInd w:val="0"/>
      <w:snapToGrid w:val="0"/>
      <w:jc w:val="center"/>
    </w:pPr>
    <w:rPr>
      <w:rFonts w:cs="宋体"/>
      <w:b/>
      <w:bCs/>
      <w:kern w:val="0"/>
      <w:sz w:val="24"/>
    </w:rPr>
  </w:style>
  <w:style w:type="paragraph" w:customStyle="1" w:styleId="435">
    <w:name w:val="表内容"/>
    <w:basedOn w:val="1"/>
    <w:link w:val="522"/>
    <w:qFormat/>
    <w:uiPriority w:val="0"/>
    <w:pPr>
      <w:widowControl/>
      <w:adjustRightInd w:val="0"/>
      <w:snapToGrid w:val="0"/>
      <w:spacing w:after="200" w:line="360" w:lineRule="auto"/>
      <w:ind w:firstLine="200" w:firstLineChars="200"/>
      <w:jc w:val="center"/>
    </w:pPr>
    <w:rPr>
      <w:rFonts w:ascii="宋体" w:hAnsi="宋体" w:eastAsia="微软雅黑"/>
      <w:kern w:val="0"/>
      <w:sz w:val="22"/>
      <w:szCs w:val="21"/>
    </w:rPr>
  </w:style>
  <w:style w:type="paragraph" w:customStyle="1" w:styleId="436">
    <w:name w:val="列表1"/>
    <w:basedOn w:val="1"/>
    <w:uiPriority w:val="0"/>
    <w:pPr>
      <w:adjustRightInd w:val="0"/>
      <w:snapToGrid w:val="0"/>
      <w:spacing w:line="360" w:lineRule="auto"/>
      <w:ind w:left="200" w:hanging="200" w:hangingChars="200"/>
      <w:jc w:val="left"/>
    </w:pPr>
    <w:rPr>
      <w:rFonts w:cs="宋体"/>
      <w:sz w:val="24"/>
    </w:rPr>
  </w:style>
  <w:style w:type="paragraph" w:customStyle="1" w:styleId="437">
    <w:name w:val="真·正文"/>
    <w:basedOn w:val="1"/>
    <w:next w:val="169"/>
    <w:uiPriority w:val="0"/>
    <w:pPr>
      <w:adjustRightInd w:val="0"/>
      <w:snapToGrid w:val="0"/>
      <w:spacing w:line="360" w:lineRule="auto"/>
      <w:ind w:firstLine="200" w:firstLineChars="200"/>
      <w:jc w:val="left"/>
    </w:pPr>
    <w:rPr>
      <w:sz w:val="24"/>
      <w:szCs w:val="21"/>
    </w:rPr>
  </w:style>
  <w:style w:type="paragraph" w:customStyle="1" w:styleId="438">
    <w:name w:val="Char Char Char"/>
    <w:basedOn w:val="1"/>
    <w:uiPriority w:val="0"/>
  </w:style>
  <w:style w:type="paragraph" w:customStyle="1" w:styleId="439">
    <w:name w:val="列出段落3"/>
    <w:basedOn w:val="1"/>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40">
    <w:name w:val="列出段落1"/>
    <w:basedOn w:val="1"/>
    <w:uiPriority w:val="0"/>
    <w:pPr>
      <w:adjustRightInd w:val="0"/>
      <w:snapToGrid w:val="0"/>
      <w:jc w:val="center"/>
    </w:pPr>
  </w:style>
  <w:style w:type="paragraph" w:customStyle="1" w:styleId="441">
    <w:name w:val="y正文"/>
    <w:uiPriority w:val="0"/>
    <w:pPr>
      <w:spacing w:line="360" w:lineRule="auto"/>
      <w:ind w:firstLine="480" w:firstLineChars="200"/>
      <w:jc w:val="both"/>
    </w:pPr>
    <w:rPr>
      <w:rFonts w:ascii="Times New Roman" w:hAnsi="Times New Roman" w:eastAsia="宋体" w:cs="Times New Roman"/>
      <w:kern w:val="2"/>
      <w:sz w:val="24"/>
      <w:lang w:val="en-US" w:eastAsia="zh-CN" w:bidi="ar-SA"/>
    </w:rPr>
  </w:style>
  <w:style w:type="paragraph" w:customStyle="1" w:styleId="442">
    <w:name w:val="正文内容"/>
    <w:basedOn w:val="1"/>
    <w:uiPriority w:val="0"/>
    <w:pPr>
      <w:widowControl/>
      <w:adjustRightInd w:val="0"/>
      <w:snapToGrid w:val="0"/>
      <w:spacing w:after="200" w:line="500" w:lineRule="exact"/>
      <w:ind w:firstLine="200" w:firstLineChars="200"/>
      <w:jc w:val="left"/>
    </w:pPr>
    <w:rPr>
      <w:rFonts w:eastAsia="微软雅黑"/>
      <w:kern w:val="0"/>
      <w:sz w:val="24"/>
    </w:rPr>
  </w:style>
  <w:style w:type="paragraph" w:customStyle="1" w:styleId="443">
    <w:name w:val="正文-蓝色"/>
    <w:basedOn w:val="1"/>
    <w:uiPriority w:val="0"/>
    <w:pPr>
      <w:widowControl/>
      <w:adjustRightInd w:val="0"/>
      <w:snapToGrid w:val="0"/>
      <w:spacing w:after="200" w:line="360" w:lineRule="auto"/>
      <w:ind w:firstLine="200" w:firstLineChars="200"/>
      <w:jc w:val="left"/>
    </w:pPr>
    <w:rPr>
      <w:rFonts w:ascii="Tahoma" w:hAnsi="Tahoma" w:eastAsia="微软雅黑"/>
      <w:color w:val="0000FF"/>
      <w:kern w:val="0"/>
      <w:sz w:val="22"/>
      <w:szCs w:val="28"/>
    </w:rPr>
  </w:style>
  <w:style w:type="paragraph" w:customStyle="1" w:styleId="444">
    <w:name w:val="正文文字111"/>
    <w:basedOn w:val="1"/>
    <w:uiPriority w:val="0"/>
    <w:pPr>
      <w:adjustRightInd w:val="0"/>
      <w:snapToGrid w:val="0"/>
      <w:spacing w:line="440" w:lineRule="exact"/>
      <w:ind w:firstLine="510"/>
      <w:jc w:val="left"/>
    </w:pPr>
    <w:rPr>
      <w:rFonts w:ascii="宋体" w:hAnsi="宋体"/>
      <w:sz w:val="24"/>
      <w:szCs w:val="20"/>
    </w:rPr>
  </w:style>
  <w:style w:type="paragraph" w:customStyle="1" w:styleId="445">
    <w:name w:val="1 Char"/>
    <w:basedOn w:val="1"/>
    <w:uiPriority w:val="0"/>
    <w:rPr>
      <w:sz w:val="24"/>
    </w:rPr>
  </w:style>
  <w:style w:type="paragraph" w:customStyle="1" w:styleId="446">
    <w:name w:val="西峪"/>
    <w:basedOn w:val="1"/>
    <w:uiPriority w:val="0"/>
    <w:pPr>
      <w:adjustRightInd w:val="0"/>
      <w:snapToGrid w:val="0"/>
      <w:spacing w:line="312" w:lineRule="auto"/>
      <w:ind w:firstLine="549" w:firstLineChars="200"/>
    </w:pPr>
    <w:rPr>
      <w:sz w:val="28"/>
    </w:rPr>
  </w:style>
  <w:style w:type="paragraph" w:customStyle="1" w:styleId="447">
    <w:name w:val="Char4 Char Char Char"/>
    <w:basedOn w:val="1"/>
    <w:semiHidden/>
    <w:uiPriority w:val="0"/>
    <w:pPr>
      <w:adjustRightInd w:val="0"/>
      <w:snapToGrid w:val="0"/>
      <w:spacing w:line="360" w:lineRule="auto"/>
      <w:ind w:firstLine="200" w:firstLineChars="200"/>
    </w:pPr>
    <w:rPr>
      <w:rFonts w:ascii="宋体" w:hAnsi="宋体" w:cs="宋体"/>
      <w:sz w:val="24"/>
      <w:szCs w:val="26"/>
    </w:rPr>
  </w:style>
  <w:style w:type="paragraph" w:customStyle="1" w:styleId="448">
    <w:name w:val="样式10"/>
    <w:basedOn w:val="1"/>
    <w:uiPriority w:val="0"/>
    <w:pPr>
      <w:adjustRightInd w:val="0"/>
      <w:snapToGrid w:val="0"/>
      <w:spacing w:line="320" w:lineRule="exact"/>
      <w:jc w:val="center"/>
    </w:pPr>
    <w:rPr>
      <w:rFonts w:eastAsia="Times New Roman"/>
      <w:sz w:val="22"/>
      <w:szCs w:val="22"/>
    </w:rPr>
  </w:style>
  <w:style w:type="paragraph" w:customStyle="1" w:styleId="449">
    <w:name w:val="样式11"/>
    <w:basedOn w:val="1"/>
    <w:uiPriority w:val="0"/>
    <w:pPr>
      <w:adjustRightInd w:val="0"/>
      <w:snapToGrid w:val="0"/>
      <w:spacing w:line="240" w:lineRule="exact"/>
      <w:ind w:firstLine="200" w:firstLineChars="200"/>
    </w:pPr>
    <w:rPr>
      <w:sz w:val="18"/>
      <w:szCs w:val="18"/>
    </w:rPr>
  </w:style>
  <w:style w:type="paragraph" w:customStyle="1" w:styleId="450">
    <w:name w:val="样式12"/>
    <w:basedOn w:val="1"/>
    <w:uiPriority w:val="0"/>
    <w:pPr>
      <w:adjustRightInd w:val="0"/>
      <w:snapToGrid w:val="0"/>
      <w:spacing w:line="480" w:lineRule="exact"/>
      <w:ind w:firstLine="500" w:firstLineChars="500"/>
      <w:jc w:val="left"/>
    </w:pPr>
    <w:rPr>
      <w:sz w:val="26"/>
      <w:szCs w:val="26"/>
    </w:rPr>
  </w:style>
  <w:style w:type="paragraph" w:customStyle="1" w:styleId="451">
    <w:name w:val="xl29"/>
    <w:basedOn w:val="1"/>
    <w:uiPriority w:val="0"/>
    <w:pPr>
      <w:widowControl/>
      <w:pBdr>
        <w:left w:val="single" w:color="auto" w:sz="4" w:space="0"/>
        <w:bottom w:val="single" w:color="auto" w:sz="4" w:space="0"/>
      </w:pBdr>
      <w:spacing w:before="100" w:beforeAutospacing="1" w:after="100" w:afterAutospacing="1"/>
      <w:textAlignment w:val="top"/>
    </w:pPr>
    <w:rPr>
      <w:kern w:val="0"/>
      <w:szCs w:val="21"/>
    </w:rPr>
  </w:style>
  <w:style w:type="paragraph" w:customStyle="1" w:styleId="452">
    <w:name w:val="标题1"/>
    <w:basedOn w:val="1"/>
    <w:next w:val="1"/>
    <w:uiPriority w:val="0"/>
    <w:pPr>
      <w:tabs>
        <w:tab w:val="left" w:pos="0"/>
      </w:tabs>
      <w:spacing w:line="440" w:lineRule="exact"/>
    </w:pPr>
    <w:rPr>
      <w:sz w:val="24"/>
      <w:szCs w:val="20"/>
    </w:rPr>
  </w:style>
  <w:style w:type="paragraph" w:customStyle="1" w:styleId="453">
    <w:name w:val="xl27"/>
    <w:basedOn w:val="1"/>
    <w:uiPriority w:val="0"/>
    <w:pPr>
      <w:widowControl/>
      <w:pBdr>
        <w:bottom w:val="single" w:color="auto" w:sz="4" w:space="0"/>
        <w:right w:val="single" w:color="auto" w:sz="4" w:space="0"/>
      </w:pBdr>
      <w:spacing w:before="100" w:beforeAutospacing="1" w:after="100" w:afterAutospacing="1"/>
      <w:jc w:val="center"/>
    </w:pPr>
    <w:rPr>
      <w:rFonts w:ascii="UniversalMath1 BT" w:hAnsi="UniversalMath1 BT" w:eastAsia="Arial Unicode MS"/>
      <w:kern w:val="0"/>
      <w:szCs w:val="21"/>
    </w:rPr>
  </w:style>
  <w:style w:type="character" w:customStyle="1" w:styleId="454">
    <w:name w:val="批注主题 Char1"/>
    <w:uiPriority w:val="0"/>
    <w:rPr>
      <w:b/>
      <w:bCs/>
    </w:rPr>
  </w:style>
  <w:style w:type="character" w:customStyle="1" w:styleId="455">
    <w:name w:val="-表题 Char"/>
    <w:link w:val="456"/>
    <w:uiPriority w:val="0"/>
    <w:rPr>
      <w:b/>
      <w:kern w:val="2"/>
      <w:sz w:val="21"/>
      <w:szCs w:val="24"/>
    </w:rPr>
  </w:style>
  <w:style w:type="paragraph" w:customStyle="1" w:styleId="456">
    <w:name w:val="-表题"/>
    <w:next w:val="154"/>
    <w:link w:val="455"/>
    <w:uiPriority w:val="0"/>
    <w:pPr>
      <w:spacing w:line="480" w:lineRule="exact"/>
      <w:jc w:val="center"/>
    </w:pPr>
    <w:rPr>
      <w:rFonts w:ascii="Times New Roman" w:hAnsi="Times New Roman" w:eastAsia="宋体" w:cs="Times New Roman"/>
      <w:b/>
      <w:kern w:val="2"/>
      <w:sz w:val="21"/>
      <w:szCs w:val="24"/>
      <w:lang w:val="en-US" w:eastAsia="zh-CN" w:bidi="ar-SA"/>
    </w:rPr>
  </w:style>
  <w:style w:type="paragraph" w:customStyle="1" w:styleId="457">
    <w:name w:val="表名"/>
    <w:basedOn w:val="1"/>
    <w:link w:val="544"/>
    <w:qFormat/>
    <w:uiPriority w:val="0"/>
    <w:pPr>
      <w:widowControl/>
      <w:overflowPunct w:val="0"/>
      <w:autoSpaceDE w:val="0"/>
      <w:autoSpaceDN w:val="0"/>
      <w:adjustRightInd w:val="0"/>
      <w:spacing w:line="500" w:lineRule="exact"/>
      <w:ind w:firstLine="482" w:firstLineChars="200"/>
      <w:textAlignment w:val="baseline"/>
    </w:pPr>
    <w:rPr>
      <w:b/>
      <w:bCs/>
      <w:color w:val="000000"/>
      <w:sz w:val="24"/>
    </w:rPr>
  </w:style>
  <w:style w:type="paragraph" w:customStyle="1" w:styleId="458">
    <w:name w:val="a1样式1"/>
    <w:basedOn w:val="1"/>
    <w:link w:val="553"/>
    <w:uiPriority w:val="0"/>
    <w:pPr>
      <w:widowControl/>
      <w:topLinePunct/>
      <w:spacing w:beforeLines="50" w:afterLines="50" w:line="360" w:lineRule="auto"/>
      <w:ind w:right="-61" w:rightChars="-26" w:firstLine="480" w:firstLineChars="200"/>
    </w:pPr>
    <w:rPr>
      <w:rFonts w:ascii="宋体" w:hAnsi="宋体" w:eastAsia="Times New Roman" w:cs="宋体"/>
      <w:kern w:val="0"/>
      <w:sz w:val="24"/>
    </w:rPr>
  </w:style>
  <w:style w:type="paragraph" w:customStyle="1" w:styleId="459">
    <w:name w:val="haydonli"/>
    <w:basedOn w:val="1"/>
    <w:uiPriority w:val="0"/>
    <w:pPr>
      <w:snapToGrid w:val="0"/>
      <w:spacing w:line="360" w:lineRule="auto"/>
      <w:ind w:firstLine="200" w:firstLineChars="200"/>
    </w:pPr>
    <w:rPr>
      <w:sz w:val="24"/>
    </w:rPr>
  </w:style>
  <w:style w:type="paragraph" w:customStyle="1" w:styleId="460">
    <w:name w:val="4"/>
    <w:basedOn w:val="1"/>
    <w:next w:val="22"/>
    <w:uiPriority w:val="0"/>
    <w:pPr>
      <w:ind w:firstLine="540"/>
    </w:pPr>
    <w:rPr>
      <w:rFonts w:ascii="宋体" w:hAnsi="宋体" w:cs="宋体"/>
      <w:sz w:val="28"/>
      <w:szCs w:val="28"/>
    </w:rPr>
  </w:style>
  <w:style w:type="character" w:customStyle="1" w:styleId="461">
    <w:name w:val="15"/>
    <w:basedOn w:val="60"/>
    <w:uiPriority w:val="0"/>
    <w:rPr>
      <w:rFonts w:hint="eastAsia" w:ascii="宋体" w:hAnsi="宋体" w:eastAsia="宋体"/>
      <w:kern w:val="2"/>
      <w:sz w:val="24"/>
      <w:szCs w:val="24"/>
    </w:rPr>
  </w:style>
  <w:style w:type="character" w:customStyle="1" w:styleId="462">
    <w:name w:val="16"/>
    <w:basedOn w:val="60"/>
    <w:uiPriority w:val="0"/>
    <w:rPr>
      <w:rFonts w:hint="default" w:ascii="Times New Roman" w:hAnsi="Times New Roman" w:cs="Times New Roman"/>
      <w:color w:val="808080"/>
    </w:rPr>
  </w:style>
  <w:style w:type="paragraph" w:customStyle="1" w:styleId="463">
    <w:name w:val="样式6"/>
    <w:basedOn w:val="334"/>
    <w:qFormat/>
    <w:uiPriority w:val="0"/>
    <w:pPr>
      <w:spacing w:line="460" w:lineRule="exact"/>
      <w:ind w:firstLine="1200" w:firstLineChars="500"/>
    </w:pPr>
    <w:rPr>
      <w:rFonts w:ascii="Arial" w:hAnsi="Arial" w:cs="Arial"/>
      <w:bCs w:val="0"/>
      <w:snapToGrid/>
      <w:kern w:val="2"/>
      <w:sz w:val="24"/>
      <w:szCs w:val="24"/>
    </w:rPr>
  </w:style>
  <w:style w:type="paragraph" w:customStyle="1" w:styleId="464">
    <w:name w:val="插表样式"/>
    <w:basedOn w:val="1"/>
    <w:qFormat/>
    <w:uiPriority w:val="0"/>
    <w:pPr>
      <w:spacing w:line="360" w:lineRule="auto"/>
      <w:ind w:firstLine="480" w:firstLineChars="200"/>
      <w:jc w:val="center"/>
    </w:pPr>
    <w:rPr>
      <w:rFonts w:ascii="黑体" w:hAnsi="黑体" w:eastAsia="黑体" w:cs="宋体"/>
      <w:sz w:val="24"/>
      <w:szCs w:val="20"/>
    </w:rPr>
  </w:style>
  <w:style w:type="paragraph" w:customStyle="1" w:styleId="465">
    <w:name w:val="6表格"/>
    <w:basedOn w:val="1"/>
    <w:uiPriority w:val="0"/>
    <w:pPr>
      <w:adjustRightInd w:val="0"/>
      <w:snapToGrid w:val="0"/>
      <w:spacing w:before="120" w:line="360" w:lineRule="auto"/>
      <w:jc w:val="center"/>
    </w:pPr>
    <w:rPr>
      <w:snapToGrid w:val="0"/>
      <w:kern w:val="0"/>
      <w:sz w:val="24"/>
      <w:szCs w:val="20"/>
    </w:rPr>
  </w:style>
  <w:style w:type="paragraph" w:customStyle="1" w:styleId="466">
    <w:name w:val="Char12"/>
    <w:basedOn w:val="1"/>
    <w:uiPriority w:val="0"/>
    <w:pPr>
      <w:ind w:left="510"/>
    </w:pPr>
    <w:rPr>
      <w:rFonts w:ascii="宋体" w:hAnsi="宋体"/>
      <w:color w:val="000000"/>
      <w:kern w:val="0"/>
      <w:sz w:val="24"/>
      <w:szCs w:val="20"/>
    </w:rPr>
  </w:style>
  <w:style w:type="paragraph" w:customStyle="1" w:styleId="467">
    <w:name w:val="Char Char4"/>
    <w:basedOn w:val="1"/>
    <w:uiPriority w:val="0"/>
    <w:pPr>
      <w:ind w:left="510"/>
    </w:pPr>
    <w:rPr>
      <w:rFonts w:ascii="宋体" w:hAnsi="宋体"/>
      <w:color w:val="000000"/>
      <w:kern w:val="0"/>
      <w:sz w:val="24"/>
      <w:szCs w:val="20"/>
    </w:rPr>
  </w:style>
  <w:style w:type="paragraph" w:customStyle="1" w:styleId="468">
    <w:name w:val="Char Char Char Char1"/>
    <w:basedOn w:val="1"/>
    <w:uiPriority w:val="0"/>
    <w:pPr>
      <w:tabs>
        <w:tab w:val="left" w:pos="360"/>
      </w:tabs>
    </w:pPr>
    <w:rPr>
      <w:sz w:val="24"/>
    </w:rPr>
  </w:style>
  <w:style w:type="paragraph" w:customStyle="1" w:styleId="469">
    <w:name w:val="Char Char2 Char Char Char Char1"/>
    <w:basedOn w:val="1"/>
    <w:uiPriority w:val="0"/>
  </w:style>
  <w:style w:type="paragraph" w:customStyle="1" w:styleId="470">
    <w:name w:val="Char Char8 Char Char1"/>
    <w:basedOn w:val="1"/>
    <w:uiPriority w:val="0"/>
    <w:pPr>
      <w:spacing w:line="360" w:lineRule="auto"/>
      <w:ind w:firstLine="200" w:firstLineChars="200"/>
    </w:pPr>
  </w:style>
  <w:style w:type="paragraph" w:customStyle="1" w:styleId="471">
    <w:name w:val="图文框"/>
    <w:basedOn w:val="1"/>
    <w:uiPriority w:val="0"/>
    <w:pPr>
      <w:autoSpaceDE w:val="0"/>
      <w:autoSpaceDN w:val="0"/>
      <w:adjustRightInd w:val="0"/>
      <w:snapToGrid w:val="0"/>
      <w:spacing w:before="36" w:after="36" w:line="240" w:lineRule="exact"/>
      <w:jc w:val="center"/>
      <w:textAlignment w:val="baseline"/>
    </w:pPr>
    <w:rPr>
      <w:color w:val="000000"/>
      <w:szCs w:val="21"/>
    </w:rPr>
  </w:style>
  <w:style w:type="paragraph" w:customStyle="1" w:styleId="472">
    <w:name w:val="Char"/>
    <w:basedOn w:val="1"/>
    <w:uiPriority w:val="0"/>
  </w:style>
  <w:style w:type="paragraph" w:customStyle="1" w:styleId="473">
    <w:name w:val="Char Char21"/>
    <w:basedOn w:val="1"/>
    <w:uiPriority w:val="0"/>
  </w:style>
  <w:style w:type="paragraph" w:customStyle="1" w:styleId="474">
    <w:name w:val="Char Char Char Char Char Char1 Char1"/>
    <w:basedOn w:val="1"/>
    <w:uiPriority w:val="0"/>
    <w:rPr>
      <w:sz w:val="24"/>
    </w:rPr>
  </w:style>
  <w:style w:type="paragraph" w:customStyle="1" w:styleId="475">
    <w:name w:val="Char Char Char Char Char Char3"/>
    <w:basedOn w:val="1"/>
    <w:uiPriority w:val="0"/>
    <w:rPr>
      <w:sz w:val="24"/>
    </w:rPr>
  </w:style>
  <w:style w:type="paragraph" w:customStyle="1" w:styleId="476">
    <w:name w:val="_Style 466"/>
    <w:unhideWhenUsed/>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77">
    <w:name w:val="Char Char Char Char Char Char4"/>
    <w:basedOn w:val="1"/>
    <w:uiPriority w:val="0"/>
    <w:rPr>
      <w:sz w:val="24"/>
    </w:rPr>
  </w:style>
  <w:style w:type="paragraph" w:customStyle="1" w:styleId="478">
    <w:name w:val="Char13"/>
    <w:basedOn w:val="1"/>
    <w:uiPriority w:val="0"/>
    <w:pPr>
      <w:ind w:left="510"/>
    </w:pPr>
    <w:rPr>
      <w:rFonts w:ascii="宋体" w:hAnsi="宋体"/>
      <w:color w:val="000000"/>
      <w:kern w:val="0"/>
      <w:sz w:val="24"/>
      <w:szCs w:val="20"/>
    </w:rPr>
  </w:style>
  <w:style w:type="paragraph" w:customStyle="1" w:styleId="479">
    <w:name w:val="Char Char5"/>
    <w:basedOn w:val="1"/>
    <w:uiPriority w:val="0"/>
    <w:pPr>
      <w:ind w:left="510"/>
    </w:pPr>
    <w:rPr>
      <w:rFonts w:ascii="宋体" w:hAnsi="宋体"/>
      <w:color w:val="000000"/>
      <w:kern w:val="0"/>
      <w:sz w:val="24"/>
      <w:szCs w:val="20"/>
    </w:rPr>
  </w:style>
  <w:style w:type="character" w:customStyle="1" w:styleId="480">
    <w:name w:val="页脚 Char1"/>
    <w:basedOn w:val="60"/>
    <w:semiHidden/>
    <w:uiPriority w:val="99"/>
    <w:rPr>
      <w:kern w:val="2"/>
      <w:sz w:val="18"/>
      <w:szCs w:val="18"/>
    </w:rPr>
  </w:style>
  <w:style w:type="paragraph" w:customStyle="1" w:styleId="481">
    <w:name w:val="Char Char Char1 Char Char Char Char Char Char Char Char Char Char Char Char1 Char Char Char2 Char Char Char Char1"/>
    <w:basedOn w:val="1"/>
    <w:uiPriority w:val="0"/>
    <w:pPr>
      <w:spacing w:line="360" w:lineRule="auto"/>
      <w:ind w:firstLine="200" w:firstLineChars="200"/>
    </w:pPr>
    <w:rPr>
      <w:rFonts w:ascii="宋体" w:hAnsi="宋体" w:cs="宋体"/>
      <w:sz w:val="24"/>
    </w:rPr>
  </w:style>
  <w:style w:type="paragraph" w:customStyle="1" w:styleId="482">
    <w:name w:val="Char3"/>
    <w:basedOn w:val="1"/>
    <w:uiPriority w:val="0"/>
  </w:style>
  <w:style w:type="paragraph" w:customStyle="1" w:styleId="483">
    <w:name w:val="Char Char2 Char Char Char Char2"/>
    <w:basedOn w:val="1"/>
    <w:uiPriority w:val="0"/>
  </w:style>
  <w:style w:type="paragraph" w:customStyle="1" w:styleId="484">
    <w:name w:val="Char Char8 Char Char2"/>
    <w:basedOn w:val="1"/>
    <w:uiPriority w:val="0"/>
    <w:pPr>
      <w:spacing w:line="360" w:lineRule="auto"/>
      <w:ind w:firstLine="200" w:firstLineChars="200"/>
    </w:pPr>
  </w:style>
  <w:style w:type="paragraph" w:customStyle="1" w:styleId="485">
    <w:name w:val="Char Char Char Char3"/>
    <w:basedOn w:val="1"/>
    <w:uiPriority w:val="0"/>
    <w:pPr>
      <w:tabs>
        <w:tab w:val="left" w:pos="360"/>
      </w:tabs>
    </w:pPr>
    <w:rPr>
      <w:sz w:val="24"/>
    </w:rPr>
  </w:style>
  <w:style w:type="paragraph" w:customStyle="1" w:styleId="486">
    <w:name w:val="Char Char Char Char Char Char1 Char2"/>
    <w:basedOn w:val="1"/>
    <w:uiPriority w:val="0"/>
    <w:rPr>
      <w:sz w:val="24"/>
    </w:rPr>
  </w:style>
  <w:style w:type="paragraph" w:customStyle="1" w:styleId="487">
    <w:name w:val="Char Char22"/>
    <w:basedOn w:val="1"/>
    <w:uiPriority w:val="0"/>
  </w:style>
  <w:style w:type="character" w:customStyle="1" w:styleId="488">
    <w:name w:val="Char Char31"/>
    <w:uiPriority w:val="0"/>
    <w:rPr>
      <w:rFonts w:eastAsia="宋体"/>
      <w:kern w:val="2"/>
      <w:sz w:val="21"/>
      <w:szCs w:val="24"/>
      <w:lang w:val="en-US" w:eastAsia="zh-CN" w:bidi="ar-SA"/>
    </w:rPr>
  </w:style>
  <w:style w:type="character" w:customStyle="1" w:styleId="489">
    <w:name w:val="Char Char11"/>
    <w:locked/>
    <w:uiPriority w:val="0"/>
    <w:rPr>
      <w:rFonts w:ascii="宋体" w:hAnsi="Courier New" w:eastAsia="宋体"/>
      <w:kern w:val="2"/>
      <w:sz w:val="21"/>
      <w:lang w:val="en-US" w:eastAsia="zh-CN" w:bidi="ar-SA"/>
    </w:rPr>
  </w:style>
  <w:style w:type="paragraph" w:customStyle="1" w:styleId="490">
    <w:name w:val="Char Char Char Char Char Char Char2"/>
    <w:basedOn w:val="1"/>
    <w:uiPriority w:val="0"/>
    <w:rPr>
      <w:sz w:val="24"/>
    </w:rPr>
  </w:style>
  <w:style w:type="character" w:customStyle="1" w:styleId="491">
    <w:name w:val="Char Char61"/>
    <w:uiPriority w:val="0"/>
    <w:rPr>
      <w:kern w:val="2"/>
      <w:sz w:val="21"/>
      <w:szCs w:val="24"/>
    </w:rPr>
  </w:style>
  <w:style w:type="paragraph" w:customStyle="1" w:styleId="492">
    <w:name w:val="Char Char1 Char Char"/>
    <w:basedOn w:val="1"/>
    <w:semiHidden/>
    <w:uiPriority w:val="0"/>
    <w:pPr>
      <w:ind w:left="510"/>
    </w:pPr>
    <w:rPr>
      <w:sz w:val="24"/>
      <w:szCs w:val="21"/>
    </w:rPr>
  </w:style>
  <w:style w:type="paragraph" w:customStyle="1" w:styleId="493">
    <w:name w:val="D表内"/>
    <w:basedOn w:val="1"/>
    <w:qFormat/>
    <w:uiPriority w:val="0"/>
    <w:pPr>
      <w:spacing w:before="40" w:after="40"/>
      <w:jc w:val="center"/>
    </w:pPr>
    <w:rPr>
      <w:szCs w:val="21"/>
    </w:rPr>
  </w:style>
  <w:style w:type="paragraph" w:customStyle="1" w:styleId="494">
    <w:name w:val="ZH表头"/>
    <w:basedOn w:val="1"/>
    <w:qFormat/>
    <w:uiPriority w:val="0"/>
    <w:pPr>
      <w:spacing w:beforeLines="50" w:line="360" w:lineRule="auto"/>
      <w:jc w:val="center"/>
    </w:pPr>
    <w:rPr>
      <w:b/>
    </w:rPr>
  </w:style>
  <w:style w:type="paragraph" w:customStyle="1" w:styleId="495">
    <w:name w:val="Char4"/>
    <w:basedOn w:val="1"/>
    <w:uiPriority w:val="0"/>
    <w:rPr>
      <w:sz w:val="24"/>
    </w:rPr>
  </w:style>
  <w:style w:type="paragraph" w:customStyle="1" w:styleId="496">
    <w:name w:val="Char1 Char Char Char2"/>
    <w:basedOn w:val="1"/>
    <w:uiPriority w:val="0"/>
    <w:pPr>
      <w:widowControl/>
      <w:adjustRightInd w:val="0"/>
      <w:snapToGrid w:val="0"/>
      <w:spacing w:line="360" w:lineRule="auto"/>
      <w:textAlignment w:val="center"/>
    </w:pPr>
    <w:rPr>
      <w:kern w:val="0"/>
      <w:sz w:val="24"/>
    </w:rPr>
  </w:style>
  <w:style w:type="paragraph" w:customStyle="1" w:styleId="497">
    <w:name w:val="Char14"/>
    <w:basedOn w:val="1"/>
    <w:uiPriority w:val="0"/>
  </w:style>
  <w:style w:type="paragraph" w:customStyle="1" w:styleId="498">
    <w:name w:val="Char Char Char1"/>
    <w:basedOn w:val="1"/>
    <w:uiPriority w:val="0"/>
  </w:style>
  <w:style w:type="paragraph" w:customStyle="1" w:styleId="499">
    <w:name w:val="Char Char Char Char Char Char Char Char Char1 Char Char Char Char Char Char Char Char Char Char Char Char1 Char Char Char Char2"/>
    <w:basedOn w:val="1"/>
    <w:uiPriority w:val="0"/>
    <w:rPr>
      <w:rFonts w:ascii="宋体" w:hAnsi="宋体" w:cs="Courier New"/>
      <w:sz w:val="32"/>
      <w:szCs w:val="32"/>
    </w:rPr>
  </w:style>
  <w:style w:type="paragraph" w:customStyle="1" w:styleId="500">
    <w:name w:val="文本框"/>
    <w:basedOn w:val="1"/>
    <w:uiPriority w:val="0"/>
    <w:pPr>
      <w:adjustRightInd w:val="0"/>
      <w:snapToGrid w:val="0"/>
      <w:spacing w:after="6"/>
      <w:jc w:val="center"/>
    </w:pPr>
    <w:rPr>
      <w:rFonts w:eastAsia="仿宋_GB2312"/>
    </w:rPr>
  </w:style>
  <w:style w:type="paragraph" w:customStyle="1" w:styleId="501">
    <w:name w:val="xz标题2"/>
    <w:basedOn w:val="1"/>
    <w:uiPriority w:val="0"/>
    <w:pPr>
      <w:adjustRightInd w:val="0"/>
      <w:spacing w:line="312" w:lineRule="atLeast"/>
      <w:textAlignment w:val="baseline"/>
    </w:pPr>
    <w:rPr>
      <w:rFonts w:hint="eastAsia" w:ascii="黑体" w:eastAsia="黑体"/>
      <w:b/>
      <w:kern w:val="0"/>
      <w:sz w:val="30"/>
      <w:szCs w:val="20"/>
    </w:rPr>
  </w:style>
  <w:style w:type="paragraph" w:customStyle="1" w:styleId="502">
    <w:name w:val="Char Char Char Char Char Char Char Char Char Char Char"/>
    <w:basedOn w:val="1"/>
    <w:uiPriority w:val="0"/>
    <w:rPr>
      <w:sz w:val="24"/>
    </w:rPr>
  </w:style>
  <w:style w:type="paragraph" w:customStyle="1" w:styleId="503">
    <w:name w:val="Char Char Char1 Char Char Char Char Char Char Char Char Char Char Char Char Char"/>
    <w:basedOn w:val="1"/>
    <w:uiPriority w:val="0"/>
  </w:style>
  <w:style w:type="character" w:customStyle="1" w:styleId="504">
    <w:name w:val="标题2 Char Char"/>
    <w:uiPriority w:val="0"/>
    <w:rPr>
      <w:rFonts w:ascii="Arial" w:hAnsi="Arial"/>
      <w:b/>
      <w:kern w:val="2"/>
      <w:sz w:val="28"/>
      <w:szCs w:val="32"/>
    </w:rPr>
  </w:style>
  <w:style w:type="paragraph" w:customStyle="1" w:styleId="505">
    <w:name w:val="xl24"/>
    <w:basedOn w:val="1"/>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506">
    <w:name w:val="xl33"/>
    <w:basedOn w:val="1"/>
    <w:uiPriority w:val="0"/>
    <w:pPr>
      <w:widowControl/>
      <w:pBdr>
        <w:bottom w:val="single" w:color="auto" w:sz="4" w:space="0"/>
        <w:right w:val="single" w:color="auto" w:sz="4" w:space="0"/>
      </w:pBdr>
      <w:spacing w:before="100" w:beforeAutospacing="1" w:after="100" w:afterAutospacing="1"/>
    </w:pPr>
    <w:rPr>
      <w:kern w:val="0"/>
      <w:sz w:val="28"/>
      <w:szCs w:val="28"/>
    </w:rPr>
  </w:style>
  <w:style w:type="character" w:customStyle="1" w:styleId="507">
    <w:name w:val="stylee"/>
    <w:uiPriority w:val="0"/>
  </w:style>
  <w:style w:type="paragraph" w:customStyle="1" w:styleId="508">
    <w:name w:val="xl39"/>
    <w:basedOn w:val="1"/>
    <w:uiPriority w:val="0"/>
    <w:pPr>
      <w:widowControl/>
      <w:pBdr>
        <w:bottom w:val="single" w:color="000000" w:sz="4" w:space="0"/>
        <w:right w:val="single" w:color="000000" w:sz="4" w:space="0"/>
      </w:pBdr>
      <w:spacing w:before="100" w:beforeAutospacing="1" w:after="100" w:afterAutospacing="1"/>
      <w:jc w:val="center"/>
    </w:pPr>
    <w:rPr>
      <w:kern w:val="0"/>
      <w:sz w:val="28"/>
      <w:szCs w:val="28"/>
    </w:rPr>
  </w:style>
  <w:style w:type="paragraph" w:customStyle="1" w:styleId="509">
    <w:name w:val="TOC Heading"/>
    <w:basedOn w:val="3"/>
    <w:next w:val="1"/>
    <w:qFormat/>
    <w:uiPriority w:val="0"/>
    <w:pPr>
      <w:keepLines/>
      <w:widowControl/>
      <w:spacing w:before="480" w:line="276" w:lineRule="auto"/>
      <w:jc w:val="left"/>
      <w:outlineLvl w:val="9"/>
    </w:pPr>
    <w:rPr>
      <w:rFonts w:ascii="Cambria" w:hAnsi="Cambria"/>
      <w:b/>
      <w:bCs/>
      <w:color w:val="365F91"/>
      <w:kern w:val="0"/>
      <w:szCs w:val="28"/>
    </w:rPr>
  </w:style>
  <w:style w:type="paragraph" w:customStyle="1" w:styleId="510">
    <w:name w:val="Char Char Char1 Char"/>
    <w:basedOn w:val="1"/>
    <w:uiPriority w:val="0"/>
    <w:pPr>
      <w:spacing w:line="360" w:lineRule="auto"/>
      <w:ind w:firstLine="200" w:firstLineChars="200"/>
    </w:pPr>
    <w:rPr>
      <w:rFonts w:ascii="宋体" w:hAnsi="宋体" w:cs="宋体"/>
      <w:sz w:val="24"/>
    </w:rPr>
  </w:style>
  <w:style w:type="paragraph" w:customStyle="1" w:styleId="511">
    <w:name w:val="reader-word-layer reader-word-s1-19"/>
    <w:basedOn w:val="1"/>
    <w:uiPriority w:val="0"/>
    <w:pPr>
      <w:widowControl/>
      <w:spacing w:before="100" w:beforeAutospacing="1" w:after="100" w:afterAutospacing="1"/>
      <w:jc w:val="left"/>
    </w:pPr>
    <w:rPr>
      <w:rFonts w:ascii="宋体" w:hAnsi="宋体" w:cs="宋体"/>
      <w:kern w:val="0"/>
      <w:sz w:val="24"/>
    </w:rPr>
  </w:style>
  <w:style w:type="paragraph" w:customStyle="1" w:styleId="512">
    <w:name w:val="reader-word-layer reader-word-s1-14"/>
    <w:basedOn w:val="1"/>
    <w:uiPriority w:val="0"/>
    <w:pPr>
      <w:widowControl/>
      <w:spacing w:before="100" w:beforeAutospacing="1" w:after="100" w:afterAutospacing="1"/>
      <w:jc w:val="left"/>
    </w:pPr>
    <w:rPr>
      <w:rFonts w:ascii="宋体" w:hAnsi="宋体" w:cs="宋体"/>
      <w:kern w:val="0"/>
      <w:sz w:val="24"/>
    </w:rPr>
  </w:style>
  <w:style w:type="paragraph" w:customStyle="1" w:styleId="513">
    <w:name w:val="reader-word-layer reader-word-s1-33"/>
    <w:basedOn w:val="1"/>
    <w:uiPriority w:val="0"/>
    <w:pPr>
      <w:widowControl/>
      <w:spacing w:before="100" w:beforeAutospacing="1" w:after="100" w:afterAutospacing="1"/>
      <w:jc w:val="left"/>
    </w:pPr>
    <w:rPr>
      <w:rFonts w:ascii="宋体" w:hAnsi="宋体" w:cs="宋体"/>
      <w:kern w:val="0"/>
      <w:sz w:val="24"/>
    </w:rPr>
  </w:style>
  <w:style w:type="paragraph" w:customStyle="1" w:styleId="514">
    <w:name w:val="reader-word-layer reader-word-s1-13"/>
    <w:basedOn w:val="1"/>
    <w:uiPriority w:val="0"/>
    <w:pPr>
      <w:widowControl/>
      <w:spacing w:before="100" w:beforeAutospacing="1" w:after="100" w:afterAutospacing="1"/>
      <w:jc w:val="left"/>
    </w:pPr>
    <w:rPr>
      <w:rFonts w:ascii="宋体" w:hAnsi="宋体" w:cs="宋体"/>
      <w:kern w:val="0"/>
      <w:sz w:val="24"/>
    </w:rPr>
  </w:style>
  <w:style w:type="paragraph" w:customStyle="1" w:styleId="515">
    <w:name w:val="reader-word-layer reader-word-s1-34"/>
    <w:basedOn w:val="1"/>
    <w:uiPriority w:val="0"/>
    <w:pPr>
      <w:widowControl/>
      <w:spacing w:before="100" w:beforeAutospacing="1" w:after="100" w:afterAutospacing="1"/>
      <w:jc w:val="left"/>
    </w:pPr>
    <w:rPr>
      <w:rFonts w:ascii="宋体" w:hAnsi="宋体" w:cs="宋体"/>
      <w:kern w:val="0"/>
      <w:sz w:val="24"/>
    </w:rPr>
  </w:style>
  <w:style w:type="paragraph" w:customStyle="1" w:styleId="516">
    <w:name w:val="reader-word-layer reader-word-s1-30"/>
    <w:basedOn w:val="1"/>
    <w:uiPriority w:val="0"/>
    <w:pPr>
      <w:widowControl/>
      <w:spacing w:before="100" w:beforeAutospacing="1" w:after="100" w:afterAutospacing="1"/>
      <w:jc w:val="left"/>
    </w:pPr>
    <w:rPr>
      <w:rFonts w:ascii="宋体" w:hAnsi="宋体" w:cs="宋体"/>
      <w:kern w:val="0"/>
      <w:sz w:val="24"/>
    </w:rPr>
  </w:style>
  <w:style w:type="paragraph" w:customStyle="1" w:styleId="517">
    <w:name w:val="reader-word-layer reader-word-s1-26"/>
    <w:basedOn w:val="1"/>
    <w:uiPriority w:val="0"/>
    <w:pPr>
      <w:widowControl/>
      <w:spacing w:before="100" w:beforeAutospacing="1" w:after="100" w:afterAutospacing="1"/>
      <w:jc w:val="left"/>
    </w:pPr>
    <w:rPr>
      <w:rFonts w:ascii="宋体" w:hAnsi="宋体" w:cs="宋体"/>
      <w:kern w:val="0"/>
      <w:sz w:val="24"/>
    </w:rPr>
  </w:style>
  <w:style w:type="character" w:customStyle="1" w:styleId="518">
    <w:name w:val="con2"/>
    <w:uiPriority w:val="0"/>
  </w:style>
  <w:style w:type="paragraph" w:customStyle="1" w:styleId="519">
    <w:name w:val="reader-word-layer"/>
    <w:basedOn w:val="1"/>
    <w:uiPriority w:val="0"/>
    <w:pPr>
      <w:widowControl/>
      <w:spacing w:before="100" w:beforeAutospacing="1" w:after="100" w:afterAutospacing="1"/>
      <w:jc w:val="left"/>
    </w:pPr>
    <w:rPr>
      <w:rFonts w:ascii="宋体" w:hAnsi="宋体" w:cs="宋体"/>
      <w:kern w:val="0"/>
      <w:sz w:val="24"/>
    </w:rPr>
  </w:style>
  <w:style w:type="character" w:customStyle="1" w:styleId="520">
    <w:name w:val="副标题 Char"/>
    <w:basedOn w:val="60"/>
    <w:link w:val="37"/>
    <w:uiPriority w:val="11"/>
    <w:rPr>
      <w:rFonts w:asciiTheme="majorHAnsi" w:hAnsiTheme="majorHAnsi" w:cstheme="majorBidi"/>
      <w:b/>
      <w:bCs/>
      <w:kern w:val="28"/>
      <w:sz w:val="32"/>
      <w:szCs w:val="32"/>
    </w:rPr>
  </w:style>
  <w:style w:type="paragraph" w:customStyle="1" w:styleId="521">
    <w:name w:val="char"/>
    <w:basedOn w:val="1"/>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22">
    <w:name w:val="表内容 Char"/>
    <w:link w:val="435"/>
    <w:uiPriority w:val="0"/>
    <w:rPr>
      <w:rFonts w:ascii="宋体" w:hAnsi="宋体" w:eastAsia="微软雅黑"/>
      <w:sz w:val="22"/>
      <w:szCs w:val="21"/>
    </w:rPr>
  </w:style>
  <w:style w:type="character" w:customStyle="1" w:styleId="523">
    <w:name w:val="Char Char23"/>
    <w:uiPriority w:val="0"/>
    <w:rPr>
      <w:rFonts w:ascii="宋体" w:hAnsi="Courier New"/>
      <w:kern w:val="2"/>
      <w:sz w:val="21"/>
    </w:rPr>
  </w:style>
  <w:style w:type="character" w:customStyle="1" w:styleId="524">
    <w:name w:val="bds_nopic2"/>
    <w:basedOn w:val="60"/>
    <w:uiPriority w:val="0"/>
  </w:style>
  <w:style w:type="character" w:customStyle="1" w:styleId="525">
    <w:name w:val="wen21"/>
    <w:uiPriority w:val="0"/>
    <w:rPr>
      <w:color w:val="000000"/>
      <w:spacing w:val="260"/>
      <w:sz w:val="18"/>
      <w:szCs w:val="18"/>
    </w:rPr>
  </w:style>
  <w:style w:type="character" w:customStyle="1" w:styleId="526">
    <w:name w:val="bds_more2"/>
    <w:basedOn w:val="60"/>
    <w:uiPriority w:val="0"/>
  </w:style>
  <w:style w:type="character" w:customStyle="1" w:styleId="527">
    <w:name w:val="ask-title"/>
    <w:qFormat/>
    <w:uiPriority w:val="0"/>
    <w:rPr>
      <w:szCs w:val="21"/>
    </w:rPr>
  </w:style>
  <w:style w:type="character" w:customStyle="1" w:styleId="528">
    <w:name w:val="bds_nopic"/>
    <w:basedOn w:val="60"/>
    <w:uiPriority w:val="0"/>
  </w:style>
  <w:style w:type="character" w:customStyle="1" w:styleId="529">
    <w:name w:val="表头 Char"/>
    <w:uiPriority w:val="0"/>
    <w:rPr>
      <w:rFonts w:eastAsia="宋体"/>
      <w:b/>
      <w:kern w:val="2"/>
      <w:sz w:val="24"/>
      <w:szCs w:val="24"/>
      <w:lang w:val="en-US" w:eastAsia="zh-CN" w:bidi="ar-SA"/>
    </w:rPr>
  </w:style>
  <w:style w:type="character" w:customStyle="1" w:styleId="530">
    <w:name w:val="151"/>
    <w:uiPriority w:val="0"/>
    <w:rPr>
      <w:color w:val="0033CC"/>
      <w:spacing w:val="384"/>
      <w:sz w:val="23"/>
      <w:szCs w:val="23"/>
    </w:rPr>
  </w:style>
  <w:style w:type="character" w:customStyle="1" w:styleId="531">
    <w:name w:val="bds_more1"/>
    <w:basedOn w:val="60"/>
    <w:uiPriority w:val="0"/>
  </w:style>
  <w:style w:type="character" w:customStyle="1" w:styleId="532">
    <w:name w:val="样式1 Char"/>
    <w:link w:val="157"/>
    <w:uiPriority w:val="0"/>
    <w:rPr>
      <w:rFonts w:ascii="宋体" w:hAnsi="宋体"/>
      <w:sz w:val="28"/>
    </w:rPr>
  </w:style>
  <w:style w:type="character" w:customStyle="1" w:styleId="533">
    <w:name w:val="bds_nopic1"/>
    <w:basedOn w:val="60"/>
    <w:uiPriority w:val="0"/>
  </w:style>
  <w:style w:type="character" w:customStyle="1" w:styleId="534">
    <w:name w:val="bds_more"/>
    <w:uiPriority w:val="0"/>
    <w:rPr>
      <w:rFonts w:hint="eastAsia" w:ascii="宋体" w:hAnsi="宋体" w:eastAsia="宋体" w:cs="宋体"/>
    </w:rPr>
  </w:style>
  <w:style w:type="paragraph" w:customStyle="1" w:styleId="535">
    <w:name w:val="Char15"/>
    <w:basedOn w:val="1"/>
    <w:uiPriority w:val="0"/>
    <w:pPr>
      <w:ind w:left="510"/>
    </w:pPr>
    <w:rPr>
      <w:szCs w:val="21"/>
    </w:rPr>
  </w:style>
  <w:style w:type="paragraph" w:customStyle="1" w:styleId="536">
    <w:name w:val="Char5"/>
    <w:basedOn w:val="1"/>
    <w:uiPriority w:val="0"/>
    <w:rPr>
      <w:sz w:val="24"/>
    </w:rPr>
  </w:style>
  <w:style w:type="paragraph" w:customStyle="1" w:styleId="537">
    <w:name w:val="简单回函地址"/>
    <w:basedOn w:val="1"/>
    <w:qFormat/>
    <w:uiPriority w:val="0"/>
  </w:style>
  <w:style w:type="paragraph" w:customStyle="1" w:styleId="538">
    <w:name w:val="Char Char Char Char Char Char5"/>
    <w:basedOn w:val="1"/>
    <w:uiPriority w:val="0"/>
    <w:rPr>
      <w:sz w:val="24"/>
    </w:rPr>
  </w:style>
  <w:style w:type="paragraph" w:customStyle="1" w:styleId="539">
    <w:name w:val="hypr"/>
    <w:basedOn w:val="1"/>
    <w:uiPriority w:val="0"/>
    <w:pPr>
      <w:jc w:val="left"/>
    </w:pPr>
    <w:rPr>
      <w:kern w:val="0"/>
    </w:rPr>
  </w:style>
  <w:style w:type="paragraph" w:customStyle="1" w:styleId="540">
    <w:name w:val="z正文 Char Char Char"/>
    <w:basedOn w:val="1"/>
    <w:uiPriority w:val="0"/>
    <w:pPr>
      <w:spacing w:line="360" w:lineRule="auto"/>
      <w:ind w:firstLine="200" w:firstLineChars="200"/>
    </w:pPr>
    <w:rPr>
      <w:rFonts w:ascii="宋体" w:hAnsi="宋体" w:eastAsia="仿宋_GB2312" w:cs="宋体"/>
      <w:sz w:val="28"/>
      <w:szCs w:val="28"/>
    </w:rPr>
  </w:style>
  <w:style w:type="character" w:customStyle="1" w:styleId="541">
    <w:name w:val="style101"/>
    <w:uiPriority w:val="0"/>
    <w:rPr>
      <w:color w:val="000000"/>
    </w:rPr>
  </w:style>
  <w:style w:type="character" w:customStyle="1" w:styleId="542">
    <w:name w:val="样式44 Char"/>
    <w:link w:val="543"/>
    <w:uiPriority w:val="0"/>
    <w:rPr>
      <w:color w:val="000000"/>
      <w:sz w:val="24"/>
    </w:rPr>
  </w:style>
  <w:style w:type="paragraph" w:customStyle="1" w:styleId="543">
    <w:name w:val="样式44"/>
    <w:basedOn w:val="1"/>
    <w:link w:val="542"/>
    <w:uiPriority w:val="0"/>
    <w:pPr>
      <w:spacing w:before="120" w:after="120" w:line="360" w:lineRule="auto"/>
      <w:ind w:firstLine="480" w:firstLineChars="200"/>
    </w:pPr>
    <w:rPr>
      <w:color w:val="000000"/>
      <w:kern w:val="0"/>
      <w:sz w:val="24"/>
      <w:szCs w:val="20"/>
    </w:rPr>
  </w:style>
  <w:style w:type="character" w:customStyle="1" w:styleId="544">
    <w:name w:val="表名 Char"/>
    <w:link w:val="457"/>
    <w:uiPriority w:val="0"/>
    <w:rPr>
      <w:b/>
      <w:bCs/>
      <w:color w:val="000000"/>
      <w:kern w:val="2"/>
      <w:sz w:val="24"/>
      <w:szCs w:val="24"/>
    </w:rPr>
  </w:style>
  <w:style w:type="character" w:customStyle="1" w:styleId="545">
    <w:name w:val="国表文 Char"/>
    <w:link w:val="546"/>
    <w:uiPriority w:val="0"/>
    <w:rPr>
      <w:kern w:val="2"/>
      <w:sz w:val="21"/>
      <w:szCs w:val="21"/>
    </w:rPr>
  </w:style>
  <w:style w:type="paragraph" w:customStyle="1" w:styleId="546">
    <w:name w:val="国表文"/>
    <w:basedOn w:val="1"/>
    <w:link w:val="545"/>
    <w:qFormat/>
    <w:uiPriority w:val="0"/>
    <w:pPr>
      <w:jc w:val="center"/>
    </w:pPr>
    <w:rPr>
      <w:szCs w:val="21"/>
    </w:rPr>
  </w:style>
  <w:style w:type="character" w:customStyle="1" w:styleId="547">
    <w:name w:val="国表名 Char"/>
    <w:link w:val="548"/>
    <w:uiPriority w:val="0"/>
    <w:rPr>
      <w:rFonts w:eastAsia="黑体"/>
      <w:bCs/>
      <w:kern w:val="2"/>
      <w:sz w:val="24"/>
      <w:szCs w:val="21"/>
    </w:rPr>
  </w:style>
  <w:style w:type="paragraph" w:customStyle="1" w:styleId="548">
    <w:name w:val="国表名"/>
    <w:basedOn w:val="1"/>
    <w:link w:val="547"/>
    <w:qFormat/>
    <w:uiPriority w:val="0"/>
    <w:pPr>
      <w:spacing w:line="360" w:lineRule="auto"/>
      <w:jc w:val="center"/>
    </w:pPr>
    <w:rPr>
      <w:rFonts w:eastAsia="黑体"/>
      <w:bCs/>
      <w:sz w:val="24"/>
      <w:szCs w:val="21"/>
    </w:rPr>
  </w:style>
  <w:style w:type="character" w:customStyle="1" w:styleId="549">
    <w:name w:val="viewthreadtxt"/>
    <w:basedOn w:val="60"/>
    <w:uiPriority w:val="0"/>
  </w:style>
  <w:style w:type="character" w:customStyle="1" w:styleId="550">
    <w:name w:val="批注文字 Char1"/>
    <w:basedOn w:val="60"/>
    <w:uiPriority w:val="0"/>
    <w:rPr>
      <w:rFonts w:hint="default" w:ascii="Calibri" w:hAnsi="Calibri" w:cs="Calibri"/>
      <w:kern w:val="2"/>
      <w:sz w:val="21"/>
      <w:szCs w:val="24"/>
    </w:rPr>
  </w:style>
  <w:style w:type="character" w:customStyle="1" w:styleId="551">
    <w:name w:val="style211"/>
    <w:uiPriority w:val="0"/>
    <w:rPr>
      <w:color w:val="000000"/>
    </w:rPr>
  </w:style>
  <w:style w:type="character" w:customStyle="1" w:styleId="552">
    <w:name w:val="unnamed2"/>
    <w:basedOn w:val="60"/>
    <w:uiPriority w:val="0"/>
  </w:style>
  <w:style w:type="character" w:customStyle="1" w:styleId="553">
    <w:name w:val="a1样式1 Char Char"/>
    <w:link w:val="458"/>
    <w:uiPriority w:val="0"/>
    <w:rPr>
      <w:rFonts w:ascii="宋体" w:hAnsi="宋体" w:eastAsia="Times New Roman" w:cs="宋体"/>
      <w:sz w:val="24"/>
      <w:szCs w:val="24"/>
    </w:rPr>
  </w:style>
  <w:style w:type="character" w:customStyle="1" w:styleId="554">
    <w:name w:val="Char Char Char Char11"/>
    <w:uiPriority w:val="0"/>
    <w:rPr>
      <w:rFonts w:ascii="宋体" w:eastAsia="宋体"/>
      <w:kern w:val="2"/>
      <w:sz w:val="24"/>
      <w:lang w:val="en-US" w:eastAsia="zh-CN"/>
    </w:rPr>
  </w:style>
  <w:style w:type="character" w:customStyle="1" w:styleId="555">
    <w:name w:val="标题 Char1"/>
    <w:basedOn w:val="60"/>
    <w:uiPriority w:val="0"/>
    <w:rPr>
      <w:rFonts w:ascii="Cambria" w:hAnsi="Cambria" w:cs="Times New Roman"/>
      <w:b/>
      <w:bCs/>
      <w:kern w:val="2"/>
      <w:sz w:val="32"/>
      <w:szCs w:val="32"/>
    </w:rPr>
  </w:style>
  <w:style w:type="character" w:customStyle="1" w:styleId="556">
    <w:name w:val="正文首行缩进 Char"/>
    <w:basedOn w:val="110"/>
    <w:link w:val="51"/>
    <w:uiPriority w:val="0"/>
    <w:rPr>
      <w:sz w:val="21"/>
    </w:rPr>
  </w:style>
  <w:style w:type="character" w:customStyle="1" w:styleId="557">
    <w:name w:val="px14"/>
    <w:basedOn w:val="60"/>
    <w:uiPriority w:val="0"/>
  </w:style>
  <w:style w:type="character" w:customStyle="1" w:styleId="558">
    <w:name w:val="3zw1"/>
    <w:uiPriority w:val="0"/>
    <w:rPr>
      <w:color w:val="000000"/>
      <w:sz w:val="21"/>
      <w:szCs w:val="21"/>
    </w:rPr>
  </w:style>
  <w:style w:type="character" w:customStyle="1" w:styleId="559">
    <w:name w:val="style4"/>
    <w:basedOn w:val="60"/>
    <w:uiPriority w:val="0"/>
  </w:style>
  <w:style w:type="character" w:customStyle="1" w:styleId="560">
    <w:name w:val="正文首行缩进 2 Char"/>
    <w:link w:val="52"/>
    <w:uiPriority w:val="0"/>
    <w:rPr>
      <w:kern w:val="2"/>
      <w:sz w:val="21"/>
      <w:szCs w:val="24"/>
    </w:rPr>
  </w:style>
  <w:style w:type="character" w:customStyle="1" w:styleId="561">
    <w:name w:val="国正文 Char"/>
    <w:link w:val="562"/>
    <w:uiPriority w:val="0"/>
    <w:rPr>
      <w:kern w:val="2"/>
      <w:sz w:val="24"/>
      <w:szCs w:val="24"/>
    </w:rPr>
  </w:style>
  <w:style w:type="paragraph" w:customStyle="1" w:styleId="562">
    <w:name w:val="国正文"/>
    <w:basedOn w:val="1"/>
    <w:link w:val="561"/>
    <w:qFormat/>
    <w:uiPriority w:val="0"/>
    <w:pPr>
      <w:spacing w:line="360" w:lineRule="auto"/>
      <w:ind w:firstLine="480" w:firstLineChars="200"/>
    </w:pPr>
    <w:rPr>
      <w:sz w:val="24"/>
    </w:rPr>
  </w:style>
  <w:style w:type="character" w:customStyle="1" w:styleId="563">
    <w:name w:val="样式17 Char Char"/>
    <w:link w:val="332"/>
    <w:uiPriority w:val="0"/>
    <w:rPr>
      <w:rFonts w:ascii="Arial" w:hAnsi="Arial" w:cs="Arial"/>
      <w:kern w:val="2"/>
      <w:sz w:val="24"/>
      <w:szCs w:val="24"/>
    </w:rPr>
  </w:style>
  <w:style w:type="character" w:customStyle="1" w:styleId="564">
    <w:name w:val="ca-111"/>
    <w:uiPriority w:val="0"/>
    <w:rPr>
      <w:rFonts w:hint="eastAsia" w:ascii="宋体" w:hAnsi="宋体" w:eastAsia="宋体"/>
      <w:sz w:val="24"/>
      <w:szCs w:val="24"/>
    </w:rPr>
  </w:style>
  <w:style w:type="character" w:customStyle="1" w:styleId="565">
    <w:name w:val="正文首行缩进 2 Char1"/>
    <w:basedOn w:val="118"/>
    <w:link w:val="52"/>
    <w:uiPriority w:val="0"/>
    <w:rPr>
      <w:sz w:val="21"/>
      <w:szCs w:val="24"/>
    </w:rPr>
  </w:style>
  <w:style w:type="paragraph" w:customStyle="1" w:styleId="566">
    <w:name w:val="Char Char Char Char4"/>
    <w:basedOn w:val="1"/>
    <w:semiHidden/>
    <w:uiPriority w:val="0"/>
    <w:pPr>
      <w:spacing w:line="540" w:lineRule="exact"/>
    </w:pPr>
    <w:rPr>
      <w:rFonts w:ascii="楷体_GB2312" w:eastAsia="楷体_GB2312"/>
      <w:kern w:val="0"/>
      <w:sz w:val="28"/>
    </w:rPr>
  </w:style>
  <w:style w:type="paragraph" w:customStyle="1" w:styleId="567">
    <w:name w:val="Char1 Char Char Char3"/>
    <w:basedOn w:val="1"/>
    <w:uiPriority w:val="0"/>
  </w:style>
  <w:style w:type="paragraph" w:customStyle="1" w:styleId="568">
    <w:name w:val="Char Char Char Char Char Char Char3"/>
    <w:basedOn w:val="1"/>
    <w:uiPriority w:val="0"/>
    <w:pPr>
      <w:widowControl/>
      <w:spacing w:after="160" w:line="240" w:lineRule="exact"/>
      <w:jc w:val="left"/>
    </w:pPr>
    <w:rPr>
      <w:rFonts w:ascii="Verdana" w:hAnsi="Verdana"/>
      <w:kern w:val="0"/>
      <w:sz w:val="20"/>
      <w:szCs w:val="20"/>
      <w:lang w:eastAsia="en-US"/>
    </w:rPr>
  </w:style>
  <w:style w:type="paragraph" w:customStyle="1" w:styleId="569">
    <w:name w:val="xyb自建正文"/>
    <w:basedOn w:val="1"/>
    <w:uiPriority w:val="0"/>
    <w:pPr>
      <w:spacing w:line="360" w:lineRule="auto"/>
      <w:ind w:firstLine="480" w:firstLineChars="200"/>
      <w:textAlignment w:val="baseline"/>
    </w:pPr>
    <w:rPr>
      <w:snapToGrid w:val="0"/>
      <w:color w:val="0000FF"/>
      <w:kern w:val="0"/>
      <w:sz w:val="24"/>
      <w:szCs w:val="20"/>
    </w:rPr>
  </w:style>
  <w:style w:type="paragraph" w:customStyle="1" w:styleId="570">
    <w:name w:val="表号"/>
    <w:basedOn w:val="18"/>
    <w:uiPriority w:val="0"/>
    <w:pPr>
      <w:spacing w:line="400" w:lineRule="exact"/>
      <w:ind w:left="0" w:leftChars="0"/>
      <w:jc w:val="center"/>
    </w:pPr>
    <w:rPr>
      <w:rFonts w:ascii="黑体" w:hAnsi="宋体" w:eastAsia="黑体"/>
      <w:bCs/>
      <w:color w:val="000000"/>
      <w:szCs w:val="21"/>
    </w:rPr>
  </w:style>
  <w:style w:type="paragraph" w:customStyle="1" w:styleId="571">
    <w:name w:val="Char4 Char Char Char Char Char Char11"/>
    <w:basedOn w:val="1"/>
    <w:uiPriority w:val="0"/>
    <w:pPr>
      <w:spacing w:line="360" w:lineRule="auto"/>
      <w:ind w:firstLine="200" w:firstLineChars="200"/>
    </w:pPr>
    <w:rPr>
      <w:rFonts w:ascii="宋体" w:hAnsi="宋体" w:cs="宋体"/>
      <w:sz w:val="24"/>
    </w:rPr>
  </w:style>
  <w:style w:type="paragraph" w:customStyle="1" w:styleId="572">
    <w:name w:val="流程图"/>
    <w:basedOn w:val="1"/>
    <w:uiPriority w:val="0"/>
    <w:pPr>
      <w:tabs>
        <w:tab w:val="center" w:pos="0"/>
      </w:tabs>
    </w:pPr>
    <w:rPr>
      <w:rFonts w:eastAsia="楷体_GB2312"/>
      <w:sz w:val="24"/>
      <w:szCs w:val="20"/>
    </w:rPr>
  </w:style>
  <w:style w:type="paragraph" w:customStyle="1" w:styleId="573">
    <w:name w:val="样式 表头 + 自动设置 Char"/>
    <w:basedOn w:val="192"/>
    <w:uiPriority w:val="0"/>
    <w:pPr>
      <w:tabs>
        <w:tab w:val="left" w:pos="2520"/>
        <w:tab w:val="clear" w:pos="7380"/>
      </w:tabs>
      <w:snapToGrid/>
      <w:spacing w:beforeLines="100" w:afterLines="50" w:line="240" w:lineRule="exact"/>
      <w:outlineLvl w:val="4"/>
    </w:pPr>
    <w:rPr>
      <w:rFonts w:ascii="黑体" w:hAnsi="宋体" w:eastAsia="黑体"/>
      <w:b w:val="0"/>
      <w:bCs/>
      <w:color w:val="000000"/>
      <w:position w:val="10"/>
      <w:sz w:val="21"/>
      <w:szCs w:val="24"/>
    </w:rPr>
  </w:style>
  <w:style w:type="paragraph" w:customStyle="1" w:styleId="574">
    <w:name w:val="表格 32"/>
    <w:basedOn w:val="1"/>
    <w:uiPriority w:val="0"/>
    <w:pPr>
      <w:autoSpaceDE w:val="0"/>
      <w:autoSpaceDN w:val="0"/>
      <w:adjustRightInd w:val="0"/>
      <w:jc w:val="center"/>
      <w:textAlignment w:val="baseline"/>
    </w:pPr>
    <w:rPr>
      <w:rFonts w:eastAsia="楷体_GB2312"/>
      <w:kern w:val="0"/>
      <w:sz w:val="24"/>
      <w:szCs w:val="20"/>
    </w:rPr>
  </w:style>
  <w:style w:type="paragraph" w:customStyle="1" w:styleId="575">
    <w:name w:val="二级无标题条"/>
    <w:basedOn w:val="1"/>
    <w:uiPriority w:val="0"/>
  </w:style>
  <w:style w:type="paragraph" w:customStyle="1" w:styleId="576">
    <w:name w:val="0"/>
    <w:basedOn w:val="1"/>
    <w:uiPriority w:val="0"/>
    <w:pPr>
      <w:widowControl/>
      <w:snapToGrid w:val="0"/>
      <w:jc w:val="left"/>
    </w:pPr>
    <w:rPr>
      <w:kern w:val="0"/>
      <w:sz w:val="20"/>
      <w:szCs w:val="20"/>
    </w:rPr>
  </w:style>
  <w:style w:type="paragraph" w:customStyle="1" w:styleId="577">
    <w:name w:val="样式1正文 Char Char"/>
    <w:basedOn w:val="1"/>
    <w:uiPriority w:val="0"/>
    <w:pPr>
      <w:spacing w:line="640" w:lineRule="exact"/>
      <w:ind w:firstLine="520" w:firstLineChars="200"/>
      <w:jc w:val="left"/>
    </w:pPr>
    <w:rPr>
      <w:rFonts w:ascii="宋体" w:hAnsi="宋体"/>
      <w:spacing w:val="-10"/>
      <w:sz w:val="28"/>
      <w:szCs w:val="20"/>
      <w:lang w:val="en-GB"/>
    </w:rPr>
  </w:style>
  <w:style w:type="paragraph" w:customStyle="1" w:styleId="578">
    <w:name w:val="样式 正文文本缩进正文文字缩进正文文字缩进1 + 首行缩进:  0.98 厘米 Char"/>
    <w:basedOn w:val="22"/>
    <w:uiPriority w:val="0"/>
    <w:pPr>
      <w:snapToGrid w:val="0"/>
      <w:ind w:firstLine="0" w:firstLineChars="0"/>
    </w:pPr>
    <w:rPr>
      <w:rFonts w:ascii="宋体" w:hAnsi="宋体"/>
      <w:b/>
      <w:kern w:val="0"/>
      <w:szCs w:val="24"/>
    </w:rPr>
  </w:style>
  <w:style w:type="paragraph" w:customStyle="1" w:styleId="579">
    <w:name w:val="用户1"/>
    <w:basedOn w:val="1"/>
    <w:uiPriority w:val="0"/>
    <w:pPr>
      <w:spacing w:line="500" w:lineRule="exact"/>
      <w:ind w:firstLine="635"/>
    </w:pPr>
    <w:rPr>
      <w:rFonts w:eastAsia="楷体_GB2312"/>
      <w:sz w:val="32"/>
      <w:szCs w:val="20"/>
    </w:rPr>
  </w:style>
  <w:style w:type="paragraph" w:customStyle="1" w:styleId="580">
    <w:name w:val="xl42"/>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Cs w:val="21"/>
    </w:rPr>
  </w:style>
  <w:style w:type="paragraph" w:customStyle="1" w:styleId="581">
    <w:name w:val="1文章"/>
    <w:basedOn w:val="1"/>
    <w:uiPriority w:val="0"/>
    <w:pPr>
      <w:snapToGrid w:val="0"/>
      <w:spacing w:line="360" w:lineRule="auto"/>
      <w:ind w:firstLine="573"/>
    </w:pPr>
    <w:rPr>
      <w:rFonts w:eastAsia="仿宋_GB2312"/>
      <w:sz w:val="28"/>
      <w:szCs w:val="20"/>
    </w:rPr>
  </w:style>
  <w:style w:type="paragraph" w:customStyle="1" w:styleId="582">
    <w:name w:val="报告书表格"/>
    <w:basedOn w:val="1"/>
    <w:uiPriority w:val="0"/>
    <w:pPr>
      <w:adjustRightInd w:val="0"/>
      <w:spacing w:before="60" w:after="60" w:line="240" w:lineRule="atLeast"/>
      <w:jc w:val="center"/>
      <w:textAlignment w:val="baseline"/>
    </w:pPr>
    <w:rPr>
      <w:kern w:val="0"/>
      <w:szCs w:val="20"/>
    </w:rPr>
  </w:style>
  <w:style w:type="paragraph" w:customStyle="1" w:styleId="583">
    <w:name w:val="表1表2"/>
    <w:basedOn w:val="1"/>
    <w:uiPriority w:val="0"/>
    <w:pPr>
      <w:autoSpaceDE w:val="0"/>
      <w:autoSpaceDN w:val="0"/>
      <w:adjustRightInd w:val="0"/>
      <w:jc w:val="center"/>
      <w:textAlignment w:val="center"/>
    </w:pPr>
    <w:rPr>
      <w:rFonts w:eastAsia="仿宋_GB2312"/>
      <w:kern w:val="0"/>
    </w:rPr>
  </w:style>
  <w:style w:type="paragraph" w:customStyle="1" w:styleId="584">
    <w:name w:val="Char Char Char1 Char1"/>
    <w:basedOn w:val="1"/>
    <w:uiPriority w:val="0"/>
    <w:rPr>
      <w:sz w:val="24"/>
    </w:rPr>
  </w:style>
  <w:style w:type="paragraph" w:customStyle="1" w:styleId="585">
    <w:name w:val="Char Char Char3 Char Char Char Char Char Char Char Char Char Char"/>
    <w:basedOn w:val="1"/>
    <w:uiPriority w:val="0"/>
    <w:rPr>
      <w:szCs w:val="20"/>
    </w:rPr>
  </w:style>
  <w:style w:type="paragraph" w:customStyle="1" w:styleId="586">
    <w:name w:val="Char3 Char Char Char"/>
    <w:basedOn w:val="1"/>
    <w:uiPriority w:val="0"/>
    <w:rPr>
      <w:szCs w:val="20"/>
    </w:rPr>
  </w:style>
  <w:style w:type="paragraph" w:customStyle="1" w:styleId="587">
    <w:name w:val="表格正文"/>
    <w:basedOn w:val="1"/>
    <w:uiPriority w:val="0"/>
    <w:pPr>
      <w:adjustRightInd w:val="0"/>
      <w:spacing w:line="0" w:lineRule="atLeast"/>
      <w:textAlignment w:val="baseline"/>
    </w:pPr>
    <w:rPr>
      <w:szCs w:val="20"/>
    </w:rPr>
  </w:style>
  <w:style w:type="paragraph" w:customStyle="1" w:styleId="588">
    <w:name w:val="样式 样式 样式 样式 乐山-正文 Char + 首行缩进:  2 字符 + 首行缩进:  2 字符 + 首行缩进:  2 字符..."/>
    <w:basedOn w:val="1"/>
    <w:uiPriority w:val="0"/>
    <w:pPr>
      <w:spacing w:line="480" w:lineRule="exact"/>
      <w:ind w:firstLine="200" w:firstLineChars="200"/>
    </w:pPr>
    <w:rPr>
      <w:rFonts w:ascii="Arial" w:hAnsi="Arial" w:eastAsia="华文细黑" w:cs="宋体"/>
      <w:sz w:val="24"/>
      <w:szCs w:val="20"/>
    </w:rPr>
  </w:style>
  <w:style w:type="paragraph" w:customStyle="1" w:styleId="589">
    <w:name w:val="Char Char32"/>
    <w:basedOn w:val="1"/>
    <w:uiPriority w:val="0"/>
    <w:pPr>
      <w:widowControl/>
      <w:spacing w:after="160" w:line="240" w:lineRule="exact"/>
      <w:jc w:val="left"/>
    </w:pPr>
    <w:rPr>
      <w:szCs w:val="20"/>
    </w:rPr>
  </w:style>
  <w:style w:type="paragraph" w:customStyle="1" w:styleId="590">
    <w:name w:val="Char Char Char Char Char Char Char Char Char Char Char Char Char"/>
    <w:basedOn w:val="1"/>
    <w:uiPriority w:val="0"/>
    <w:rPr>
      <w:sz w:val="24"/>
    </w:rPr>
  </w:style>
  <w:style w:type="paragraph" w:customStyle="1" w:styleId="591">
    <w:name w:val="表格 23"/>
    <w:basedOn w:val="1"/>
    <w:uiPriority w:val="0"/>
    <w:pPr>
      <w:spacing w:beforeLines="50" w:line="300" w:lineRule="auto"/>
      <w:jc w:val="center"/>
    </w:pPr>
    <w:rPr>
      <w:szCs w:val="21"/>
    </w:rPr>
  </w:style>
  <w:style w:type="paragraph" w:customStyle="1" w:styleId="592">
    <w:name w:val="中文报告书"/>
    <w:basedOn w:val="1"/>
    <w:uiPriority w:val="0"/>
    <w:pPr>
      <w:adjustRightInd w:val="0"/>
      <w:spacing w:after="80" w:line="420" w:lineRule="atLeast"/>
      <w:jc w:val="left"/>
      <w:textAlignment w:val="baseline"/>
    </w:pPr>
    <w:rPr>
      <w:kern w:val="0"/>
      <w:sz w:val="24"/>
      <w:szCs w:val="20"/>
    </w:rPr>
  </w:style>
  <w:style w:type="paragraph" w:customStyle="1" w:styleId="593">
    <w:name w:val="1表格头"/>
    <w:basedOn w:val="169"/>
    <w:uiPriority w:val="0"/>
    <w:rPr>
      <w:sz w:val="24"/>
    </w:rPr>
  </w:style>
  <w:style w:type="character" w:customStyle="1" w:styleId="594">
    <w:name w:val="tpc_content1"/>
    <w:uiPriority w:val="0"/>
    <w:rPr>
      <w:sz w:val="20"/>
      <w:szCs w:val="20"/>
    </w:rPr>
  </w:style>
  <w:style w:type="character" w:customStyle="1" w:styleId="595">
    <w:name w:val="样式 报告书正文 + 首行缩进:  2 字符 Char1"/>
    <w:uiPriority w:val="0"/>
    <w:rPr>
      <w:rFonts w:eastAsia="宋体" w:cs="宋体"/>
      <w:b/>
      <w:bCs/>
      <w:color w:val="000000"/>
      <w:kern w:val="2"/>
      <w:sz w:val="24"/>
      <w:szCs w:val="24"/>
      <w:lang w:val="en-US" w:eastAsia="zh-CN" w:bidi="ar-SA"/>
    </w:rPr>
  </w:style>
  <w:style w:type="character" w:customStyle="1" w:styleId="596">
    <w:name w:val="标题 1 Char1"/>
    <w:uiPriority w:val="0"/>
    <w:rPr>
      <w:kern w:val="2"/>
      <w:sz w:val="28"/>
      <w:szCs w:val="24"/>
    </w:rPr>
  </w:style>
  <w:style w:type="character" w:customStyle="1" w:styleId="597">
    <w:name w:val="正文文字1 Char"/>
    <w:link w:val="598"/>
    <w:uiPriority w:val="0"/>
    <w:rPr>
      <w:rFonts w:eastAsia="华文中宋"/>
      <w:kern w:val="2"/>
      <w:sz w:val="24"/>
      <w:szCs w:val="24"/>
    </w:rPr>
  </w:style>
  <w:style w:type="paragraph" w:customStyle="1" w:styleId="598">
    <w:name w:val="正文文字1"/>
    <w:basedOn w:val="1"/>
    <w:link w:val="597"/>
    <w:uiPriority w:val="0"/>
    <w:pPr>
      <w:snapToGrid w:val="0"/>
      <w:spacing w:line="312" w:lineRule="auto"/>
      <w:ind w:firstLine="200" w:firstLineChars="200"/>
    </w:pPr>
    <w:rPr>
      <w:rFonts w:eastAsia="华文中宋"/>
      <w:sz w:val="24"/>
    </w:rPr>
  </w:style>
  <w:style w:type="character" w:customStyle="1" w:styleId="599">
    <w:name w:val="样式 表头 + 小四 Char"/>
    <w:link w:val="600"/>
    <w:uiPriority w:val="0"/>
    <w:rPr>
      <w:b/>
      <w:bCs/>
      <w:kern w:val="2"/>
      <w:sz w:val="24"/>
      <w:szCs w:val="24"/>
    </w:rPr>
  </w:style>
  <w:style w:type="paragraph" w:customStyle="1" w:styleId="600">
    <w:name w:val="样式 表头 + 小四"/>
    <w:basedOn w:val="1"/>
    <w:link w:val="599"/>
    <w:uiPriority w:val="0"/>
    <w:pPr>
      <w:spacing w:beforeLines="50" w:afterLines="50"/>
      <w:jc w:val="center"/>
    </w:pPr>
    <w:rPr>
      <w:b/>
      <w:bCs/>
      <w:sz w:val="24"/>
    </w:rPr>
  </w:style>
  <w:style w:type="character" w:customStyle="1" w:styleId="601">
    <w:name w:val="news-body-text"/>
    <w:basedOn w:val="60"/>
    <w:uiPriority w:val="0"/>
  </w:style>
  <w:style w:type="character" w:customStyle="1" w:styleId="602">
    <w:name w:val="德胜正文 Char"/>
    <w:link w:val="603"/>
    <w:uiPriority w:val="0"/>
    <w:rPr>
      <w:rFonts w:cs="宋体"/>
      <w:snapToGrid w:val="0"/>
      <w:color w:val="0000FF"/>
      <w:sz w:val="24"/>
      <w:szCs w:val="24"/>
    </w:rPr>
  </w:style>
  <w:style w:type="paragraph" w:customStyle="1" w:styleId="603">
    <w:name w:val="德胜正文"/>
    <w:basedOn w:val="1"/>
    <w:link w:val="602"/>
    <w:uiPriority w:val="0"/>
    <w:pPr>
      <w:adjustRightInd w:val="0"/>
      <w:snapToGrid w:val="0"/>
      <w:spacing w:line="360" w:lineRule="auto"/>
      <w:ind w:firstLine="200" w:firstLineChars="200"/>
    </w:pPr>
    <w:rPr>
      <w:rFonts w:cs="宋体"/>
      <w:snapToGrid w:val="0"/>
      <w:color w:val="0000FF"/>
      <w:kern w:val="0"/>
      <w:sz w:val="24"/>
    </w:rPr>
  </w:style>
  <w:style w:type="paragraph" w:customStyle="1" w:styleId="604">
    <w:name w:val="Char21"/>
    <w:basedOn w:val="1"/>
    <w:uiPriority w:val="0"/>
    <w:pPr>
      <w:tabs>
        <w:tab w:val="left" w:pos="360"/>
        <w:tab w:val="left" w:pos="720"/>
      </w:tabs>
    </w:pPr>
  </w:style>
  <w:style w:type="paragraph" w:customStyle="1" w:styleId="605">
    <w:name w:val="Char6"/>
    <w:basedOn w:val="1"/>
    <w:uiPriority w:val="0"/>
  </w:style>
  <w:style w:type="paragraph" w:customStyle="1" w:styleId="606">
    <w:name w:val="Char16"/>
    <w:basedOn w:val="1"/>
    <w:semiHidden/>
    <w:uiPriority w:val="0"/>
    <w:pPr>
      <w:ind w:left="510"/>
    </w:pPr>
    <w:rPr>
      <w:szCs w:val="21"/>
    </w:rPr>
  </w:style>
  <w:style w:type="paragraph" w:customStyle="1" w:styleId="607">
    <w:name w:val="图名"/>
    <w:basedOn w:val="42"/>
    <w:uiPriority w:val="0"/>
    <w:pPr>
      <w:ind w:left="0" w:leftChars="0" w:firstLine="0" w:firstLineChars="0"/>
      <w:jc w:val="center"/>
    </w:pPr>
    <w:rPr>
      <w:rFonts w:ascii="仿宋_GB2312" w:eastAsia="仿宋_GB2312"/>
      <w:color w:val="000000"/>
      <w:sz w:val="28"/>
      <w:szCs w:val="20"/>
    </w:rPr>
  </w:style>
  <w:style w:type="paragraph" w:customStyle="1" w:styleId="608">
    <w:name w:val="样式 样式 报告书正文 + 首行缩进:  2 字符 + 加粗 自动设置"/>
    <w:basedOn w:val="609"/>
    <w:uiPriority w:val="0"/>
    <w:pPr>
      <w:tabs>
        <w:tab w:val="left" w:pos="6300"/>
      </w:tabs>
      <w:spacing w:line="440" w:lineRule="exact"/>
    </w:pPr>
    <w:rPr>
      <w:bCs/>
      <w:color w:val="auto"/>
      <w:szCs w:val="24"/>
    </w:rPr>
  </w:style>
  <w:style w:type="paragraph" w:customStyle="1" w:styleId="609">
    <w:name w:val="样式 报告书正文 + 首行缩进:  2 字符"/>
    <w:basedOn w:val="1"/>
    <w:uiPriority w:val="0"/>
    <w:pPr>
      <w:tabs>
        <w:tab w:val="left" w:pos="6300"/>
      </w:tabs>
      <w:ind w:firstLine="480" w:firstLineChars="200"/>
    </w:pPr>
    <w:rPr>
      <w:rFonts w:cs="宋体"/>
      <w:b/>
      <w:color w:val="000000"/>
      <w:sz w:val="24"/>
      <w:szCs w:val="20"/>
    </w:rPr>
  </w:style>
  <w:style w:type="paragraph" w:customStyle="1" w:styleId="610">
    <w:name w:val="Char Char1 Char Char1"/>
    <w:basedOn w:val="1"/>
    <w:semiHidden/>
    <w:uiPriority w:val="0"/>
    <w:pPr>
      <w:ind w:left="510"/>
    </w:pPr>
    <w:rPr>
      <w:sz w:val="24"/>
      <w:szCs w:val="21"/>
    </w:rPr>
  </w:style>
  <w:style w:type="paragraph" w:customStyle="1" w:styleId="611">
    <w:name w:val="Char Char3 Char Char Char Char"/>
    <w:basedOn w:val="1"/>
    <w:semiHidden/>
    <w:uiPriority w:val="0"/>
    <w:pPr>
      <w:ind w:left="510"/>
    </w:pPr>
    <w:rPr>
      <w:szCs w:val="21"/>
    </w:rPr>
  </w:style>
  <w:style w:type="paragraph" w:customStyle="1" w:styleId="612">
    <w:name w:val="Char Char1 Char Char Char Char Char Char"/>
    <w:basedOn w:val="1"/>
    <w:uiPriority w:val="0"/>
    <w:rPr>
      <w:szCs w:val="20"/>
    </w:rPr>
  </w:style>
  <w:style w:type="paragraph" w:customStyle="1" w:styleId="613">
    <w:name w:val="Char Char3 Char Char"/>
    <w:basedOn w:val="1"/>
    <w:semiHidden/>
    <w:uiPriority w:val="0"/>
    <w:pPr>
      <w:ind w:left="510"/>
    </w:pPr>
    <w:rPr>
      <w:szCs w:val="21"/>
    </w:rPr>
  </w:style>
  <w:style w:type="paragraph" w:customStyle="1" w:styleId="614">
    <w:name w:val="Char Char Char Char Char Char6"/>
    <w:basedOn w:val="1"/>
    <w:uiPriority w:val="0"/>
    <w:rPr>
      <w:szCs w:val="20"/>
    </w:rPr>
  </w:style>
  <w:style w:type="paragraph" w:customStyle="1" w:styleId="615">
    <w:name w:val="纯文本3"/>
    <w:basedOn w:val="1"/>
    <w:uiPriority w:val="0"/>
    <w:pPr>
      <w:adjustRightInd w:val="0"/>
      <w:textAlignment w:val="baseline"/>
    </w:pPr>
    <w:rPr>
      <w:rFonts w:ascii="宋体" w:hAnsi="Courier New"/>
      <w:szCs w:val="20"/>
    </w:rPr>
  </w:style>
  <w:style w:type="paragraph" w:customStyle="1" w:styleId="616">
    <w:name w:val="样式 表格 32 + 首行缩进:  2 字符"/>
    <w:basedOn w:val="1"/>
    <w:uiPriority w:val="0"/>
    <w:pPr>
      <w:autoSpaceDE w:val="0"/>
      <w:autoSpaceDN w:val="0"/>
      <w:adjustRightInd w:val="0"/>
      <w:spacing w:line="0" w:lineRule="atLeast"/>
      <w:jc w:val="center"/>
      <w:textAlignment w:val="baseline"/>
    </w:pPr>
    <w:rPr>
      <w:rFonts w:cs="宋体"/>
      <w:kern w:val="0"/>
      <w:szCs w:val="21"/>
    </w:rPr>
  </w:style>
  <w:style w:type="table" w:customStyle="1" w:styleId="617">
    <w:name w:val="网格型2"/>
    <w:basedOn w:val="53"/>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png"/><Relationship Id="rId17" Type="http://schemas.openxmlformats.org/officeDocument/2006/relationships/image" Target="media/image1.wmf"/><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5967"/>
    <customShpInfo spid="_x0000_s15968"/>
    <customShpInfo spid="_x0000_s15969"/>
    <customShpInfo spid="_x0000_s15970"/>
    <customShpInfo spid="_x0000_s15971"/>
    <customShpInfo spid="_x0000_s15972"/>
    <customShpInfo spid="_x0000_s15973"/>
    <customShpInfo spid="_x0000_s15974"/>
    <customShpInfo spid="_x0000_s15975"/>
    <customShpInfo spid="_x0000_s15976"/>
    <customShpInfo spid="_x0000_s15977"/>
    <customShpInfo spid="_x0000_s15978"/>
    <customShpInfo spid="_x0000_s15979"/>
    <customShpInfo spid="_x0000_s15980"/>
    <customShpInfo spid="_x0000_s15981"/>
    <customShpInfo spid="_x0000_s15982"/>
    <customShpInfo spid="_x0000_s15983"/>
    <customShpInfo spid="_x0000_s15984"/>
    <customShpInfo spid="_x0000_s15985"/>
    <customShpInfo spid="_x0000_s15986"/>
    <customShpInfo spid="_x0000_s15987"/>
    <customShpInfo spid="_x0000_s15988"/>
    <customShpInfo spid="_x0000_s15989"/>
    <customShpInfo spid="_x0000_s15990"/>
    <customShpInfo spid="_x0000_s15991"/>
    <customShpInfo spid="_x0000_s15992"/>
    <customShpInfo spid="_x0000_s15993"/>
    <customShpInfo spid="_x0000_s15994"/>
    <customShpInfo spid="_x0000_s15995"/>
    <customShpInfo spid="_x0000_s15996"/>
    <customShpInfo spid="_x0000_s15997"/>
    <customShpInfo spid="_x0000_s15998"/>
    <customShpInfo spid="_x0000_s15999"/>
    <customShpInfo spid="_x0000_s16000"/>
    <customShpInfo spid="_x0000_s16001"/>
    <customShpInfo spid="_x0000_s16002"/>
    <customShpInfo spid="_x0000_s16003"/>
    <customShpInfo spid="_x0000_s16004"/>
    <customShpInfo spid="_x0000_s16005"/>
    <customShpInfo spid="_x0000_s16006"/>
    <customShpInfo spid="_x0000_s16007"/>
    <customShpInfo spid="_x0000_s16008"/>
    <customShpInfo spid="_x0000_s16009"/>
    <customShpInfo spid="_x0000_s16010"/>
    <customShpInfo spid="_x0000_s16011"/>
    <customShpInfo spid="_x0000_s15966"/>
    <customShpInfo spid="_x0000_s16098"/>
    <customShpInfo spid="_x0000_s16099"/>
    <customShpInfo spid="_x0000_s16100"/>
    <customShpInfo spid="_x0000_s16101"/>
    <customShpInfo spid="_x0000_s16102"/>
    <customShpInfo spid="_x0000_s16103"/>
    <customShpInfo spid="_x0000_s16104"/>
    <customShpInfo spid="_x0000_s16105"/>
    <customShpInfo spid="_x0000_s16106"/>
    <customShpInfo spid="_x0000_s16107"/>
    <customShpInfo spid="_x0000_s16108"/>
    <customShpInfo spid="_x0000_s16109"/>
    <customShpInfo spid="_x0000_s16110"/>
    <customShpInfo spid="_x0000_s16111"/>
    <customShpInfo spid="_x0000_s16112"/>
    <customShpInfo spid="_x0000_s16113"/>
    <customShpInfo spid="_x0000_s16114"/>
    <customShpInfo spid="_x0000_s16115"/>
    <customShpInfo spid="_x0000_s16116"/>
    <customShpInfo spid="_x0000_s16117"/>
    <customShpInfo spid="_x0000_s16118"/>
    <customShpInfo spid="_x0000_s16119"/>
    <customShpInfo spid="_x0000_s16097"/>
    <customShpInfo spid="_x0000_s16165"/>
    <customShpInfo spid="_x0000_s16167"/>
    <customShpInfo spid="_x0000_s16166"/>
    <customShpInfo spid="_x0000_s16013"/>
    <customShpInfo spid="_x0000_s16014"/>
    <customShpInfo spid="_x0000_s16015"/>
    <customShpInfo spid="_x0000_s16016"/>
    <customShpInfo spid="_x0000_s16017"/>
    <customShpInfo spid="_x0000_s16018"/>
    <customShpInfo spid="_x0000_s16019"/>
    <customShpInfo spid="_x0000_s16020"/>
    <customShpInfo spid="_x0000_s16021"/>
    <customShpInfo spid="_x0000_s16022"/>
    <customShpInfo spid="_x0000_s16023"/>
    <customShpInfo spid="_x0000_s16024"/>
    <customShpInfo spid="_x0000_s16025"/>
    <customShpInfo spid="_x0000_s16026"/>
    <customShpInfo spid="_x0000_s16027"/>
    <customShpInfo spid="_x0000_s16028"/>
    <customShpInfo spid="_x0000_s16029"/>
    <customShpInfo spid="_x0000_s16030"/>
    <customShpInfo spid="_x0000_s16031"/>
    <customShpInfo spid="_x0000_s16032"/>
    <customShpInfo spid="_x0000_s16033"/>
    <customShpInfo spid="_x0000_s16034"/>
    <customShpInfo spid="_x0000_s16035"/>
    <customShpInfo spid="_x0000_s16036"/>
    <customShpInfo spid="_x0000_s16037"/>
    <customShpInfo spid="_x0000_s16038"/>
    <customShpInfo spid="_x0000_s16039"/>
    <customShpInfo spid="_x0000_s16040"/>
    <customShpInfo spid="_x0000_s16041"/>
    <customShpInfo spid="_x0000_s16042"/>
    <customShpInfo spid="_x0000_s16043"/>
    <customShpInfo spid="_x0000_s16044"/>
    <customShpInfo spid="_x0000_s16045"/>
    <customShpInfo spid="_x0000_s16046"/>
    <customShpInfo spid="_x0000_s16047"/>
    <customShpInfo spid="_x0000_s16048"/>
    <customShpInfo spid="_x0000_s16049"/>
    <customShpInfo spid="_x0000_s16050"/>
    <customShpInfo spid="_x0000_s16051"/>
    <customShpInfo spid="_x0000_s16052"/>
    <customShpInfo spid="_x0000_s16053"/>
    <customShpInfo spid="_x0000_s16054"/>
    <customShpInfo spid="_x0000_s16055"/>
    <customShpInfo spid="_x0000_s16056"/>
    <customShpInfo spid="_x0000_s16057"/>
    <customShpInfo spid="_x0000_s16058"/>
    <customShpInfo spid="_x0000_s16059"/>
    <customShpInfo spid="_x0000_s16060"/>
    <customShpInfo spid="_x0000_s16061"/>
    <customShpInfo spid="_x0000_s16062"/>
    <customShpInfo spid="_x0000_s16063"/>
    <customShpInfo spid="_x0000_s16064"/>
    <customShpInfo spid="_x0000_s16065"/>
    <customShpInfo spid="_x0000_s16066"/>
    <customShpInfo spid="_x0000_s16067"/>
    <customShpInfo spid="_x0000_s16068"/>
    <customShpInfo spid="_x0000_s16069"/>
    <customShpInfo spid="_x0000_s16070"/>
    <customShpInfo spid="_x0000_s16071"/>
    <customShpInfo spid="_x0000_s16072"/>
    <customShpInfo spid="_x0000_s16073"/>
    <customShpInfo spid="_x0000_s16074"/>
    <customShpInfo spid="_x0000_s16075"/>
    <customShpInfo spid="_x0000_s16076"/>
    <customShpInfo spid="_x0000_s16077"/>
    <customShpInfo spid="_x0000_s16078"/>
    <customShpInfo spid="_x0000_s16079"/>
    <customShpInfo spid="_x0000_s16080"/>
    <customShpInfo spid="_x0000_s16081"/>
    <customShpInfo spid="_x0000_s16082"/>
    <customShpInfo spid="_x0000_s16083"/>
    <customShpInfo spid="_x0000_s16084"/>
    <customShpInfo spid="_x0000_s16085"/>
    <customShpInfo spid="_x0000_s16086"/>
    <customShpInfo spid="_x0000_s16087"/>
    <customShpInfo spid="_x0000_s16088"/>
    <customShpInfo spid="_x0000_s16089"/>
    <customShpInfo spid="_x0000_s16090"/>
    <customShpInfo spid="_x0000_s16091"/>
    <customShpInfo spid="_x0000_s16092"/>
    <customShpInfo spid="_x0000_s16093"/>
    <customShpInfo spid="_x0000_s16094"/>
    <customShpInfo spid="_x0000_s16095"/>
    <customShpInfo spid="_x0000_s16096"/>
    <customShpInfo spid="_x0000_s16012"/>
    <customShpInfo spid="_x0000_s16170"/>
    <customShpInfo spid="_x0000_s16171"/>
    <customShpInfo spid="_x0000_s16173"/>
    <customShpInfo spid="_x0000_s16172"/>
    <customShpInfo spid="_x0000_s16121"/>
    <customShpInfo spid="_x0000_s16122"/>
    <customShpInfo spid="_x0000_s16123"/>
    <customShpInfo spid="_x0000_s16124"/>
    <customShpInfo spid="_x0000_s16125"/>
    <customShpInfo spid="_x0000_s16126"/>
    <customShpInfo spid="_x0000_s16127"/>
    <customShpInfo spid="_x0000_s16128"/>
    <customShpInfo spid="_x0000_s16129"/>
    <customShpInfo spid="_x0000_s16130"/>
    <customShpInfo spid="_x0000_s16131"/>
    <customShpInfo spid="_x0000_s16120"/>
    <customShpInfo spid="_x0000_s16133"/>
    <customShpInfo spid="_x0000_s16134"/>
    <customShpInfo spid="_x0000_s16135"/>
    <customShpInfo spid="_x0000_s16136"/>
    <customShpInfo spid="_x0000_s16137"/>
    <customShpInfo spid="_x0000_s16138"/>
    <customShpInfo spid="_x0000_s16139"/>
    <customShpInfo spid="_x0000_s16140"/>
    <customShpInfo spid="_x0000_s16141"/>
    <customShpInfo spid="_x0000_s16142"/>
    <customShpInfo spid="_x0000_s16143"/>
    <customShpInfo spid="_x0000_s16144"/>
    <customShpInfo spid="_x0000_s16145"/>
    <customShpInfo spid="_x0000_s16146"/>
    <customShpInfo spid="_x0000_s16147"/>
    <customShpInfo spid="_x0000_s16148"/>
    <customShpInfo spid="_x0000_s16149"/>
    <customShpInfo spid="_x0000_s16150"/>
    <customShpInfo spid="_x0000_s16151"/>
    <customShpInfo spid="_x0000_s16152"/>
    <customShpInfo spid="_x0000_s16153"/>
    <customShpInfo spid="_x0000_s16154"/>
    <customShpInfo spid="_x0000_s16155"/>
    <customShpInfo spid="_x0000_s16156"/>
    <customShpInfo spid="_x0000_s16157"/>
    <customShpInfo spid="_x0000_s16158"/>
    <customShpInfo spid="_x0000_s16159"/>
    <customShpInfo spid="_x0000_s16160"/>
    <customShpInfo spid="_x0000_s16161"/>
    <customShpInfo spid="_x0000_s16162"/>
    <customShpInfo spid="_x0000_s16163"/>
    <customShpInfo spid="_x0000_s16164"/>
    <customShpInfo spid="_x0000_s161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77</Pages>
  <Words>8399</Words>
  <Characters>47875</Characters>
  <Lines>398</Lines>
  <Paragraphs>112</Paragraphs>
  <TotalTime>129</TotalTime>
  <ScaleCrop>false</ScaleCrop>
  <LinksUpToDate>false</LinksUpToDate>
  <CharactersWithSpaces>56162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2019-05-05T01:26:00Z</dcterms:created>
  <dc:creator>User</dc:creator>
  <cp:lastModifiedBy>x</cp:lastModifiedBy>
  <cp:lastPrinted>2019-05-05T01:28:00Z</cp:lastPrinted>
  <dcterms:modified xsi:type="dcterms:W3CDTF">2019-05-07T03:37:58Z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