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乐山市市中区审计局</w:t>
      </w:r>
    </w:p>
    <w:p>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2021年政府信息公开工作年度报告</w:t>
      </w:r>
    </w:p>
    <w:p>
      <w:pPr>
        <w:adjustRightInd w:val="0"/>
        <w:snapToGrid w:val="0"/>
        <w:spacing w:line="580" w:lineRule="exact"/>
        <w:ind w:firstLine="880" w:firstLineChars="200"/>
        <w:rPr>
          <w:rFonts w:ascii="方正小标宋_GBK" w:hAnsi="方正小标宋_GBK" w:eastAsia="方正小标宋_GBK" w:cs="方正小标宋_GBK"/>
          <w:sz w:val="44"/>
          <w:szCs w:val="44"/>
        </w:rPr>
      </w:pP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一、总体情况</w:t>
      </w:r>
    </w:p>
    <w:p>
      <w:pPr>
        <w:adjustRightInd w:val="0"/>
        <w:snapToGrid w:val="0"/>
        <w:spacing w:line="580" w:lineRule="exact"/>
        <w:ind w:firstLine="640" w:firstLineChars="200"/>
        <w:rPr>
          <w:rFonts w:ascii="仿宋_GB2312" w:hAnsi="仿宋" w:eastAsia="仿宋_GB2312" w:cs="宋体"/>
          <w:color w:val="000000" w:themeColor="text1"/>
          <w:kern w:val="0"/>
          <w:sz w:val="32"/>
          <w:szCs w:val="32"/>
        </w:rPr>
      </w:pPr>
      <w:r>
        <w:rPr>
          <w:rFonts w:hint="eastAsia" w:ascii="仿宋_GB2312" w:hAnsi="仿宋_GB2312" w:eastAsia="仿宋_GB2312" w:cs="仿宋_GB2312"/>
          <w:sz w:val="32"/>
          <w:szCs w:val="32"/>
        </w:rPr>
        <w:t>根据《中华人民共和国政府信息公开条例》《四川省人民政府办公厅关于政府信息公开工作年度报告有关要求的通知》（川办便函〔2021〕306号）、《乐山市人民政府办公室关于做好2021年政府信息公开工作年度报告编制发布工作的通知》以及《乐山市市中区人民政府办公室关于做好2021年政府信息公开工作年度报告编制发布工作的通知》有关规定，全面总结、准确反映我单位2021年政府信息公开年度工作情况。</w:t>
      </w:r>
      <w:r>
        <w:rPr>
          <w:rFonts w:hint="eastAsia" w:ascii="仿宋_GB2312" w:hAnsi="仿宋" w:eastAsia="仿宋_GB2312" w:cs="宋体"/>
          <w:color w:val="000000" w:themeColor="text1"/>
          <w:kern w:val="0"/>
          <w:sz w:val="32"/>
          <w:szCs w:val="32"/>
        </w:rPr>
        <w:t>本报告所列数据统计时间段2021年1月1日至2021年12月31日。</w:t>
      </w:r>
    </w:p>
    <w:p>
      <w:pPr>
        <w:adjustRightInd w:val="0"/>
        <w:snapToGrid w:val="0"/>
        <w:spacing w:line="580" w:lineRule="exact"/>
        <w:ind w:firstLine="640" w:firstLineChars="200"/>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（一）依法主动公开情况</w:t>
      </w:r>
    </w:p>
    <w:p>
      <w:pPr>
        <w:adjustRightInd w:val="0"/>
        <w:snapToGrid w:val="0"/>
        <w:spacing w:line="580" w:lineRule="exact"/>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2021年，区审计局通过四川省政府信息公开目录管理系统在乐山市市中区人民政府门户网站主动公开信息53条，其中：工作动态40条、公示公告3条、预决算及“三公”经费7条、政府信息公开工作年度报告1条、执法监督1条、政策解读1条。</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2021年，区审计局按照每月不少于4条动态信息、不少于1条审计信息的要求，主动公开各类信息53条，其中：“审计信息”专栏22条。</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健全基层行政决策公众参与机制</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向公众征集《乐山市市中区2021年度审计项目计划》，扩大基层行政决策公众参与度，有序引导群众参与政策制定、执行与监督。</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通过公开调查问卷的形式征求群众对区审计局工作的满意度与建议意见，充分听取群众意见，着力提升服务水平。</w:t>
      </w:r>
    </w:p>
    <w:p>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推进重大民生信息公开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疫情防控、森林防火、安全生产、创文创卫等志愿活动，在审计项目中重点关于民生领域，践行为群众办实事，形成《高效开展审计监督，护航老旧小区改造》《区审计局开展森林防灭火宣传工作》《为群众办实事：审计助推惠民政策落实到位》等信息并主动向社会公开。</w:t>
      </w:r>
    </w:p>
    <w:p>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深化营商环境信息公开</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配合区行政审批局落实“放管服”改革工作，深入推进“一网通办”，完成全单位执法人员信息注册，编制政务数据目录1条，与审计业务相关的数据共享开放17项。</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公开区审计局2021年度行政许可、行政处罚、行政强制、行政检查实施情况统计表，深化“放管服”改革工作，推动政务服务事项结果公开。</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推进审计结果及整改情况公开。按要求公开《关于乐山市市中区2020年度区级预算执行和其他财政收支的审计工作报告》以及《乐山市市中区人民政府关于2020年度区级预算执行和其他财政收支审计查出问题整改情况的报告》，及时向社会公众公开审计结果，接受社会监督。</w:t>
      </w:r>
    </w:p>
    <w:p>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深化财政资金领域信息公开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严格按要求做好预算、决算以及绩效管理公开。公开《乐山市市中区审计局2021年部门预算编制说明》《乐山市市中区审计局2021年财政拨款“三公”经费预算情况的说明》</w:t>
      </w:r>
      <w:r>
        <w:rPr>
          <w:rFonts w:hint="eastAsia" w:ascii="仿宋_GB2312" w:hAnsi="仿宋_GB2312" w:eastAsia="仿宋_GB2312" w:cs="仿宋_GB2312"/>
          <w:sz w:val="32"/>
          <w:szCs w:val="32"/>
          <w:lang w:eastAsia="zh-CN"/>
        </w:rPr>
        <w:t>《乐山市市中</w:t>
      </w:r>
      <w:r>
        <w:rPr>
          <w:rFonts w:hint="eastAsia" w:ascii="仿宋_GB2312" w:hAnsi="仿宋_GB2312" w:eastAsia="仿宋_GB2312" w:cs="仿宋_GB2312"/>
          <w:sz w:val="32"/>
          <w:szCs w:val="32"/>
        </w:rPr>
        <w:t>区审计局2020年部门决算编制说明》等信息7条。</w:t>
      </w:r>
    </w:p>
    <w:p>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深入解读重要政策措施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公开《中华人民共和国审计法》（修订），同时公开对新修订审计法的解读,提高政策知晓度。</w:t>
      </w:r>
    </w:p>
    <w:p>
      <w:pPr>
        <w:adjustRightInd w:val="0"/>
        <w:snapToGrid w:val="0"/>
        <w:spacing w:line="580" w:lineRule="exact"/>
        <w:ind w:firstLine="640" w:firstLineChars="200"/>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（二）依申请公开情况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2021年，区审计局无依申请公开事项。</w:t>
      </w:r>
    </w:p>
    <w:p>
      <w:pPr>
        <w:adjustRightInd w:val="0"/>
        <w:snapToGrid w:val="0"/>
        <w:spacing w:line="580" w:lineRule="exact"/>
        <w:ind w:firstLine="640" w:firstLineChars="200"/>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（三）政府信息管理情况</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ˎ̥,Verdana,Arial" w:eastAsia="仿宋_GB2312" w:cs="宋体"/>
          <w:color w:val="000000"/>
          <w:kern w:val="0"/>
          <w:sz w:val="32"/>
          <w:szCs w:val="32"/>
        </w:rPr>
        <w:t>建立信息公开管理制度，严格按照“三审”程序做好政府信息的保密审查、审核以及发布，做好公开登记和档案保存，落实专人负责信息公开工作，确保信息公开工作规范有序同时不涉及国家秘密、商业秘密和个人隐私。</w:t>
      </w:r>
    </w:p>
    <w:p>
      <w:pPr>
        <w:adjustRightInd w:val="0"/>
        <w:snapToGrid w:val="0"/>
        <w:spacing w:line="580" w:lineRule="exact"/>
        <w:ind w:firstLine="640" w:firstLineChars="200"/>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（四）政府信息公开平台建设情况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依托“四川省政府信息公开目录管理系统”做好审计相关信息的更新和维护。</w:t>
      </w:r>
    </w:p>
    <w:p>
      <w:pPr>
        <w:adjustRightInd w:val="0"/>
        <w:snapToGrid w:val="0"/>
        <w:spacing w:line="580" w:lineRule="exact"/>
        <w:ind w:firstLine="640" w:firstLineChars="200"/>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（五）监督保障情况</w:t>
      </w:r>
    </w:p>
    <w:p>
      <w:pPr>
        <w:adjustRightInd w:val="0"/>
        <w:snapToGrid w:val="0"/>
        <w:spacing w:line="58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严格执行《中华人民共和国政府信息公开条例》，进一步完善政府信息公开保密审查机制，明确信息公开承办人员、保密审查负责人以及分管领导审批“三审”制度，规范审查程序，落实审查责任。</w:t>
      </w:r>
      <w:bookmarkStart w:id="0" w:name="_GoBack"/>
      <w:bookmarkEnd w:id="0"/>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7"/>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579"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rPr>
              <w:t>第二十条第（一）项</w:t>
            </w:r>
          </w:p>
        </w:tc>
      </w:tr>
      <w:tr>
        <w:tblPrEx>
          <w:tblLayout w:type="fixed"/>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rPr>
              <w:t>现行有效件数</w:t>
            </w:r>
          </w:p>
        </w:tc>
      </w:tr>
      <w:tr>
        <w:tblPrEx>
          <w:tblLayout w:type="fixed"/>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t> </w:t>
            </w:r>
            <w:r>
              <w:rPr>
                <w:rFonts w:hint="eastAsia"/>
              </w:rPr>
              <w:t>0</w:t>
            </w:r>
          </w:p>
        </w:tc>
      </w:tr>
      <w:tr>
        <w:tblPrEx>
          <w:tblLayout w:type="fixed"/>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t> </w:t>
            </w:r>
            <w:r>
              <w:rPr>
                <w:rFonts w:hint="eastAsia"/>
              </w:rPr>
              <w:t>0</w:t>
            </w:r>
          </w:p>
        </w:tc>
      </w:tr>
      <w:tr>
        <w:tblPrEx>
          <w:tblLayout w:type="fixed"/>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rPr>
              <w:t>第二十条第（五）项</w:t>
            </w:r>
          </w:p>
        </w:tc>
      </w:tr>
      <w:tr>
        <w:tblPrEx>
          <w:tblLayout w:type="fixed"/>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本年处理决定数量</w:t>
            </w:r>
          </w:p>
        </w:tc>
      </w:tr>
      <w:tr>
        <w:tblPrEx>
          <w:tblLayout w:type="fixed"/>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t> </w:t>
            </w:r>
            <w:r>
              <w:rPr>
                <w:rFonts w:hint="eastAsia"/>
              </w:rPr>
              <w:t>0</w:t>
            </w:r>
          </w:p>
        </w:tc>
      </w:tr>
      <w:tr>
        <w:tblPrEx>
          <w:tblLayout w:type="fixed"/>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rPr>
              <w:t>第二十条第（六）项</w:t>
            </w:r>
          </w:p>
        </w:tc>
      </w:tr>
      <w:tr>
        <w:tblPrEx>
          <w:tblLayout w:type="fixed"/>
          <w:tblCellMar>
            <w:top w:w="0" w:type="dxa"/>
            <w:left w:w="0" w:type="dxa"/>
            <w:bottom w:w="0" w:type="dxa"/>
            <w:right w:w="0" w:type="dxa"/>
          </w:tblCellMar>
        </w:tblPrEx>
        <w:trPr>
          <w:trHeight w:val="579" w:hRule="atLeast"/>
          <w:jc w:val="center"/>
        </w:trPr>
        <w:tc>
          <w:tcPr>
            <w:tcW w:w="243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r>
              <w:rPr>
                <w:rFonts w:hint="eastAsia"/>
              </w:rPr>
              <w:t>信息内容</w:t>
            </w:r>
          </w:p>
        </w:tc>
        <w:tc>
          <w:tcPr>
            <w:tcW w:w="7305" w:type="dxa"/>
            <w:gridSpan w:val="3"/>
            <w:tcBorders>
              <w:top w:val="single" w:color="auto" w:sz="8" w:space="0"/>
              <w:left w:val="single" w:color="auto" w:sz="4" w:space="0"/>
              <w:bottom w:val="single" w:color="auto" w:sz="8" w:space="0"/>
              <w:right w:val="single" w:color="auto" w:sz="8" w:space="0"/>
            </w:tcBorders>
            <w:shd w:val="clear" w:color="auto" w:fill="auto"/>
            <w:tcMar>
              <w:left w:w="57" w:type="dxa"/>
              <w:right w:w="57" w:type="dxa"/>
            </w:tcMar>
            <w:vAlign w:val="center"/>
          </w:tcPr>
          <w:p>
            <w:r>
              <w:rPr>
                <w:rFonts w:hint="eastAsia"/>
              </w:rPr>
              <w:t>本年处理决定数量</w:t>
            </w:r>
          </w:p>
        </w:tc>
      </w:tr>
      <w:tr>
        <w:tblPrEx>
          <w:tblLayout w:type="fixed"/>
          <w:tblCellMar>
            <w:top w:w="0" w:type="dxa"/>
            <w:left w:w="0" w:type="dxa"/>
            <w:bottom w:w="0" w:type="dxa"/>
            <w:right w:w="0" w:type="dxa"/>
          </w:tblCellMar>
        </w:tblPrEx>
        <w:trPr>
          <w:trHeight w:val="579" w:hRule="atLeast"/>
          <w:jc w:val="center"/>
        </w:trPr>
        <w:tc>
          <w:tcPr>
            <w:tcW w:w="2435" w:type="dxa"/>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r>
      <w:tr>
        <w:tblPrEx>
          <w:tblLayout w:type="fixed"/>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r>
      <w:tr>
        <w:tblPrEx>
          <w:tblLayout w:type="fixed"/>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rPr>
              <w:t>第二十条第（八）项</w:t>
            </w:r>
          </w:p>
        </w:tc>
      </w:tr>
      <w:tr>
        <w:tblPrEx>
          <w:tblLayout w:type="fixed"/>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r>
              <w:rPr>
                <w:rFonts w:hint="eastAsia"/>
              </w:rPr>
              <w:t>本年收费金额（单位：万元）</w:t>
            </w:r>
          </w:p>
        </w:tc>
      </w:tr>
      <w:tr>
        <w:tblPrEx>
          <w:tblLayout w:type="fixed"/>
          <w:tblCellMar>
            <w:top w:w="0" w:type="dxa"/>
            <w:left w:w="0" w:type="dxa"/>
            <w:bottom w:w="0" w:type="dxa"/>
            <w:right w:w="0" w:type="dxa"/>
          </w:tblCellMar>
        </w:tblPrEx>
        <w:trPr>
          <w:trHeight w:val="614"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r>
              <w:rPr>
                <w:rFonts w:hint="eastAsia"/>
              </w:rPr>
              <w:t>0</w:t>
            </w:r>
          </w:p>
        </w:tc>
      </w:tr>
    </w:tbl>
    <w:p>
      <w:pPr>
        <w:pStyle w:val="2"/>
      </w:pP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5"/>
        <w:gridCol w:w="3217"/>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r>
              <w:rPr>
                <w:rFonts w:hint="eastAsia"/>
                <w:lang w:val="en-US" w:eastAsia="zh-CN"/>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自然人</w:t>
            </w:r>
          </w:p>
        </w:tc>
        <w:tc>
          <w:tcPr>
            <w:tcW w:w="3441"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r>
              <w:rPr>
                <w:rFonts w:hint="eastAsia"/>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r>
              <w:rPr>
                <w:rFonts w:hint="eastAsia"/>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r>
              <w:rPr>
                <w:rFonts w:hint="eastAsia"/>
              </w:rPr>
              <w:t>商业</w:t>
            </w:r>
          </w:p>
          <w:p>
            <w:r>
              <w:rPr>
                <w:rFonts w:hint="eastAsia"/>
              </w:rPr>
              <w:t>企业</w:t>
            </w: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r>
              <w:rPr>
                <w:rFonts w:hint="eastAsia"/>
              </w:rPr>
              <w:t>科研</w:t>
            </w:r>
          </w:p>
          <w:p>
            <w:r>
              <w:rPr>
                <w:rFonts w:hint="eastAsia"/>
              </w:rPr>
              <w:t>机构</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r>
              <w:rPr>
                <w:rFonts w:hint="eastAsia"/>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r>
              <w:rPr>
                <w:rFonts w:hint="eastAsia"/>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r>
              <w:rPr>
                <w:rFonts w:hint="eastAsia"/>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jc w:val="center"/>
        </w:trPr>
        <w:tc>
          <w:tcPr>
            <w:tcW w:w="4930" w:type="dxa"/>
            <w:gridSpan w:val="3"/>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r>
              <w:rPr>
                <w:rFonts w:hint="eastAsia"/>
                <w:lang w:val="en-US" w:eastAsia="zh-CN"/>
              </w:rPr>
              <w:t>一、本年新收政府信息公开申请数量</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4"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jc w:val="center"/>
        </w:trPr>
        <w:tc>
          <w:tcPr>
            <w:tcW w:w="4930" w:type="dxa"/>
            <w:gridSpan w:val="3"/>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r>
              <w:rPr>
                <w:rFonts w:hint="eastAsia"/>
                <w:lang w:val="en-US" w:eastAsia="zh-CN"/>
              </w:rPr>
              <w:t>二、上年结转政府信息公开申请数量</w:t>
            </w:r>
          </w:p>
        </w:tc>
        <w:tc>
          <w:tcPr>
            <w:tcW w:w="688" w:type="dxa"/>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single" w:color="auto" w:sz="4" w:space="0"/>
              <w:left w:val="nil"/>
              <w:bottom w:val="single" w:color="auto" w:sz="4" w:space="0"/>
              <w:right w:val="single" w:color="auto" w:sz="4"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jc w:val="center"/>
        </w:trPr>
        <w:tc>
          <w:tcPr>
            <w:tcW w:w="768" w:type="dxa"/>
            <w:vMerge w:val="restart"/>
            <w:tcBorders>
              <w:top w:val="single" w:color="auto" w:sz="4" w:space="0"/>
              <w:left w:val="single" w:color="auto" w:sz="8" w:space="0"/>
              <w:bottom w:val="single" w:color="auto" w:sz="4" w:space="0"/>
              <w:right w:val="single" w:color="auto" w:sz="8" w:space="0"/>
            </w:tcBorders>
            <w:shd w:val="clear" w:color="auto" w:fill="auto"/>
            <w:tcMar>
              <w:left w:w="57" w:type="dxa"/>
              <w:right w:w="57" w:type="dxa"/>
            </w:tcMar>
            <w:vAlign w:val="center"/>
          </w:tcPr>
          <w:p>
            <w:r>
              <w:rPr>
                <w:rFonts w:hint="eastAsia"/>
                <w:lang w:val="en-US" w:eastAsia="zh-CN"/>
              </w:rPr>
              <w:t>三、本年度办理结果</w:t>
            </w:r>
          </w:p>
        </w:tc>
        <w:tc>
          <w:tcPr>
            <w:tcW w:w="4162" w:type="dxa"/>
            <w:gridSpan w:val="2"/>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r>
              <w:rPr>
                <w:rFonts w:hint="eastAsia"/>
                <w:lang w:val="en-US" w:eastAsia="zh-CN"/>
              </w:rPr>
              <w:t>（一）予以公开</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single" w:color="auto" w:sz="4" w:space="0"/>
              <w:left w:val="nil"/>
              <w:bottom w:val="single" w:color="auto" w:sz="8" w:space="0"/>
              <w:right w:val="single" w:color="auto" w:sz="8" w:space="0"/>
            </w:tcBorders>
            <w:shd w:val="clear" w:color="auto" w:fill="auto"/>
            <w:tcMar>
              <w:left w:w="57" w:type="dxa"/>
              <w:right w:w="57" w:type="dxa"/>
            </w:tcMar>
          </w:tcPr>
          <w:p>
            <w:r>
              <w:rPr>
                <w:rFonts w:hint="eastAsia"/>
              </w:rPr>
              <w:t>0</w:t>
            </w:r>
            <w: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single" w:color="auto" w:sz="4" w:space="0"/>
              <w:left w:val="single" w:color="auto" w:sz="8" w:space="0"/>
              <w:bottom w:val="outset" w:color="auto" w:sz="8" w:space="0"/>
              <w:right w:val="single" w:color="auto" w:sz="8" w:space="0"/>
            </w:tcBorders>
            <w:shd w:val="clear" w:color="auto" w:fill="auto"/>
            <w:tcMar>
              <w:left w:w="57" w:type="dxa"/>
              <w:right w:w="57" w:type="dxa"/>
            </w:tcMar>
            <w:vAlign w:val="center"/>
          </w:tcPr>
          <w:p/>
        </w:tc>
        <w:tc>
          <w:tcPr>
            <w:tcW w:w="4162" w:type="dxa"/>
            <w:gridSpan w:val="2"/>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rPr>
            </w:pP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（三）不予公开</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（四）无法提供</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（五）不予处理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hint="eastAsia"/>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outset" w:color="auto" w:sz="8" w:space="0"/>
              <w:right w:val="single" w:color="auto" w:sz="8" w:space="0"/>
            </w:tcBorders>
            <w:shd w:val="clear" w:color="auto" w:fill="auto"/>
            <w:tcMar>
              <w:left w:w="57" w:type="dxa"/>
              <w:right w:w="57" w:type="dxa"/>
            </w:tcMar>
          </w:tcPr>
          <w:p>
            <w:r>
              <w:rPr>
                <w:rFonts w:hint="eastAsia"/>
              </w:rPr>
              <w:t>0</w:t>
            </w:r>
          </w:p>
        </w:tc>
        <w:tc>
          <w:tcPr>
            <w:tcW w:w="689" w:type="dxa"/>
            <w:tcBorders>
              <w:top w:val="nil"/>
              <w:left w:val="nil"/>
              <w:bottom w:val="outset"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（六）其他处理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945"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t> </w:t>
            </w: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t> </w:t>
            </w: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t> </w:t>
            </w: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t> </w:t>
            </w: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t> </w:t>
            </w:r>
            <w:r>
              <w:rPr>
                <w:rFonts w:hint="eastAsi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r>
              <w:t> </w:t>
            </w: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r>
              <w:t> </w:t>
            </w:r>
            <w:r>
              <w:rPr>
                <w:rFonts w:hint="eastAsia"/>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r>
              <w:rPr>
                <w:rFonts w:hint="eastAsia"/>
              </w:rPr>
              <w:t>0</w:t>
            </w:r>
          </w:p>
        </w:tc>
      </w:tr>
    </w:tbl>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结果</w:t>
            </w:r>
            <w:r>
              <w:rPr>
                <w:rFonts w:hint="eastAsia"/>
              </w:rPr>
              <w:br w:type="textWrapping"/>
            </w:r>
            <w:r>
              <w:rPr>
                <w:rFonts w:hint="eastAsia"/>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其他</w:t>
            </w:r>
            <w:r>
              <w:rPr>
                <w:rFonts w:hint="eastAsia"/>
              </w:rPr>
              <w:br w:type="textWrapping"/>
            </w:r>
            <w:r>
              <w:rPr>
                <w:rFonts w:hint="eastAsia"/>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尚未</w:t>
            </w:r>
            <w:r>
              <w:rPr>
                <w:rFonts w:hint="eastAsia"/>
              </w:rPr>
              <w:br w:type="textWrapping"/>
            </w:r>
            <w:r>
              <w:rPr>
                <w:rFonts w:hint="eastAsia"/>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结果</w:t>
            </w:r>
            <w:r>
              <w:rPr>
                <w:rFonts w:hint="eastAsia"/>
              </w:rPr>
              <w:br w:type="textWrapping"/>
            </w:r>
            <w:r>
              <w:rPr>
                <w:rFonts w:hint="eastAsia"/>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结果</w:t>
            </w:r>
            <w:r>
              <w:rPr>
                <w:rFonts w:hint="eastAsia"/>
              </w:rPr>
              <w:br w:type="textWrapping"/>
            </w:r>
            <w:r>
              <w:rPr>
                <w:rFonts w:hint="eastAsia"/>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其他</w:t>
            </w:r>
            <w:r>
              <w:rPr>
                <w:rFonts w:hint="eastAsia"/>
              </w:rPr>
              <w:br w:type="textWrapping"/>
            </w:r>
            <w:r>
              <w:rPr>
                <w:rFonts w:hint="eastAsia"/>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尚未</w:t>
            </w:r>
            <w:r>
              <w:rPr>
                <w:rFonts w:hint="eastAsia"/>
              </w:rPr>
              <w:br w:type="textWrapping"/>
            </w:r>
            <w:r>
              <w:rPr>
                <w:rFonts w:hint="eastAsia"/>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结果</w:t>
            </w:r>
            <w:r>
              <w:rPr>
                <w:rFonts w:hint="eastAsia"/>
              </w:rPr>
              <w:br w:type="textWrapping"/>
            </w:r>
            <w:r>
              <w:rPr>
                <w:rFonts w:hint="eastAsia"/>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结果</w:t>
            </w:r>
            <w:r>
              <w:rPr>
                <w:rFonts w:hint="eastAsia"/>
              </w:rPr>
              <w:br w:type="textWrapping"/>
            </w:r>
            <w:r>
              <w:rPr>
                <w:rFonts w:hint="eastAsia"/>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其他</w:t>
            </w:r>
            <w:r>
              <w:rPr>
                <w:rFonts w:hint="eastAsia"/>
              </w:rPr>
              <w:br w:type="textWrapping"/>
            </w:r>
            <w:r>
              <w:rPr>
                <w:rFonts w:hint="eastAsia"/>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尚未</w:t>
            </w:r>
            <w:r>
              <w:rPr>
                <w:rFonts w:hint="eastAsia"/>
              </w:rPr>
              <w:br w:type="textWrapping"/>
            </w:r>
            <w:r>
              <w:rPr>
                <w:rFonts w:hint="eastAsia"/>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t> </w:t>
            </w:r>
            <w:r>
              <w:rPr>
                <w:rFonts w:hint="eastAsi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rPr>
              <w:t>0</w:t>
            </w:r>
          </w:p>
        </w:tc>
      </w:tr>
    </w:tbl>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五、存在的主要问题及改进情况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区审计局严格按要求做好政府信息公开工作，未出现泄密、投诉等重大事项，但是存在工作动态居多、政策解读较少的问题，对审计政策及审计效果宣传不够。下一步，我局将加强审计政策文件公开的力度，做好最新政策解读，让社会公众对审计工作有更广泛、更深入的了解。</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无需要报告的其他事项。</w:t>
      </w:r>
    </w:p>
    <w:p>
      <w:pPr>
        <w:adjustRightInd w:val="0"/>
        <w:snapToGrid w:val="0"/>
        <w:spacing w:line="580" w:lineRule="exact"/>
        <w:ind w:firstLine="640" w:firstLineChars="200"/>
        <w:rPr>
          <w:rFonts w:ascii="仿宋_GB2312" w:hAnsi="仿宋_GB2312" w:eastAsia="仿宋_GB2312" w:cs="仿宋_GB2312"/>
          <w:sz w:val="32"/>
          <w:szCs w:val="32"/>
        </w:rPr>
      </w:pPr>
    </w:p>
    <w:p>
      <w:pPr>
        <w:adjustRightInd w:val="0"/>
        <w:snapToGrid w:val="0"/>
        <w:spacing w:line="580" w:lineRule="exact"/>
        <w:ind w:firstLine="640" w:firstLineChars="200"/>
        <w:rPr>
          <w:rFonts w:ascii="仿宋_GB2312" w:hAnsi="仿宋_GB2312" w:eastAsia="仿宋_GB2312" w:cs="仿宋_GB2312"/>
          <w:sz w:val="32"/>
          <w:szCs w:val="32"/>
        </w:rPr>
      </w:pPr>
    </w:p>
    <w:p>
      <w:pPr>
        <w:adjustRightInd w:val="0"/>
        <w:snapToGrid w:val="0"/>
        <w:spacing w:line="58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乐山市市中区审计局</w:t>
      </w:r>
    </w:p>
    <w:p>
      <w:pPr>
        <w:adjustRightInd w:val="0"/>
        <w:snapToGrid w:val="0"/>
        <w:spacing w:line="58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2022年1月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footerReference r:id="rId5" w:type="first"/>
      <w:footerReference r:id="rId3" w:type="default"/>
      <w:footerReference r:id="rId4" w:type="even"/>
      <w:pgSz w:w="11906" w:h="16838"/>
      <w:pgMar w:top="2098" w:right="1474" w:bottom="567" w:left="1587" w:header="851" w:footer="1247"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Verdana,Arial">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rPr>
        <w:rFonts w:asciiTheme="majorEastAsia" w:hAnsiTheme="majorEastAsia" w:eastAsiaTheme="majorEastAsia" w:cs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Theme="majorEastAsia" w:hAnsiTheme="majorEastAsia" w:eastAsiaTheme="majorEastAsia" w:cstheme="maj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rPr>
        <w:rFonts w:asciiTheme="majorEastAsia" w:hAnsiTheme="majorEastAsia" w:eastAsiaTheme="majorEastAsia" w:cstheme="maj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61D8A"/>
    <w:rsid w:val="00261D8A"/>
    <w:rsid w:val="006D4F39"/>
    <w:rsid w:val="008028AD"/>
    <w:rsid w:val="00895C2D"/>
    <w:rsid w:val="00C65822"/>
    <w:rsid w:val="02553811"/>
    <w:rsid w:val="042C75CA"/>
    <w:rsid w:val="07D933AE"/>
    <w:rsid w:val="07DA1AFE"/>
    <w:rsid w:val="0AF77E83"/>
    <w:rsid w:val="0C415949"/>
    <w:rsid w:val="0E4848C2"/>
    <w:rsid w:val="0F5744B1"/>
    <w:rsid w:val="0F614E68"/>
    <w:rsid w:val="102E24F2"/>
    <w:rsid w:val="10A678BC"/>
    <w:rsid w:val="12706C65"/>
    <w:rsid w:val="14136578"/>
    <w:rsid w:val="14634304"/>
    <w:rsid w:val="15F14798"/>
    <w:rsid w:val="16D75581"/>
    <w:rsid w:val="1790538C"/>
    <w:rsid w:val="1946596A"/>
    <w:rsid w:val="19B9789A"/>
    <w:rsid w:val="19FE5AC2"/>
    <w:rsid w:val="1A2A56FC"/>
    <w:rsid w:val="1A7E4084"/>
    <w:rsid w:val="1B2B62AF"/>
    <w:rsid w:val="1C464EAA"/>
    <w:rsid w:val="1DC8638E"/>
    <w:rsid w:val="1ED25060"/>
    <w:rsid w:val="1F183407"/>
    <w:rsid w:val="200B5B0D"/>
    <w:rsid w:val="2355589F"/>
    <w:rsid w:val="260105D3"/>
    <w:rsid w:val="2774533F"/>
    <w:rsid w:val="2B095D9B"/>
    <w:rsid w:val="2CD94D2F"/>
    <w:rsid w:val="2DCC3E5B"/>
    <w:rsid w:val="2ED056B9"/>
    <w:rsid w:val="334C4991"/>
    <w:rsid w:val="35327926"/>
    <w:rsid w:val="375E62D3"/>
    <w:rsid w:val="37CD7376"/>
    <w:rsid w:val="380F0F5A"/>
    <w:rsid w:val="38C86220"/>
    <w:rsid w:val="3EF4002B"/>
    <w:rsid w:val="40E93814"/>
    <w:rsid w:val="43C65142"/>
    <w:rsid w:val="441C76FB"/>
    <w:rsid w:val="448B0CC1"/>
    <w:rsid w:val="48154F30"/>
    <w:rsid w:val="4AE758E8"/>
    <w:rsid w:val="4E2326DD"/>
    <w:rsid w:val="4E5468C6"/>
    <w:rsid w:val="50E07C2A"/>
    <w:rsid w:val="51080094"/>
    <w:rsid w:val="51977103"/>
    <w:rsid w:val="52FA2655"/>
    <w:rsid w:val="52FE6CD5"/>
    <w:rsid w:val="53E714ED"/>
    <w:rsid w:val="55667B24"/>
    <w:rsid w:val="59731C62"/>
    <w:rsid w:val="59B7410F"/>
    <w:rsid w:val="5B7B2097"/>
    <w:rsid w:val="5BC3024B"/>
    <w:rsid w:val="614D58DF"/>
    <w:rsid w:val="61FC471A"/>
    <w:rsid w:val="674F3706"/>
    <w:rsid w:val="68A232D2"/>
    <w:rsid w:val="6A570A2A"/>
    <w:rsid w:val="6E5F7547"/>
    <w:rsid w:val="6EFE2D3E"/>
    <w:rsid w:val="6FDB624D"/>
    <w:rsid w:val="703B3B85"/>
    <w:rsid w:val="71DC69D4"/>
    <w:rsid w:val="755E416A"/>
    <w:rsid w:val="760A0B8A"/>
    <w:rsid w:val="772A5574"/>
    <w:rsid w:val="77F051B5"/>
    <w:rsid w:val="79045028"/>
    <w:rsid w:val="79B20AD7"/>
    <w:rsid w:val="7BAA44A7"/>
    <w:rsid w:val="7C2948FE"/>
    <w:rsid w:val="7EFEC2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qFormat/>
    <w:uiPriority w:val="39"/>
    <w:pPr>
      <w:spacing w:before="120" w:after="120"/>
      <w:jc w:val="left"/>
    </w:pPr>
    <w:rPr>
      <w:b/>
      <w:bCs/>
      <w:caps/>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409</Words>
  <Characters>2334</Characters>
  <Lines>19</Lines>
  <Paragraphs>5</Paragraphs>
  <TotalTime>14</TotalTime>
  <ScaleCrop>false</ScaleCrop>
  <LinksUpToDate>false</LinksUpToDate>
  <CharactersWithSpaces>2738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2021-09-30T10:34:00Z</dcterms:created>
  <dc:creator>Administrator</dc:creator>
  <cp:lastModifiedBy>Administrator</cp:lastModifiedBy>
  <cp:lastPrinted>2022-01-10T01:39:00Z</cp:lastPrinted>
  <dcterms:modified xsi:type="dcterms:W3CDTF">2022-01-19T02:16:20Z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