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Toc488729526"/>
      <w:bookmarkStart w:id="77" w:name="_GoBack"/>
      <w:bookmarkEnd w:id="77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乐山市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市中区人力资源和社会保障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全局</w:t>
      </w:r>
    </w:p>
    <w:p>
      <w:pPr>
        <w:spacing w:after="0" w:line="24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2024-2025年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桌面办公设备运维服务方案</w:t>
      </w:r>
    </w:p>
    <w:bookmarkEnd w:id="0"/>
    <w:p>
      <w:pPr>
        <w:pStyle w:val="2"/>
        <w:ind w:firstLine="640" w:firstLineChars="200"/>
      </w:pPr>
      <w:bookmarkStart w:id="1" w:name="_Toc17673"/>
      <w:bookmarkStart w:id="2" w:name="_Toc137542393"/>
      <w:r>
        <w:rPr>
          <w:rFonts w:hint="eastAsia"/>
        </w:rPr>
        <w:t>一、</w:t>
      </w:r>
      <w:r>
        <w:rPr>
          <w:rFonts w:hint="eastAsia"/>
          <w:lang w:val="en-US" w:eastAsia="zh-CN"/>
        </w:rPr>
        <w:t>运维</w:t>
      </w:r>
      <w:r>
        <w:rPr>
          <w:rFonts w:hint="eastAsia"/>
        </w:rPr>
        <w:t>目标</w:t>
      </w:r>
      <w:bookmarkEnd w:id="1"/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640" w:firstLine="64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保障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乐山市市中区人力资源和社会保障局及下属二级单位：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640" w:firstLine="64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乐山市市中区人力资源和社会保障局机关（马铺123号）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-94" w:rightChars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乐山市市中区社会保险事务中心（马铺123号）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-94" w:rightChars="0" w:firstLine="640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乐山市市中区社会保险事务中心大厅（马铺123号）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640" w:firstLine="64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乐山市市中区就业创业服务促进中心（马铺123号）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640" w:firstLine="64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乐山市市中区人力资源服务中心（天星路99号）</w:t>
      </w:r>
    </w:p>
    <w:p>
      <w:pPr>
        <w:spacing w:line="60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各类桌面办公</w:t>
      </w:r>
      <w:r>
        <w:rPr>
          <w:rFonts w:hint="eastAsia" w:ascii="仿宋" w:hAnsi="仿宋" w:eastAsia="仿宋"/>
          <w:sz w:val="32"/>
          <w:szCs w:val="32"/>
          <w:lang w:eastAsia="zh-CN"/>
        </w:rPr>
        <w:t>电脑</w:t>
      </w:r>
      <w:r>
        <w:rPr>
          <w:rFonts w:hint="eastAsia" w:ascii="仿宋" w:hAnsi="仿宋" w:eastAsia="仿宋"/>
          <w:sz w:val="32"/>
          <w:szCs w:val="32"/>
        </w:rPr>
        <w:t>、系统、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软件、</w:t>
      </w:r>
      <w:r>
        <w:rPr>
          <w:rFonts w:hint="eastAsia" w:ascii="仿宋" w:hAnsi="仿宋" w:eastAsia="仿宋"/>
          <w:sz w:val="32"/>
          <w:szCs w:val="32"/>
        </w:rPr>
        <w:t>网络及其他外部设备正常运行，及时有效处理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各类</w:t>
      </w:r>
      <w:r>
        <w:rPr>
          <w:rFonts w:hint="eastAsia" w:ascii="仿宋" w:hAnsi="仿宋" w:eastAsia="仿宋"/>
          <w:sz w:val="32"/>
          <w:szCs w:val="32"/>
        </w:rPr>
        <w:t>办公设备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/>
          <w:sz w:val="32"/>
          <w:szCs w:val="32"/>
        </w:rPr>
        <w:t>软件故障（软硬件故障、网络故障、病毒防范、系统升级等），确保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各科室业务工作正常开展，</w:t>
      </w:r>
      <w:r>
        <w:rPr>
          <w:rFonts w:hint="eastAsia" w:ascii="仿宋" w:hAnsi="仿宋" w:eastAsia="仿宋"/>
          <w:sz w:val="32"/>
          <w:szCs w:val="32"/>
        </w:rPr>
        <w:t>防止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因软硬件故障造成</w:t>
      </w:r>
      <w:r>
        <w:rPr>
          <w:rFonts w:hint="eastAsia" w:ascii="仿宋" w:hAnsi="仿宋" w:eastAsia="仿宋"/>
          <w:sz w:val="32"/>
          <w:szCs w:val="32"/>
        </w:rPr>
        <w:t>信息数据损坏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/>
          <w:sz w:val="32"/>
          <w:szCs w:val="32"/>
        </w:rPr>
        <w:t>丢失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根据局机关现有桌面办公设备实际情况，以及对第三方运维服务公司运的维</w:t>
      </w:r>
      <w:r>
        <w:rPr>
          <w:rFonts w:hint="eastAsia" w:ascii="仿宋" w:hAnsi="仿宋" w:eastAsia="仿宋"/>
          <w:sz w:val="32"/>
          <w:szCs w:val="32"/>
        </w:rPr>
        <w:t>技术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要求及</w:t>
      </w:r>
      <w:r>
        <w:rPr>
          <w:rFonts w:hint="eastAsia" w:ascii="仿宋" w:hAnsi="仿宋" w:eastAsia="仿宋"/>
          <w:sz w:val="32"/>
          <w:szCs w:val="32"/>
        </w:rPr>
        <w:t>服务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内容</w:t>
      </w:r>
      <w:r>
        <w:rPr>
          <w:rFonts w:hint="eastAsia" w:ascii="仿宋" w:hAnsi="仿宋" w:eastAsia="仿宋"/>
          <w:sz w:val="32"/>
          <w:szCs w:val="32"/>
        </w:rPr>
        <w:t>，制定本运维服务方案</w:t>
      </w:r>
      <w:r>
        <w:rPr>
          <w:rFonts w:hint="eastAsia" w:ascii="仿宋" w:hAnsi="仿宋" w:eastAsia="仿宋"/>
        </w:rPr>
        <w:t>。</w:t>
      </w:r>
    </w:p>
    <w:p>
      <w:pPr>
        <w:pStyle w:val="2"/>
        <w:ind w:firstLine="640" w:firstLineChars="200"/>
      </w:pPr>
      <w:bookmarkStart w:id="3" w:name="_Toc11315"/>
      <w:r>
        <w:rPr>
          <w:rFonts w:hint="eastAsia" w:hAnsi="宋体"/>
        </w:rPr>
        <w:t>二、</w:t>
      </w:r>
      <w:r>
        <w:rPr>
          <w:rFonts w:hint="eastAsia"/>
        </w:rPr>
        <w:t>服务内容</w:t>
      </w:r>
      <w:bookmarkEnd w:id="3"/>
    </w:p>
    <w:p>
      <w:pPr>
        <w:pStyle w:val="3"/>
        <w:spacing w:line="600" w:lineRule="exact"/>
        <w:ind w:firstLine="640" w:firstLineChars="200"/>
      </w:pPr>
      <w:bookmarkStart w:id="4" w:name="_Toc22597"/>
      <w:r>
        <w:rPr>
          <w:rFonts w:hint="eastAsia"/>
          <w:lang w:val="en-US" w:eastAsia="zh-CN"/>
        </w:rPr>
        <w:t>1</w:t>
      </w:r>
      <w:r>
        <w:rPr>
          <w:rFonts w:hint="eastAsia"/>
        </w:rPr>
        <w:t>、办公设备运维服务</w:t>
      </w:r>
      <w:bookmarkEnd w:id="4"/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提供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办公</w:t>
      </w:r>
      <w:r>
        <w:rPr>
          <w:rFonts w:hint="eastAsia" w:ascii="仿宋" w:hAnsi="仿宋" w:eastAsia="仿宋"/>
          <w:sz w:val="32"/>
          <w:szCs w:val="32"/>
        </w:rPr>
        <w:t>桌面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终端</w:t>
      </w:r>
      <w:r>
        <w:rPr>
          <w:rFonts w:hint="eastAsia" w:ascii="仿宋" w:hAnsi="仿宋" w:eastAsia="仿宋"/>
          <w:sz w:val="32"/>
          <w:szCs w:val="32"/>
        </w:rPr>
        <w:t>设备（含台式</w:t>
      </w:r>
      <w:r>
        <w:rPr>
          <w:rFonts w:hint="eastAsia" w:ascii="仿宋" w:hAnsi="仿宋" w:eastAsia="仿宋"/>
          <w:sz w:val="32"/>
          <w:szCs w:val="32"/>
          <w:lang w:eastAsia="zh-CN"/>
        </w:rPr>
        <w:t>电脑</w:t>
      </w:r>
      <w:r>
        <w:rPr>
          <w:rFonts w:hint="eastAsia" w:ascii="仿宋" w:hAnsi="仿宋" w:eastAsia="仿宋"/>
          <w:sz w:val="32"/>
          <w:szCs w:val="32"/>
        </w:rPr>
        <w:t>、笔记本</w:t>
      </w:r>
      <w:r>
        <w:rPr>
          <w:rFonts w:hint="eastAsia" w:ascii="仿宋" w:hAnsi="仿宋" w:eastAsia="仿宋"/>
          <w:sz w:val="32"/>
          <w:szCs w:val="32"/>
          <w:lang w:eastAsia="zh-CN"/>
        </w:rPr>
        <w:t>电脑</w:t>
      </w:r>
      <w:r>
        <w:rPr>
          <w:rFonts w:hint="eastAsia" w:ascii="仿宋" w:hAnsi="仿宋" w:eastAsia="仿宋"/>
          <w:sz w:val="32"/>
          <w:szCs w:val="32"/>
        </w:rPr>
        <w:t>、打印机、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扫描仪、</w:t>
      </w:r>
      <w:r>
        <w:rPr>
          <w:rFonts w:hint="eastAsia" w:ascii="仿宋" w:hAnsi="仿宋" w:eastAsia="仿宋"/>
          <w:sz w:val="32"/>
          <w:szCs w:val="32"/>
        </w:rPr>
        <w:t>传真机、复印机等）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驻场</w:t>
      </w:r>
      <w:r>
        <w:rPr>
          <w:rFonts w:hint="eastAsia" w:ascii="仿宋" w:hAnsi="仿宋" w:eastAsia="仿宋"/>
          <w:sz w:val="32"/>
          <w:szCs w:val="32"/>
        </w:rPr>
        <w:t>运维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和故障处理</w:t>
      </w:r>
      <w:r>
        <w:rPr>
          <w:rFonts w:hint="eastAsia" w:ascii="仿宋" w:hAnsi="仿宋" w:eastAsia="仿宋"/>
          <w:sz w:val="32"/>
          <w:szCs w:val="32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（不含设备配件、耗材更换及硬件维修，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耗材更换价格不高于京东价同品牌旗舰店15%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记录设备故障情况并形成报表，定期进行统计分析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汇总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便于</w:t>
      </w:r>
      <w:r>
        <w:rPr>
          <w:rFonts w:hint="eastAsia" w:ascii="仿宋" w:hAnsi="仿宋" w:eastAsia="仿宋"/>
          <w:sz w:val="32"/>
          <w:szCs w:val="32"/>
        </w:rPr>
        <w:t>提前预判故障类型，提高故障处理效率。具体服务内容包含：</w:t>
      </w:r>
    </w:p>
    <w:p>
      <w:pPr>
        <w:widowControl w:val="0"/>
        <w:numPr>
          <w:ilvl w:val="0"/>
          <w:numId w:val="1"/>
        </w:numPr>
        <w:adjustRightInd/>
        <w:spacing w:after="0" w:line="600" w:lineRule="exact"/>
        <w:ind w:left="851" w:hanging="426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电脑和外设硬件检测、日常维护、</w:t>
      </w:r>
      <w:r>
        <w:rPr>
          <w:rFonts w:hint="eastAsia" w:ascii="仿宋" w:hAnsi="仿宋" w:eastAsia="仿宋"/>
          <w:sz w:val="32"/>
          <w:szCs w:val="32"/>
        </w:rPr>
        <w:t>故障处理；</w:t>
      </w:r>
    </w:p>
    <w:p>
      <w:pPr>
        <w:widowControl w:val="0"/>
        <w:numPr>
          <w:ilvl w:val="0"/>
          <w:numId w:val="1"/>
        </w:numPr>
        <w:adjustRightInd/>
        <w:spacing w:after="0" w:line="600" w:lineRule="exact"/>
        <w:ind w:left="851" w:hanging="426"/>
        <w:jc w:val="both"/>
        <w:rPr>
          <w:rFonts w:ascii="仿宋" w:hAnsi="仿宋" w:eastAsia="仿宋"/>
          <w:sz w:val="32"/>
          <w:szCs w:val="32"/>
        </w:rPr>
      </w:pPr>
      <w:bookmarkStart w:id="5" w:name="_Toc120955608"/>
      <w:bookmarkStart w:id="6" w:name="_Toc225234531"/>
      <w:r>
        <w:rPr>
          <w:rFonts w:hint="eastAsia" w:ascii="仿宋" w:hAnsi="仿宋" w:eastAsia="仿宋"/>
          <w:sz w:val="32"/>
          <w:szCs w:val="32"/>
          <w:lang w:val="en-US" w:eastAsia="zh-CN"/>
        </w:rPr>
        <w:t>电脑</w:t>
      </w:r>
      <w:r>
        <w:rPr>
          <w:rFonts w:hint="eastAsia" w:ascii="仿宋" w:hAnsi="仿宋" w:eastAsia="仿宋"/>
          <w:sz w:val="32"/>
          <w:szCs w:val="32"/>
        </w:rPr>
        <w:t>操作系统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安装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升级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修复、</w:t>
      </w:r>
      <w:r>
        <w:rPr>
          <w:rFonts w:hint="eastAsia" w:ascii="仿宋" w:hAnsi="仿宋" w:eastAsia="仿宋"/>
          <w:sz w:val="32"/>
          <w:szCs w:val="32"/>
        </w:rPr>
        <w:t>补丁；</w:t>
      </w:r>
    </w:p>
    <w:p>
      <w:pPr>
        <w:widowControl w:val="0"/>
        <w:numPr>
          <w:ilvl w:val="0"/>
          <w:numId w:val="1"/>
        </w:numPr>
        <w:adjustRightInd/>
        <w:spacing w:after="0" w:line="600" w:lineRule="exact"/>
        <w:ind w:left="851" w:hanging="426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电脑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常用软件（办公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工具、杀毒等）安装、升级和修复；</w:t>
      </w:r>
    </w:p>
    <w:p>
      <w:pPr>
        <w:widowControl w:val="0"/>
        <w:numPr>
          <w:ilvl w:val="0"/>
          <w:numId w:val="1"/>
        </w:numPr>
        <w:adjustRightInd/>
        <w:spacing w:after="0" w:line="600" w:lineRule="exact"/>
        <w:ind w:left="851" w:hanging="426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电脑、外设硬件驱动程序安装和更新；</w:t>
      </w:r>
    </w:p>
    <w:p>
      <w:pPr>
        <w:widowControl w:val="0"/>
        <w:numPr>
          <w:ilvl w:val="0"/>
          <w:numId w:val="1"/>
        </w:numPr>
        <w:adjustRightInd/>
        <w:spacing w:after="0" w:line="600" w:lineRule="exact"/>
        <w:ind w:left="851" w:hanging="426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电脑、外设硬件设备配件和耗材更换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widowControl w:val="0"/>
        <w:numPr>
          <w:ilvl w:val="0"/>
          <w:numId w:val="1"/>
        </w:numPr>
        <w:adjustRightInd/>
        <w:spacing w:after="0" w:line="600" w:lineRule="exact"/>
        <w:ind w:left="851" w:hanging="426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电脑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操作系统、文件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软件病毒防范和查杀</w:t>
      </w:r>
      <w:r>
        <w:rPr>
          <w:rFonts w:hint="eastAsia" w:ascii="仿宋" w:hAnsi="仿宋" w:eastAsia="仿宋"/>
          <w:sz w:val="32"/>
          <w:szCs w:val="32"/>
        </w:rPr>
        <w:t>；</w:t>
      </w:r>
    </w:p>
    <w:bookmarkEnd w:id="5"/>
    <w:bookmarkEnd w:id="6"/>
    <w:p>
      <w:pPr>
        <w:widowControl w:val="0"/>
        <w:numPr>
          <w:ilvl w:val="0"/>
          <w:numId w:val="1"/>
        </w:numPr>
        <w:adjustRightInd/>
        <w:spacing w:after="0" w:line="600" w:lineRule="exact"/>
        <w:ind w:left="851" w:hanging="426"/>
        <w:jc w:val="both"/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协助处理用户办公文件、</w:t>
      </w:r>
      <w:r>
        <w:rPr>
          <w:rFonts w:hint="eastAsia" w:ascii="仿宋" w:hAnsi="仿宋" w:eastAsia="仿宋"/>
          <w:sz w:val="32"/>
          <w:szCs w:val="32"/>
        </w:rPr>
        <w:t>数据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迁移和</w:t>
      </w:r>
      <w:r>
        <w:rPr>
          <w:rFonts w:hint="eastAsia" w:ascii="仿宋" w:hAnsi="仿宋" w:eastAsia="仿宋"/>
          <w:sz w:val="32"/>
          <w:szCs w:val="32"/>
        </w:rPr>
        <w:t>备份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widowControl w:val="0"/>
        <w:numPr>
          <w:ilvl w:val="0"/>
          <w:numId w:val="1"/>
        </w:numPr>
        <w:adjustRightInd/>
        <w:spacing w:after="0" w:line="600" w:lineRule="exact"/>
        <w:ind w:left="851" w:hanging="426"/>
        <w:jc w:val="both"/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协助用户信息技术部门（科室）处理办公设备相关工作;</w:t>
      </w:r>
    </w:p>
    <w:p>
      <w:pPr>
        <w:widowControl w:val="0"/>
        <w:numPr>
          <w:ilvl w:val="0"/>
          <w:numId w:val="1"/>
        </w:numPr>
        <w:adjustRightInd/>
        <w:spacing w:after="0" w:line="600" w:lineRule="exact"/>
        <w:ind w:left="851" w:hanging="426"/>
        <w:jc w:val="both"/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保障人社系统基层平台建设系统的正常运行与联通；</w:t>
      </w:r>
    </w:p>
    <w:p>
      <w:pPr>
        <w:widowControl w:val="0"/>
        <w:numPr>
          <w:ilvl w:val="0"/>
          <w:numId w:val="1"/>
        </w:numPr>
        <w:adjustRightInd/>
        <w:spacing w:after="0" w:line="600" w:lineRule="exact"/>
        <w:ind w:left="851" w:hanging="426"/>
        <w:jc w:val="both"/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保障市中区全区乡镇街道基础平台网络设备链接正常。</w:t>
      </w:r>
    </w:p>
    <w:p>
      <w:pPr>
        <w:widowControl w:val="0"/>
        <w:numPr>
          <w:ilvl w:val="0"/>
          <w:numId w:val="1"/>
        </w:numPr>
        <w:adjustRightInd/>
        <w:spacing w:after="0" w:line="600" w:lineRule="exact"/>
        <w:ind w:left="851" w:hanging="426"/>
        <w:jc w:val="both"/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保障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事务中心大厅各项电子屏幕系统的链接信息发布正常运行。</w:t>
      </w:r>
    </w:p>
    <w:p>
      <w:pPr>
        <w:pStyle w:val="3"/>
      </w:pPr>
      <w:bookmarkStart w:id="7" w:name="_Toc23179"/>
      <w:r>
        <w:rPr>
          <w:rFonts w:hint="eastAsia"/>
          <w:lang w:val="en-US" w:eastAsia="zh-CN"/>
        </w:rPr>
        <w:t>2</w:t>
      </w:r>
      <w:r>
        <w:rPr>
          <w:rFonts w:hint="eastAsia"/>
        </w:rPr>
        <w:t>、网络运维服务</w:t>
      </w:r>
      <w:bookmarkEnd w:id="7"/>
    </w:p>
    <w:p>
      <w:pPr>
        <w:spacing w:after="0"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局机关各科室网络</w:t>
      </w:r>
      <w:r>
        <w:rPr>
          <w:rFonts w:hint="eastAsia" w:ascii="仿宋" w:hAnsi="仿宋" w:eastAsia="仿宋"/>
          <w:sz w:val="32"/>
          <w:szCs w:val="32"/>
        </w:rPr>
        <w:t>故障现场处理服务，保证网络实时连通性和可用性；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协助</w:t>
      </w:r>
      <w:r>
        <w:rPr>
          <w:rFonts w:hint="eastAsia" w:ascii="仿宋" w:hAnsi="仿宋" w:eastAsia="仿宋"/>
          <w:sz w:val="32"/>
          <w:szCs w:val="32"/>
        </w:rPr>
        <w:t>检查网络设备端口、数据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传输</w:t>
      </w:r>
      <w:r>
        <w:rPr>
          <w:rFonts w:hint="eastAsia" w:ascii="仿宋" w:hAnsi="仿宋" w:eastAsia="仿宋"/>
          <w:sz w:val="32"/>
          <w:szCs w:val="32"/>
        </w:rPr>
        <w:t>、路由转发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等功能</w:t>
      </w:r>
      <w:r>
        <w:rPr>
          <w:rFonts w:hint="eastAsia" w:ascii="仿宋" w:hAnsi="仿宋" w:eastAsia="仿宋"/>
          <w:sz w:val="32"/>
          <w:szCs w:val="32"/>
        </w:rPr>
        <w:t>是否正常，保障网络设备运行的稳定性。</w:t>
      </w:r>
    </w:p>
    <w:p>
      <w:pPr>
        <w:spacing w:after="0" w:line="60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3、运维服务期限：按合同约定之日起三年。</w:t>
      </w:r>
    </w:p>
    <w:p>
      <w:pPr>
        <w:pStyle w:val="2"/>
        <w:ind w:firstLine="640" w:firstLineChars="200"/>
      </w:pPr>
      <w:bookmarkStart w:id="8" w:name="_Toc32435"/>
      <w:bookmarkStart w:id="9" w:name="_Toc225234530"/>
      <w:bookmarkStart w:id="10" w:name="_Toc120955605"/>
      <w:r>
        <w:rPr>
          <w:rFonts w:hint="eastAsia"/>
        </w:rPr>
        <w:t>三、服务方式：</w:t>
      </w:r>
      <w:bookmarkEnd w:id="8"/>
    </w:p>
    <w:p>
      <w:pPr>
        <w:pStyle w:val="3"/>
        <w:ind w:firstLine="640" w:firstLineChars="200"/>
      </w:pPr>
      <w:bookmarkStart w:id="11" w:name="_Toc120955600"/>
      <w:bookmarkStart w:id="12" w:name="_Toc5630"/>
      <w:r>
        <w:rPr>
          <w:rFonts w:hint="eastAsia"/>
        </w:rPr>
        <w:t>1、现场值守服务</w:t>
      </w:r>
      <w:bookmarkEnd w:id="11"/>
      <w:bookmarkEnd w:id="12"/>
    </w:p>
    <w:p>
      <w:pPr>
        <w:pStyle w:val="4"/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现场服务（常驻服务）：</w:t>
      </w:r>
      <w:r>
        <w:rPr>
          <w:rFonts w:hint="eastAsia" w:ascii="仿宋" w:hAnsi="仿宋" w:eastAsia="仿宋"/>
          <w:color w:val="FF0000"/>
          <w:kern w:val="0"/>
          <w:sz w:val="32"/>
          <w:szCs w:val="32"/>
          <w:lang w:val="en-US" w:eastAsia="zh-CN"/>
        </w:rPr>
        <w:t>由运维服务公司</w:t>
      </w:r>
      <w:r>
        <w:rPr>
          <w:rFonts w:hint="eastAsia" w:ascii="仿宋" w:hAnsi="仿宋" w:eastAsia="仿宋"/>
          <w:color w:val="FF0000"/>
          <w:kern w:val="0"/>
          <w:sz w:val="32"/>
          <w:szCs w:val="32"/>
        </w:rPr>
        <w:t>派遣</w:t>
      </w:r>
      <w:r>
        <w:rPr>
          <w:rFonts w:hint="eastAsia" w:ascii="仿宋" w:hAnsi="仿宋" w:eastAsia="仿宋"/>
          <w:color w:val="FF0000"/>
          <w:kern w:val="0"/>
          <w:sz w:val="32"/>
          <w:szCs w:val="32"/>
          <w:lang w:val="en-US" w:eastAsia="zh-CN"/>
        </w:rPr>
        <w:t>1名</w:t>
      </w:r>
      <w:r>
        <w:rPr>
          <w:rFonts w:hint="eastAsia" w:ascii="仿宋" w:hAnsi="仿宋" w:eastAsia="仿宋"/>
          <w:color w:val="FF0000"/>
          <w:kern w:val="0"/>
          <w:sz w:val="32"/>
          <w:szCs w:val="32"/>
        </w:rPr>
        <w:t>专</w:t>
      </w:r>
      <w:r>
        <w:rPr>
          <w:rFonts w:hint="eastAsia" w:ascii="仿宋" w:hAnsi="仿宋" w:eastAsia="仿宋"/>
          <w:color w:val="FF0000"/>
          <w:kern w:val="0"/>
          <w:sz w:val="32"/>
          <w:szCs w:val="32"/>
          <w:lang w:val="en-US" w:eastAsia="zh-CN"/>
        </w:rPr>
        <w:t>业</w:t>
      </w:r>
      <w:r>
        <w:rPr>
          <w:rFonts w:hint="eastAsia" w:ascii="仿宋" w:hAnsi="仿宋" w:eastAsia="仿宋"/>
          <w:color w:val="FF0000"/>
          <w:kern w:val="0"/>
          <w:sz w:val="32"/>
          <w:szCs w:val="32"/>
        </w:rPr>
        <w:t>技术工程师常驻用户单位</w:t>
      </w:r>
      <w:r>
        <w:rPr>
          <w:rFonts w:hint="eastAsia" w:ascii="仿宋" w:hAnsi="仿宋" w:eastAsia="仿宋"/>
          <w:color w:val="FF0000"/>
          <w:kern w:val="0"/>
          <w:sz w:val="32"/>
          <w:szCs w:val="32"/>
          <w:lang w:val="en-US" w:eastAsia="zh-CN"/>
        </w:rPr>
        <w:t>提供</w:t>
      </w:r>
      <w:r>
        <w:rPr>
          <w:rFonts w:hint="eastAsia" w:ascii="仿宋" w:hAnsi="仿宋" w:eastAsia="仿宋"/>
          <w:color w:val="FF0000"/>
          <w:kern w:val="0"/>
          <w:sz w:val="32"/>
          <w:szCs w:val="32"/>
        </w:rPr>
        <w:t>现场</w:t>
      </w:r>
      <w:r>
        <w:rPr>
          <w:rFonts w:hint="eastAsia" w:ascii="仿宋" w:hAnsi="仿宋" w:eastAsia="仿宋"/>
          <w:color w:val="FF0000"/>
          <w:kern w:val="0"/>
          <w:sz w:val="32"/>
          <w:szCs w:val="32"/>
          <w:lang w:val="en-US" w:eastAsia="zh-CN"/>
        </w:rPr>
        <w:t>运维</w:t>
      </w:r>
      <w:r>
        <w:rPr>
          <w:rFonts w:hint="eastAsia" w:ascii="仿宋" w:hAnsi="仿宋" w:eastAsia="仿宋"/>
          <w:color w:val="FF0000"/>
          <w:kern w:val="0"/>
          <w:sz w:val="32"/>
          <w:szCs w:val="32"/>
        </w:rPr>
        <w:t>服务</w:t>
      </w:r>
      <w:r>
        <w:rPr>
          <w:rFonts w:hint="eastAsia" w:ascii="仿宋" w:hAnsi="仿宋" w:eastAsia="仿宋"/>
          <w:kern w:val="0"/>
          <w:sz w:val="32"/>
          <w:szCs w:val="32"/>
        </w:rPr>
        <w:t>，负责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及时</w:t>
      </w:r>
      <w:r>
        <w:rPr>
          <w:rFonts w:hint="eastAsia" w:ascii="仿宋" w:hAnsi="仿宋" w:eastAsia="仿宋"/>
          <w:kern w:val="0"/>
          <w:sz w:val="32"/>
          <w:szCs w:val="32"/>
        </w:rPr>
        <w:t>处理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各类办公电脑</w:t>
      </w:r>
      <w:r>
        <w:rPr>
          <w:rFonts w:hint="eastAsia" w:ascii="仿宋" w:hAnsi="仿宋" w:eastAsia="仿宋"/>
          <w:kern w:val="0"/>
          <w:sz w:val="32"/>
          <w:szCs w:val="32"/>
        </w:rPr>
        <w:t>、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系统、软件、外设、</w:t>
      </w:r>
      <w:r>
        <w:rPr>
          <w:rFonts w:hint="eastAsia" w:ascii="仿宋" w:hAnsi="仿宋" w:eastAsia="仿宋"/>
          <w:kern w:val="0"/>
          <w:sz w:val="32"/>
          <w:szCs w:val="32"/>
        </w:rPr>
        <w:t>网络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/>
          <w:kern w:val="0"/>
          <w:sz w:val="32"/>
          <w:szCs w:val="32"/>
        </w:rPr>
        <w:t>出现的各类故障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和其他运维服务</w:t>
      </w:r>
      <w:r>
        <w:rPr>
          <w:rFonts w:hint="eastAsia" w:ascii="仿宋" w:hAnsi="仿宋" w:eastAsia="仿宋"/>
          <w:kern w:val="0"/>
          <w:sz w:val="32"/>
          <w:szCs w:val="32"/>
        </w:rPr>
        <w:t>。特殊情况时，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可</w:t>
      </w:r>
      <w:r>
        <w:rPr>
          <w:rFonts w:hint="eastAsia" w:ascii="仿宋" w:hAnsi="仿宋" w:eastAsia="仿宋"/>
          <w:kern w:val="0"/>
          <w:sz w:val="32"/>
          <w:szCs w:val="32"/>
        </w:rPr>
        <w:t>根据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故障处理和运维服务</w:t>
      </w:r>
      <w:r>
        <w:rPr>
          <w:rFonts w:hint="eastAsia" w:ascii="仿宋" w:hAnsi="仿宋" w:eastAsia="仿宋"/>
          <w:kern w:val="0"/>
          <w:sz w:val="32"/>
          <w:szCs w:val="32"/>
        </w:rPr>
        <w:t>实际情况可增派技术人员。</w:t>
      </w:r>
      <w:bookmarkStart w:id="13" w:name="_Toc225234535"/>
      <w:bookmarkStart w:id="14" w:name="_Toc120955630"/>
    </w:p>
    <w:p>
      <w:pPr>
        <w:pStyle w:val="3"/>
        <w:ind w:firstLine="640" w:firstLineChars="200"/>
      </w:pPr>
      <w:bookmarkStart w:id="15" w:name="_Toc120955598"/>
      <w:bookmarkStart w:id="16" w:name="_Toc30402"/>
      <w:r>
        <w:rPr>
          <w:rFonts w:hint="eastAsia"/>
        </w:rPr>
        <w:t>2、电话响应</w:t>
      </w:r>
      <w:bookmarkEnd w:id="15"/>
      <w:r>
        <w:rPr>
          <w:rFonts w:hint="eastAsia"/>
        </w:rPr>
        <w:t>服务</w:t>
      </w:r>
      <w:bookmarkEnd w:id="16"/>
    </w:p>
    <w:p>
      <w:pPr>
        <w:pStyle w:val="23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在服务期内提供</w:t>
      </w:r>
      <w:r>
        <w:rPr>
          <w:rFonts w:hint="eastAsia" w:ascii="仿宋" w:hAnsi="仿宋" w:eastAsia="仿宋"/>
          <w:sz w:val="32"/>
          <w:szCs w:val="32"/>
        </w:rPr>
        <w:t>电话响应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服务</w:t>
      </w:r>
      <w:r>
        <w:rPr>
          <w:rFonts w:hint="eastAsia" w:ascii="仿宋" w:hAnsi="仿宋" w:eastAsia="仿宋"/>
          <w:sz w:val="32"/>
          <w:szCs w:val="32"/>
        </w:rPr>
        <w:t>，并安排有经验的工程师接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听运维故障处理</w:t>
      </w:r>
      <w:r>
        <w:rPr>
          <w:rFonts w:hint="eastAsia" w:ascii="仿宋" w:hAnsi="仿宋" w:eastAsia="仿宋"/>
          <w:sz w:val="32"/>
          <w:szCs w:val="32"/>
        </w:rPr>
        <w:t>申告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工作时间内安排派驻工程师对故障进行现场处理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非工作时间</w:t>
      </w:r>
      <w:r>
        <w:rPr>
          <w:rFonts w:hint="eastAsia" w:ascii="仿宋" w:hAnsi="仿宋" w:eastAsia="仿宋"/>
          <w:sz w:val="32"/>
          <w:szCs w:val="32"/>
        </w:rPr>
        <w:t>通过电话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响应，为</w:t>
      </w:r>
      <w:r>
        <w:rPr>
          <w:rFonts w:hint="eastAsia" w:ascii="仿宋" w:hAnsi="仿宋" w:eastAsia="仿宋"/>
          <w:sz w:val="32"/>
          <w:szCs w:val="32"/>
        </w:rPr>
        <w:t>用户单位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提供远程技术指导、</w:t>
      </w:r>
      <w:r>
        <w:rPr>
          <w:rFonts w:hint="eastAsia" w:ascii="仿宋" w:hAnsi="仿宋" w:eastAsia="仿宋"/>
          <w:sz w:val="32"/>
          <w:szCs w:val="32"/>
        </w:rPr>
        <w:t>故障判定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/>
          <w:sz w:val="32"/>
          <w:szCs w:val="32"/>
        </w:rPr>
        <w:t>排除服务。</w:t>
      </w:r>
    </w:p>
    <w:p>
      <w:pPr>
        <w:pStyle w:val="3"/>
        <w:ind w:firstLine="640" w:firstLineChars="200"/>
        <w:rPr>
          <w:rFonts w:hint="eastAsia" w:eastAsia="仿宋"/>
          <w:lang w:eastAsia="zh-CN"/>
        </w:rPr>
      </w:pPr>
      <w:bookmarkStart w:id="17" w:name="_Toc2744"/>
      <w:r>
        <w:rPr>
          <w:rFonts w:hint="eastAsia"/>
          <w:lang w:val="en-US" w:eastAsia="zh-CN"/>
        </w:rPr>
        <w:t>3</w:t>
      </w:r>
      <w:r>
        <w:rPr>
          <w:rFonts w:hint="eastAsia"/>
        </w:rPr>
        <w:t>、运维服务</w:t>
      </w:r>
      <w:bookmarkEnd w:id="13"/>
      <w:bookmarkEnd w:id="14"/>
      <w:r>
        <w:rPr>
          <w:rFonts w:hint="eastAsia"/>
          <w:lang w:val="en-US" w:eastAsia="zh-CN"/>
        </w:rPr>
        <w:t>清单</w:t>
      </w:r>
      <w:bookmarkEnd w:id="17"/>
    </w:p>
    <w:p>
      <w:pPr>
        <w:pStyle w:val="4"/>
        <w:snapToGrid w:val="0"/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运维服务提供商应每年度须向用户单位提供《年度运维服务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报告</w:t>
      </w:r>
      <w:r>
        <w:rPr>
          <w:rFonts w:hint="eastAsia" w:ascii="仿宋" w:hAnsi="仿宋" w:eastAsia="仿宋"/>
          <w:kern w:val="0"/>
          <w:sz w:val="32"/>
          <w:szCs w:val="32"/>
        </w:rPr>
        <w:t>》，以便全面准确了解运维服务实施情况。《年度运维服务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报告</w:t>
      </w:r>
      <w:r>
        <w:rPr>
          <w:rFonts w:hint="eastAsia" w:ascii="仿宋" w:hAnsi="仿宋" w:eastAsia="仿宋"/>
          <w:kern w:val="0"/>
          <w:sz w:val="32"/>
          <w:szCs w:val="32"/>
        </w:rPr>
        <w:t>》内容包括但不限于：</w:t>
      </w:r>
    </w:p>
    <w:p>
      <w:pPr>
        <w:pStyle w:val="4"/>
        <w:snapToGrid w:val="0"/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每次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运维故障处理</w:t>
      </w:r>
      <w:r>
        <w:rPr>
          <w:rFonts w:hint="eastAsia" w:ascii="仿宋" w:hAnsi="仿宋" w:eastAsia="仿宋"/>
          <w:kern w:val="0"/>
          <w:sz w:val="32"/>
          <w:szCs w:val="32"/>
        </w:rPr>
        <w:t>服务的日期、单位（科室）、故障类型、设备名称、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设备型号、</w:t>
      </w:r>
      <w:r>
        <w:rPr>
          <w:rFonts w:hint="eastAsia" w:ascii="仿宋" w:hAnsi="仿宋" w:eastAsia="仿宋"/>
          <w:kern w:val="0"/>
          <w:sz w:val="32"/>
          <w:szCs w:val="32"/>
        </w:rPr>
        <w:t>故障描述、处理状态、处理结果、确认人、联系方式、备件名称等。</w:t>
      </w:r>
    </w:p>
    <w:p>
      <w:pPr>
        <w:pStyle w:val="4"/>
        <w:snapToGrid w:val="0"/>
        <w:spacing w:line="600" w:lineRule="exact"/>
        <w:ind w:firstLine="640" w:firstLineChars="200"/>
        <w:rPr>
          <w:rFonts w:ascii="仿宋" w:hAnsi="仿宋" w:eastAsia="仿宋"/>
          <w:szCs w:val="30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每</w:t>
      </w:r>
      <w:r>
        <w:rPr>
          <w:rFonts w:hint="eastAsia" w:ascii="仿宋" w:hAnsi="仿宋" w:eastAsia="仿宋"/>
          <w:kern w:val="0"/>
          <w:sz w:val="32"/>
          <w:szCs w:val="32"/>
        </w:rPr>
        <w:t>年度对运维服务情况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/>
          <w:kern w:val="0"/>
          <w:sz w:val="32"/>
          <w:szCs w:val="32"/>
        </w:rPr>
        <w:t>实施内容进行统计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汇总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形成</w:t>
      </w:r>
      <w:r>
        <w:rPr>
          <w:rFonts w:hint="eastAsia" w:ascii="仿宋" w:hAnsi="仿宋" w:eastAsia="仿宋"/>
          <w:kern w:val="0"/>
          <w:sz w:val="32"/>
          <w:szCs w:val="32"/>
        </w:rPr>
        <w:t>《年度运维服务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报告</w:t>
      </w:r>
      <w:r>
        <w:rPr>
          <w:rFonts w:hint="eastAsia" w:ascii="仿宋" w:hAnsi="仿宋" w:eastAsia="仿宋"/>
          <w:kern w:val="0"/>
          <w:sz w:val="32"/>
          <w:szCs w:val="32"/>
        </w:rPr>
        <w:t>》。</w:t>
      </w:r>
      <w:bookmarkEnd w:id="9"/>
      <w:bookmarkEnd w:id="10"/>
    </w:p>
    <w:bookmarkEnd w:id="2"/>
    <w:p>
      <w:pPr>
        <w:pStyle w:val="2"/>
        <w:ind w:firstLine="640" w:firstLineChars="200"/>
      </w:pPr>
      <w:bookmarkStart w:id="18" w:name="_Toc28035"/>
      <w:r>
        <w:rPr>
          <w:rFonts w:hint="eastAsia"/>
        </w:rPr>
        <w:t>四、服务</w:t>
      </w:r>
      <w:bookmarkStart w:id="19" w:name="_Toc231627119"/>
      <w:r>
        <w:rPr>
          <w:rFonts w:hint="eastAsia"/>
          <w:lang w:val="en-US" w:eastAsia="zh-CN"/>
        </w:rPr>
        <w:t>要求</w:t>
      </w:r>
      <w:r>
        <w:rPr>
          <w:rFonts w:hint="eastAsia"/>
        </w:rPr>
        <w:t>和规范</w:t>
      </w:r>
      <w:bookmarkEnd w:id="18"/>
      <w:bookmarkEnd w:id="19"/>
    </w:p>
    <w:p>
      <w:pPr>
        <w:pStyle w:val="3"/>
        <w:ind w:firstLine="640" w:firstLineChars="200"/>
        <w:rPr>
          <w:b/>
        </w:rPr>
      </w:pPr>
      <w:bookmarkStart w:id="20" w:name="_Toc180554335"/>
      <w:bookmarkStart w:id="21" w:name="_Toc25809"/>
      <w:r>
        <w:rPr>
          <w:rFonts w:hint="eastAsia"/>
        </w:rPr>
        <w:t>1、服务时间</w:t>
      </w:r>
      <w:bookmarkEnd w:id="20"/>
      <w:bookmarkEnd w:id="21"/>
    </w:p>
    <w:p>
      <w:pPr>
        <w:pStyle w:val="20"/>
        <w:spacing w:line="600" w:lineRule="exact"/>
        <w:ind w:firstLine="64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正常工作时间上午</w:t>
      </w:r>
      <w:r>
        <w:rPr>
          <w:rFonts w:hint="eastAsia" w:ascii="仿宋" w:hAnsi="仿宋" w:eastAsia="仿宋"/>
          <w:kern w:val="0"/>
          <w:sz w:val="32"/>
          <w:szCs w:val="32"/>
        </w:rPr>
        <w:t>9:00至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下午</w:t>
      </w:r>
      <w:r>
        <w:rPr>
          <w:rFonts w:hint="eastAsia" w:ascii="仿宋" w:hAnsi="仿宋" w:eastAsia="仿宋"/>
          <w:kern w:val="0"/>
          <w:sz w:val="32"/>
          <w:szCs w:val="32"/>
        </w:rPr>
        <w:t>18:00（不包含节假日）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用户遇特殊或紧急情况除外。由</w:t>
      </w:r>
      <w:r>
        <w:rPr>
          <w:rFonts w:hint="eastAsia" w:ascii="仿宋" w:hAnsi="仿宋" w:eastAsia="仿宋"/>
          <w:kern w:val="0"/>
          <w:sz w:val="32"/>
          <w:szCs w:val="32"/>
        </w:rPr>
        <w:t>专人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7*24小时负责接听运维</w:t>
      </w:r>
      <w:r>
        <w:rPr>
          <w:rFonts w:hint="eastAsia" w:ascii="仿宋" w:hAnsi="仿宋" w:eastAsia="仿宋"/>
          <w:kern w:val="0"/>
          <w:sz w:val="32"/>
          <w:szCs w:val="32"/>
        </w:rPr>
        <w:t>服务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和故障处理</w:t>
      </w:r>
      <w:r>
        <w:rPr>
          <w:rFonts w:hint="eastAsia" w:ascii="仿宋" w:hAnsi="仿宋" w:eastAsia="仿宋"/>
          <w:kern w:val="0"/>
          <w:sz w:val="32"/>
          <w:szCs w:val="32"/>
        </w:rPr>
        <w:t>请求，及时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安排工程师到现场进行运维或故障处理，</w:t>
      </w:r>
      <w:r>
        <w:rPr>
          <w:rFonts w:hint="eastAsia" w:ascii="仿宋" w:hAnsi="仿宋" w:eastAsia="仿宋"/>
          <w:kern w:val="0"/>
          <w:sz w:val="32"/>
          <w:szCs w:val="32"/>
        </w:rPr>
        <w:t>并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按规定</w:t>
      </w:r>
      <w:r>
        <w:rPr>
          <w:rFonts w:hint="eastAsia" w:ascii="仿宋" w:hAnsi="仿宋" w:eastAsia="仿宋"/>
          <w:kern w:val="0"/>
          <w:sz w:val="32"/>
          <w:szCs w:val="32"/>
        </w:rPr>
        <w:t>记录服务内容和处理结果。</w:t>
      </w:r>
    </w:p>
    <w:p>
      <w:pPr>
        <w:pStyle w:val="20"/>
        <w:spacing w:line="600" w:lineRule="exact"/>
        <w:ind w:firstLine="640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因故障处理时间较长或当日故障较多无法及时响应时，应及时主动告知用户，并根据故障实际情况和轻重缓急的原则，合理安排好所有故障的处理工作。</w:t>
      </w:r>
    </w:p>
    <w:p>
      <w:pPr>
        <w:pStyle w:val="3"/>
        <w:ind w:firstLine="640" w:firstLineChars="200"/>
      </w:pPr>
      <w:bookmarkStart w:id="22" w:name="_Toc231627121"/>
      <w:bookmarkStart w:id="23" w:name="_Toc27851"/>
      <w:bookmarkStart w:id="24" w:name="_Toc180554336"/>
      <w:r>
        <w:rPr>
          <w:rFonts w:hint="eastAsia"/>
        </w:rPr>
        <w:t>2、现场服务行为规范</w:t>
      </w:r>
      <w:bookmarkEnd w:id="22"/>
      <w:bookmarkEnd w:id="23"/>
      <w:bookmarkEnd w:id="24"/>
    </w:p>
    <w:p>
      <w:pPr>
        <w:widowControl w:val="0"/>
        <w:spacing w:after="0"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bookmarkStart w:id="25" w:name="_Toc177376362"/>
      <w:bookmarkEnd w:id="25"/>
      <w:bookmarkStart w:id="26" w:name="_Toc177376268"/>
      <w:bookmarkEnd w:id="26"/>
      <w:bookmarkStart w:id="27" w:name="_Toc176762807"/>
      <w:bookmarkEnd w:id="27"/>
      <w:bookmarkStart w:id="28" w:name="_Toc176762810"/>
      <w:bookmarkEnd w:id="28"/>
      <w:bookmarkStart w:id="29" w:name="_Toc177376258"/>
      <w:bookmarkEnd w:id="29"/>
      <w:bookmarkStart w:id="30" w:name="_Toc177376358"/>
      <w:bookmarkEnd w:id="30"/>
      <w:bookmarkStart w:id="31" w:name="_Toc177376263"/>
      <w:bookmarkEnd w:id="31"/>
      <w:bookmarkStart w:id="32" w:name="_Toc176762931"/>
      <w:bookmarkEnd w:id="32"/>
      <w:bookmarkStart w:id="33" w:name="_Toc177376355"/>
      <w:bookmarkEnd w:id="33"/>
      <w:bookmarkStart w:id="34" w:name="_Toc176762932"/>
      <w:bookmarkEnd w:id="34"/>
      <w:bookmarkStart w:id="35" w:name="_Toc177376365"/>
      <w:bookmarkEnd w:id="35"/>
      <w:bookmarkStart w:id="36" w:name="_Toc177376363"/>
      <w:bookmarkEnd w:id="36"/>
      <w:bookmarkStart w:id="37" w:name="_Toc177376266"/>
      <w:bookmarkEnd w:id="37"/>
      <w:bookmarkStart w:id="38" w:name="_Toc176762927"/>
      <w:bookmarkEnd w:id="38"/>
      <w:bookmarkStart w:id="39" w:name="_Toc177376264"/>
      <w:bookmarkEnd w:id="39"/>
      <w:bookmarkStart w:id="40" w:name="_Toc176762926"/>
      <w:bookmarkEnd w:id="40"/>
      <w:bookmarkStart w:id="41" w:name="_Toc176762813"/>
      <w:bookmarkEnd w:id="41"/>
      <w:bookmarkStart w:id="42" w:name="_Toc176762922"/>
      <w:bookmarkEnd w:id="42"/>
      <w:bookmarkStart w:id="43" w:name="_Toc177376260"/>
      <w:bookmarkEnd w:id="43"/>
      <w:bookmarkStart w:id="44" w:name="_Toc176762815"/>
      <w:bookmarkEnd w:id="44"/>
      <w:bookmarkStart w:id="45" w:name="_Toc177376259"/>
      <w:bookmarkEnd w:id="45"/>
      <w:bookmarkStart w:id="46" w:name="_Toc176762808"/>
      <w:bookmarkEnd w:id="46"/>
      <w:bookmarkStart w:id="47" w:name="_Toc176762925"/>
      <w:bookmarkEnd w:id="47"/>
      <w:bookmarkStart w:id="48" w:name="_Toc177376261"/>
      <w:bookmarkEnd w:id="48"/>
      <w:bookmarkStart w:id="49" w:name="_Toc176762809"/>
      <w:bookmarkEnd w:id="49"/>
      <w:bookmarkStart w:id="50" w:name="_Toc177376267"/>
      <w:bookmarkEnd w:id="50"/>
      <w:bookmarkStart w:id="51" w:name="_Toc176762930"/>
      <w:bookmarkEnd w:id="51"/>
      <w:bookmarkStart w:id="52" w:name="_Toc176762928"/>
      <w:bookmarkEnd w:id="52"/>
      <w:bookmarkStart w:id="53" w:name="_Toc177376257"/>
      <w:bookmarkEnd w:id="53"/>
      <w:bookmarkStart w:id="54" w:name="_Toc176762818"/>
      <w:bookmarkEnd w:id="54"/>
      <w:bookmarkStart w:id="55" w:name="_Toc177376262"/>
      <w:bookmarkEnd w:id="55"/>
      <w:bookmarkStart w:id="56" w:name="_Toc176762924"/>
      <w:bookmarkEnd w:id="56"/>
      <w:bookmarkStart w:id="57" w:name="_Toc176762814"/>
      <w:bookmarkEnd w:id="57"/>
      <w:bookmarkStart w:id="58" w:name="_Toc176762929"/>
      <w:bookmarkEnd w:id="58"/>
      <w:bookmarkStart w:id="59" w:name="_Toc177376360"/>
      <w:bookmarkEnd w:id="59"/>
      <w:bookmarkStart w:id="60" w:name="_Toc176762816"/>
      <w:bookmarkEnd w:id="60"/>
      <w:bookmarkStart w:id="61" w:name="_Toc177376357"/>
      <w:bookmarkEnd w:id="61"/>
      <w:bookmarkStart w:id="62" w:name="_Toc177376354"/>
      <w:bookmarkEnd w:id="62"/>
      <w:bookmarkStart w:id="63" w:name="_Toc176762933"/>
      <w:bookmarkEnd w:id="63"/>
      <w:bookmarkStart w:id="64" w:name="_Toc176762923"/>
      <w:bookmarkEnd w:id="64"/>
      <w:bookmarkStart w:id="65" w:name="_Toc177376359"/>
      <w:bookmarkEnd w:id="65"/>
      <w:bookmarkStart w:id="66" w:name="_Toc176762812"/>
      <w:bookmarkEnd w:id="66"/>
      <w:bookmarkStart w:id="67" w:name="_Toc177376356"/>
      <w:bookmarkEnd w:id="67"/>
      <w:bookmarkStart w:id="68" w:name="_Toc177376364"/>
      <w:bookmarkEnd w:id="68"/>
      <w:bookmarkStart w:id="69" w:name="_Toc176762817"/>
      <w:bookmarkEnd w:id="69"/>
      <w:bookmarkStart w:id="70" w:name="_Toc177376361"/>
      <w:bookmarkEnd w:id="70"/>
      <w:bookmarkStart w:id="71" w:name="_Toc176762811"/>
      <w:bookmarkEnd w:id="71"/>
      <w:bookmarkStart w:id="72" w:name="_Toc177376265"/>
      <w:bookmarkEnd w:id="72"/>
      <w:r>
        <w:rPr>
          <w:rFonts w:hint="eastAsia" w:ascii="仿宋" w:hAnsi="仿宋" w:eastAsia="仿宋"/>
          <w:sz w:val="32"/>
          <w:szCs w:val="32"/>
        </w:rPr>
        <w:t>（1）严格遵守用户单位各项规章制度，并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遵照</w:t>
      </w:r>
      <w:r>
        <w:rPr>
          <w:rFonts w:hint="eastAsia" w:ascii="仿宋" w:hAnsi="仿宋" w:eastAsia="仿宋"/>
          <w:sz w:val="32"/>
          <w:szCs w:val="32"/>
        </w:rPr>
        <w:t>执行。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运维服务工程师应</w:t>
      </w:r>
      <w:r>
        <w:rPr>
          <w:rFonts w:hint="eastAsia" w:ascii="仿宋" w:hAnsi="仿宋" w:eastAsia="仿宋"/>
          <w:sz w:val="32"/>
          <w:szCs w:val="32"/>
        </w:rPr>
        <w:t>精神饱满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穿着得体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着装整洁。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运维服务工程师在进行现场</w:t>
      </w:r>
      <w:r>
        <w:rPr>
          <w:rFonts w:hint="eastAsia" w:ascii="仿宋" w:hAnsi="仿宋" w:eastAsia="仿宋"/>
          <w:sz w:val="32"/>
          <w:szCs w:val="32"/>
        </w:rPr>
        <w:t>服务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沟通</w:t>
      </w:r>
      <w:r>
        <w:rPr>
          <w:rFonts w:hint="eastAsia" w:ascii="仿宋" w:hAnsi="仿宋" w:eastAsia="仿宋"/>
          <w:sz w:val="32"/>
          <w:szCs w:val="32"/>
        </w:rPr>
        <w:t>时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须做到</w:t>
      </w:r>
      <w:r>
        <w:rPr>
          <w:rFonts w:hint="eastAsia" w:ascii="仿宋" w:hAnsi="仿宋" w:eastAsia="仿宋"/>
          <w:sz w:val="32"/>
          <w:szCs w:val="32"/>
        </w:rPr>
        <w:t>文明礼貌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表述清晰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语气和善。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（4）严格遵守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运维服务</w:t>
      </w:r>
      <w:r>
        <w:rPr>
          <w:rFonts w:hint="eastAsia" w:ascii="仿宋" w:hAnsi="仿宋" w:eastAsia="仿宋"/>
          <w:sz w:val="32"/>
          <w:szCs w:val="32"/>
        </w:rPr>
        <w:t>时间，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/>
          <w:sz w:val="32"/>
          <w:szCs w:val="32"/>
        </w:rPr>
        <w:t>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相应的运维服务技术规范和</w:t>
      </w:r>
      <w:r>
        <w:rPr>
          <w:rFonts w:hint="eastAsia" w:ascii="仿宋" w:hAnsi="仿宋" w:eastAsia="仿宋"/>
          <w:sz w:val="32"/>
          <w:szCs w:val="32"/>
        </w:rPr>
        <w:t>流程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进行</w:t>
      </w:r>
      <w:r>
        <w:rPr>
          <w:rFonts w:hint="eastAsia" w:ascii="仿宋" w:hAnsi="仿宋" w:eastAsia="仿宋"/>
          <w:sz w:val="32"/>
          <w:szCs w:val="32"/>
        </w:rPr>
        <w:t>操作。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（5）接受用户单位的统一管理，做到事事有记录、事事有反馈、重大问题及时汇报。</w:t>
      </w:r>
    </w:p>
    <w:p>
      <w:pPr>
        <w:pStyle w:val="3"/>
        <w:ind w:firstLine="640" w:firstLineChars="200"/>
      </w:pPr>
      <w:bookmarkStart w:id="73" w:name="_Toc25695"/>
      <w:bookmarkStart w:id="74" w:name="_Toc180554337"/>
      <w:bookmarkStart w:id="75" w:name="_Toc231627122"/>
      <w:r>
        <w:rPr>
          <w:rFonts w:hint="eastAsia"/>
        </w:rPr>
        <w:t>3、现场服务技术规范</w:t>
      </w:r>
      <w:bookmarkEnd w:id="73"/>
      <w:bookmarkEnd w:id="74"/>
      <w:bookmarkEnd w:id="75"/>
    </w:p>
    <w:p>
      <w:pPr>
        <w:widowControl w:val="0"/>
        <w:spacing w:after="0" w:line="600" w:lineRule="exact"/>
        <w:ind w:firstLine="640" w:firstLineChars="20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（1）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运维服务公司在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运维服务过程中，</w:t>
      </w:r>
      <w:r>
        <w:rPr>
          <w:rFonts w:hint="eastAsia" w:ascii="仿宋" w:hAnsi="仿宋" w:eastAsia="仿宋"/>
          <w:sz w:val="32"/>
          <w:szCs w:val="32"/>
        </w:rPr>
        <w:t>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硬件</w:t>
      </w:r>
      <w:r>
        <w:rPr>
          <w:rFonts w:hint="eastAsia" w:ascii="仿宋" w:hAnsi="仿宋" w:eastAsia="仿宋"/>
          <w:sz w:val="32"/>
          <w:szCs w:val="32"/>
        </w:rPr>
        <w:t>设备、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技术资料、</w:t>
      </w:r>
      <w:r>
        <w:rPr>
          <w:rFonts w:hint="eastAsia" w:ascii="仿宋" w:hAnsi="仿宋" w:eastAsia="仿宋"/>
          <w:sz w:val="32"/>
          <w:szCs w:val="32"/>
        </w:rPr>
        <w:t>系统、文件、软件、网络、数据、密码、参数等负有保密责任，不得随意复制和传播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并按用户要求签订保密协议。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）在进行现场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运维和故障处理</w:t>
      </w:r>
      <w:r>
        <w:rPr>
          <w:rFonts w:hint="eastAsia" w:ascii="仿宋" w:hAnsi="仿宋" w:eastAsia="仿宋"/>
          <w:sz w:val="32"/>
          <w:szCs w:val="32"/>
        </w:rPr>
        <w:t>时，必须在保证数据和系统安全的前提下开展工作。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因技术或其他原因故障现场暂时无法解决</w:t>
      </w:r>
      <w:r>
        <w:rPr>
          <w:rFonts w:hint="eastAsia" w:ascii="仿宋" w:hAnsi="仿宋" w:eastAsia="仿宋"/>
          <w:sz w:val="32"/>
          <w:szCs w:val="32"/>
        </w:rPr>
        <w:t>时，应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先</w:t>
      </w:r>
      <w:r>
        <w:rPr>
          <w:rFonts w:hint="eastAsia" w:ascii="仿宋" w:hAnsi="仿宋" w:eastAsia="仿宋"/>
          <w:sz w:val="32"/>
          <w:szCs w:val="32"/>
        </w:rPr>
        <w:t>告知用户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再</w:t>
      </w:r>
      <w:r>
        <w:rPr>
          <w:rFonts w:hint="eastAsia" w:ascii="仿宋" w:hAnsi="仿宋" w:eastAsia="仿宋"/>
          <w:sz w:val="32"/>
          <w:szCs w:val="32"/>
        </w:rPr>
        <w:t>寻找其他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办法或</w:t>
      </w:r>
      <w:r>
        <w:rPr>
          <w:rFonts w:hint="eastAsia" w:ascii="仿宋" w:hAnsi="仿宋" w:eastAsia="仿宋"/>
          <w:sz w:val="32"/>
          <w:szCs w:val="32"/>
        </w:rPr>
        <w:t>途径解决。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）出现疑难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故障或</w:t>
      </w:r>
      <w:r>
        <w:rPr>
          <w:rFonts w:hint="eastAsia" w:ascii="仿宋" w:hAnsi="仿宋" w:eastAsia="仿宋"/>
          <w:sz w:val="32"/>
          <w:szCs w:val="32"/>
        </w:rPr>
        <w:t>重大紧急情况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故障无法处理</w:t>
      </w:r>
      <w:r>
        <w:rPr>
          <w:rFonts w:hint="eastAsia" w:ascii="仿宋" w:hAnsi="仿宋" w:eastAsia="仿宋"/>
          <w:sz w:val="32"/>
          <w:szCs w:val="32"/>
        </w:rPr>
        <w:t>时，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严禁擅自违规处理，</w:t>
      </w:r>
      <w:r>
        <w:rPr>
          <w:rFonts w:hint="eastAsia" w:ascii="仿宋" w:hAnsi="仿宋" w:eastAsia="仿宋"/>
          <w:sz w:val="32"/>
          <w:szCs w:val="32"/>
        </w:rPr>
        <w:t>应及时向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用户有</w:t>
      </w:r>
      <w:r>
        <w:rPr>
          <w:rFonts w:hint="eastAsia" w:ascii="仿宋" w:hAnsi="仿宋" w:eastAsia="仿宋"/>
          <w:sz w:val="32"/>
          <w:szCs w:val="32"/>
        </w:rPr>
        <w:t>关负责人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或信息技术部门</w:t>
      </w:r>
      <w:r>
        <w:rPr>
          <w:rFonts w:hint="eastAsia" w:ascii="仿宋" w:hAnsi="仿宋" w:eastAsia="仿宋"/>
          <w:sz w:val="32"/>
          <w:szCs w:val="32"/>
        </w:rPr>
        <w:t>报告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避免造成更大的故障或者损失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（5）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/>
          <w:sz w:val="32"/>
          <w:szCs w:val="32"/>
        </w:rPr>
        <w:t>与用户单位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信息</w:t>
      </w:r>
      <w:r>
        <w:rPr>
          <w:rFonts w:hint="eastAsia" w:ascii="仿宋" w:hAnsi="仿宋" w:eastAsia="仿宋"/>
          <w:sz w:val="32"/>
          <w:szCs w:val="32"/>
        </w:rPr>
        <w:t>技术部门协同工作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时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/>
          <w:sz w:val="32"/>
          <w:szCs w:val="32"/>
        </w:rPr>
        <w:t>密切配合，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按照用户制定的方案和流程</w:t>
      </w:r>
      <w:r>
        <w:rPr>
          <w:rFonts w:hint="eastAsia" w:ascii="仿宋" w:hAnsi="仿宋" w:eastAsia="仿宋"/>
          <w:sz w:val="32"/>
          <w:szCs w:val="32"/>
        </w:rPr>
        <w:t>共同开展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/>
          <w:sz w:val="32"/>
          <w:szCs w:val="32"/>
        </w:rPr>
        <w:t>技术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服务</w:t>
      </w:r>
      <w:r>
        <w:rPr>
          <w:rFonts w:hint="eastAsia" w:ascii="仿宋" w:hAnsi="仿宋" w:eastAsia="仿宋"/>
          <w:sz w:val="32"/>
          <w:szCs w:val="32"/>
        </w:rPr>
        <w:t>工作。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硬件设备需返厂或送外维修时，须向用户相关主管部门（科室）报告，在相关部门（科室）同意并按规定履行完相应手续后，方可带出用户单位。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）故障解决后，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须</w:t>
      </w:r>
      <w:r>
        <w:rPr>
          <w:rFonts w:hint="eastAsia" w:ascii="仿宋" w:hAnsi="仿宋" w:eastAsia="仿宋"/>
          <w:sz w:val="32"/>
          <w:szCs w:val="32"/>
        </w:rPr>
        <w:t>按规定详细记录故障情况、处理方法、完成时间等，并形成书面文档，必要时应向用户介绍故障出现的原因、预防方法和解决技巧。</w:t>
      </w:r>
    </w:p>
    <w:p>
      <w:pPr>
        <w:pStyle w:val="2"/>
        <w:ind w:firstLine="640" w:firstLineChars="200"/>
      </w:pPr>
      <w:bookmarkStart w:id="76" w:name="_Toc906"/>
      <w:r>
        <w:rPr>
          <w:rFonts w:hint="eastAsia"/>
        </w:rPr>
        <w:t>五、服务应急响应措施</w:t>
      </w:r>
      <w:bookmarkEnd w:id="76"/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运维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技术</w:t>
      </w:r>
      <w:r>
        <w:rPr>
          <w:rFonts w:hint="eastAsia" w:ascii="仿宋" w:hAnsi="仿宋" w:eastAsia="仿宋"/>
          <w:sz w:val="32"/>
          <w:szCs w:val="32"/>
        </w:rPr>
        <w:t>人员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/>
          <w:sz w:val="32"/>
          <w:szCs w:val="32"/>
        </w:rPr>
        <w:t>按规定定期检查各类硬件设备运转情况和系统软件运行情况，熟练掌握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各类</w:t>
      </w:r>
      <w:r>
        <w:rPr>
          <w:rFonts w:hint="eastAsia" w:ascii="仿宋" w:hAnsi="仿宋" w:eastAsia="仿宋"/>
          <w:sz w:val="32"/>
          <w:szCs w:val="32"/>
        </w:rPr>
        <w:t>故障处理方法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；在正常运维</w:t>
      </w:r>
      <w:r>
        <w:rPr>
          <w:rFonts w:hint="eastAsia" w:ascii="仿宋" w:hAnsi="仿宋" w:eastAsia="仿宋"/>
          <w:sz w:val="32"/>
          <w:szCs w:val="32"/>
        </w:rPr>
        <w:t>服务过程中出现突发风险和意外情况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时应沉着冷静，并</w:t>
      </w:r>
      <w:r>
        <w:rPr>
          <w:rFonts w:hint="eastAsia" w:ascii="仿宋" w:hAnsi="仿宋" w:eastAsia="仿宋"/>
          <w:sz w:val="32"/>
          <w:szCs w:val="32"/>
        </w:rPr>
        <w:t>严格按照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故障</w:t>
      </w:r>
      <w:r>
        <w:rPr>
          <w:rFonts w:hint="eastAsia" w:ascii="仿宋" w:hAnsi="仿宋" w:eastAsia="仿宋"/>
          <w:sz w:val="32"/>
          <w:szCs w:val="32"/>
        </w:rPr>
        <w:t>处理流程进行排查，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对故障情况</w:t>
      </w:r>
      <w:r>
        <w:rPr>
          <w:rFonts w:hint="eastAsia" w:ascii="仿宋" w:hAnsi="仿宋" w:eastAsia="仿宋"/>
          <w:sz w:val="32"/>
          <w:szCs w:val="32"/>
        </w:rPr>
        <w:t>进行详细分析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判断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查找故障原因，确定</w:t>
      </w:r>
      <w:r>
        <w:rPr>
          <w:rFonts w:hint="eastAsia" w:ascii="仿宋" w:hAnsi="仿宋" w:eastAsia="仿宋"/>
          <w:sz w:val="32"/>
          <w:szCs w:val="32"/>
        </w:rPr>
        <w:t>解决方案或临时解决措施，尽快排除故障，避免造成更大的影响；故障处理彻底解决后，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/>
          <w:sz w:val="32"/>
          <w:szCs w:val="32"/>
        </w:rPr>
        <w:t>及时分析总结问题原因，避免以后类似情况再次发生。</w:t>
      </w:r>
    </w:p>
    <w:p/>
    <w:sectPr>
      <w:headerReference r:id="rId4" w:type="default"/>
      <w:pgSz w:w="11906" w:h="16838"/>
      <w:pgMar w:top="2098" w:right="1474" w:bottom="1984" w:left="158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b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3E3C1D"/>
    <w:multiLevelType w:val="multilevel"/>
    <w:tmpl w:val="143E3C1D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YTgwMjE1YTc0NWI0MWIwNDViZWY0YjhlNWE4OTEifQ=="/>
  </w:docVars>
  <w:rsids>
    <w:rsidRoot w:val="00F33C53"/>
    <w:rsid w:val="00003E42"/>
    <w:rsid w:val="000041B7"/>
    <w:rsid w:val="000069AE"/>
    <w:rsid w:val="00014055"/>
    <w:rsid w:val="00017B9D"/>
    <w:rsid w:val="00023C68"/>
    <w:rsid w:val="000261F0"/>
    <w:rsid w:val="00043F68"/>
    <w:rsid w:val="000605A9"/>
    <w:rsid w:val="00077A3B"/>
    <w:rsid w:val="00092A95"/>
    <w:rsid w:val="00094499"/>
    <w:rsid w:val="000C4584"/>
    <w:rsid w:val="000D4703"/>
    <w:rsid w:val="001126E2"/>
    <w:rsid w:val="00126D6E"/>
    <w:rsid w:val="00132729"/>
    <w:rsid w:val="00135968"/>
    <w:rsid w:val="001407FD"/>
    <w:rsid w:val="00154702"/>
    <w:rsid w:val="00154F66"/>
    <w:rsid w:val="001673A9"/>
    <w:rsid w:val="00174E4C"/>
    <w:rsid w:val="00175D07"/>
    <w:rsid w:val="0019749A"/>
    <w:rsid w:val="001A11AE"/>
    <w:rsid w:val="001B5602"/>
    <w:rsid w:val="001C0036"/>
    <w:rsid w:val="001C3457"/>
    <w:rsid w:val="001C3F7F"/>
    <w:rsid w:val="001D0B12"/>
    <w:rsid w:val="001D39BC"/>
    <w:rsid w:val="001E2A83"/>
    <w:rsid w:val="001E3389"/>
    <w:rsid w:val="001F5FF7"/>
    <w:rsid w:val="00210385"/>
    <w:rsid w:val="00210D8A"/>
    <w:rsid w:val="00217F55"/>
    <w:rsid w:val="00224382"/>
    <w:rsid w:val="0022646D"/>
    <w:rsid w:val="002348FA"/>
    <w:rsid w:val="00246CBA"/>
    <w:rsid w:val="002502C2"/>
    <w:rsid w:val="00283791"/>
    <w:rsid w:val="0028535A"/>
    <w:rsid w:val="002978DB"/>
    <w:rsid w:val="002A3C25"/>
    <w:rsid w:val="002A62E0"/>
    <w:rsid w:val="002C37D2"/>
    <w:rsid w:val="002F4CC1"/>
    <w:rsid w:val="00301DCA"/>
    <w:rsid w:val="0033409D"/>
    <w:rsid w:val="003401C9"/>
    <w:rsid w:val="00343C6F"/>
    <w:rsid w:val="003569B2"/>
    <w:rsid w:val="003612B9"/>
    <w:rsid w:val="0036355D"/>
    <w:rsid w:val="0037402C"/>
    <w:rsid w:val="00374398"/>
    <w:rsid w:val="00377B26"/>
    <w:rsid w:val="00387D40"/>
    <w:rsid w:val="003A4F28"/>
    <w:rsid w:val="003A662A"/>
    <w:rsid w:val="003B71B3"/>
    <w:rsid w:val="003F4039"/>
    <w:rsid w:val="0042281A"/>
    <w:rsid w:val="00432894"/>
    <w:rsid w:val="004561FA"/>
    <w:rsid w:val="00457888"/>
    <w:rsid w:val="0046737A"/>
    <w:rsid w:val="00467862"/>
    <w:rsid w:val="004B0052"/>
    <w:rsid w:val="004B055D"/>
    <w:rsid w:val="004B212E"/>
    <w:rsid w:val="004D0208"/>
    <w:rsid w:val="004D420C"/>
    <w:rsid w:val="00532BB2"/>
    <w:rsid w:val="005356B8"/>
    <w:rsid w:val="005415D9"/>
    <w:rsid w:val="00541659"/>
    <w:rsid w:val="00564D6B"/>
    <w:rsid w:val="00565684"/>
    <w:rsid w:val="00570741"/>
    <w:rsid w:val="00580F3E"/>
    <w:rsid w:val="00583FAF"/>
    <w:rsid w:val="00585A10"/>
    <w:rsid w:val="005975FE"/>
    <w:rsid w:val="005A346E"/>
    <w:rsid w:val="005E3B61"/>
    <w:rsid w:val="005E4809"/>
    <w:rsid w:val="005E7677"/>
    <w:rsid w:val="005F1349"/>
    <w:rsid w:val="005F750C"/>
    <w:rsid w:val="00607806"/>
    <w:rsid w:val="006157DC"/>
    <w:rsid w:val="00617EA2"/>
    <w:rsid w:val="0062238B"/>
    <w:rsid w:val="00631D4B"/>
    <w:rsid w:val="00632B41"/>
    <w:rsid w:val="00640198"/>
    <w:rsid w:val="00647648"/>
    <w:rsid w:val="00654D3C"/>
    <w:rsid w:val="006718A4"/>
    <w:rsid w:val="00693F1E"/>
    <w:rsid w:val="00695F65"/>
    <w:rsid w:val="006A31EB"/>
    <w:rsid w:val="006C3210"/>
    <w:rsid w:val="006D2E38"/>
    <w:rsid w:val="006D7A55"/>
    <w:rsid w:val="006E7F96"/>
    <w:rsid w:val="007050D5"/>
    <w:rsid w:val="00707678"/>
    <w:rsid w:val="00715F0E"/>
    <w:rsid w:val="00740876"/>
    <w:rsid w:val="00740CBA"/>
    <w:rsid w:val="00764554"/>
    <w:rsid w:val="00781B0E"/>
    <w:rsid w:val="007857BF"/>
    <w:rsid w:val="00796AB5"/>
    <w:rsid w:val="007B01EE"/>
    <w:rsid w:val="007D794F"/>
    <w:rsid w:val="008127F7"/>
    <w:rsid w:val="00812BDC"/>
    <w:rsid w:val="0082179F"/>
    <w:rsid w:val="0082469F"/>
    <w:rsid w:val="008316B6"/>
    <w:rsid w:val="00840862"/>
    <w:rsid w:val="00846816"/>
    <w:rsid w:val="00855DB5"/>
    <w:rsid w:val="008602E2"/>
    <w:rsid w:val="00870D5B"/>
    <w:rsid w:val="00871E95"/>
    <w:rsid w:val="008811A7"/>
    <w:rsid w:val="00884A5C"/>
    <w:rsid w:val="00891621"/>
    <w:rsid w:val="00894126"/>
    <w:rsid w:val="008B15FE"/>
    <w:rsid w:val="008B1D24"/>
    <w:rsid w:val="008C1B96"/>
    <w:rsid w:val="008D4F0E"/>
    <w:rsid w:val="008D7DAB"/>
    <w:rsid w:val="0092266E"/>
    <w:rsid w:val="00923ECA"/>
    <w:rsid w:val="00926F8F"/>
    <w:rsid w:val="00937B58"/>
    <w:rsid w:val="009552B9"/>
    <w:rsid w:val="009657F0"/>
    <w:rsid w:val="009679A0"/>
    <w:rsid w:val="00973C85"/>
    <w:rsid w:val="00973C99"/>
    <w:rsid w:val="0098108E"/>
    <w:rsid w:val="009936BD"/>
    <w:rsid w:val="00993FA1"/>
    <w:rsid w:val="009A35C3"/>
    <w:rsid w:val="009B3F3C"/>
    <w:rsid w:val="009B5B7E"/>
    <w:rsid w:val="009C1456"/>
    <w:rsid w:val="009C1ABB"/>
    <w:rsid w:val="009C6A44"/>
    <w:rsid w:val="009D3642"/>
    <w:rsid w:val="009E725A"/>
    <w:rsid w:val="00A12318"/>
    <w:rsid w:val="00A13040"/>
    <w:rsid w:val="00A301BF"/>
    <w:rsid w:val="00A32C49"/>
    <w:rsid w:val="00A34807"/>
    <w:rsid w:val="00A35971"/>
    <w:rsid w:val="00A47337"/>
    <w:rsid w:val="00A579B1"/>
    <w:rsid w:val="00A91ACA"/>
    <w:rsid w:val="00A939F1"/>
    <w:rsid w:val="00A9742D"/>
    <w:rsid w:val="00AA4E34"/>
    <w:rsid w:val="00AC3051"/>
    <w:rsid w:val="00AC46D0"/>
    <w:rsid w:val="00AD13BF"/>
    <w:rsid w:val="00AD22B2"/>
    <w:rsid w:val="00AF2767"/>
    <w:rsid w:val="00B101F1"/>
    <w:rsid w:val="00B37CDE"/>
    <w:rsid w:val="00B46A6E"/>
    <w:rsid w:val="00B55D4A"/>
    <w:rsid w:val="00B61BEE"/>
    <w:rsid w:val="00B72940"/>
    <w:rsid w:val="00B738B8"/>
    <w:rsid w:val="00B8440A"/>
    <w:rsid w:val="00B86504"/>
    <w:rsid w:val="00B95E07"/>
    <w:rsid w:val="00BA2CBC"/>
    <w:rsid w:val="00BA4451"/>
    <w:rsid w:val="00BB64F0"/>
    <w:rsid w:val="00BC1B9A"/>
    <w:rsid w:val="00BC3217"/>
    <w:rsid w:val="00BE3AF9"/>
    <w:rsid w:val="00BF1379"/>
    <w:rsid w:val="00BF61F5"/>
    <w:rsid w:val="00BF6861"/>
    <w:rsid w:val="00C00810"/>
    <w:rsid w:val="00C03BDA"/>
    <w:rsid w:val="00C14360"/>
    <w:rsid w:val="00C15F20"/>
    <w:rsid w:val="00C2160D"/>
    <w:rsid w:val="00C65951"/>
    <w:rsid w:val="00C76458"/>
    <w:rsid w:val="00C86A91"/>
    <w:rsid w:val="00CA4D5E"/>
    <w:rsid w:val="00CA685F"/>
    <w:rsid w:val="00CB3041"/>
    <w:rsid w:val="00CC231A"/>
    <w:rsid w:val="00CC2939"/>
    <w:rsid w:val="00CD0701"/>
    <w:rsid w:val="00CE04CD"/>
    <w:rsid w:val="00CE7E87"/>
    <w:rsid w:val="00CF1B47"/>
    <w:rsid w:val="00CF69CD"/>
    <w:rsid w:val="00D01917"/>
    <w:rsid w:val="00D0794E"/>
    <w:rsid w:val="00D131F9"/>
    <w:rsid w:val="00D13C87"/>
    <w:rsid w:val="00D24770"/>
    <w:rsid w:val="00D5271C"/>
    <w:rsid w:val="00D52B12"/>
    <w:rsid w:val="00D62823"/>
    <w:rsid w:val="00D6366B"/>
    <w:rsid w:val="00D7376B"/>
    <w:rsid w:val="00D75CD4"/>
    <w:rsid w:val="00D82578"/>
    <w:rsid w:val="00D851DF"/>
    <w:rsid w:val="00D873A0"/>
    <w:rsid w:val="00D92249"/>
    <w:rsid w:val="00DA5F4A"/>
    <w:rsid w:val="00DD4C86"/>
    <w:rsid w:val="00DD5D29"/>
    <w:rsid w:val="00DF0679"/>
    <w:rsid w:val="00DF5AE7"/>
    <w:rsid w:val="00E1556B"/>
    <w:rsid w:val="00E20152"/>
    <w:rsid w:val="00E437B7"/>
    <w:rsid w:val="00E46197"/>
    <w:rsid w:val="00E616A3"/>
    <w:rsid w:val="00E92015"/>
    <w:rsid w:val="00EA0271"/>
    <w:rsid w:val="00EA19F0"/>
    <w:rsid w:val="00EA5E45"/>
    <w:rsid w:val="00EB3C3A"/>
    <w:rsid w:val="00EE0738"/>
    <w:rsid w:val="00EF2AD3"/>
    <w:rsid w:val="00F26A04"/>
    <w:rsid w:val="00F33C53"/>
    <w:rsid w:val="00F357FC"/>
    <w:rsid w:val="00F84A4D"/>
    <w:rsid w:val="00F9247C"/>
    <w:rsid w:val="00FC216C"/>
    <w:rsid w:val="00FC67B7"/>
    <w:rsid w:val="00FD109C"/>
    <w:rsid w:val="05E6151A"/>
    <w:rsid w:val="1D330B15"/>
    <w:rsid w:val="1EDB762C"/>
    <w:rsid w:val="25324461"/>
    <w:rsid w:val="29953774"/>
    <w:rsid w:val="30F46739"/>
    <w:rsid w:val="331704BD"/>
    <w:rsid w:val="3738119A"/>
    <w:rsid w:val="43C7383A"/>
    <w:rsid w:val="4D170C36"/>
    <w:rsid w:val="4E8A626D"/>
    <w:rsid w:val="51BF3F83"/>
    <w:rsid w:val="531A671E"/>
    <w:rsid w:val="53AE1AA3"/>
    <w:rsid w:val="5570792C"/>
    <w:rsid w:val="574D77C3"/>
    <w:rsid w:val="79F5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widowControl w:val="0"/>
      <w:adjustRightInd/>
      <w:snapToGrid/>
      <w:spacing w:before="340" w:after="330" w:line="600" w:lineRule="exact"/>
      <w:jc w:val="both"/>
      <w:outlineLvl w:val="0"/>
    </w:pPr>
    <w:rPr>
      <w:rFonts w:ascii="黑体" w:hAnsi="黑体" w:eastAsia="黑体"/>
      <w:sz w:val="32"/>
      <w:szCs w:val="32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widowControl w:val="0"/>
      <w:adjustRightInd/>
      <w:spacing w:before="240" w:after="0" w:line="276" w:lineRule="auto"/>
      <w:jc w:val="both"/>
      <w:outlineLvl w:val="1"/>
    </w:pPr>
    <w:rPr>
      <w:rFonts w:ascii="仿宋" w:hAnsi="仿宋" w:eastAsia="仿宋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22"/>
    <w:qFormat/>
    <w:uiPriority w:val="0"/>
    <w:pPr>
      <w:adjustRightInd/>
      <w:snapToGrid/>
      <w:spacing w:after="0" w:line="360" w:lineRule="atLeast"/>
      <w:jc w:val="both"/>
    </w:pPr>
    <w:rPr>
      <w:rFonts w:ascii="宋体" w:hAnsi="Courier New" w:eastAsia="宋体"/>
      <w:kern w:val="21"/>
      <w:sz w:val="24"/>
      <w:szCs w:val="20"/>
    </w:rPr>
  </w:style>
  <w:style w:type="paragraph" w:styleId="5">
    <w:name w:val="Date"/>
    <w:basedOn w:val="1"/>
    <w:next w:val="1"/>
    <w:link w:val="25"/>
    <w:qFormat/>
    <w:uiPriority w:val="0"/>
    <w:pPr>
      <w:ind w:left="100" w:leftChars="2500"/>
    </w:pPr>
  </w:style>
  <w:style w:type="paragraph" w:styleId="6">
    <w:name w:val="Balloon Text"/>
    <w:basedOn w:val="1"/>
    <w:link w:val="24"/>
    <w:qFormat/>
    <w:uiPriority w:val="0"/>
    <w:pPr>
      <w:spacing w:after="0"/>
    </w:pPr>
    <w:rPr>
      <w:sz w:val="18"/>
      <w:szCs w:val="18"/>
    </w:rPr>
  </w:style>
  <w:style w:type="paragraph" w:styleId="7">
    <w:name w:val="footer"/>
    <w:basedOn w:val="1"/>
    <w:link w:val="18"/>
    <w:qFormat/>
    <w:uiPriority w:val="0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hAnsi="Times New Roman" w:eastAsia="宋体"/>
      <w:kern w:val="2"/>
      <w:sz w:val="18"/>
      <w:szCs w:val="18"/>
    </w:rPr>
  </w:style>
  <w:style w:type="paragraph" w:styleId="8">
    <w:name w:val="header"/>
    <w:basedOn w:val="1"/>
    <w:link w:val="19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="Times New Roman" w:hAnsi="Times New Roman" w:eastAsia="宋体"/>
      <w:kern w:val="2"/>
      <w:sz w:val="18"/>
      <w:szCs w:val="18"/>
    </w:rPr>
  </w:style>
  <w:style w:type="paragraph" w:styleId="9">
    <w:name w:val="toc 1"/>
    <w:basedOn w:val="1"/>
    <w:next w:val="1"/>
    <w:qFormat/>
    <w:uiPriority w:val="39"/>
    <w:pPr>
      <w:widowControl w:val="0"/>
      <w:adjustRightInd/>
      <w:spacing w:before="120" w:after="120" w:line="360" w:lineRule="auto"/>
    </w:pPr>
    <w:rPr>
      <w:rFonts w:ascii="Times New Roman" w:hAnsi="Times New Roman" w:eastAsia="宋体"/>
      <w:b/>
      <w:bCs/>
      <w:caps/>
      <w:kern w:val="2"/>
      <w:sz w:val="20"/>
      <w:szCs w:val="20"/>
    </w:rPr>
  </w:style>
  <w:style w:type="paragraph" w:styleId="10">
    <w:name w:val="toc 2"/>
    <w:basedOn w:val="1"/>
    <w:next w:val="1"/>
    <w:qFormat/>
    <w:uiPriority w:val="39"/>
    <w:pPr>
      <w:widowControl w:val="0"/>
      <w:adjustRightInd/>
      <w:spacing w:after="0" w:line="360" w:lineRule="auto"/>
      <w:ind w:left="240"/>
    </w:pPr>
    <w:rPr>
      <w:rFonts w:ascii="Times New Roman" w:hAnsi="Times New Roman" w:eastAsia="宋体"/>
      <w:smallCaps/>
      <w:kern w:val="2"/>
      <w:sz w:val="20"/>
      <w:szCs w:val="20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page number"/>
    <w:basedOn w:val="13"/>
    <w:qFormat/>
    <w:uiPriority w:val="0"/>
  </w:style>
  <w:style w:type="character" w:styleId="15">
    <w:name w:val="Hyperlink"/>
    <w:qFormat/>
    <w:uiPriority w:val="99"/>
    <w:rPr>
      <w:color w:val="0000FF"/>
      <w:u w:val="single"/>
    </w:rPr>
  </w:style>
  <w:style w:type="character" w:customStyle="1" w:styleId="16">
    <w:name w:val="标题 1 Char"/>
    <w:basedOn w:val="13"/>
    <w:link w:val="2"/>
    <w:qFormat/>
    <w:uiPriority w:val="0"/>
    <w:rPr>
      <w:rFonts w:ascii="黑体" w:hAnsi="黑体" w:eastAsia="黑体"/>
      <w:sz w:val="32"/>
      <w:szCs w:val="32"/>
      <w:lang w:val="en-US" w:eastAsia="zh-CN" w:bidi="ar-SA"/>
    </w:rPr>
  </w:style>
  <w:style w:type="character" w:customStyle="1" w:styleId="17">
    <w:name w:val="标题 2 Char"/>
    <w:basedOn w:val="13"/>
    <w:link w:val="3"/>
    <w:qFormat/>
    <w:uiPriority w:val="0"/>
    <w:rPr>
      <w:rFonts w:ascii="仿宋" w:hAnsi="仿宋" w:eastAsia="仿宋"/>
      <w:sz w:val="32"/>
      <w:szCs w:val="32"/>
      <w:lang w:val="en-US" w:eastAsia="zh-CN" w:bidi="ar-SA"/>
    </w:rPr>
  </w:style>
  <w:style w:type="character" w:customStyle="1" w:styleId="18">
    <w:name w:val="页脚 Char"/>
    <w:basedOn w:val="13"/>
    <w:link w:val="7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9">
    <w:name w:val="页眉 Char"/>
    <w:basedOn w:val="13"/>
    <w:link w:val="8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20">
    <w:name w:val="正文（首行缩进2字符）"/>
    <w:basedOn w:val="1"/>
    <w:link w:val="21"/>
    <w:qFormat/>
    <w:uiPriority w:val="0"/>
    <w:pPr>
      <w:widowControl w:val="0"/>
      <w:adjustRightInd/>
      <w:snapToGrid/>
      <w:spacing w:after="0" w:line="360" w:lineRule="auto"/>
      <w:ind w:firstLine="480" w:firstLineChars="200"/>
      <w:jc w:val="both"/>
    </w:pPr>
    <w:rPr>
      <w:rFonts w:ascii="Times New Roman" w:hAnsi="Times New Roman" w:eastAsia="宋体"/>
      <w:kern w:val="2"/>
      <w:sz w:val="24"/>
      <w:szCs w:val="24"/>
    </w:rPr>
  </w:style>
  <w:style w:type="character" w:customStyle="1" w:styleId="21">
    <w:name w:val="正文（首行缩进2字符） Char"/>
    <w:link w:val="20"/>
    <w:qFormat/>
    <w:uiPriority w:val="0"/>
    <w:rPr>
      <w:rFonts w:eastAsia="宋体"/>
      <w:kern w:val="2"/>
      <w:sz w:val="24"/>
      <w:szCs w:val="24"/>
      <w:lang w:bidi="ar-SA"/>
    </w:rPr>
  </w:style>
  <w:style w:type="character" w:customStyle="1" w:styleId="22">
    <w:name w:val="纯文本 Char"/>
    <w:basedOn w:val="13"/>
    <w:link w:val="4"/>
    <w:qFormat/>
    <w:uiPriority w:val="0"/>
    <w:rPr>
      <w:rFonts w:ascii="宋体" w:hAnsi="Courier New" w:eastAsia="宋体"/>
      <w:kern w:val="21"/>
      <w:sz w:val="24"/>
      <w:lang w:val="en-US" w:eastAsia="zh-CN" w:bidi="ar-SA"/>
    </w:rPr>
  </w:style>
  <w:style w:type="paragraph" w:customStyle="1" w:styleId="23">
    <w:name w:val="缺省文本:1"/>
    <w:basedOn w:val="1"/>
    <w:qFormat/>
    <w:uiPriority w:val="0"/>
    <w:pPr>
      <w:widowControl w:val="0"/>
      <w:autoSpaceDE w:val="0"/>
      <w:autoSpaceDN w:val="0"/>
      <w:snapToGrid/>
      <w:spacing w:after="0" w:line="480" w:lineRule="exact"/>
    </w:pPr>
    <w:rPr>
      <w:rFonts w:ascii="宋体" w:hAnsi="Times New Roman" w:eastAsia="宋体"/>
      <w:sz w:val="24"/>
      <w:szCs w:val="24"/>
    </w:rPr>
  </w:style>
  <w:style w:type="character" w:customStyle="1" w:styleId="24">
    <w:name w:val="批注框文本 Char"/>
    <w:basedOn w:val="13"/>
    <w:link w:val="6"/>
    <w:qFormat/>
    <w:uiPriority w:val="0"/>
    <w:rPr>
      <w:rFonts w:ascii="Tahoma" w:hAnsi="Tahoma" w:eastAsia="微软雅黑"/>
      <w:sz w:val="18"/>
      <w:szCs w:val="18"/>
    </w:rPr>
  </w:style>
  <w:style w:type="character" w:customStyle="1" w:styleId="25">
    <w:name w:val="日期 Char"/>
    <w:basedOn w:val="13"/>
    <w:link w:val="5"/>
    <w:qFormat/>
    <w:uiPriority w:val="0"/>
    <w:rPr>
      <w:rFonts w:ascii="Tahoma" w:hAnsi="Tahoma" w:eastAsia="微软雅黑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1994</Words>
  <Characters>2014</Characters>
  <Lines>30</Lines>
  <Paragraphs>8</Paragraphs>
  <TotalTime>8</TotalTime>
  <ScaleCrop>false</ScaleCrop>
  <LinksUpToDate>false</LinksUpToDate>
  <CharactersWithSpaces>2014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2019-02-22T03:08:00Z</dcterms:created>
  <dc:creator>朱娜</dc:creator>
  <cp:lastModifiedBy>简1387767049</cp:lastModifiedBy>
  <cp:lastPrinted>2020-04-01T08:08:00Z</cp:lastPrinted>
  <dcterms:modified xsi:type="dcterms:W3CDTF">2023-10-30T01:49:28Z</dcterms:modified>
  <dc:title>关于局机关办公设备、网络及社保经办服务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9E8F52545A13411C85BCB979807E5033_13</vt:lpwstr>
  </property>
</Properties>
</file>