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8"/>
        <w:tblW w:w="1450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1"/>
        <w:gridCol w:w="4191"/>
        <w:gridCol w:w="9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jc w:val="center"/>
        </w:trPr>
        <w:tc>
          <w:tcPr>
            <w:tcW w:w="14502"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4502"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市中区政府（办公室）规范性文件清理结果目录（一）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14502" w:type="dxa"/>
            <w:gridSpan w:val="3"/>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i w:val="0"/>
                <w:color w:val="000000"/>
                <w:sz w:val="28"/>
                <w:szCs w:val="28"/>
                <w:u w:val="none"/>
              </w:rPr>
            </w:pPr>
            <w:r>
              <w:rPr>
                <w:rFonts w:hint="eastAsia" w:ascii="楷体_GB2312" w:hAnsi="宋体" w:eastAsia="楷体_GB2312" w:cs="楷体_GB2312"/>
                <w:i w:val="0"/>
                <w:color w:val="000000"/>
                <w:kern w:val="0"/>
                <w:sz w:val="28"/>
                <w:szCs w:val="28"/>
                <w:u w:val="none"/>
                <w:lang w:val="en-US" w:eastAsia="zh-CN" w:bidi="ar"/>
              </w:rPr>
              <w:t>（继续有效的规范性文件）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41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文   号</w:t>
            </w:r>
          </w:p>
        </w:tc>
        <w:tc>
          <w:tcPr>
            <w:tcW w:w="94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文件标题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4191"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乐中府发〔1999〕135号</w:t>
            </w:r>
          </w:p>
        </w:tc>
        <w:tc>
          <w:tcPr>
            <w:tcW w:w="9450"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关于新建石龙等3个乡级建制的通知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4191"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乐中府发〔2006〕20号</w:t>
            </w:r>
          </w:p>
        </w:tc>
        <w:tc>
          <w:tcPr>
            <w:tcW w:w="9450"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关于启用新编门牌号码和设置地名标志的通知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4191"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乐中府发〔2006〕39号</w:t>
            </w:r>
          </w:p>
        </w:tc>
        <w:tc>
          <w:tcPr>
            <w:tcW w:w="9450"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关于印发《建设平安和谐校园的实施方案》的通知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4191"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乐中府发〔2008〕31号</w:t>
            </w:r>
          </w:p>
        </w:tc>
        <w:tc>
          <w:tcPr>
            <w:tcW w:w="9450"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关于印发乐山市市中区人民政府信访事项复查实施细则的通知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4191" w:type="dxa"/>
            <w:tcBorders>
              <w:top w:val="nil"/>
              <w:left w:val="nil"/>
              <w:bottom w:val="single" w:color="000000" w:sz="8" w:space="0"/>
              <w:right w:val="single" w:color="000000" w:sz="8"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乐中府发〔2010〕21号</w:t>
            </w:r>
          </w:p>
        </w:tc>
        <w:tc>
          <w:tcPr>
            <w:tcW w:w="9450" w:type="dxa"/>
            <w:tcBorders>
              <w:top w:val="nil"/>
              <w:left w:val="nil"/>
              <w:bottom w:val="single" w:color="000000" w:sz="8" w:space="0"/>
              <w:right w:val="single" w:color="000000" w:sz="8"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关于全面兑现企业、城镇个体工商户及其他经济组织从业人员独生子女父母          奖励金的通知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8" w:hRule="exact"/>
          <w:jc w:val="center"/>
        </w:trPr>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4191"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乐中府发〔2010〕23号</w:t>
            </w:r>
          </w:p>
        </w:tc>
        <w:tc>
          <w:tcPr>
            <w:tcW w:w="9450"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关于印发市中区独生子女父母奖励实施办法的通知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4191"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乐中府发〔2013〕18号</w:t>
            </w:r>
          </w:p>
        </w:tc>
        <w:tc>
          <w:tcPr>
            <w:tcW w:w="9450"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关于印发《乐山市市中区关于开展基本医疗保险付费方式改革的实施意见》的通知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4191"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乐中府发〔2013〕22号</w:t>
            </w:r>
          </w:p>
        </w:tc>
        <w:tc>
          <w:tcPr>
            <w:tcW w:w="9450"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关于深化行政审批制度改革的意见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4191" w:type="dxa"/>
            <w:tcBorders>
              <w:top w:val="single" w:color="000000" w:sz="8" w:space="0"/>
              <w:left w:val="single" w:color="000000" w:sz="8" w:space="0"/>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乐中府发〔2013〕26号</w:t>
            </w:r>
          </w:p>
        </w:tc>
        <w:tc>
          <w:tcPr>
            <w:tcW w:w="9450" w:type="dxa"/>
            <w:tcBorders>
              <w:top w:val="single" w:color="000000" w:sz="8" w:space="0"/>
              <w:left w:val="single" w:color="000000" w:sz="8" w:space="0"/>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关于加强退役士兵职业教育和技能培训工作的意见（试行）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4191" w:type="dxa"/>
            <w:tcBorders>
              <w:top w:val="single" w:color="000000" w:sz="8" w:space="0"/>
              <w:left w:val="nil"/>
              <w:bottom w:val="single" w:color="000000" w:sz="8" w:space="0"/>
              <w:right w:val="single" w:color="000000" w:sz="8"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乐中府发〔2014〕4号</w:t>
            </w:r>
          </w:p>
        </w:tc>
        <w:tc>
          <w:tcPr>
            <w:tcW w:w="9450" w:type="dxa"/>
            <w:tcBorders>
              <w:top w:val="single" w:color="000000" w:sz="8" w:space="0"/>
              <w:left w:val="nil"/>
              <w:bottom w:val="single" w:color="000000" w:sz="8" w:space="0"/>
              <w:right w:val="single" w:color="000000" w:sz="8" w:space="0"/>
            </w:tcBorders>
            <w:shd w:val="clear" w:color="auto" w:fill="auto"/>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关于印发《乐山市市中区安全生产重大事故隐患和重大违法行为举报奖励办法（试行）》的通知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9" w:hRule="exact"/>
          <w:jc w:val="center"/>
        </w:trPr>
        <w:tc>
          <w:tcPr>
            <w:tcW w:w="8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w:t>
            </w:r>
          </w:p>
        </w:tc>
        <w:tc>
          <w:tcPr>
            <w:tcW w:w="4191" w:type="dxa"/>
            <w:tcBorders>
              <w:top w:val="single" w:color="000000" w:sz="8" w:space="0"/>
              <w:left w:val="single" w:color="000000" w:sz="8" w:space="0"/>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乐中府发〔2015〕19号</w:t>
            </w:r>
          </w:p>
        </w:tc>
        <w:tc>
          <w:tcPr>
            <w:tcW w:w="9450" w:type="dxa"/>
            <w:tcBorders>
              <w:top w:val="single" w:color="000000" w:sz="8" w:space="0"/>
              <w:left w:val="single" w:color="000000" w:sz="8" w:space="0"/>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关于印发乐山市市中区城乡居民临时救助实施办法（修订）的通知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4191" w:type="dxa"/>
            <w:tcBorders>
              <w:top w:val="single" w:color="000000" w:sz="8" w:space="0"/>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乐中府发〔2017〕10号</w:t>
            </w:r>
          </w:p>
        </w:tc>
        <w:tc>
          <w:tcPr>
            <w:tcW w:w="9450" w:type="dxa"/>
            <w:tcBorders>
              <w:top w:val="single" w:color="000000" w:sz="8" w:space="0"/>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关于印发乐山市市中区农村集体土地房屋建设项目规划、建设管理实施细则的通知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w:t>
            </w:r>
          </w:p>
        </w:tc>
        <w:tc>
          <w:tcPr>
            <w:tcW w:w="4191"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乐中府发〔2017〕22号</w:t>
            </w:r>
          </w:p>
        </w:tc>
        <w:tc>
          <w:tcPr>
            <w:tcW w:w="9450"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关于印发乐山市市中区产业发展支持政策的通知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w:t>
            </w:r>
          </w:p>
        </w:tc>
        <w:tc>
          <w:tcPr>
            <w:tcW w:w="4191"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乐中府发〔2018〕14号</w:t>
            </w:r>
          </w:p>
        </w:tc>
        <w:tc>
          <w:tcPr>
            <w:tcW w:w="9450"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关于印发乐山市市中区禁止燃放烟花爆竹管理办法的通知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w:t>
            </w:r>
          </w:p>
        </w:tc>
        <w:tc>
          <w:tcPr>
            <w:tcW w:w="4191"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乐中府发〔2020〕1号</w:t>
            </w:r>
          </w:p>
        </w:tc>
        <w:tc>
          <w:tcPr>
            <w:tcW w:w="9450"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关于印发乐山市市中区畜禽养殖禁养区划定调整方案的通知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w:t>
            </w:r>
          </w:p>
        </w:tc>
        <w:tc>
          <w:tcPr>
            <w:tcW w:w="4191"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乐中府发〔2020〕9号</w:t>
            </w:r>
          </w:p>
        </w:tc>
        <w:tc>
          <w:tcPr>
            <w:tcW w:w="9450"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关于印发乐山市市中区政府投资项目管理办法的通知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w:t>
            </w:r>
          </w:p>
        </w:tc>
        <w:tc>
          <w:tcPr>
            <w:tcW w:w="4191"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乐中府办〔2003〕27号</w:t>
            </w:r>
          </w:p>
        </w:tc>
        <w:tc>
          <w:tcPr>
            <w:tcW w:w="9450"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关于印发《乐山市市中区国库集中支付制度改革试点方案》的通知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4191"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乐中府办〔2004〕59号</w:t>
            </w:r>
          </w:p>
        </w:tc>
        <w:tc>
          <w:tcPr>
            <w:tcW w:w="9450"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关于印发《乐山市市中区应对价格异常波动工作预案》的通知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w:t>
            </w:r>
          </w:p>
        </w:tc>
        <w:tc>
          <w:tcPr>
            <w:tcW w:w="4191"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乐中府办发〔2010〕7号</w:t>
            </w:r>
          </w:p>
        </w:tc>
        <w:tc>
          <w:tcPr>
            <w:tcW w:w="9450"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关于切实加强街道办事处行政区域界线管理工作的通知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w:t>
            </w:r>
          </w:p>
        </w:tc>
        <w:tc>
          <w:tcPr>
            <w:tcW w:w="4191"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乐中府办发〔2012〕43号</w:t>
            </w:r>
          </w:p>
        </w:tc>
        <w:tc>
          <w:tcPr>
            <w:tcW w:w="9450"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关于加强地名文化建设的通知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21</w:t>
            </w:r>
          </w:p>
        </w:tc>
        <w:tc>
          <w:tcPr>
            <w:tcW w:w="4191"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乐中府办发〔2012〕51号</w:t>
            </w:r>
          </w:p>
        </w:tc>
        <w:tc>
          <w:tcPr>
            <w:tcW w:w="9450"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关于加强流浪乞讨人员救助管理工作的通知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w:t>
            </w:r>
          </w:p>
        </w:tc>
        <w:tc>
          <w:tcPr>
            <w:tcW w:w="4191" w:type="dxa"/>
            <w:tcBorders>
              <w:top w:val="single" w:color="000000" w:sz="8" w:space="0"/>
              <w:left w:val="single" w:color="000000" w:sz="8" w:space="0"/>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乐中府办发〔2017〕12号</w:t>
            </w:r>
          </w:p>
        </w:tc>
        <w:tc>
          <w:tcPr>
            <w:tcW w:w="9450" w:type="dxa"/>
            <w:tcBorders>
              <w:top w:val="single" w:color="000000" w:sz="8" w:space="0"/>
              <w:left w:val="single" w:color="000000" w:sz="8" w:space="0"/>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关于印发乐山市市中区促进民营企业建立现代企业制度实施方案的通知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w:t>
            </w:r>
          </w:p>
        </w:tc>
        <w:tc>
          <w:tcPr>
            <w:tcW w:w="4191" w:type="dxa"/>
            <w:tcBorders>
              <w:top w:val="single" w:color="000000" w:sz="8" w:space="0"/>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乐中府办发〔2019〕9号</w:t>
            </w:r>
          </w:p>
        </w:tc>
        <w:tc>
          <w:tcPr>
            <w:tcW w:w="9450" w:type="dxa"/>
            <w:tcBorders>
              <w:top w:val="single" w:color="000000" w:sz="8" w:space="0"/>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关于印发乐山市市中区农村公路建设管理办法的通知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24</w:t>
            </w:r>
          </w:p>
        </w:tc>
        <w:tc>
          <w:tcPr>
            <w:tcW w:w="4191"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乐中府办发〔2020〕14号</w:t>
            </w:r>
          </w:p>
        </w:tc>
        <w:tc>
          <w:tcPr>
            <w:tcW w:w="9450"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关于印发乐山市市中区加快推动工业高质量发展支持政策的通知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w:t>
            </w:r>
          </w:p>
        </w:tc>
        <w:tc>
          <w:tcPr>
            <w:tcW w:w="4191"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乐中府办函〔2006〕101号</w:t>
            </w:r>
          </w:p>
        </w:tc>
        <w:tc>
          <w:tcPr>
            <w:tcW w:w="9450" w:type="dxa"/>
            <w:tcBorders>
              <w:top w:val="nil"/>
              <w:left w:val="nil"/>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关于认真做好婚姻集中登记工作有关事项的通知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26</w:t>
            </w:r>
          </w:p>
        </w:tc>
        <w:tc>
          <w:tcPr>
            <w:tcW w:w="4191" w:type="dxa"/>
            <w:tcBorders>
              <w:top w:val="single" w:color="000000" w:sz="8" w:space="0"/>
              <w:left w:val="single" w:color="000000" w:sz="8" w:space="0"/>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乐中府办函〔2007〕21号</w:t>
            </w:r>
          </w:p>
        </w:tc>
        <w:tc>
          <w:tcPr>
            <w:tcW w:w="9450" w:type="dxa"/>
            <w:tcBorders>
              <w:top w:val="single" w:color="000000" w:sz="8" w:space="0"/>
              <w:left w:val="single" w:color="000000" w:sz="8" w:space="0"/>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关于认真做好地名标志设置工作的通知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27</w:t>
            </w:r>
          </w:p>
        </w:tc>
        <w:tc>
          <w:tcPr>
            <w:tcW w:w="4191" w:type="dxa"/>
            <w:tcBorders>
              <w:top w:val="single" w:color="000000" w:sz="8" w:space="0"/>
              <w:left w:val="single" w:color="000000" w:sz="8" w:space="0"/>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乐中府办函〔2013〕64号</w:t>
            </w:r>
          </w:p>
        </w:tc>
        <w:tc>
          <w:tcPr>
            <w:tcW w:w="9450" w:type="dxa"/>
            <w:tcBorders>
              <w:top w:val="single" w:color="000000" w:sz="8" w:space="0"/>
              <w:left w:val="single" w:color="000000" w:sz="8" w:space="0"/>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关于进一步加强殡葬管理规范殡葬服务的通知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28</w:t>
            </w:r>
          </w:p>
        </w:tc>
        <w:tc>
          <w:tcPr>
            <w:tcW w:w="4191" w:type="dxa"/>
            <w:tcBorders>
              <w:top w:val="single" w:color="000000" w:sz="8" w:space="0"/>
              <w:left w:val="single" w:color="000000" w:sz="8" w:space="0"/>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乐中府办函〔2020〕7号</w:t>
            </w:r>
          </w:p>
        </w:tc>
        <w:tc>
          <w:tcPr>
            <w:tcW w:w="9450" w:type="dxa"/>
            <w:tcBorders>
              <w:top w:val="single" w:color="000000" w:sz="8" w:space="0"/>
              <w:left w:val="single" w:color="000000" w:sz="8" w:space="0"/>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关于加强中心城区农贸市场管理的意见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29</w:t>
            </w:r>
          </w:p>
        </w:tc>
        <w:tc>
          <w:tcPr>
            <w:tcW w:w="4191" w:type="dxa"/>
            <w:tcBorders>
              <w:top w:val="single" w:color="000000" w:sz="8" w:space="0"/>
              <w:left w:val="single" w:color="000000" w:sz="8" w:space="0"/>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乐中府办函〔2020〕8号</w:t>
            </w:r>
          </w:p>
        </w:tc>
        <w:tc>
          <w:tcPr>
            <w:tcW w:w="9450" w:type="dxa"/>
            <w:tcBorders>
              <w:top w:val="single" w:color="000000" w:sz="8" w:space="0"/>
              <w:left w:val="single" w:color="000000" w:sz="8" w:space="0"/>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关于印发乐山市市中区城乡生活垃圾分类和处置工作方案的通知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30</w:t>
            </w:r>
          </w:p>
        </w:tc>
        <w:tc>
          <w:tcPr>
            <w:tcW w:w="4191" w:type="dxa"/>
            <w:tcBorders>
              <w:top w:val="single" w:color="000000" w:sz="8" w:space="0"/>
              <w:left w:val="single" w:color="000000" w:sz="8" w:space="0"/>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乐中府办函〔2020〕11号</w:t>
            </w:r>
          </w:p>
        </w:tc>
        <w:tc>
          <w:tcPr>
            <w:tcW w:w="9450" w:type="dxa"/>
            <w:tcBorders>
              <w:top w:val="single" w:color="000000" w:sz="8" w:space="0"/>
              <w:left w:val="single" w:color="000000" w:sz="8" w:space="0"/>
              <w:bottom w:val="single" w:color="000000" w:sz="8" w:space="0"/>
              <w:right w:val="single" w:color="000000" w:sz="8" w:space="0"/>
            </w:tcBorders>
            <w:shd w:val="clear" w:color="auto" w:fill="auto"/>
            <w:textDirection w:val="lrTb"/>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关于印发乐山市市中区重污染天气预防和应急预案（2020年修订）的通知</w:t>
            </w:r>
          </w:p>
        </w:tc>
      </w:tr>
    </w:tbl>
    <w:p>
      <w:pPr>
        <w:widowControl/>
        <w:spacing w:line="340" w:lineRule="exact"/>
        <w:jc w:val="both"/>
        <w:rPr>
          <w:rFonts w:hint="eastAsia" w:ascii="仿宋_GB2312" w:hAnsi="仿宋_GB2312" w:eastAsia="仿宋_GB2312" w:cs="仿宋_GB2312"/>
          <w:b w:val="0"/>
          <w:color w:val="000000" w:themeColor="text1"/>
          <w:kern w:val="0"/>
          <w:sz w:val="21"/>
          <w:szCs w:val="21"/>
          <w14:textFill>
            <w14:solidFill>
              <w14:schemeClr w14:val="tx1"/>
            </w14:solidFill>
          </w14:textFill>
        </w:rPr>
        <w:sectPr>
          <w:headerReference r:id="rId3" w:type="default"/>
          <w:footerReference r:id="rId4" w:type="default"/>
          <w:pgSz w:w="16838" w:h="11906" w:orient="landscape"/>
          <w:pgMar w:top="1474" w:right="1247" w:bottom="1361" w:left="1247" w:header="1191" w:footer="1134" w:gutter="0"/>
          <w:pgBorders>
            <w:top w:val="none" w:color="auto" w:sz="0" w:space="0"/>
            <w:left w:val="none" w:color="auto" w:sz="0" w:space="0"/>
            <w:bottom w:val="none" w:color="auto" w:sz="0" w:space="0"/>
            <w:right w:val="none" w:color="auto" w:sz="0" w:space="0"/>
          </w:pgBorders>
          <w:pgNumType w:fmt="decimal"/>
          <w:cols w:space="720" w:num="1"/>
          <w:docGrid w:type="lines" w:linePitch="636" w:charSpace="-695"/>
        </w:sectPr>
      </w:pPr>
      <w:bookmarkStart w:id="0" w:name="_GoBack"/>
      <w:bookmarkEnd w:id="0"/>
    </w:p>
    <w:tbl>
      <w:tblPr>
        <w:tblStyle w:val="18"/>
        <w:tblW w:w="1444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4214"/>
        <w:gridCol w:w="9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14442"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3" w:hRule="atLeast"/>
        </w:trPr>
        <w:tc>
          <w:tcPr>
            <w:tcW w:w="14442"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市中区政府（办公室）规范性文件清理结果目录（二）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4442" w:type="dxa"/>
            <w:gridSpan w:val="3"/>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i w:val="0"/>
                <w:color w:val="000000"/>
                <w:sz w:val="28"/>
                <w:szCs w:val="28"/>
                <w:u w:val="none"/>
              </w:rPr>
            </w:pPr>
            <w:r>
              <w:rPr>
                <w:rFonts w:hint="eastAsia" w:ascii="楷体_GB2312" w:hAnsi="宋体" w:eastAsia="楷体_GB2312" w:cs="楷体_GB2312"/>
                <w:i w:val="0"/>
                <w:color w:val="000000"/>
                <w:kern w:val="0"/>
                <w:sz w:val="28"/>
                <w:szCs w:val="28"/>
                <w:u w:val="none"/>
                <w:lang w:val="en-US" w:eastAsia="zh-CN" w:bidi="ar"/>
              </w:rPr>
              <w:t>（拟修改的规范性文件）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文   号</w:t>
            </w:r>
          </w:p>
        </w:tc>
        <w:tc>
          <w:tcPr>
            <w:tcW w:w="94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文件标题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乐中府发〔2006〕27号</w:t>
            </w:r>
          </w:p>
        </w:tc>
        <w:tc>
          <w:tcPr>
            <w:tcW w:w="94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关于切实加强艾滋病防治工作的通知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乐中府发〔2017〕3号</w:t>
            </w:r>
          </w:p>
        </w:tc>
        <w:tc>
          <w:tcPr>
            <w:tcW w:w="94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关于印发乐山市市中区畜禽养殖管理办法的通知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乐中府办发〔2012〕37号</w:t>
            </w:r>
          </w:p>
        </w:tc>
        <w:tc>
          <w:tcPr>
            <w:tcW w:w="94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关于进一步加强免疫规划工作的通知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乐中府办发〔2015〕27号</w:t>
            </w:r>
          </w:p>
        </w:tc>
        <w:tc>
          <w:tcPr>
            <w:tcW w:w="94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关于进一步加强严重精神障碍患者管理治疗工作的意见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乐中府办发〔2019〕8号</w:t>
            </w:r>
          </w:p>
        </w:tc>
        <w:tc>
          <w:tcPr>
            <w:tcW w:w="94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关于印发乐山市市中区农村公路养护管理暂行办法的通知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乐中府办函〔2006〕64号</w:t>
            </w:r>
          </w:p>
        </w:tc>
        <w:tc>
          <w:tcPr>
            <w:tcW w:w="94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关于认真贯彻落实《疫苗流通和预防接种管理条例》的通知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乐中府办函〔2009〕56号</w:t>
            </w:r>
          </w:p>
        </w:tc>
        <w:tc>
          <w:tcPr>
            <w:tcW w:w="94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关于印发《乐山市市中区应对流感大流行准备计划与应急预案》（试行）的通知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乐中府办函〔2009〕96号</w:t>
            </w:r>
          </w:p>
        </w:tc>
        <w:tc>
          <w:tcPr>
            <w:tcW w:w="94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关于进一步做好秋冬季甲型H1N1流感防控工作的通知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乐中府办函〔2010〕40号</w:t>
            </w:r>
          </w:p>
        </w:tc>
        <w:tc>
          <w:tcPr>
            <w:tcW w:w="94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关于印发乐山市市中区农业重大有害生物灾害应急预案的通知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乐中府办函〔2013〕10号</w:t>
            </w:r>
          </w:p>
        </w:tc>
        <w:tc>
          <w:tcPr>
            <w:tcW w:w="94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关于进一步加强生猪屠宰管理工作的通知</w:t>
            </w:r>
          </w:p>
        </w:tc>
      </w:tr>
    </w:tbl>
    <w:p>
      <w:pPr>
        <w:widowControl/>
        <w:snapToGrid w:val="0"/>
        <w:spacing w:line="600" w:lineRule="exact"/>
        <w:jc w:val="center"/>
        <w:rPr>
          <w:rFonts w:hAnsi="Tahoma" w:cs="Tahoma"/>
          <w:b w:val="0"/>
          <w:color w:val="000000" w:themeColor="text1"/>
          <w:kern w:val="0"/>
          <w:szCs w:val="32"/>
          <w14:textFill>
            <w14:solidFill>
              <w14:schemeClr w14:val="tx1"/>
            </w14:solidFill>
          </w14:textFill>
        </w:rPr>
        <w:sectPr>
          <w:pgSz w:w="16838" w:h="11906" w:orient="landscape"/>
          <w:pgMar w:top="1361" w:right="1247" w:bottom="1361" w:left="1247" w:header="1191" w:footer="1134" w:gutter="0"/>
          <w:pgBorders>
            <w:top w:val="none" w:color="auto" w:sz="0" w:space="0"/>
            <w:left w:val="none" w:color="auto" w:sz="0" w:space="0"/>
            <w:bottom w:val="none" w:color="auto" w:sz="0" w:space="0"/>
            <w:right w:val="none" w:color="auto" w:sz="0" w:space="0"/>
          </w:pgBorders>
          <w:pgNumType w:fmt="decimal"/>
          <w:cols w:space="720" w:num="1"/>
          <w:docGrid w:type="lines" w:linePitch="636" w:charSpace="-695"/>
        </w:sectPr>
      </w:pPr>
    </w:p>
    <w:tbl>
      <w:tblPr>
        <w:tblStyle w:val="18"/>
        <w:tblW w:w="1444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4214"/>
        <w:gridCol w:w="9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14442"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附件3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7" w:hRule="atLeast"/>
        </w:trPr>
        <w:tc>
          <w:tcPr>
            <w:tcW w:w="14442"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市中区政府（办公室）规范性文件清理结果目录（三）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4442" w:type="dxa"/>
            <w:gridSpan w:val="3"/>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i w:val="0"/>
                <w:color w:val="000000"/>
                <w:sz w:val="28"/>
                <w:szCs w:val="28"/>
                <w:u w:val="none"/>
              </w:rPr>
            </w:pPr>
            <w:r>
              <w:rPr>
                <w:rFonts w:hint="eastAsia" w:ascii="楷体_GB2312" w:hAnsi="宋体" w:eastAsia="楷体_GB2312" w:cs="楷体_GB2312"/>
                <w:i w:val="0"/>
                <w:color w:val="000000"/>
                <w:kern w:val="0"/>
                <w:sz w:val="28"/>
                <w:szCs w:val="28"/>
                <w:u w:val="none"/>
                <w:lang w:val="en-US" w:eastAsia="zh-CN" w:bidi="ar"/>
              </w:rPr>
              <w:t>（废止的规范性文件）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文   号</w:t>
            </w:r>
          </w:p>
        </w:tc>
        <w:tc>
          <w:tcPr>
            <w:tcW w:w="94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文件标题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乐中府发〔2001〕63号</w:t>
            </w:r>
          </w:p>
        </w:tc>
        <w:tc>
          <w:tcPr>
            <w:tcW w:w="94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关于印发《乐山市市中区城镇职工基本医疗保险试行办法》的通知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乐中府发〔2001〕163号</w:t>
            </w:r>
          </w:p>
        </w:tc>
        <w:tc>
          <w:tcPr>
            <w:tcW w:w="94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关于外商投资企业、私营企业、民办非企业单位参加基本医疗保险的实施意见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421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乐中府发〔2003〕45号</w:t>
            </w:r>
          </w:p>
        </w:tc>
        <w:tc>
          <w:tcPr>
            <w:tcW w:w="945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关于进一步完善基本医疗保险政策的通知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乐中府发〔2008〕40号</w:t>
            </w:r>
          </w:p>
        </w:tc>
        <w:tc>
          <w:tcPr>
            <w:tcW w:w="94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关于扶持农民专业合作社发展的意见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乐中府发〔2011〕14号</w:t>
            </w:r>
          </w:p>
        </w:tc>
        <w:tc>
          <w:tcPr>
            <w:tcW w:w="94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关于进一步加强义务教育阶段控辍保学工作的通知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乐中府发〔2013〕24号</w:t>
            </w:r>
          </w:p>
        </w:tc>
        <w:tc>
          <w:tcPr>
            <w:tcW w:w="94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关于进一步加强国有资产管理的实施意见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乐中府发〔2013〕28号</w:t>
            </w:r>
          </w:p>
        </w:tc>
        <w:tc>
          <w:tcPr>
            <w:tcW w:w="94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关于增加城镇居民收入的实施意见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乐中府发〔2013〕33号</w:t>
            </w:r>
          </w:p>
        </w:tc>
        <w:tc>
          <w:tcPr>
            <w:tcW w:w="94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关于建立80岁以上老年人高龄补贴制度的实施意见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乐中府发〔2015〕1号</w:t>
            </w:r>
          </w:p>
        </w:tc>
        <w:tc>
          <w:tcPr>
            <w:tcW w:w="94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关于印发《乐山市市中区食品安全举报奖励办法》的通知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乐中府发〔2016〕7号</w:t>
            </w:r>
          </w:p>
        </w:tc>
        <w:tc>
          <w:tcPr>
            <w:tcW w:w="94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关于印发《乐山市市中区政府投资项目建设管理办法》的通知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w:t>
            </w:r>
          </w:p>
        </w:tc>
        <w:tc>
          <w:tcPr>
            <w:tcW w:w="42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乐中府发〔2017〕17号</w:t>
            </w:r>
          </w:p>
        </w:tc>
        <w:tc>
          <w:tcPr>
            <w:tcW w:w="94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关于印发乐山市市中区禁止燃放烟花爆竹管理办法的通知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421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乐中府公〔2003〕2号</w:t>
            </w:r>
          </w:p>
        </w:tc>
        <w:tc>
          <w:tcPr>
            <w:tcW w:w="94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关于火葬区扩面的公告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exact"/>
        </w:trPr>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乐山市市中区人民政府令第1号 （2013年）</w:t>
            </w:r>
          </w:p>
        </w:tc>
        <w:tc>
          <w:tcPr>
            <w:tcW w:w="94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乐山市市中区烟花爆竹安全管理办法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6" w:hRule="exact"/>
        </w:trPr>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乐山市市中区人民政府令第2号 （2013年）</w:t>
            </w:r>
          </w:p>
        </w:tc>
        <w:tc>
          <w:tcPr>
            <w:tcW w:w="945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乐山市市中区河道采砂管理实施办法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乐中府办〔2004〕67号</w:t>
            </w:r>
          </w:p>
        </w:tc>
        <w:tc>
          <w:tcPr>
            <w:tcW w:w="94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关于做好乐山城区门（户）牌编码工作的通知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乐中府办发〔2010〕31号</w:t>
            </w:r>
          </w:p>
        </w:tc>
        <w:tc>
          <w:tcPr>
            <w:tcW w:w="94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关于印发市中区农产品市场准入工作实施方案的通知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78"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乐中府办发〔2010〕39号</w:t>
            </w:r>
          </w:p>
        </w:tc>
        <w:tc>
          <w:tcPr>
            <w:tcW w:w="94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关于印发《乐山市市中区区级行政事业单位国有资产处置办法》的通知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78"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乐中府办发〔2013〕19号</w:t>
            </w:r>
          </w:p>
        </w:tc>
        <w:tc>
          <w:tcPr>
            <w:tcW w:w="94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关于印发乐山市市中区未成年人社会保护试点工作实施方案的通知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78"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乐中府办函〔2006〕71号</w:t>
            </w:r>
          </w:p>
        </w:tc>
        <w:tc>
          <w:tcPr>
            <w:tcW w:w="94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关于认真做好财政补贴农民资金发放方式改革工作的通知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78"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乐中府办函〔2007〕61号</w:t>
            </w:r>
          </w:p>
        </w:tc>
        <w:tc>
          <w:tcPr>
            <w:tcW w:w="94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关于进一步加强民间组织管理的通知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78"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21</w:t>
            </w:r>
          </w:p>
        </w:tc>
        <w:tc>
          <w:tcPr>
            <w:tcW w:w="4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乐中府办函〔2014〕20号</w:t>
            </w:r>
          </w:p>
        </w:tc>
        <w:tc>
          <w:tcPr>
            <w:tcW w:w="94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关于调整80岁以上老年人高龄补贴标准的通知</w:t>
            </w:r>
          </w:p>
        </w:tc>
      </w:tr>
    </w:tbl>
    <w:p>
      <w:pPr>
        <w:widowControl/>
        <w:spacing w:line="340" w:lineRule="exact"/>
        <w:jc w:val="center"/>
        <w:rPr>
          <w:rFonts w:hAnsi="宋体" w:cs="宋体"/>
          <w:b w:val="0"/>
          <w:color w:val="000000" w:themeColor="text1"/>
          <w:kern w:val="0"/>
          <w:sz w:val="21"/>
          <w:szCs w:val="21"/>
          <w14:textFill>
            <w14:solidFill>
              <w14:schemeClr w14:val="tx1"/>
            </w14:solidFill>
          </w14:textFill>
        </w:rPr>
        <w:sectPr>
          <w:pgSz w:w="16838" w:h="11906" w:orient="landscape"/>
          <w:pgMar w:top="1474" w:right="1247" w:bottom="1361" w:left="1247" w:header="1191" w:footer="1134" w:gutter="0"/>
          <w:pgBorders>
            <w:top w:val="none" w:color="auto" w:sz="0" w:space="0"/>
            <w:left w:val="none" w:color="auto" w:sz="0" w:space="0"/>
            <w:bottom w:val="none" w:color="auto" w:sz="0" w:space="0"/>
            <w:right w:val="none" w:color="auto" w:sz="0" w:space="0"/>
          </w:pgBorders>
          <w:pgNumType w:fmt="decimal"/>
          <w:cols w:space="720" w:num="1"/>
          <w:docGrid w:type="lines" w:linePitch="636" w:charSpace="-695"/>
        </w:sectPr>
      </w:pPr>
    </w:p>
    <w:tbl>
      <w:tblPr>
        <w:tblStyle w:val="18"/>
        <w:tblW w:w="14469" w:type="dxa"/>
        <w:tblInd w:w="-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4"/>
        <w:gridCol w:w="4223"/>
        <w:gridCol w:w="9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14469"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附件4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6" w:hRule="atLeast"/>
        </w:trPr>
        <w:tc>
          <w:tcPr>
            <w:tcW w:w="14469"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市中区政府（办公室）规范性文件清理结果目录（四）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4469" w:type="dxa"/>
            <w:gridSpan w:val="3"/>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i w:val="0"/>
                <w:color w:val="000000"/>
                <w:sz w:val="28"/>
                <w:szCs w:val="28"/>
                <w:u w:val="none"/>
              </w:rPr>
            </w:pPr>
            <w:r>
              <w:rPr>
                <w:rFonts w:hint="eastAsia" w:ascii="楷体_GB2312" w:hAnsi="宋体" w:eastAsia="楷体_GB2312" w:cs="楷体_GB2312"/>
                <w:i w:val="0"/>
                <w:color w:val="000000"/>
                <w:kern w:val="0"/>
                <w:sz w:val="28"/>
                <w:szCs w:val="28"/>
                <w:u w:val="none"/>
                <w:lang w:val="en-US" w:eastAsia="zh-CN" w:bidi="ar"/>
              </w:rPr>
              <w:t>（</w:t>
            </w:r>
            <w:r>
              <w:rPr>
                <w:rStyle w:val="30"/>
                <w:rFonts w:hAnsi="宋体"/>
                <w:lang w:val="en-US" w:eastAsia="zh-CN" w:bidi="ar"/>
              </w:rPr>
              <w:t>宣布失效的规范性文件）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文   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文件标题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乐中府发〔2003〕34号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关于印发《乐山市市中区财政国库管理制度改革资金支付管理暂行办法》的通知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乐中府发〔2009〕31号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关于印发《乐山市市中区巩固退耕还林成果专项建设项目管理实施细则》的通知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乐中府发〔2012〕32号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关于印发《乐山市市中区妇女发展纲要（2011—2020年）》的通知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乐中府发〔2012〕33号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关于印发《乐山市市中区儿童发展纲要（2011—2020年）》的通知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乐中府发〔2013〕23号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关于推进义务教育均衡发展的实施意见（2013—2015年）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乐中府发〔2014〕18号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关于印发乐山市市中区预防建设领域拖欠农民工工资实施办法的通知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乐中府发〔2015〕10号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关于印发《嘉州绿心公园范围农房自愿申请搬迁管理办法》的通知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乐中府发〔2017〕9号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关于印发《乐山市市中区推进农业供给侧结构性改革加快都市现代农业发展</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的扶持奖励办法》的通知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乐中府发〔2017〕14号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关于印发乐山市市中区村镇集中供水工程运行管理办法（试行）的通知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乐中府公〔2002〕1号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乐山市市中区人民政府关于行政服务中心集中受理行政审批事项的公告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乐中府办〔2005〕76号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 xml:space="preserve"> </w:t>
            </w:r>
            <w:r>
              <w:rPr>
                <w:rStyle w:val="31"/>
                <w:rFonts w:hAnsi="Arial"/>
                <w:lang w:val="en-US" w:eastAsia="zh-CN" w:bidi="ar"/>
              </w:rPr>
              <w:t>关于进一步加强扶助贫困残疾人工作的意见</w:t>
            </w:r>
            <w:r>
              <w:rPr>
                <w:rFonts w:hint="default" w:ascii="Arial" w:hAnsi="Arial" w:eastAsia="宋体" w:cs="Arial"/>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42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乐中府办发〔2007〕31号</w:t>
            </w:r>
          </w:p>
        </w:tc>
        <w:tc>
          <w:tcPr>
            <w:tcW w:w="946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关于印发乐山市市中区人民政府政务服务中心并联审批制度实施办法（试行）的通知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w:t>
            </w:r>
          </w:p>
        </w:tc>
        <w:tc>
          <w:tcPr>
            <w:tcW w:w="422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乐中府办发〔2010〕21号</w:t>
            </w:r>
          </w:p>
        </w:tc>
        <w:tc>
          <w:tcPr>
            <w:tcW w:w="946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关于印发市中区扩大内需和灾后恢复重建项目工程质量监督工作方案的通知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乐中府办发〔2013〕20号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关于扎实推进农村小额人身保险工作的通知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乐中府办发〔2014〕14号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关于印发《乐山市市中区乡镇生活污水处理费征收使用管理办法（试行）》的通知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乐中府办发〔2016〕7号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关于印发《乐山市市中区清理整顿环保违法违规建设项目工作方案》的通知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乐中府办发〔2016〕16号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关于印发《乐山市市中区2016年度易地扶贫搬迁实施计划》的通知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乐中府办发〔2016〕17号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关于印发《乐山市市中区乡镇生活污水处理设施建设运营管理办法》的通知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乐中府办函〔2010〕17号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关于印发《市中区乡镇（街道）便民服务中心和村（社区）便民服务代办点建设方案》的通知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乐中府办函〔2013〕71号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关于印发乐山市市中区非金属矿山整顿实施方案的通知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21</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乐中府办函〔2013〕72号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关于认真做好农村户牌清理编码设置管理工作的通知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乐中府办函〔2015〕65号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关于强力推进2016年农村小额人身保险工作的通知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w:t>
            </w:r>
          </w:p>
        </w:tc>
        <w:tc>
          <w:tcPr>
            <w:tcW w:w="4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乐中府办函〔2016〕8号</w:t>
            </w:r>
          </w:p>
        </w:tc>
        <w:tc>
          <w:tcPr>
            <w:tcW w:w="94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关于印发《乐山市市中区2016年度地质灾害避险搬迁安置实施方案》的通知</w:t>
            </w:r>
          </w:p>
        </w:tc>
      </w:tr>
    </w:tbl>
    <w:p>
      <w:pPr>
        <w:widowControl/>
        <w:snapToGrid w:val="0"/>
        <w:spacing w:line="240" w:lineRule="exact"/>
        <w:jc w:val="both"/>
        <w:rPr>
          <w:rFonts w:hint="eastAsia" w:hAnsi="Tahoma" w:cs="Tahoma"/>
          <w:b w:val="0"/>
          <w:color w:val="000000" w:themeColor="text1"/>
          <w:kern w:val="0"/>
          <w:sz w:val="21"/>
          <w:szCs w:val="21"/>
          <w14:textFill>
            <w14:solidFill>
              <w14:schemeClr w14:val="tx1"/>
            </w14:solidFill>
          </w14:textFill>
        </w:rPr>
      </w:pPr>
    </w:p>
    <w:p>
      <w:pPr>
        <w:widowControl/>
        <w:snapToGrid w:val="0"/>
        <w:spacing w:line="240" w:lineRule="exact"/>
        <w:jc w:val="center"/>
        <w:rPr>
          <w:rFonts w:hint="eastAsia" w:hAnsi="Tahoma" w:cs="Tahoma"/>
          <w:b w:val="0"/>
          <w:color w:val="000000" w:themeColor="text1"/>
          <w:kern w:val="0"/>
          <w:sz w:val="21"/>
          <w:szCs w:val="21"/>
          <w14:textFill>
            <w14:solidFill>
              <w14:schemeClr w14:val="tx1"/>
            </w14:solidFill>
          </w14:textFill>
        </w:rPr>
      </w:pPr>
    </w:p>
    <w:p>
      <w:pPr>
        <w:widowControl/>
        <w:snapToGrid w:val="0"/>
        <w:spacing w:line="240" w:lineRule="exact"/>
        <w:jc w:val="center"/>
        <w:rPr>
          <w:rFonts w:hint="eastAsia" w:hAnsi="Tahoma" w:cs="Tahoma"/>
          <w:b w:val="0"/>
          <w:color w:val="000000" w:themeColor="text1"/>
          <w:kern w:val="0"/>
          <w:sz w:val="21"/>
          <w:szCs w:val="21"/>
          <w14:textFill>
            <w14:solidFill>
              <w14:schemeClr w14:val="tx1"/>
            </w14:solidFill>
          </w14:textFill>
        </w:rPr>
      </w:pPr>
    </w:p>
    <w:p>
      <w:pPr>
        <w:widowControl/>
        <w:snapToGrid w:val="0"/>
        <w:spacing w:line="240" w:lineRule="exact"/>
        <w:jc w:val="center"/>
        <w:rPr>
          <w:rFonts w:hint="eastAsia" w:hAnsi="Tahoma" w:cs="Tahoma"/>
          <w:b w:val="0"/>
          <w:color w:val="000000" w:themeColor="text1"/>
          <w:kern w:val="0"/>
          <w:sz w:val="21"/>
          <w:szCs w:val="21"/>
          <w14:textFill>
            <w14:solidFill>
              <w14:schemeClr w14:val="tx1"/>
            </w14:solidFill>
          </w14:textFill>
        </w:rPr>
      </w:pPr>
    </w:p>
    <w:p>
      <w:pPr>
        <w:adjustRightInd w:val="0"/>
        <w:snapToGrid w:val="0"/>
        <w:spacing w:line="400" w:lineRule="exact"/>
        <w:rPr>
          <w:rFonts w:hint="default"/>
          <w:lang w:val="en-US" w:eastAsia="zh-CN"/>
        </w:rPr>
      </w:pPr>
    </w:p>
    <w:sectPr>
      <w:pgSz w:w="16840" w:h="11907" w:orient="landscape"/>
      <w:pgMar w:top="1531" w:right="1928" w:bottom="1531" w:left="1928"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ind w:firstLine="180" w:firstLineChars="100"/>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ascii="宋体" w:hAnsi="宋体"/>
                              <w:sz w:val="28"/>
                              <w:szCs w:val="28"/>
                            </w:rPr>
                            <w:t xml:space="preserve"> —</w:t>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WhPHXLgBAABUAwAADgAAAAAAAAABACAAAAAeAQAAZHJzL2Uyb0RvYy54bWxQSwUGAAAAAAYABgBZ&#10;AQAASAUAAAAA&#10;">
              <v:fill on="f" focussize="0,0"/>
              <v:stroke on="f"/>
              <v:imagedata o:title=""/>
              <o:lock v:ext="edit" aspectratio="f"/>
              <v:textbox inset="0mm,0mm,0mm,0mm" style="mso-fit-shape-to-text:t;">
                <w:txbxContent>
                  <w:p>
                    <w:pPr>
                      <w:pStyle w:val="1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F92"/>
    <w:rsid w:val="000054E3"/>
    <w:rsid w:val="00013E02"/>
    <w:rsid w:val="00022C60"/>
    <w:rsid w:val="00035443"/>
    <w:rsid w:val="00063F1F"/>
    <w:rsid w:val="00066E04"/>
    <w:rsid w:val="00076483"/>
    <w:rsid w:val="00092459"/>
    <w:rsid w:val="000945EB"/>
    <w:rsid w:val="000A080A"/>
    <w:rsid w:val="000A49E8"/>
    <w:rsid w:val="000E1A9C"/>
    <w:rsid w:val="000E578E"/>
    <w:rsid w:val="000F547B"/>
    <w:rsid w:val="000F7DE2"/>
    <w:rsid w:val="001004E4"/>
    <w:rsid w:val="00103653"/>
    <w:rsid w:val="00104E8C"/>
    <w:rsid w:val="00104EA9"/>
    <w:rsid w:val="001106E9"/>
    <w:rsid w:val="001303B6"/>
    <w:rsid w:val="00152E88"/>
    <w:rsid w:val="00154823"/>
    <w:rsid w:val="00162C1B"/>
    <w:rsid w:val="0016375E"/>
    <w:rsid w:val="00172A27"/>
    <w:rsid w:val="0017468F"/>
    <w:rsid w:val="00192A6D"/>
    <w:rsid w:val="001933C6"/>
    <w:rsid w:val="001A4720"/>
    <w:rsid w:val="001A6974"/>
    <w:rsid w:val="001A7298"/>
    <w:rsid w:val="001C52B6"/>
    <w:rsid w:val="001D4D62"/>
    <w:rsid w:val="001D76F7"/>
    <w:rsid w:val="00202B99"/>
    <w:rsid w:val="0020337A"/>
    <w:rsid w:val="00216A7F"/>
    <w:rsid w:val="0021719B"/>
    <w:rsid w:val="00220493"/>
    <w:rsid w:val="002245CB"/>
    <w:rsid w:val="00230146"/>
    <w:rsid w:val="002326A2"/>
    <w:rsid w:val="00232FC4"/>
    <w:rsid w:val="00235AF1"/>
    <w:rsid w:val="00257F82"/>
    <w:rsid w:val="00262987"/>
    <w:rsid w:val="00263BD9"/>
    <w:rsid w:val="0027438A"/>
    <w:rsid w:val="00283421"/>
    <w:rsid w:val="002846FF"/>
    <w:rsid w:val="002C49D6"/>
    <w:rsid w:val="002F3605"/>
    <w:rsid w:val="002F5A83"/>
    <w:rsid w:val="003033C4"/>
    <w:rsid w:val="00317DCF"/>
    <w:rsid w:val="0032010C"/>
    <w:rsid w:val="00333B01"/>
    <w:rsid w:val="00341875"/>
    <w:rsid w:val="0036419F"/>
    <w:rsid w:val="003725FD"/>
    <w:rsid w:val="0037518C"/>
    <w:rsid w:val="00384DAB"/>
    <w:rsid w:val="0038676E"/>
    <w:rsid w:val="003A0047"/>
    <w:rsid w:val="003A05E4"/>
    <w:rsid w:val="003A2273"/>
    <w:rsid w:val="003B3C7B"/>
    <w:rsid w:val="003C0573"/>
    <w:rsid w:val="003D067B"/>
    <w:rsid w:val="003F2730"/>
    <w:rsid w:val="003F73BC"/>
    <w:rsid w:val="0040278E"/>
    <w:rsid w:val="00404608"/>
    <w:rsid w:val="0041070D"/>
    <w:rsid w:val="00410FF0"/>
    <w:rsid w:val="00452869"/>
    <w:rsid w:val="00452F67"/>
    <w:rsid w:val="00454090"/>
    <w:rsid w:val="0048571D"/>
    <w:rsid w:val="004928B1"/>
    <w:rsid w:val="004A2859"/>
    <w:rsid w:val="004B5D70"/>
    <w:rsid w:val="004D4C8E"/>
    <w:rsid w:val="004D5326"/>
    <w:rsid w:val="004D7E7B"/>
    <w:rsid w:val="004E0FE7"/>
    <w:rsid w:val="004E5211"/>
    <w:rsid w:val="004F257E"/>
    <w:rsid w:val="004F73CE"/>
    <w:rsid w:val="0050120F"/>
    <w:rsid w:val="00534DFB"/>
    <w:rsid w:val="005632EF"/>
    <w:rsid w:val="0058484F"/>
    <w:rsid w:val="00591EF7"/>
    <w:rsid w:val="00597393"/>
    <w:rsid w:val="005A1737"/>
    <w:rsid w:val="005B24C9"/>
    <w:rsid w:val="005C1F7F"/>
    <w:rsid w:val="005F3872"/>
    <w:rsid w:val="005F7E42"/>
    <w:rsid w:val="00602447"/>
    <w:rsid w:val="00605455"/>
    <w:rsid w:val="00611035"/>
    <w:rsid w:val="00614986"/>
    <w:rsid w:val="006149E9"/>
    <w:rsid w:val="00623011"/>
    <w:rsid w:val="00633EE2"/>
    <w:rsid w:val="00637F24"/>
    <w:rsid w:val="00673472"/>
    <w:rsid w:val="0067635D"/>
    <w:rsid w:val="00680A19"/>
    <w:rsid w:val="00690647"/>
    <w:rsid w:val="00694457"/>
    <w:rsid w:val="00697628"/>
    <w:rsid w:val="006A0D4B"/>
    <w:rsid w:val="006A39F4"/>
    <w:rsid w:val="006A5D27"/>
    <w:rsid w:val="006A77D6"/>
    <w:rsid w:val="006C1262"/>
    <w:rsid w:val="006C6B1D"/>
    <w:rsid w:val="006C7BD4"/>
    <w:rsid w:val="006D48B5"/>
    <w:rsid w:val="006D6B97"/>
    <w:rsid w:val="006E3CED"/>
    <w:rsid w:val="006E5898"/>
    <w:rsid w:val="006F163E"/>
    <w:rsid w:val="007007EF"/>
    <w:rsid w:val="00707D4A"/>
    <w:rsid w:val="00712FBB"/>
    <w:rsid w:val="00722D33"/>
    <w:rsid w:val="00724FF7"/>
    <w:rsid w:val="0077007A"/>
    <w:rsid w:val="007833C3"/>
    <w:rsid w:val="007852E6"/>
    <w:rsid w:val="0078548C"/>
    <w:rsid w:val="00790E4D"/>
    <w:rsid w:val="007B607E"/>
    <w:rsid w:val="007B6324"/>
    <w:rsid w:val="007C31F1"/>
    <w:rsid w:val="007C5888"/>
    <w:rsid w:val="007D689C"/>
    <w:rsid w:val="007E0933"/>
    <w:rsid w:val="007E0A4C"/>
    <w:rsid w:val="007F599C"/>
    <w:rsid w:val="00811623"/>
    <w:rsid w:val="00822AD0"/>
    <w:rsid w:val="00822EB4"/>
    <w:rsid w:val="008236DC"/>
    <w:rsid w:val="00830294"/>
    <w:rsid w:val="008311A6"/>
    <w:rsid w:val="00833951"/>
    <w:rsid w:val="008343FD"/>
    <w:rsid w:val="00834AE7"/>
    <w:rsid w:val="008438B7"/>
    <w:rsid w:val="00851ED9"/>
    <w:rsid w:val="00856240"/>
    <w:rsid w:val="00877270"/>
    <w:rsid w:val="00884102"/>
    <w:rsid w:val="00895D33"/>
    <w:rsid w:val="008B67AF"/>
    <w:rsid w:val="008C4C67"/>
    <w:rsid w:val="008C6007"/>
    <w:rsid w:val="008C7902"/>
    <w:rsid w:val="008D0678"/>
    <w:rsid w:val="008D20C7"/>
    <w:rsid w:val="008D7035"/>
    <w:rsid w:val="008E1567"/>
    <w:rsid w:val="008E7061"/>
    <w:rsid w:val="008F0DD9"/>
    <w:rsid w:val="00900F35"/>
    <w:rsid w:val="009150AF"/>
    <w:rsid w:val="00920619"/>
    <w:rsid w:val="0094256B"/>
    <w:rsid w:val="00946826"/>
    <w:rsid w:val="00975C9B"/>
    <w:rsid w:val="00981095"/>
    <w:rsid w:val="00982CFE"/>
    <w:rsid w:val="009A52B4"/>
    <w:rsid w:val="009A6AF2"/>
    <w:rsid w:val="009B6A38"/>
    <w:rsid w:val="009B7EA2"/>
    <w:rsid w:val="009C55DB"/>
    <w:rsid w:val="009C75E2"/>
    <w:rsid w:val="009E37F6"/>
    <w:rsid w:val="009E49E3"/>
    <w:rsid w:val="009F4F09"/>
    <w:rsid w:val="00A02C8D"/>
    <w:rsid w:val="00A0388D"/>
    <w:rsid w:val="00A1797A"/>
    <w:rsid w:val="00A45A2B"/>
    <w:rsid w:val="00A52CB4"/>
    <w:rsid w:val="00A53D8B"/>
    <w:rsid w:val="00A56896"/>
    <w:rsid w:val="00A6009A"/>
    <w:rsid w:val="00A61363"/>
    <w:rsid w:val="00A7220B"/>
    <w:rsid w:val="00A73BFC"/>
    <w:rsid w:val="00A84C83"/>
    <w:rsid w:val="00A95ADF"/>
    <w:rsid w:val="00AA1D33"/>
    <w:rsid w:val="00AA4C1D"/>
    <w:rsid w:val="00AB25C9"/>
    <w:rsid w:val="00AB6CD0"/>
    <w:rsid w:val="00AC0F49"/>
    <w:rsid w:val="00AE4A79"/>
    <w:rsid w:val="00AF31B1"/>
    <w:rsid w:val="00B41FEC"/>
    <w:rsid w:val="00B63ECB"/>
    <w:rsid w:val="00B64001"/>
    <w:rsid w:val="00B67416"/>
    <w:rsid w:val="00B957C0"/>
    <w:rsid w:val="00BA018A"/>
    <w:rsid w:val="00BB4CDC"/>
    <w:rsid w:val="00BC2EFD"/>
    <w:rsid w:val="00BD640D"/>
    <w:rsid w:val="00BE0533"/>
    <w:rsid w:val="00BE0AC5"/>
    <w:rsid w:val="00BE4E84"/>
    <w:rsid w:val="00BE7821"/>
    <w:rsid w:val="00BF77A5"/>
    <w:rsid w:val="00C0473E"/>
    <w:rsid w:val="00C05FF4"/>
    <w:rsid w:val="00C070FB"/>
    <w:rsid w:val="00C15386"/>
    <w:rsid w:val="00C202E7"/>
    <w:rsid w:val="00C34AD5"/>
    <w:rsid w:val="00C35232"/>
    <w:rsid w:val="00C43A06"/>
    <w:rsid w:val="00C44B62"/>
    <w:rsid w:val="00C57761"/>
    <w:rsid w:val="00C61F5A"/>
    <w:rsid w:val="00C80A32"/>
    <w:rsid w:val="00C80ED9"/>
    <w:rsid w:val="00C831F7"/>
    <w:rsid w:val="00C9683C"/>
    <w:rsid w:val="00CB4BA6"/>
    <w:rsid w:val="00CB59D7"/>
    <w:rsid w:val="00CC6522"/>
    <w:rsid w:val="00CD08E0"/>
    <w:rsid w:val="00CD0A09"/>
    <w:rsid w:val="00CD2F20"/>
    <w:rsid w:val="00CD3A0F"/>
    <w:rsid w:val="00CE27D2"/>
    <w:rsid w:val="00CF7F08"/>
    <w:rsid w:val="00D0124F"/>
    <w:rsid w:val="00D3403A"/>
    <w:rsid w:val="00D35D50"/>
    <w:rsid w:val="00D45378"/>
    <w:rsid w:val="00D4676B"/>
    <w:rsid w:val="00D46931"/>
    <w:rsid w:val="00D867C6"/>
    <w:rsid w:val="00DB120F"/>
    <w:rsid w:val="00DB17D7"/>
    <w:rsid w:val="00DC3AAA"/>
    <w:rsid w:val="00DD789A"/>
    <w:rsid w:val="00DE17A7"/>
    <w:rsid w:val="00DF66D6"/>
    <w:rsid w:val="00E03075"/>
    <w:rsid w:val="00E06460"/>
    <w:rsid w:val="00E167E7"/>
    <w:rsid w:val="00E33F25"/>
    <w:rsid w:val="00E40F8F"/>
    <w:rsid w:val="00E44FF5"/>
    <w:rsid w:val="00E52FAC"/>
    <w:rsid w:val="00E55CF9"/>
    <w:rsid w:val="00E55FD0"/>
    <w:rsid w:val="00E60A20"/>
    <w:rsid w:val="00E63EC6"/>
    <w:rsid w:val="00E66E2F"/>
    <w:rsid w:val="00E67B1C"/>
    <w:rsid w:val="00E81772"/>
    <w:rsid w:val="00E92A68"/>
    <w:rsid w:val="00E97E6D"/>
    <w:rsid w:val="00EB3CF3"/>
    <w:rsid w:val="00EB5F68"/>
    <w:rsid w:val="00EB78D5"/>
    <w:rsid w:val="00EC5B82"/>
    <w:rsid w:val="00EE3ABB"/>
    <w:rsid w:val="00EE49E7"/>
    <w:rsid w:val="00EF287A"/>
    <w:rsid w:val="00F0172B"/>
    <w:rsid w:val="00F14C00"/>
    <w:rsid w:val="00F23101"/>
    <w:rsid w:val="00F24997"/>
    <w:rsid w:val="00F24A87"/>
    <w:rsid w:val="00F378F8"/>
    <w:rsid w:val="00F37D65"/>
    <w:rsid w:val="00F53A01"/>
    <w:rsid w:val="00F64EAF"/>
    <w:rsid w:val="00F81518"/>
    <w:rsid w:val="00F83014"/>
    <w:rsid w:val="00F84283"/>
    <w:rsid w:val="00F96D22"/>
    <w:rsid w:val="00FA493E"/>
    <w:rsid w:val="00FB71E8"/>
    <w:rsid w:val="00FC0C38"/>
    <w:rsid w:val="00FD204D"/>
    <w:rsid w:val="00FD2AD0"/>
    <w:rsid w:val="00FD574B"/>
    <w:rsid w:val="00FD594E"/>
    <w:rsid w:val="01056222"/>
    <w:rsid w:val="018458F9"/>
    <w:rsid w:val="0368551A"/>
    <w:rsid w:val="03CA3D47"/>
    <w:rsid w:val="04107BC5"/>
    <w:rsid w:val="05575732"/>
    <w:rsid w:val="05A546A3"/>
    <w:rsid w:val="06CD7732"/>
    <w:rsid w:val="074F3089"/>
    <w:rsid w:val="089A3E2C"/>
    <w:rsid w:val="08EC07A3"/>
    <w:rsid w:val="09193B0D"/>
    <w:rsid w:val="0A4357B2"/>
    <w:rsid w:val="0AD9705A"/>
    <w:rsid w:val="0B1C33C9"/>
    <w:rsid w:val="0C5A6404"/>
    <w:rsid w:val="0C626BC7"/>
    <w:rsid w:val="0D7111CB"/>
    <w:rsid w:val="0D8C762C"/>
    <w:rsid w:val="0DEC7E16"/>
    <w:rsid w:val="0F093E2E"/>
    <w:rsid w:val="0F334232"/>
    <w:rsid w:val="100F53C2"/>
    <w:rsid w:val="1028521D"/>
    <w:rsid w:val="109F192B"/>
    <w:rsid w:val="1232125A"/>
    <w:rsid w:val="12905C3B"/>
    <w:rsid w:val="136357DD"/>
    <w:rsid w:val="14AF0482"/>
    <w:rsid w:val="158B27DC"/>
    <w:rsid w:val="176D54AC"/>
    <w:rsid w:val="179E0309"/>
    <w:rsid w:val="17DB41D3"/>
    <w:rsid w:val="17F29602"/>
    <w:rsid w:val="17FE6B3D"/>
    <w:rsid w:val="18737232"/>
    <w:rsid w:val="18A51616"/>
    <w:rsid w:val="1A780DB5"/>
    <w:rsid w:val="1B7B4814"/>
    <w:rsid w:val="1B9754A5"/>
    <w:rsid w:val="1CE714BF"/>
    <w:rsid w:val="1EF041F6"/>
    <w:rsid w:val="1F740395"/>
    <w:rsid w:val="20910519"/>
    <w:rsid w:val="20C43676"/>
    <w:rsid w:val="21B67131"/>
    <w:rsid w:val="223D7ED8"/>
    <w:rsid w:val="22446D3E"/>
    <w:rsid w:val="23957AA5"/>
    <w:rsid w:val="24032C19"/>
    <w:rsid w:val="24C06669"/>
    <w:rsid w:val="254608F2"/>
    <w:rsid w:val="26092433"/>
    <w:rsid w:val="26355C1A"/>
    <w:rsid w:val="26690636"/>
    <w:rsid w:val="28FE5368"/>
    <w:rsid w:val="29447D84"/>
    <w:rsid w:val="297F4BDC"/>
    <w:rsid w:val="29B474F5"/>
    <w:rsid w:val="29BF5A93"/>
    <w:rsid w:val="2A1956FE"/>
    <w:rsid w:val="2A86294B"/>
    <w:rsid w:val="2B0E4E4D"/>
    <w:rsid w:val="2B7E7900"/>
    <w:rsid w:val="2C7E3C18"/>
    <w:rsid w:val="2CF61669"/>
    <w:rsid w:val="2D8D63F7"/>
    <w:rsid w:val="2FD10597"/>
    <w:rsid w:val="2FE034B0"/>
    <w:rsid w:val="2FE254BF"/>
    <w:rsid w:val="30087913"/>
    <w:rsid w:val="30651C93"/>
    <w:rsid w:val="30891C8A"/>
    <w:rsid w:val="31171B2F"/>
    <w:rsid w:val="32AB6247"/>
    <w:rsid w:val="32F00029"/>
    <w:rsid w:val="33B03477"/>
    <w:rsid w:val="341F5709"/>
    <w:rsid w:val="36312CA1"/>
    <w:rsid w:val="36551AC3"/>
    <w:rsid w:val="36A84D2C"/>
    <w:rsid w:val="37E26723"/>
    <w:rsid w:val="37EBC6BB"/>
    <w:rsid w:val="38567B2B"/>
    <w:rsid w:val="398E52FD"/>
    <w:rsid w:val="39C96E65"/>
    <w:rsid w:val="3B4F3A3E"/>
    <w:rsid w:val="3C1C5951"/>
    <w:rsid w:val="3C792789"/>
    <w:rsid w:val="3DDD4FB4"/>
    <w:rsid w:val="3E945ADD"/>
    <w:rsid w:val="3E9C249B"/>
    <w:rsid w:val="3F8E1D2F"/>
    <w:rsid w:val="40381A6A"/>
    <w:rsid w:val="409172F1"/>
    <w:rsid w:val="40C03846"/>
    <w:rsid w:val="41812DDD"/>
    <w:rsid w:val="421D55CD"/>
    <w:rsid w:val="44581E74"/>
    <w:rsid w:val="453945F5"/>
    <w:rsid w:val="469F4142"/>
    <w:rsid w:val="47113327"/>
    <w:rsid w:val="48263E4D"/>
    <w:rsid w:val="48321599"/>
    <w:rsid w:val="48495725"/>
    <w:rsid w:val="486C30F1"/>
    <w:rsid w:val="49C4162D"/>
    <w:rsid w:val="4B694ABA"/>
    <w:rsid w:val="4B9F1880"/>
    <w:rsid w:val="4D4A21E8"/>
    <w:rsid w:val="4DE05AB9"/>
    <w:rsid w:val="4E207D82"/>
    <w:rsid w:val="4F2A2E41"/>
    <w:rsid w:val="4F983EF0"/>
    <w:rsid w:val="4FB84C92"/>
    <w:rsid w:val="4FCB39B8"/>
    <w:rsid w:val="4FE00057"/>
    <w:rsid w:val="50833CFF"/>
    <w:rsid w:val="50B2008B"/>
    <w:rsid w:val="51486EA4"/>
    <w:rsid w:val="520513B7"/>
    <w:rsid w:val="550C7924"/>
    <w:rsid w:val="5727040F"/>
    <w:rsid w:val="58706A1C"/>
    <w:rsid w:val="58A041BE"/>
    <w:rsid w:val="5A43677C"/>
    <w:rsid w:val="5A567945"/>
    <w:rsid w:val="5AC30A29"/>
    <w:rsid w:val="5DEDF03F"/>
    <w:rsid w:val="5DFD7307"/>
    <w:rsid w:val="5E3F7FF3"/>
    <w:rsid w:val="5E531E73"/>
    <w:rsid w:val="5EEC41AB"/>
    <w:rsid w:val="5FB91D32"/>
    <w:rsid w:val="5FBDC50A"/>
    <w:rsid w:val="60861C5D"/>
    <w:rsid w:val="60DA5D1A"/>
    <w:rsid w:val="61D8653C"/>
    <w:rsid w:val="640F7A52"/>
    <w:rsid w:val="64752F2C"/>
    <w:rsid w:val="66256724"/>
    <w:rsid w:val="673E00E9"/>
    <w:rsid w:val="696550C2"/>
    <w:rsid w:val="697E7411"/>
    <w:rsid w:val="69EF33A3"/>
    <w:rsid w:val="6BA4732C"/>
    <w:rsid w:val="6C365CC0"/>
    <w:rsid w:val="6D1871EC"/>
    <w:rsid w:val="6DA06EDA"/>
    <w:rsid w:val="6DCC3201"/>
    <w:rsid w:val="6EF53099"/>
    <w:rsid w:val="6F261A42"/>
    <w:rsid w:val="6F6E15AE"/>
    <w:rsid w:val="70527450"/>
    <w:rsid w:val="708F6424"/>
    <w:rsid w:val="713F07DC"/>
    <w:rsid w:val="71402C2B"/>
    <w:rsid w:val="716E451C"/>
    <w:rsid w:val="74E96411"/>
    <w:rsid w:val="75BE5BB5"/>
    <w:rsid w:val="76BE06C7"/>
    <w:rsid w:val="779067D9"/>
    <w:rsid w:val="77BFF35C"/>
    <w:rsid w:val="78184752"/>
    <w:rsid w:val="782F7A94"/>
    <w:rsid w:val="784A646A"/>
    <w:rsid w:val="79096A32"/>
    <w:rsid w:val="79403DAF"/>
    <w:rsid w:val="7A2E57D9"/>
    <w:rsid w:val="7A553C0B"/>
    <w:rsid w:val="7A777638"/>
    <w:rsid w:val="7B176061"/>
    <w:rsid w:val="7B874F8F"/>
    <w:rsid w:val="7BA0757B"/>
    <w:rsid w:val="7DCC4D76"/>
    <w:rsid w:val="7E025EC1"/>
    <w:rsid w:val="7EBC65A6"/>
    <w:rsid w:val="7ED3594D"/>
    <w:rsid w:val="7F3B7B60"/>
    <w:rsid w:val="7FC42810"/>
    <w:rsid w:val="BF7D6941"/>
    <w:rsid w:val="D3ED76FA"/>
    <w:rsid w:val="DFDF89C3"/>
    <w:rsid w:val="E7BE2D2E"/>
    <w:rsid w:val="E7DD457C"/>
    <w:rsid w:val="EF77F3B0"/>
    <w:rsid w:val="FAD7FBD2"/>
    <w:rsid w:val="FAFF6E60"/>
    <w:rsid w:val="FB7710A2"/>
    <w:rsid w:val="FD335C1D"/>
    <w:rsid w:val="FD78E963"/>
    <w:rsid w:val="FF6BCFA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spacing w:line="413" w:lineRule="auto"/>
      <w:outlineLvl w:val="2"/>
    </w:pPr>
    <w:rPr>
      <w:b/>
      <w:sz w:val="32"/>
    </w:rPr>
  </w:style>
  <w:style w:type="character" w:default="1" w:styleId="15">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unhideWhenUsed/>
    <w:qFormat/>
    <w:uiPriority w:val="99"/>
    <w:pPr>
      <w:ind w:firstLine="200" w:firstLineChars="200"/>
    </w:pPr>
    <w:rPr>
      <w:szCs w:val="22"/>
    </w:rPr>
  </w:style>
  <w:style w:type="paragraph" w:styleId="6">
    <w:name w:val="Document Map"/>
    <w:basedOn w:val="1"/>
    <w:qFormat/>
    <w:uiPriority w:val="0"/>
    <w:pPr>
      <w:shd w:val="clear" w:color="auto" w:fill="000080"/>
    </w:pPr>
  </w:style>
  <w:style w:type="paragraph" w:styleId="7">
    <w:name w:val="Body Text"/>
    <w:basedOn w:val="1"/>
    <w:qFormat/>
    <w:uiPriority w:val="0"/>
    <w:rPr>
      <w:rFonts w:eastAsia="仿宋"/>
      <w:sz w:val="32"/>
    </w:rPr>
  </w:style>
  <w:style w:type="paragraph" w:styleId="8">
    <w:name w:val="Date"/>
    <w:basedOn w:val="1"/>
    <w:next w:val="1"/>
    <w:qFormat/>
    <w:uiPriority w:val="0"/>
    <w:pPr>
      <w:ind w:left="100" w:leftChars="2500"/>
    </w:pPr>
  </w:style>
  <w:style w:type="paragraph" w:styleId="9">
    <w:name w:val="Balloon Text"/>
    <w:basedOn w:val="1"/>
    <w:qFormat/>
    <w:uiPriority w:val="0"/>
    <w:rPr>
      <w:sz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style>
  <w:style w:type="paragraph" w:styleId="13">
    <w:name w:val="Normal (Web)"/>
    <w:basedOn w:val="1"/>
    <w:qFormat/>
    <w:uiPriority w:val="0"/>
    <w:pPr>
      <w:widowControl/>
      <w:spacing w:beforeAutospacing="1" w:afterAutospacing="1"/>
      <w:jc w:val="left"/>
    </w:pPr>
    <w:rPr>
      <w:rFonts w:ascii="宋体"/>
      <w:kern w:val="0"/>
      <w:sz w:val="24"/>
    </w:rPr>
  </w:style>
  <w:style w:type="paragraph" w:styleId="14">
    <w:name w:val="Title"/>
    <w:basedOn w:val="1"/>
    <w:next w:val="1"/>
    <w:qFormat/>
    <w:uiPriority w:val="99"/>
    <w:pPr>
      <w:spacing w:before="240" w:after="60"/>
      <w:jc w:val="center"/>
      <w:outlineLvl w:val="0"/>
    </w:pPr>
    <w:rPr>
      <w:rFonts w:ascii="Calibri Light" w:hAnsi="Calibri Light"/>
      <w:b/>
      <w:bCs/>
      <w:sz w:val="32"/>
      <w:szCs w:val="32"/>
    </w:rPr>
  </w:style>
  <w:style w:type="character" w:styleId="16">
    <w:name w:val="Strong"/>
    <w:basedOn w:val="15"/>
    <w:qFormat/>
    <w:uiPriority w:val="0"/>
    <w:rPr>
      <w:b/>
      <w:bCs/>
    </w:rPr>
  </w:style>
  <w:style w:type="character" w:styleId="17">
    <w:name w:val="page number"/>
    <w:basedOn w:val="15"/>
    <w:qFormat/>
    <w:uiPriority w:val="0"/>
  </w:style>
  <w:style w:type="table" w:styleId="19">
    <w:name w:val="Table Grid"/>
    <w:basedOn w:val="1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20">
    <w:name w:val="正文2"/>
    <w:basedOn w:val="1"/>
    <w:next w:val="1"/>
    <w:qFormat/>
    <w:uiPriority w:val="99"/>
  </w:style>
  <w:style w:type="paragraph" w:customStyle="1" w:styleId="21">
    <w:name w:val="Char Char1 Char"/>
    <w:basedOn w:val="1"/>
    <w:qFormat/>
    <w:uiPriority w:val="0"/>
  </w:style>
  <w:style w:type="paragraph" w:customStyle="1" w:styleId="22">
    <w:name w:val="Char Char Char Char Char Char Char Char Char Char"/>
    <w:basedOn w:val="1"/>
    <w:qFormat/>
    <w:uiPriority w:val="0"/>
  </w:style>
  <w:style w:type="paragraph" w:customStyle="1" w:styleId="23">
    <w:name w:val="Char"/>
    <w:basedOn w:val="1"/>
    <w:qFormat/>
    <w:uiPriority w:val="0"/>
    <w:rPr>
      <w:rFonts w:ascii="宋体"/>
      <w:sz w:val="32"/>
    </w:rPr>
  </w:style>
  <w:style w:type="paragraph" w:customStyle="1" w:styleId="24">
    <w:name w:val="Char1"/>
    <w:basedOn w:val="1"/>
    <w:qFormat/>
    <w:uiPriority w:val="0"/>
    <w:pPr>
      <w:widowControl/>
      <w:spacing w:line="240" w:lineRule="exact"/>
      <w:jc w:val="left"/>
    </w:pPr>
  </w:style>
  <w:style w:type="character" w:customStyle="1" w:styleId="25">
    <w:name w:val="font01"/>
    <w:basedOn w:val="15"/>
    <w:qFormat/>
    <w:uiPriority w:val="0"/>
    <w:rPr>
      <w:rFonts w:hint="eastAsia" w:ascii="仿宋_GB2312" w:eastAsia="仿宋_GB2312" w:cs="仿宋_GB2312"/>
      <w:color w:val="000000"/>
      <w:sz w:val="32"/>
      <w:szCs w:val="32"/>
      <w:u w:val="none"/>
    </w:rPr>
  </w:style>
  <w:style w:type="character" w:customStyle="1" w:styleId="26">
    <w:name w:val="font11"/>
    <w:basedOn w:val="15"/>
    <w:qFormat/>
    <w:uiPriority w:val="0"/>
    <w:rPr>
      <w:rFonts w:hint="eastAsia" w:ascii="仿宋_GB2312" w:eastAsia="仿宋_GB2312" w:cs="仿宋_GB2312"/>
      <w:color w:val="000000"/>
      <w:sz w:val="32"/>
      <w:szCs w:val="32"/>
      <w:u w:val="none"/>
    </w:rPr>
  </w:style>
  <w:style w:type="paragraph" w:customStyle="1" w:styleId="27">
    <w:name w:val="Heading 1"/>
    <w:basedOn w:val="1"/>
    <w:qFormat/>
    <w:uiPriority w:val="1"/>
    <w:pPr>
      <w:ind w:left="1026"/>
      <w:outlineLvl w:val="1"/>
    </w:pPr>
    <w:rPr>
      <w:rFonts w:ascii="方正小标宋简体" w:hAnsi="方正小标宋简体" w:eastAsia="方正小标宋简体"/>
      <w:b/>
      <w:bCs/>
      <w:sz w:val="44"/>
      <w:szCs w:val="44"/>
    </w:rPr>
  </w:style>
  <w:style w:type="character" w:customStyle="1" w:styleId="28">
    <w:name w:val="font31"/>
    <w:basedOn w:val="15"/>
    <w:qFormat/>
    <w:uiPriority w:val="0"/>
    <w:rPr>
      <w:rFonts w:hint="eastAsia" w:ascii="仿宋_GB2312" w:eastAsia="仿宋_GB2312" w:cs="仿宋_GB2312"/>
      <w:color w:val="000000"/>
      <w:sz w:val="24"/>
      <w:szCs w:val="24"/>
      <w:u w:val="none"/>
    </w:rPr>
  </w:style>
  <w:style w:type="paragraph" w:customStyle="1" w:styleId="29">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0">
    <w:name w:val="font51"/>
    <w:basedOn w:val="15"/>
    <w:qFormat/>
    <w:uiPriority w:val="0"/>
    <w:rPr>
      <w:rFonts w:hint="eastAsia" w:ascii="楷体_GB2312" w:eastAsia="楷体_GB2312" w:cs="楷体_GB2312"/>
      <w:color w:val="000000"/>
      <w:sz w:val="28"/>
      <w:szCs w:val="28"/>
      <w:u w:val="none"/>
    </w:rPr>
  </w:style>
  <w:style w:type="character" w:customStyle="1" w:styleId="31">
    <w:name w:val="font61"/>
    <w:basedOn w:val="1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2378</Words>
  <Characters>2476</Characters>
  <Lines>43</Lines>
  <Paragraphs>12</Paragraphs>
  <ScaleCrop>false</ScaleCrop>
  <LinksUpToDate>false</LinksUpToDate>
  <CharactersWithSpaces>2612</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2021-05-11T10:09:00Z</dcterms:created>
  <dc:creator>微软用户</dc:creator>
  <cp:lastModifiedBy>Administrator</cp:lastModifiedBy>
  <cp:lastPrinted>2021-11-08T14:52:00Z</cp:lastPrinted>
  <dcterms:modified xsi:type="dcterms:W3CDTF">2022-03-02T09:31:29Z</dcterms:modified>
  <dc:title>乐山市人民政府办公室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y fmtid="{D5CDD505-2E9C-101B-9397-08002B2CF9AE}" pid="3" name="KSOSaveFontToCloudKey">
    <vt:lpwstr>595959868_btnclosed</vt:lpwstr>
  </property>
  <property fmtid="{D5CDD505-2E9C-101B-9397-08002B2CF9AE}" pid="4" name="ICV">
    <vt:lpwstr>32829BD577224C5B90E5C38B2DB4C6D8</vt:lpwstr>
  </property>
</Properties>
</file>