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072" w:rsidRDefault="000B4D97">
      <w:pPr>
        <w:spacing w:line="58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DC5072" w:rsidRDefault="00DC5072">
      <w:pPr>
        <w:spacing w:line="580" w:lineRule="exact"/>
        <w:jc w:val="left"/>
        <w:rPr>
          <w:rFonts w:ascii="黑体" w:eastAsia="黑体" w:hAnsi="黑体" w:cs="黑体"/>
          <w:sz w:val="32"/>
          <w:szCs w:val="32"/>
        </w:rPr>
      </w:pPr>
    </w:p>
    <w:p w:rsidR="00DC5072" w:rsidRDefault="000B4D97">
      <w:pPr>
        <w:spacing w:line="70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通江老街棚户区改造项目国有土地上</w:t>
      </w:r>
    </w:p>
    <w:p w:rsidR="00DC5072" w:rsidRDefault="000B4D97">
      <w:pPr>
        <w:spacing w:line="700" w:lineRule="exact"/>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房屋征收补偿方案</w:t>
      </w:r>
    </w:p>
    <w:p w:rsidR="00DC5072" w:rsidRDefault="00DC5072">
      <w:pPr>
        <w:spacing w:line="700" w:lineRule="exact"/>
        <w:ind w:firstLineChars="235" w:firstLine="752"/>
        <w:rPr>
          <w:rFonts w:ascii="仿宋_GB2312" w:eastAsia="仿宋_GB2312" w:hAnsi="宋体"/>
          <w:sz w:val="32"/>
          <w:szCs w:val="32"/>
        </w:rPr>
      </w:pP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根据《国有土地上房屋征收与补偿条例》（国务院令第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号）、《四川省国有土地上房屋征收与补偿条例》和《中华人民共和国住房和城乡建设部关于印发〈国有土地上房屋征收评估办法〉的通知》（建房〔</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号）等有关法律法规规章的规定，现结合本项目实际，制定房屋征收补偿方案如下：</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一、房屋征收目的和方式</w:t>
      </w:r>
    </w:p>
    <w:p w:rsidR="00DC5072" w:rsidRDefault="000B4D97">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为</w:t>
      </w:r>
      <w:r>
        <w:rPr>
          <w:rFonts w:ascii="仿宋_GB2312" w:eastAsia="仿宋_GB2312" w:hAnsi="宋体" w:hint="eastAsia"/>
          <w:sz w:val="32"/>
          <w:szCs w:val="32"/>
        </w:rPr>
        <w:t>加强老楼危房整治，</w:t>
      </w:r>
      <w:r>
        <w:rPr>
          <w:rFonts w:ascii="仿宋_GB2312" w:eastAsia="仿宋_GB2312" w:hAnsi="宋体" w:cs="宋体" w:hint="eastAsia"/>
          <w:sz w:val="32"/>
          <w:szCs w:val="32"/>
        </w:rPr>
        <w:t>改善群众居住条件，</w:t>
      </w:r>
      <w:r>
        <w:rPr>
          <w:rFonts w:ascii="仿宋_GB2312" w:eastAsia="仿宋_GB2312" w:hAnsi="宋体" w:hint="eastAsia"/>
          <w:sz w:val="32"/>
          <w:szCs w:val="32"/>
        </w:rPr>
        <w:t>提升城市品质形象，</w:t>
      </w:r>
      <w:r>
        <w:rPr>
          <w:rFonts w:ascii="仿宋_GB2312" w:eastAsia="仿宋_GB2312" w:hAnsi="黑体" w:hint="eastAsia"/>
          <w:sz w:val="32"/>
          <w:szCs w:val="32"/>
        </w:rPr>
        <w:t>拟对</w:t>
      </w:r>
      <w:r>
        <w:rPr>
          <w:rFonts w:ascii="仿宋_GB2312" w:eastAsia="仿宋_GB2312" w:hAnsi="宋体" w:cs="宋体" w:hint="eastAsia"/>
          <w:sz w:val="32"/>
          <w:szCs w:val="32"/>
        </w:rPr>
        <w:t>通江老街进行棚户区改造，以国有土地上房屋征收方式实施。</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二、房屋征收范围和征收补偿对象</w:t>
      </w:r>
    </w:p>
    <w:p w:rsidR="00DC5072" w:rsidRDefault="000B4D97">
      <w:pPr>
        <w:spacing w:line="580" w:lineRule="exact"/>
        <w:ind w:firstLineChars="200" w:firstLine="640"/>
        <w:rPr>
          <w:rFonts w:ascii="仿宋_GB2312" w:eastAsia="仿宋_GB2312"/>
          <w:sz w:val="32"/>
          <w:szCs w:val="32"/>
        </w:rPr>
      </w:pPr>
      <w:r>
        <w:rPr>
          <w:rFonts w:ascii="仿宋_GB2312" w:eastAsia="仿宋_GB2312" w:hAnsi="宋体" w:cs="宋体" w:hint="eastAsia"/>
          <w:sz w:val="32"/>
          <w:szCs w:val="32"/>
        </w:rPr>
        <w:t>东至滨江路北段，南至通江街，西至“五洲汉唐”，北至翰林路</w:t>
      </w:r>
      <w:r>
        <w:rPr>
          <w:rFonts w:ascii="仿宋_GB2312" w:eastAsia="仿宋_GB2312" w:hint="eastAsia"/>
          <w:sz w:val="32"/>
          <w:szCs w:val="32"/>
        </w:rPr>
        <w:t>（不含已纳入凤凰路北段断节路建设房屋征收范围的</w:t>
      </w:r>
      <w:r>
        <w:rPr>
          <w:rFonts w:ascii="仿宋_GB2312" w:eastAsia="仿宋_GB2312" w:hAnsi="宋体" w:cs="宋体" w:hint="eastAsia"/>
          <w:sz w:val="32"/>
          <w:szCs w:val="32"/>
        </w:rPr>
        <w:t>房屋</w:t>
      </w:r>
      <w:r>
        <w:rPr>
          <w:rFonts w:ascii="仿宋_GB2312" w:eastAsia="仿宋_GB2312" w:hint="eastAsia"/>
          <w:sz w:val="32"/>
          <w:szCs w:val="32"/>
        </w:rPr>
        <w:t>），</w:t>
      </w:r>
      <w:r>
        <w:rPr>
          <w:rFonts w:ascii="仿宋_GB2312" w:eastAsia="仿宋_GB2312" w:hAnsi="宋体" w:cs="宋体" w:hint="eastAsia"/>
          <w:sz w:val="32"/>
          <w:szCs w:val="32"/>
        </w:rPr>
        <w:t>详见通江老街旧城改造</w:t>
      </w:r>
      <w:r>
        <w:rPr>
          <w:rFonts w:ascii="仿宋_GB2312" w:eastAsia="仿宋_GB2312" w:hAnsi="宋体" w:cs="宋体" w:hint="eastAsia"/>
          <w:sz w:val="32"/>
          <w:szCs w:val="32"/>
        </w:rPr>
        <w:t>（</w:t>
      </w:r>
      <w:r>
        <w:rPr>
          <w:rFonts w:ascii="仿宋_GB2312" w:eastAsia="仿宋_GB2312" w:hAnsi="宋体" w:cs="宋体" w:hint="eastAsia"/>
          <w:sz w:val="32"/>
          <w:szCs w:val="32"/>
        </w:rPr>
        <w:t>蓝图</w:t>
      </w:r>
      <w:r>
        <w:rPr>
          <w:rFonts w:ascii="仿宋_GB2312" w:eastAsia="仿宋_GB2312" w:hAnsi="宋体" w:cs="宋体" w:hint="eastAsia"/>
          <w:sz w:val="32"/>
          <w:szCs w:val="32"/>
        </w:rPr>
        <w:t>）</w:t>
      </w:r>
      <w:r>
        <w:rPr>
          <w:rFonts w:ascii="仿宋_GB2312" w:eastAsia="仿宋_GB2312" w:hint="eastAsia"/>
          <w:sz w:val="32"/>
          <w:szCs w:val="32"/>
        </w:rPr>
        <w:t>。</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本项目征收范围内的被征收房屋所有权人（或不动产权人）（以下简称被征收人）为征收补偿对象。征收范围内涉及的市、区两级国有资产，按市政府相关规定办理。</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三、征收补偿依据</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号）、《四川省国有土地上房屋征收与补偿条例》和《中华人民共和国住房和城乡建设部关于印发〈国有土地上房屋征收评估办法〉的通知》（建房〔</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号）等有关法律法规规范性文件。</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四、房屋征收部门和实施单位</w:t>
      </w:r>
    </w:p>
    <w:p w:rsidR="00DC5072" w:rsidRDefault="000B4D97">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中区房屋征收和</w:t>
      </w:r>
      <w:proofErr w:type="gramStart"/>
      <w:r>
        <w:rPr>
          <w:rFonts w:ascii="仿宋_GB2312" w:eastAsia="仿宋_GB2312" w:hAnsi="宋体" w:cs="仿宋_GB2312" w:hint="eastAsia"/>
          <w:sz w:val="32"/>
          <w:szCs w:val="32"/>
        </w:rPr>
        <w:t>补偿局</w:t>
      </w:r>
      <w:proofErr w:type="gramEnd"/>
      <w:r>
        <w:rPr>
          <w:rFonts w:ascii="仿宋_GB2312" w:eastAsia="仿宋_GB2312" w:hAnsi="宋体" w:cs="仿宋_GB2312" w:hint="eastAsia"/>
          <w:sz w:val="32"/>
          <w:szCs w:val="32"/>
        </w:rPr>
        <w:t>为本项目的房屋征收部门。</w:t>
      </w:r>
    </w:p>
    <w:p w:rsidR="00DC5072" w:rsidRDefault="000B4D97">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中区通江街道办事处为本项目的实施单位。</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五、房屋征收签约期限</w:t>
      </w:r>
    </w:p>
    <w:p w:rsidR="00DC5072" w:rsidRDefault="000B4D97">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以乐山市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中区人民政府征收决定公告之日起</w:t>
      </w:r>
      <w:r>
        <w:rPr>
          <w:rFonts w:ascii="仿宋_GB2312" w:eastAsia="仿宋_GB2312" w:hAnsi="宋体" w:cs="仿宋_GB2312" w:hint="eastAsia"/>
          <w:sz w:val="32"/>
          <w:szCs w:val="32"/>
        </w:rPr>
        <w:t>90</w:t>
      </w:r>
      <w:r>
        <w:rPr>
          <w:rFonts w:ascii="仿宋_GB2312" w:eastAsia="仿宋_GB2312" w:hAnsi="宋体" w:cs="仿宋_GB2312" w:hint="eastAsia"/>
          <w:sz w:val="32"/>
          <w:szCs w:val="32"/>
        </w:rPr>
        <w:t>日为房屋征收补偿签约期限。在签约期限内达不成补偿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中区人民政府依法</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补偿决定。</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六、房屋搬迁过渡方式、过渡期限和搬迁期限</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黑体" w:hint="eastAsia"/>
          <w:sz w:val="32"/>
          <w:szCs w:val="32"/>
        </w:rPr>
        <w:t>被征收人采取自行搬迁过渡方式，过渡期限为</w:t>
      </w:r>
      <w:r>
        <w:rPr>
          <w:rFonts w:ascii="仿宋_GB2312" w:eastAsia="仿宋_GB2312" w:hAnsi="宋体" w:cs="仿宋_GB2312" w:hint="eastAsia"/>
          <w:sz w:val="32"/>
          <w:szCs w:val="32"/>
        </w:rPr>
        <w:t>自被征收人签订房屋征收补偿安置协议并搬迁交房之日起</w:t>
      </w:r>
      <w:proofErr w:type="gramStart"/>
      <w:r>
        <w:rPr>
          <w:rFonts w:ascii="仿宋_GB2312" w:eastAsia="仿宋_GB2312" w:hAnsi="宋体" w:cs="仿宋_GB2312" w:hint="eastAsia"/>
          <w:sz w:val="32"/>
          <w:szCs w:val="32"/>
        </w:rPr>
        <w:t>至交房公告</w:t>
      </w:r>
      <w:proofErr w:type="gramEnd"/>
      <w:r>
        <w:rPr>
          <w:rFonts w:ascii="仿宋_GB2312" w:eastAsia="仿宋_GB2312" w:hAnsi="宋体" w:cs="仿宋_GB2312" w:hint="eastAsia"/>
          <w:sz w:val="32"/>
          <w:szCs w:val="32"/>
        </w:rPr>
        <w:t>发布之日或领取被征收房屋补偿款之日止。</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七、被征收人的确定，被征收房屋面积、使用性质及未经登记房屋的认定</w:t>
      </w:r>
    </w:p>
    <w:p w:rsidR="00DC5072" w:rsidRDefault="000B4D97">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（一）被征收房屋已转让未办理不动产登记过户手续的，受让方应按照《中华人民共和国物权法》第十四条的规定，到不动产登记部门完善不动产登记过户手续后给予补偿；未</w:t>
      </w:r>
      <w:r>
        <w:rPr>
          <w:rFonts w:ascii="仿宋_GB2312" w:eastAsia="仿宋_GB2312" w:hAnsi="宋体" w:cs="仿宋_GB2312" w:hint="eastAsia"/>
          <w:sz w:val="32"/>
          <w:szCs w:val="32"/>
        </w:rPr>
        <w:lastRenderedPageBreak/>
        <w:t>完善或拒绝完善不动产登记过户手续的，以</w:t>
      </w:r>
      <w:r>
        <w:rPr>
          <w:rFonts w:ascii="仿宋_GB2312" w:eastAsia="仿宋_GB2312" w:hAnsi="宋体" w:cs="仿宋_GB2312" w:hint="eastAsia"/>
          <w:sz w:val="32"/>
          <w:szCs w:val="32"/>
          <w:shd w:val="clear" w:color="auto" w:fill="FFFFFF"/>
        </w:rPr>
        <w:t>不动产登记簿记载的产权人为被征收人进行补偿。</w:t>
      </w:r>
    </w:p>
    <w:p w:rsidR="00DC5072" w:rsidRDefault="000B4D97">
      <w:pPr>
        <w:spacing w:line="600" w:lineRule="exact"/>
        <w:ind w:firstLineChars="185" w:firstLine="592"/>
        <w:rPr>
          <w:rFonts w:ascii="仿宋_GB2312" w:eastAsia="仿宋_GB2312" w:hAnsi="宋体" w:cs="仿宋_GB2312"/>
          <w:color w:val="FF0000"/>
          <w:sz w:val="32"/>
          <w:szCs w:val="32"/>
        </w:rPr>
      </w:pPr>
      <w:r>
        <w:rPr>
          <w:rFonts w:ascii="仿宋_GB2312" w:eastAsia="仿宋_GB2312" w:hAnsi="宋体" w:cs="仿宋_GB2312" w:hint="eastAsia"/>
          <w:sz w:val="32"/>
          <w:szCs w:val="32"/>
        </w:rPr>
        <w:t>（二）征收已经登记的房屋，其性质、用途和建筑面积以房屋权属证书（或不动产权权属证书）或者房屋登记簿的记载为准。房屋征收公告发布前的住宅房屋，已经依法取得规划和土地行政主管部门改变用途批准文件的，按照批准后的用</w:t>
      </w:r>
      <w:r>
        <w:rPr>
          <w:rFonts w:ascii="仿宋_GB2312" w:eastAsia="仿宋_GB2312" w:hAnsi="宋体" w:cs="仿宋_GB2312" w:hint="eastAsia"/>
          <w:sz w:val="32"/>
          <w:szCs w:val="32"/>
        </w:rPr>
        <w:t>途性质进行补偿。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三）未经登记的房屋（建筑物、构筑物）权属和性质，以市政府授权区政府组织市、区有关部门出具的认定和处理意见为准。对认定为合法建筑和未超过批准期限的临时建筑物、构筑物按照建（构）筑物工料补偿标准给予补偿（详见附件</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）；对认定为违法建筑和超过批准期限的临时建筑不予补偿。</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八、被征收房屋和产权调换房屋价值及评估时点的确定</w:t>
      </w:r>
    </w:p>
    <w:p w:rsidR="00DC5072" w:rsidRDefault="000B4D97">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被征收房屋价值的补偿，不低于房屋征收决定公告之日被征收房屋类似房地产的市场价格。被征收房屋的价值，由具有相应资质的房地产价格评估机构评估确定。</w:t>
      </w:r>
    </w:p>
    <w:p w:rsidR="00DC5072" w:rsidRDefault="000B4D97">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产权调换房屋的价值由房地产价格评</w:t>
      </w:r>
      <w:r>
        <w:rPr>
          <w:rFonts w:ascii="仿宋_GB2312" w:eastAsia="仿宋_GB2312" w:hAnsi="宋体" w:cs="仿宋_GB2312" w:hint="eastAsia"/>
          <w:sz w:val="32"/>
          <w:szCs w:val="32"/>
        </w:rPr>
        <w:t>估机构评估确定，其评估时点与被征收房屋价值评估时点一致。</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九、征收补偿方式</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被征收人可选择货币补偿和房屋产权调换两种补偿方式之一，鼓励选择货币补偿方式（含货币化安置方式）。选择房屋产权调换的实行异地现房产权调换，在签订房屋征收</w:t>
      </w:r>
      <w:r>
        <w:rPr>
          <w:rFonts w:ascii="仿宋_GB2312" w:eastAsia="仿宋_GB2312" w:hAnsi="宋体" w:cs="仿宋_GB2312" w:hint="eastAsia"/>
          <w:sz w:val="32"/>
          <w:szCs w:val="32"/>
        </w:rPr>
        <w:lastRenderedPageBreak/>
        <w:t>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协议后，以实际搬迁交房的时间先后顺序依次选房。</w:t>
      </w:r>
    </w:p>
    <w:p w:rsidR="00DC5072" w:rsidRDefault="000B4D97">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（一）住宅货币补偿。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选择被征收房屋进行市场评估价的货币补偿方式。</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①房屋价值补偿。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按被征收房屋建筑面积乘以被征收房屋市场评估价格给予补偿。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②临时安置补偿。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平方米·月的标准计发，自被征收人签订房屋征收补偿安置协议并搬迁交房之日起计发，至被征收房屋补偿款存单载明的日期之日停发。临时安置补偿计发日期不足</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日的，按</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日计发临时安置补偿费。</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③搬迁补偿。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④配套设施补偿。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⑤空调拆装补偿。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⑥装饰装修补偿。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）土</w:t>
      </w:r>
      <w:r>
        <w:rPr>
          <w:rFonts w:ascii="仿宋_GB2312" w:eastAsia="仿宋_GB2312" w:hAnsi="宋体" w:cs="仿宋_GB2312" w:hint="eastAsia"/>
          <w:sz w:val="32"/>
          <w:szCs w:val="32"/>
        </w:rPr>
        <w:t>地出让金补偿。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w:t>
      </w:r>
      <w:r>
        <w:rPr>
          <w:rFonts w:ascii="仿宋_GB2312" w:eastAsia="仿宋_GB2312" w:hAnsi="宋体" w:cs="仿宋_GB2312" w:hint="eastAsia"/>
          <w:sz w:val="32"/>
          <w:szCs w:val="32"/>
        </w:rPr>
        <w:t>名字</w:t>
      </w:r>
      <w:r>
        <w:rPr>
          <w:rFonts w:ascii="仿宋_GB2312" w:eastAsia="仿宋_GB2312" w:hAnsi="宋体" w:cs="仿宋_GB2312" w:hint="eastAsia"/>
          <w:sz w:val="32"/>
          <w:szCs w:val="32"/>
        </w:rPr>
        <w:t>必须一致）。</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被征收人在签约期限内签订征收补偿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协议并搬迁交房的，按被征收房屋市场评估价的</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％给予奖励。</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选择被征收房屋采取市政府确定基准价的货币化安置补偿方式。</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①房屋价值补偿。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按被征收房屋建筑面积乘以</w:t>
      </w:r>
      <w:r>
        <w:rPr>
          <w:rFonts w:ascii="仿宋_GB2312" w:eastAsia="仿宋_GB2312" w:hAnsi="宋体" w:cs="仿宋_GB2312" w:hint="eastAsia"/>
          <w:sz w:val="32"/>
          <w:szCs w:val="32"/>
        </w:rPr>
        <w:t>4500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平方米给予补偿。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②临时安置补偿。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平方米·月的标准计发，自被征收人签订补偿安置协议并搬迁交房之日起计发，至被征收房屋</w:t>
      </w:r>
      <w:r>
        <w:rPr>
          <w:rFonts w:ascii="仿宋_GB2312" w:eastAsia="仿宋_GB2312" w:hAnsi="宋体" w:cs="仿宋_GB2312" w:hint="eastAsia"/>
          <w:sz w:val="32"/>
          <w:szCs w:val="32"/>
        </w:rPr>
        <w:t>补偿款存单载明的日期之日停发。临时安置补偿计发日期不足</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日的，按</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日计发临时安置补偿费。</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③搬迁补偿。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④配套设施补偿。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⑤空调拆装补偿。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⑥装饰装修补偿。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w:t>
      </w:r>
      <w:r>
        <w:rPr>
          <w:rFonts w:ascii="仿宋_GB2312" w:eastAsia="仿宋_GB2312" w:hAnsi="宋体" w:cs="仿宋_GB2312" w:hint="eastAsia"/>
          <w:sz w:val="32"/>
          <w:szCs w:val="32"/>
        </w:rPr>
        <w:t>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）土地出让金补偿。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DC5072" w:rsidRDefault="000B4D97">
      <w:pPr>
        <w:numPr>
          <w:ilvl w:val="0"/>
          <w:numId w:val="2"/>
        </w:num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奖励。</w:t>
      </w:r>
    </w:p>
    <w:p w:rsidR="00DC5072" w:rsidRDefault="000B4D97">
      <w:pPr>
        <w:spacing w:line="600" w:lineRule="exact"/>
        <w:ind w:firstLineChars="200" w:firstLine="640"/>
        <w:rPr>
          <w:rFonts w:ascii="仿宋_GB2312" w:eastAsia="仿宋_GB2312" w:hAnsi="宋体" w:cs="仿宋_GB2312"/>
          <w:color w:val="FF0000"/>
          <w:sz w:val="32"/>
          <w:szCs w:val="32"/>
        </w:rPr>
      </w:pPr>
      <w:r>
        <w:rPr>
          <w:rFonts w:ascii="仿宋_GB2312" w:eastAsia="仿宋_GB2312" w:hAnsi="宋体" w:cs="仿宋_GB2312" w:hint="eastAsia"/>
          <w:sz w:val="32"/>
          <w:szCs w:val="32"/>
        </w:rPr>
        <w:t>被征收人在房屋征收签约期限内签订征收补偿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协议并搬迁交房的，按</w:t>
      </w:r>
      <w:r>
        <w:rPr>
          <w:rFonts w:ascii="仿宋_GB2312" w:eastAsia="仿宋_GB2312" w:hAnsi="宋体" w:cs="仿宋_GB2312" w:hint="eastAsia"/>
          <w:sz w:val="32"/>
          <w:szCs w:val="32"/>
        </w:rPr>
        <w:t>4500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平方米上浮</w:t>
      </w:r>
      <w:r>
        <w:rPr>
          <w:rFonts w:ascii="仿宋_GB2312" w:eastAsia="仿宋_GB2312" w:hAnsi="宋体" w:cs="仿宋_GB2312" w:hint="eastAsia"/>
          <w:sz w:val="32"/>
          <w:szCs w:val="32"/>
        </w:rPr>
        <w:t>35</w:t>
      </w:r>
      <w:r>
        <w:rPr>
          <w:rFonts w:ascii="仿宋_GB2312" w:eastAsia="仿宋_GB2312" w:hAnsi="宋体" w:cs="仿宋_GB2312" w:hint="eastAsia"/>
          <w:sz w:val="32"/>
          <w:szCs w:val="32"/>
        </w:rPr>
        <w:t>％给予奖励。</w:t>
      </w:r>
    </w:p>
    <w:p w:rsidR="00DC5072" w:rsidRDefault="000B4D97">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（二）住宅产权调换。</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安置房源。</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）被征收房屋实行异地产权调换。被征收人可在斑竹印象（斑竹湾理工学院旁）、</w:t>
      </w:r>
      <w:proofErr w:type="gramStart"/>
      <w:r>
        <w:rPr>
          <w:rFonts w:ascii="仿宋_GB2312" w:eastAsia="仿宋_GB2312" w:hAnsi="宋体" w:cs="仿宋_GB2312" w:hint="eastAsia"/>
          <w:sz w:val="32"/>
          <w:szCs w:val="32"/>
        </w:rPr>
        <w:t>演武华</w:t>
      </w:r>
      <w:proofErr w:type="gramEnd"/>
      <w:r>
        <w:rPr>
          <w:rFonts w:ascii="仿宋_GB2312" w:eastAsia="仿宋_GB2312" w:hAnsi="宋体" w:cs="仿宋_GB2312" w:hint="eastAsia"/>
          <w:sz w:val="32"/>
          <w:szCs w:val="32"/>
        </w:rPr>
        <w:t>庭、里仁阁、望江亭（下观音）、</w:t>
      </w:r>
      <w:proofErr w:type="gramStart"/>
      <w:r>
        <w:rPr>
          <w:rFonts w:ascii="仿宋_GB2312" w:eastAsia="仿宋_GB2312" w:hAnsi="宋体" w:cs="仿宋_GB2312" w:hint="eastAsia"/>
          <w:sz w:val="32"/>
          <w:szCs w:val="32"/>
        </w:rPr>
        <w:t>百禄苑</w:t>
      </w:r>
      <w:proofErr w:type="gramEnd"/>
      <w:r>
        <w:rPr>
          <w:rFonts w:ascii="仿宋_GB2312" w:eastAsia="仿宋_GB2312" w:hAnsi="宋体" w:cs="仿宋_GB2312" w:hint="eastAsia"/>
          <w:sz w:val="32"/>
          <w:szCs w:val="32"/>
        </w:rPr>
        <w:t>（农民街）、醉卧三江（乐山</w:t>
      </w:r>
      <w:proofErr w:type="gramStart"/>
      <w:r>
        <w:rPr>
          <w:rFonts w:ascii="仿宋_GB2312" w:eastAsia="仿宋_GB2312" w:hAnsi="宋体" w:cs="仿宋_GB2312" w:hint="eastAsia"/>
          <w:sz w:val="32"/>
          <w:szCs w:val="32"/>
        </w:rPr>
        <w:t>师院旁原啤酒厂</w:t>
      </w:r>
      <w:proofErr w:type="gramEnd"/>
      <w:r>
        <w:rPr>
          <w:rFonts w:ascii="仿宋_GB2312" w:eastAsia="仿宋_GB2312" w:hAnsi="宋体" w:cs="仿宋_GB2312" w:hint="eastAsia"/>
          <w:sz w:val="32"/>
          <w:szCs w:val="32"/>
        </w:rPr>
        <w:t>—</w:t>
      </w:r>
      <w:r>
        <w:rPr>
          <w:rFonts w:ascii="仿宋_GB2312" w:eastAsia="仿宋_GB2312" w:hAnsi="宋体" w:cs="仿宋_GB2312" w:hint="eastAsia"/>
          <w:sz w:val="32"/>
          <w:szCs w:val="32"/>
        </w:rPr>
        <w:t>牌坊巷）等已交付使用的政府存量住宅房源中选择。</w:t>
      </w:r>
    </w:p>
    <w:p w:rsidR="00DC5072" w:rsidRDefault="000B4D97">
      <w:pPr>
        <w:spacing w:line="600" w:lineRule="exact"/>
        <w:ind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）产权调换房屋符合国家质量安全标准，并经有关部门验收合格，且符合下列要求：</w:t>
      </w:r>
    </w:p>
    <w:p w:rsidR="00DC5072" w:rsidRDefault="000B4D97">
      <w:pPr>
        <w:pStyle w:val="2"/>
        <w:spacing w:line="600" w:lineRule="exact"/>
        <w:ind w:firstLineChars="0" w:firstLine="0"/>
        <w:rPr>
          <w:rFonts w:hAnsi="宋体" w:cs="仿宋_GB2312"/>
          <w:b w:val="0"/>
          <w:bCs w:val="0"/>
          <w:sz w:val="32"/>
          <w:szCs w:val="32"/>
        </w:rPr>
      </w:pPr>
      <w:r>
        <w:rPr>
          <w:rFonts w:hAnsi="宋体" w:cs="仿宋_GB2312" w:hint="eastAsia"/>
          <w:b w:val="0"/>
          <w:bCs w:val="0"/>
          <w:sz w:val="32"/>
          <w:szCs w:val="32"/>
        </w:rPr>
        <w:t xml:space="preserve">    </w:t>
      </w:r>
      <w:r>
        <w:rPr>
          <w:rFonts w:hAnsi="宋体" w:cs="仿宋_GB2312" w:hint="eastAsia"/>
          <w:b w:val="0"/>
          <w:bCs w:val="0"/>
          <w:sz w:val="32"/>
          <w:szCs w:val="32"/>
        </w:rPr>
        <w:t>①水、电、气、光纤、电话五通，安装到户；</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②卫生间</w:t>
      </w:r>
      <w:proofErr w:type="gramStart"/>
      <w:r>
        <w:rPr>
          <w:rFonts w:ascii="仿宋_GB2312" w:eastAsia="仿宋_GB2312" w:hAnsi="宋体" w:cs="仿宋_GB2312" w:hint="eastAsia"/>
          <w:sz w:val="32"/>
          <w:szCs w:val="32"/>
        </w:rPr>
        <w:t>配普通</w:t>
      </w:r>
      <w:proofErr w:type="gramEnd"/>
      <w:r>
        <w:rPr>
          <w:rFonts w:ascii="仿宋_GB2312" w:eastAsia="仿宋_GB2312" w:hAnsi="宋体" w:cs="仿宋_GB2312" w:hint="eastAsia"/>
          <w:sz w:val="32"/>
          <w:szCs w:val="32"/>
        </w:rPr>
        <w:t>蹲便器，地面、墙面贴</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或</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规格普通瓷砖（墙面不低于</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米）；</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③入户门安装普通钢制防护门、室内安装普通夹板门、卫生间安装普通塑钢门；</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④安装塑钢窗；</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⑤室内地面为</w:t>
      </w:r>
      <w:proofErr w:type="gramStart"/>
      <w:r>
        <w:rPr>
          <w:rFonts w:ascii="仿宋_GB2312" w:eastAsia="仿宋_GB2312" w:hAnsi="宋体" w:cs="仿宋_GB2312" w:hint="eastAsia"/>
          <w:sz w:val="32"/>
          <w:szCs w:val="32"/>
        </w:rPr>
        <w:t>水泥豆石面层</w:t>
      </w:r>
      <w:proofErr w:type="gramEnd"/>
      <w:r>
        <w:rPr>
          <w:rFonts w:ascii="仿宋_GB2312" w:eastAsia="仿宋_GB2312" w:hAnsi="宋体" w:cs="仿宋_GB2312" w:hint="eastAsia"/>
          <w:sz w:val="32"/>
          <w:szCs w:val="32"/>
        </w:rPr>
        <w:t>，墙面、屋顶采用仿瓷；</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⑥厨房墙面、地面</w:t>
      </w:r>
      <w:proofErr w:type="gramStart"/>
      <w:r>
        <w:rPr>
          <w:rFonts w:ascii="仿宋_GB2312" w:eastAsia="仿宋_GB2312" w:hAnsi="宋体" w:cs="仿宋_GB2312" w:hint="eastAsia"/>
          <w:sz w:val="32"/>
          <w:szCs w:val="32"/>
        </w:rPr>
        <w:t>贴普通</w:t>
      </w:r>
      <w:proofErr w:type="gramEnd"/>
      <w:r>
        <w:rPr>
          <w:rFonts w:ascii="仿宋_GB2312" w:eastAsia="仿宋_GB2312" w:hAnsi="宋体" w:cs="仿宋_GB2312" w:hint="eastAsia"/>
          <w:sz w:val="32"/>
          <w:szCs w:val="32"/>
        </w:rPr>
        <w:t>瓷砖（不低于</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米），配备灶台。</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补偿标准。</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）房屋面积补偿。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异地产权调换以户为单位，按照被征收房屋不动产权属证书认定，一个独立的产权单位为一户，一处房屋为共有产权的按一户确认。选房时被征收人只能</w:t>
      </w:r>
      <w:proofErr w:type="gramStart"/>
      <w:r>
        <w:rPr>
          <w:rFonts w:ascii="仿宋_GB2312" w:eastAsia="仿宋_GB2312" w:hAnsi="宋体" w:cs="仿宋_GB2312" w:hint="eastAsia"/>
          <w:sz w:val="32"/>
          <w:szCs w:val="32"/>
        </w:rPr>
        <w:t>依照被</w:t>
      </w:r>
      <w:proofErr w:type="gramEnd"/>
      <w:r>
        <w:rPr>
          <w:rFonts w:ascii="仿宋_GB2312" w:eastAsia="仿宋_GB2312" w:hAnsi="宋体" w:cs="仿宋_GB2312" w:hint="eastAsia"/>
          <w:sz w:val="32"/>
          <w:szCs w:val="32"/>
        </w:rPr>
        <w:t>征收房屋自然套数选房，可以适当超过原有产权面积（但需按政策进行结算）；产权调换房屋建筑面积小于被征收房屋建筑面积的，可以超过原有的自然套数，但须按最接近被征收房屋建筑面</w:t>
      </w:r>
      <w:r>
        <w:rPr>
          <w:rFonts w:ascii="仿宋_GB2312" w:eastAsia="仿宋_GB2312" w:hAnsi="宋体" w:cs="仿宋_GB2312" w:hint="eastAsia"/>
          <w:sz w:val="32"/>
          <w:szCs w:val="32"/>
        </w:rPr>
        <w:lastRenderedPageBreak/>
        <w:t>积的产权调换房屋套数选房。如果被征收房屋不能</w:t>
      </w:r>
      <w:r>
        <w:rPr>
          <w:rFonts w:ascii="仿宋_GB2312" w:eastAsia="仿宋_GB2312" w:hAnsi="宋体" w:cs="仿宋_GB2312" w:hint="eastAsia"/>
          <w:sz w:val="32"/>
          <w:szCs w:val="32"/>
        </w:rPr>
        <w:t>明确区分自然套数的，按被征收房屋建筑面积选择相应的套数面积之和进行产权调换，可以适当超过原面积（但需按政策进行结算）。</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住宅异地产权房屋交付时，以被征收住宅房屋的建筑面积为依据进行结算，被征收住宅房屋与异地产权调换住宅房屋等面积部分不补差价；超面积部分参照《乐山市人民政府关于进一步明确乐山中心城市和工矿棚户区改造拆迁补偿安置政策的通知》（乐府发〔</w:t>
      </w:r>
      <w:r>
        <w:rPr>
          <w:rFonts w:ascii="仿宋_GB2312" w:eastAsia="仿宋_GB2312" w:hAnsi="宋体" w:cs="仿宋_GB2312" w:hint="eastAsia"/>
          <w:sz w:val="32"/>
          <w:szCs w:val="32"/>
        </w:rPr>
        <w:t>2010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17</w:t>
      </w:r>
      <w:r>
        <w:rPr>
          <w:rFonts w:ascii="仿宋_GB2312" w:eastAsia="仿宋_GB2312" w:hAnsi="宋体" w:cs="仿宋_GB2312" w:hint="eastAsia"/>
          <w:sz w:val="32"/>
          <w:szCs w:val="32"/>
        </w:rPr>
        <w:t>号）、《乐山市人民政府办公室关于乐山中心城区棚户区改造拆迁补偿安置政策的补充意见》（乐府办函〔</w:t>
      </w:r>
      <w:r>
        <w:rPr>
          <w:rFonts w:ascii="仿宋_GB2312" w:eastAsia="仿宋_GB2312" w:hAnsi="宋体" w:cs="仿宋_GB2312" w:hint="eastAsia"/>
          <w:sz w:val="32"/>
          <w:szCs w:val="32"/>
        </w:rPr>
        <w:t>2010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117</w:t>
      </w:r>
      <w:r>
        <w:rPr>
          <w:rFonts w:ascii="仿宋_GB2312" w:eastAsia="仿宋_GB2312" w:hAnsi="宋体" w:cs="仿宋_GB2312" w:hint="eastAsia"/>
          <w:sz w:val="32"/>
          <w:szCs w:val="32"/>
        </w:rPr>
        <w:t>号）、《乐山市人民政府办公室关于乐山中心</w:t>
      </w:r>
      <w:r>
        <w:rPr>
          <w:rFonts w:ascii="仿宋_GB2312" w:eastAsia="仿宋_GB2312" w:hAnsi="宋体" w:cs="仿宋_GB2312" w:hint="eastAsia"/>
          <w:sz w:val="32"/>
          <w:szCs w:val="32"/>
        </w:rPr>
        <w:t>城区棚户区改造拆迁补偿安置政策的补充意见》（乐府办函〔</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号）等系列棚改政策标准结算；因异地产权调换住宅房屋户型面积的原因，被征收人自愿选择略小于还房补偿面积的，不足部分按异地产权调换住宅房屋的市场价补偿。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）临时安置补偿。</w:t>
      </w:r>
    </w:p>
    <w:p w:rsidR="00DC5072" w:rsidRDefault="000B4D97">
      <w:pPr>
        <w:spacing w:line="560" w:lineRule="exact"/>
        <w:ind w:firstLineChars="200" w:firstLine="640"/>
        <w:rPr>
          <w:rFonts w:ascii="仿宋_GB2312" w:eastAsia="仿宋_GB2312" w:hAnsi="宋体" w:cs="仿宋"/>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 w:hint="eastAsia"/>
          <w:sz w:val="32"/>
          <w:szCs w:val="32"/>
        </w:rPr>
        <w:t>10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平方米·月的标准计发，不足</w:t>
      </w:r>
      <w:r>
        <w:rPr>
          <w:rFonts w:ascii="仿宋_GB2312" w:eastAsia="仿宋_GB2312" w:hAnsi="宋体" w:cs="仿宋" w:hint="eastAsia"/>
          <w:sz w:val="32"/>
          <w:szCs w:val="32"/>
        </w:rPr>
        <w:t>600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月·户的按</w:t>
      </w:r>
      <w:r>
        <w:rPr>
          <w:rFonts w:ascii="仿宋_GB2312" w:eastAsia="仿宋_GB2312" w:hAnsi="宋体" w:cs="仿宋" w:hint="eastAsia"/>
          <w:sz w:val="32"/>
          <w:szCs w:val="32"/>
        </w:rPr>
        <w:t>600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月·户标准计发，最高不超过</w:t>
      </w:r>
      <w:r>
        <w:rPr>
          <w:rFonts w:ascii="仿宋_GB2312" w:eastAsia="仿宋_GB2312" w:hAnsi="宋体" w:cs="仿宋" w:hint="eastAsia"/>
          <w:sz w:val="32"/>
          <w:szCs w:val="32"/>
        </w:rPr>
        <w:t>2000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月·户，自被征收人签订补偿安置协议并搬迁交房之日起计发，</w:t>
      </w:r>
      <w:proofErr w:type="gramStart"/>
      <w:r>
        <w:rPr>
          <w:rFonts w:ascii="仿宋_GB2312" w:eastAsia="仿宋_GB2312" w:hAnsi="宋体" w:cs="仿宋" w:hint="eastAsia"/>
          <w:sz w:val="32"/>
          <w:szCs w:val="32"/>
        </w:rPr>
        <w:t>至交房公告</w:t>
      </w:r>
      <w:proofErr w:type="gramEnd"/>
      <w:r>
        <w:rPr>
          <w:rFonts w:ascii="仿宋_GB2312" w:eastAsia="仿宋_GB2312" w:hAnsi="宋体" w:cs="仿宋" w:hint="eastAsia"/>
          <w:sz w:val="32"/>
          <w:szCs w:val="32"/>
        </w:rPr>
        <w:t>发布之日停发。</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）搬迁补偿。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w:t>
      </w:r>
      <w:r>
        <w:rPr>
          <w:rFonts w:ascii="仿宋_GB2312" w:eastAsia="仿宋_GB2312" w:hAnsi="宋体" w:cs="仿宋_GB2312" w:hint="eastAsia"/>
          <w:sz w:val="32"/>
          <w:szCs w:val="32"/>
        </w:rPr>
        <w:lastRenderedPageBreak/>
        <w:t>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异地安置在政府统建还房斑竹印象小区的，以</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户的标准，再增发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次搬迁补偿。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）配套设施补偿。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房屋征收签约期限内签订征收补偿安置协议并搬迁交房的，一户按一套产权调换房屋计，水、电、气、光纤安装费用互不补差；多选套数的水、电、气、光纤安装费用由被征收人承担。被征收人未在规定的签约期限内签订征收补偿安置协议并搬迁交房，且被征收房屋没有水、电、气、光纤设施独立户头的，其水、电、气、光纤安装费用由被</w:t>
      </w:r>
      <w:r>
        <w:rPr>
          <w:rFonts w:ascii="仿宋_GB2312" w:eastAsia="仿宋_GB2312" w:hAnsi="宋体" w:cs="仿宋_GB2312" w:hint="eastAsia"/>
          <w:sz w:val="32"/>
          <w:szCs w:val="32"/>
        </w:rPr>
        <w:t>征收人承担（详见附件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）空调拆装补偿。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）装饰装修补偿。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DC5072" w:rsidRDefault="000B4D97">
      <w:pPr>
        <w:numPr>
          <w:ilvl w:val="0"/>
          <w:numId w:val="3"/>
        </w:num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土地出让金补偿。</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DC5072" w:rsidRDefault="000B4D97">
      <w:pPr>
        <w:spacing w:line="60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3.</w:t>
      </w:r>
      <w:r>
        <w:rPr>
          <w:rFonts w:ascii="仿宋_GB2312" w:eastAsia="仿宋_GB2312" w:hAnsi="宋体" w:cs="仿宋_GB2312" w:hint="eastAsia"/>
          <w:sz w:val="32"/>
          <w:szCs w:val="32"/>
        </w:rPr>
        <w:t>奖励。</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被征收人在房屋征收签约期限内签订征收补偿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协议并搬迁交房的：</w:t>
      </w:r>
    </w:p>
    <w:p w:rsidR="00DC5072" w:rsidRDefault="000B4D97">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）面积奖励。</w:t>
      </w:r>
    </w:p>
    <w:p w:rsidR="00DC5072" w:rsidRDefault="000B4D97">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按被征收房屋建筑面积的</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％给予面积奖励。</w:t>
      </w:r>
    </w:p>
    <w:p w:rsidR="00DC5072" w:rsidRDefault="000B4D97">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）地级差奖励。</w:t>
      </w:r>
    </w:p>
    <w:p w:rsidR="00DC5072" w:rsidRDefault="000B4D97">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异地产权调换的被征收人，按《乐山市中心城区土地分级价格图》，被征收住宅房屋用地高于异地产权调换住宅房屋用地土地级别的，异地产权调换住宅房屋用地每低一个级别，按被征收住宅房屋产权面积</w:t>
      </w:r>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平方米予以奖励。</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其他补助。</w:t>
      </w:r>
    </w:p>
    <w:p w:rsidR="00DC5072" w:rsidRDefault="000B4D97">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）双困家庭。</w:t>
      </w:r>
    </w:p>
    <w:p w:rsidR="00DC5072" w:rsidRDefault="000B4D97">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属于城市最低生活保障家庭，且原居住住宅房屋建筑面积不足</w:t>
      </w:r>
      <w:r>
        <w:rPr>
          <w:rFonts w:ascii="仿宋_GB2312" w:eastAsia="仿宋_GB2312" w:hAnsi="宋体" w:cs="仿宋_GB2312" w:hint="eastAsia"/>
          <w:sz w:val="32"/>
          <w:szCs w:val="32"/>
        </w:rPr>
        <w:t>50</w:t>
      </w:r>
      <w:r>
        <w:rPr>
          <w:rFonts w:ascii="仿宋_GB2312" w:eastAsia="仿宋_GB2312" w:hAnsi="宋体" w:cs="仿宋_GB2312" w:hint="eastAsia"/>
          <w:sz w:val="32"/>
          <w:szCs w:val="32"/>
        </w:rPr>
        <w:t>平方米的，按建筑面积</w:t>
      </w:r>
      <w:r>
        <w:rPr>
          <w:rFonts w:ascii="仿宋_GB2312" w:eastAsia="仿宋_GB2312" w:hAnsi="宋体" w:cs="仿宋_GB2312" w:hint="eastAsia"/>
          <w:sz w:val="32"/>
          <w:szCs w:val="32"/>
        </w:rPr>
        <w:t>50</w:t>
      </w:r>
      <w:r>
        <w:rPr>
          <w:rFonts w:ascii="仿宋_GB2312" w:eastAsia="仿宋_GB2312" w:hAnsi="宋体" w:cs="仿宋_GB2312" w:hint="eastAsia"/>
          <w:sz w:val="32"/>
          <w:szCs w:val="32"/>
        </w:rPr>
        <w:t>平方米进行产权调换，被征收人不补差价；产权</w:t>
      </w:r>
      <w:r>
        <w:rPr>
          <w:rFonts w:ascii="仿宋_GB2312" w:eastAsia="仿宋_GB2312" w:hAnsi="宋体" w:cs="仿宋_GB2312" w:hint="eastAsia"/>
          <w:sz w:val="32"/>
          <w:szCs w:val="32"/>
        </w:rPr>
        <w:t>调换住宅</w:t>
      </w:r>
      <w:proofErr w:type="gramStart"/>
      <w:r>
        <w:rPr>
          <w:rFonts w:ascii="仿宋_GB2312" w:eastAsia="仿宋_GB2312" w:hAnsi="宋体" w:cs="仿宋_GB2312" w:hint="eastAsia"/>
          <w:sz w:val="32"/>
          <w:szCs w:val="32"/>
        </w:rPr>
        <w:t>房屋超</w:t>
      </w:r>
      <w:proofErr w:type="gramEnd"/>
      <w:r>
        <w:rPr>
          <w:rFonts w:ascii="仿宋_GB2312" w:eastAsia="仿宋_GB2312" w:hAnsi="宋体" w:cs="仿宋_GB2312" w:hint="eastAsia"/>
          <w:sz w:val="32"/>
          <w:szCs w:val="32"/>
        </w:rPr>
        <w:t>面积在</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平方米内的部分，被征收人按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平方米优惠价支付这部分超面积房款；产权调换住宅房屋超过</w:t>
      </w:r>
      <w:r>
        <w:rPr>
          <w:rFonts w:ascii="仿宋_GB2312" w:eastAsia="仿宋_GB2312" w:hAnsi="宋体" w:cs="仿宋_GB2312" w:hint="eastAsia"/>
          <w:sz w:val="32"/>
          <w:szCs w:val="32"/>
        </w:rPr>
        <w:t>60</w:t>
      </w:r>
      <w:r>
        <w:rPr>
          <w:rFonts w:ascii="仿宋_GB2312" w:eastAsia="仿宋_GB2312" w:hAnsi="宋体" w:cs="仿宋_GB2312" w:hint="eastAsia"/>
          <w:sz w:val="32"/>
          <w:szCs w:val="32"/>
        </w:rPr>
        <w:t>平方米的部分按市政府相关政策结算。</w:t>
      </w:r>
    </w:p>
    <w:p w:rsidR="00DC5072" w:rsidRDefault="000B4D97">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）非双困家庭。</w:t>
      </w:r>
    </w:p>
    <w:p w:rsidR="00DC5072" w:rsidRDefault="000B4D97">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①被征收人家庭中直系三代有重度残疾成员（详见附件</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），其产权调换住宅</w:t>
      </w:r>
      <w:proofErr w:type="gramStart"/>
      <w:r>
        <w:rPr>
          <w:rFonts w:ascii="仿宋_GB2312" w:eastAsia="仿宋_GB2312" w:hAnsi="宋体" w:cs="仿宋_GB2312" w:hint="eastAsia"/>
          <w:sz w:val="32"/>
          <w:szCs w:val="32"/>
        </w:rPr>
        <w:t>房屋超</w:t>
      </w:r>
      <w:proofErr w:type="gramEnd"/>
      <w:r>
        <w:rPr>
          <w:rFonts w:ascii="仿宋_GB2312" w:eastAsia="仿宋_GB2312" w:hAnsi="宋体" w:cs="仿宋_GB2312" w:hint="eastAsia"/>
          <w:sz w:val="32"/>
          <w:szCs w:val="32"/>
        </w:rPr>
        <w:t>面积</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平方米（含）以内不补差价；超过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平方米不足</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平方米（含）的部分按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平方米支付这部分超面积房款；超过</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平方米的部分按市政府相关政策结算。</w:t>
      </w:r>
    </w:p>
    <w:p w:rsidR="00DC5072" w:rsidRDefault="000B4D97">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lastRenderedPageBreak/>
        <w:t>②被征收人实际居住在被征收住宅房屋且他处无福利和保障性住房的，产权调换住宅房屋超过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平方米以内的部分按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平方米支付这部分超面积房款；超过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平方米的部分按市政府相关政策结算。</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被征收人同时符合以上（</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）条的，只能选择享受其中一条，不得重复享受。</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）物业服务补助。</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安置结算时一次性给予每户</w:t>
      </w:r>
      <w:r>
        <w:rPr>
          <w:rFonts w:ascii="仿宋_GB2312" w:eastAsia="仿宋_GB2312" w:hAnsi="宋体" w:cs="仿宋_GB2312" w:hint="eastAsia"/>
          <w:sz w:val="32"/>
          <w:szCs w:val="32"/>
        </w:rPr>
        <w:t>6000</w:t>
      </w:r>
      <w:r>
        <w:rPr>
          <w:rFonts w:ascii="仿宋_GB2312" w:eastAsia="仿宋_GB2312" w:hAnsi="宋体" w:cs="仿宋_GB2312" w:hint="eastAsia"/>
          <w:sz w:val="32"/>
          <w:szCs w:val="32"/>
        </w:rPr>
        <w:t>元物业服务费补助，安置入住后由被征收人按相关规定自行缴纳物业服务费。</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）公摊面积补助。</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在安置结算时，被征收人只承担产权调换住宅房屋套内建筑面积</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％的公摊面积，其余公摊面积由征收人承担，并记入被征收人的产权调换住宅房屋不动产权证书。</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超出和不足房屋建筑面积补差标准。</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）成本价。</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产权调换住宅房屋以栋（幢）为单位，多层住宅楼：</w:t>
      </w:r>
      <w:r>
        <w:rPr>
          <w:rFonts w:ascii="仿宋_GB2312" w:eastAsia="仿宋_GB2312" w:hAnsi="宋体" w:cs="仿宋_GB2312" w:hint="eastAsia"/>
          <w:sz w:val="32"/>
          <w:szCs w:val="32"/>
        </w:rPr>
        <w:t>1600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平方米；高层住宅楼：</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层及以下的</w:t>
      </w:r>
      <w:r>
        <w:rPr>
          <w:rFonts w:ascii="仿宋_GB2312" w:eastAsia="仿宋_GB2312" w:hAnsi="宋体" w:cs="仿宋_GB2312" w:hint="eastAsia"/>
          <w:sz w:val="32"/>
          <w:szCs w:val="32"/>
        </w:rPr>
        <w:t>1800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层以上的</w:t>
      </w:r>
      <w:r>
        <w:rPr>
          <w:rFonts w:ascii="仿宋_GB2312" w:eastAsia="仿宋_GB2312" w:hAnsi="宋体" w:cs="仿宋_GB2312" w:hint="eastAsia"/>
          <w:sz w:val="32"/>
          <w:szCs w:val="32"/>
        </w:rPr>
        <w:t>2000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）市场价。</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hint="eastAsia"/>
          <w:sz w:val="32"/>
          <w:szCs w:val="32"/>
        </w:rPr>
        <w:t>斑竹印象</w:t>
      </w:r>
      <w:r>
        <w:rPr>
          <w:rFonts w:ascii="仿宋_GB2312" w:eastAsia="仿宋_GB2312" w:hAnsi="宋体" w:cs="仿宋_GB2312" w:hint="eastAsia"/>
          <w:sz w:val="32"/>
          <w:szCs w:val="32"/>
        </w:rPr>
        <w:t>3920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proofErr w:type="gramStart"/>
      <w:r>
        <w:rPr>
          <w:rFonts w:ascii="仿宋_GB2312" w:eastAsia="仿宋_GB2312" w:hAnsi="宋体" w:hint="eastAsia"/>
          <w:sz w:val="32"/>
          <w:szCs w:val="32"/>
        </w:rPr>
        <w:t>演武华</w:t>
      </w:r>
      <w:proofErr w:type="gramEnd"/>
      <w:r>
        <w:rPr>
          <w:rFonts w:ascii="仿宋_GB2312" w:eastAsia="仿宋_GB2312" w:hAnsi="宋体" w:hint="eastAsia"/>
          <w:sz w:val="32"/>
          <w:szCs w:val="32"/>
        </w:rPr>
        <w:t>庭</w:t>
      </w:r>
      <w:r>
        <w:rPr>
          <w:rFonts w:ascii="仿宋_GB2312" w:eastAsia="仿宋_GB2312" w:hAnsi="宋体" w:cs="仿宋_GB2312" w:hint="eastAsia"/>
          <w:sz w:val="32"/>
          <w:szCs w:val="32"/>
        </w:rPr>
        <w:t>4050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、里仁阁</w:t>
      </w:r>
      <w:r>
        <w:rPr>
          <w:rFonts w:ascii="仿宋_GB2312" w:eastAsia="仿宋_GB2312" w:hAnsi="宋体" w:cs="仿宋_GB2312" w:hint="eastAsia"/>
          <w:sz w:val="32"/>
          <w:szCs w:val="32"/>
        </w:rPr>
        <w:t>4050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、望江亭</w:t>
      </w:r>
      <w:r>
        <w:rPr>
          <w:rFonts w:ascii="仿宋_GB2312" w:eastAsia="仿宋_GB2312" w:hAnsi="宋体" w:hint="eastAsia"/>
          <w:sz w:val="32"/>
          <w:szCs w:val="32"/>
        </w:rPr>
        <w:t>3900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proofErr w:type="gramStart"/>
      <w:r>
        <w:rPr>
          <w:rFonts w:ascii="仿宋_GB2312" w:eastAsia="仿宋_GB2312" w:hAnsi="宋体" w:hint="eastAsia"/>
          <w:sz w:val="32"/>
          <w:szCs w:val="32"/>
        </w:rPr>
        <w:t>百禄苑</w:t>
      </w:r>
      <w:proofErr w:type="gramEnd"/>
      <w:r>
        <w:rPr>
          <w:rFonts w:ascii="仿宋_GB2312" w:eastAsia="仿宋_GB2312" w:hAnsi="宋体" w:hint="eastAsia"/>
          <w:sz w:val="32"/>
          <w:szCs w:val="32"/>
        </w:rPr>
        <w:t>3800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、醉卧三江</w:t>
      </w:r>
      <w:r>
        <w:rPr>
          <w:rFonts w:ascii="仿宋_GB2312" w:eastAsia="仿宋_GB2312" w:hAnsi="宋体" w:hint="eastAsia"/>
          <w:sz w:val="32"/>
          <w:szCs w:val="32"/>
        </w:rPr>
        <w:t>4250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6.</w:t>
      </w:r>
      <w:r>
        <w:rPr>
          <w:rFonts w:ascii="仿宋_GB2312" w:eastAsia="仿宋_GB2312" w:hAnsi="宋体" w:cs="仿宋_GB2312" w:hint="eastAsia"/>
          <w:sz w:val="32"/>
          <w:szCs w:val="32"/>
        </w:rPr>
        <w:t>其他。</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被征收人应积极配合房屋征收部门办理不动产权证书登记手续，涉及税费按国家相关规定执行。</w:t>
      </w:r>
    </w:p>
    <w:p w:rsidR="00DC5072" w:rsidRDefault="000B4D9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（三）非住宅货币补偿。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）房屋价值补偿。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w:t>
      </w:r>
      <w:r>
        <w:rPr>
          <w:rFonts w:ascii="仿宋_GB2312" w:eastAsia="仿宋_GB2312" w:hAnsi="宋体" w:cs="仿宋_GB2312" w:hint="eastAsia"/>
          <w:sz w:val="32"/>
          <w:szCs w:val="32"/>
        </w:rPr>
        <w:t>乘以被征收非住宅房屋市场评估价格给予补偿。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）停产停业损失补偿。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按被征收非住宅房屋房地产市场评估价值的</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％一次性计发停产停业损失补偿。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）搬迁补偿。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w:t>
      </w:r>
      <w:r>
        <w:rPr>
          <w:rFonts w:ascii="仿宋_GB2312" w:eastAsia="仿宋_GB2312" w:hAnsi="宋体" w:cs="仿宋_GB2312" w:hint="eastAsia"/>
          <w:sz w:val="32"/>
          <w:szCs w:val="32"/>
        </w:rPr>
        <w:t>40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）配套设施补偿。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）。被征收非住宅房屋无水、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）空调拆装补偿。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装饰装修补偿。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w:t>
      </w:r>
      <w:r>
        <w:rPr>
          <w:rFonts w:ascii="仿宋_GB2312" w:eastAsia="仿宋_GB2312" w:hAnsi="宋体" w:cs="仿宋_GB2312" w:hint="eastAsia"/>
          <w:sz w:val="32"/>
          <w:szCs w:val="32"/>
        </w:rPr>
        <w:lastRenderedPageBreak/>
        <w:t>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奖励。</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在签约期限内签订征收补偿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协议并搬迁交房的，按被征收非住宅房屋市场评估价的</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％给予奖励。</w:t>
      </w:r>
    </w:p>
    <w:p w:rsidR="00DC5072" w:rsidRDefault="000B4D9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（四）非住宅产权调换。</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非住宅房源。</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被征收人的非住宅房屋（门市等）实行异地产权调换，可在主城区斑竹印象、青果山</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号和王河</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号的政府</w:t>
      </w:r>
      <w:proofErr w:type="gramStart"/>
      <w:r>
        <w:rPr>
          <w:rFonts w:ascii="仿宋_GB2312" w:eastAsia="仿宋_GB2312" w:hAnsi="宋体" w:cs="仿宋_GB2312" w:hint="eastAsia"/>
          <w:sz w:val="32"/>
          <w:szCs w:val="32"/>
        </w:rPr>
        <w:t>存量非</w:t>
      </w:r>
      <w:proofErr w:type="gramEnd"/>
      <w:r>
        <w:rPr>
          <w:rFonts w:ascii="仿宋_GB2312" w:eastAsia="仿宋_GB2312" w:hAnsi="宋体" w:cs="仿宋_GB2312" w:hint="eastAsia"/>
          <w:sz w:val="32"/>
          <w:szCs w:val="32"/>
        </w:rPr>
        <w:t>住宅（门市等）房源中选择。</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补偿标准。</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）房屋面积补偿</w:t>
      </w:r>
      <w:r>
        <w:rPr>
          <w:rFonts w:ascii="仿宋_GB2312" w:eastAsia="仿宋_GB2312" w:hAnsi="宋体" w:cs="仿宋_GB2312" w:hint="eastAsia"/>
          <w:sz w:val="32"/>
          <w:szCs w:val="32"/>
        </w:rPr>
        <w:t>。</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按被征收非住宅房屋权属证书（或不动产权权属证书）或者房屋登记簿的记载为依据，并根据被征收非住宅房屋和产权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住宅房屋的市场评估价进行结算。</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）市场价的确定</w:t>
      </w:r>
      <w:r>
        <w:rPr>
          <w:rFonts w:ascii="仿宋_GB2312" w:eastAsia="仿宋_GB2312" w:hAnsi="宋体" w:cs="仿宋_GB2312" w:hint="eastAsia"/>
          <w:sz w:val="32"/>
          <w:szCs w:val="32"/>
        </w:rPr>
        <w:t>。</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由被征收人选取的评估机构，以政府的房屋征收决定公告之日为评估时点，对被征收非住宅房屋和用于产权调换的非住宅房屋分别进行评估的价格为各自的市场价。</w:t>
      </w:r>
    </w:p>
    <w:p w:rsidR="00DC5072" w:rsidRDefault="000B4D97">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被征收人的被征收非住宅房屋（门市等），按被征收非住宅房屋（门市等）的市场评估价与异地产权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住宅房屋（门市等）的市场评估价进行等面积价差结算安置。</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）停产停业损失补偿。</w:t>
      </w:r>
    </w:p>
    <w:p w:rsidR="00DC5072" w:rsidRDefault="000B4D97">
      <w:pPr>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每月按被征收非住宅房屋市场评估价值的</w:t>
      </w:r>
      <w:r>
        <w:rPr>
          <w:rFonts w:ascii="仿宋_GB2312" w:eastAsia="仿宋_GB2312" w:hAnsi="宋体" w:cs="仿宋" w:hint="eastAsia"/>
          <w:sz w:val="32"/>
          <w:szCs w:val="32"/>
        </w:rPr>
        <w:t>5</w:t>
      </w:r>
      <w:r>
        <w:rPr>
          <w:rFonts w:ascii="仿宋_GB2312" w:eastAsia="仿宋_GB2312" w:hAnsi="宋体" w:cs="仿宋" w:hint="eastAsia"/>
          <w:sz w:val="32"/>
          <w:szCs w:val="32"/>
        </w:rPr>
        <w:t>‰计发停产</w:t>
      </w:r>
      <w:r>
        <w:rPr>
          <w:rFonts w:ascii="仿宋_GB2312" w:eastAsia="仿宋_GB2312" w:hAnsi="宋体" w:cs="仿宋" w:hint="eastAsia"/>
          <w:sz w:val="32"/>
          <w:szCs w:val="32"/>
        </w:rPr>
        <w:lastRenderedPageBreak/>
        <w:t>停业损失补偿</w:t>
      </w:r>
      <w:r>
        <w:rPr>
          <w:rFonts w:ascii="仿宋_GB2312" w:eastAsia="仿宋_GB2312" w:hAnsi="宋体" w:cs="仿宋" w:hint="eastAsia"/>
          <w:sz w:val="32"/>
          <w:szCs w:val="32"/>
        </w:rPr>
        <w:t xml:space="preserve">, </w:t>
      </w:r>
      <w:r>
        <w:rPr>
          <w:rFonts w:ascii="仿宋_GB2312" w:eastAsia="仿宋_GB2312" w:hAnsi="宋体" w:cs="仿宋" w:hint="eastAsia"/>
          <w:sz w:val="32"/>
          <w:szCs w:val="32"/>
        </w:rPr>
        <w:t>自被征收人签订补偿安置协议并搬迁交房之日起计发，</w:t>
      </w:r>
      <w:proofErr w:type="gramStart"/>
      <w:r>
        <w:rPr>
          <w:rFonts w:ascii="仿宋_GB2312" w:eastAsia="仿宋_GB2312" w:hAnsi="宋体" w:cs="仿宋" w:hint="eastAsia"/>
          <w:sz w:val="32"/>
          <w:szCs w:val="32"/>
        </w:rPr>
        <w:t>至交房公告</w:t>
      </w:r>
      <w:proofErr w:type="gramEnd"/>
      <w:r>
        <w:rPr>
          <w:rFonts w:ascii="仿宋_GB2312" w:eastAsia="仿宋_GB2312" w:hAnsi="宋体" w:cs="仿宋" w:hint="eastAsia"/>
          <w:sz w:val="32"/>
          <w:szCs w:val="32"/>
        </w:rPr>
        <w:t>发布之日停发。</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）搬迁补偿。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w:t>
      </w:r>
      <w:r>
        <w:rPr>
          <w:rFonts w:ascii="仿宋_GB2312" w:eastAsia="仿宋_GB2312" w:hAnsi="宋体" w:cs="仿宋_GB2312" w:hint="eastAsia"/>
          <w:sz w:val="32"/>
          <w:szCs w:val="32"/>
        </w:rPr>
        <w:t>40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计发</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）配套设施补偿。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被征收人在签约期限内签订征收补偿安置协议并搬迁交房的，一户按一套产权调换房屋计，水、电</w:t>
      </w:r>
      <w:r>
        <w:rPr>
          <w:rFonts w:ascii="仿宋_GB2312" w:eastAsia="仿宋_GB2312" w:hAnsi="宋体" w:cs="仿宋_GB2312" w:hint="eastAsia"/>
          <w:sz w:val="32"/>
          <w:szCs w:val="32"/>
        </w:rPr>
        <w:t>、气、光纤安装费用互不补差；多选套数的水、电、气、光纤安装费用由被征收人承担（详见附件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）空调拆装补偿。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）装饰装修补偿。</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在房屋征收签约期限内签订征收补偿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协议并搬迁交房的，按被征收非住宅</w:t>
      </w:r>
      <w:r>
        <w:rPr>
          <w:rFonts w:ascii="仿宋_GB2312" w:eastAsia="仿宋_GB2312" w:hAnsi="宋体" w:cs="仿宋_GB2312" w:hint="eastAsia"/>
          <w:sz w:val="32"/>
          <w:szCs w:val="32"/>
        </w:rPr>
        <w:t>房屋产权面积的</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％给予面积奖励。</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其他补助。</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在安置结算时，被征收人只承担产权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住宅房屋套内建筑面积</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％的公摊面积，其余公摊面积由征收人承担，</w:t>
      </w:r>
      <w:r>
        <w:rPr>
          <w:rFonts w:ascii="仿宋_GB2312" w:eastAsia="仿宋_GB2312" w:hAnsi="宋体" w:cs="仿宋_GB2312" w:hint="eastAsia"/>
          <w:sz w:val="32"/>
          <w:szCs w:val="32"/>
        </w:rPr>
        <w:lastRenderedPageBreak/>
        <w:t>并记入被征收人的安置房屋不动产权证书。</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其他。</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被征收人应积极配合征收部门办理产权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住宅房屋不动产权证书登记手续，涉及税费按国家相关规定执行。</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十、被征收房屋所有权和土地使用权处理</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房屋被依法征收的，被征收房屋已进行产权调换或征收补偿资金已足额补偿到位后，被征收人委托房屋征收部门办理被征收房屋所有权和国有土地使用权（或不动产权证）的变更及注销登记手续</w:t>
      </w:r>
      <w:r>
        <w:rPr>
          <w:rFonts w:ascii="仿宋_GB2312" w:eastAsia="仿宋_GB2312" w:hAnsi="宋体" w:cs="仿宋_GB2312" w:hint="eastAsia"/>
          <w:sz w:val="32"/>
          <w:szCs w:val="32"/>
        </w:rPr>
        <w:t>。</w:t>
      </w:r>
    </w:p>
    <w:p w:rsidR="00DC5072" w:rsidRDefault="000B4D9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十一、房屋征收纠纷的解决途径</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（一）房屋征收部门与被征收人在征收补偿方案确定的签约期限内达不成补偿</w:t>
      </w:r>
      <w:r>
        <w:rPr>
          <w:rFonts w:ascii="仿宋_GB2312" w:eastAsia="仿宋_GB2312" w:hAnsi="宋体" w:cs="仿宋_GB2312" w:hint="eastAsia"/>
          <w:sz w:val="32"/>
          <w:szCs w:val="32"/>
        </w:rPr>
        <w:t>安置</w:t>
      </w:r>
      <w:r>
        <w:rPr>
          <w:rFonts w:ascii="仿宋_GB2312" w:eastAsia="仿宋_GB2312" w:hAnsi="宋体" w:cs="仿宋_GB2312" w:hint="eastAsia"/>
          <w:sz w:val="32"/>
          <w:szCs w:val="32"/>
        </w:rPr>
        <w:t>协议，或者被征收房屋所有权人不明确的，由乐山市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中区房屋征收和</w:t>
      </w:r>
      <w:proofErr w:type="gramStart"/>
      <w:r>
        <w:rPr>
          <w:rFonts w:ascii="仿宋_GB2312" w:eastAsia="仿宋_GB2312" w:hAnsi="宋体" w:cs="仿宋_GB2312" w:hint="eastAsia"/>
          <w:sz w:val="32"/>
          <w:szCs w:val="32"/>
        </w:rPr>
        <w:t>补偿局</w:t>
      </w:r>
      <w:proofErr w:type="gramEnd"/>
      <w:r>
        <w:rPr>
          <w:rFonts w:ascii="仿宋_GB2312" w:eastAsia="仿宋_GB2312" w:hAnsi="宋体" w:cs="仿宋_GB2312" w:hint="eastAsia"/>
          <w:sz w:val="32"/>
          <w:szCs w:val="32"/>
        </w:rPr>
        <w:t>报请乐山市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中区人民政府根据《国有土地上房屋征收与补偿条例》</w:t>
      </w:r>
      <w:r>
        <w:rPr>
          <w:rFonts w:ascii="仿宋_GB2312" w:eastAsia="仿宋_GB2312" w:hAnsi="宋体" w:cs="仿宋_GB2312" w:hint="eastAsia"/>
          <w:sz w:val="32"/>
          <w:szCs w:val="32"/>
        </w:rPr>
        <w:t>（国务院令第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第二十六条和《四川省国有土地上房屋征收与补偿条例》第四十二条的规定，按照本征收补偿方案</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补偿决定，并在房屋征收范围内予以公告。</w:t>
      </w:r>
    </w:p>
    <w:p w:rsidR="00DC5072" w:rsidRDefault="000B4D97">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（二）被征收人对补偿决定不服的，可以依法向乐山市人民政府申请行政复议，也可以依法向有管辖权的乐山市中级人民法院提起行政诉讼。被征收人在法定期限（</w:t>
      </w:r>
      <w:r>
        <w:rPr>
          <w:rFonts w:ascii="仿宋_GB2312" w:eastAsia="仿宋_GB2312" w:hAnsi="宋体" w:cs="仿宋_GB2312" w:hint="eastAsia"/>
          <w:sz w:val="32"/>
          <w:szCs w:val="32"/>
        </w:rPr>
        <w:t>60</w:t>
      </w:r>
      <w:r>
        <w:rPr>
          <w:rFonts w:ascii="仿宋_GB2312" w:eastAsia="仿宋_GB2312" w:hAnsi="宋体" w:cs="仿宋_GB2312" w:hint="eastAsia"/>
          <w:sz w:val="32"/>
          <w:szCs w:val="32"/>
        </w:rPr>
        <w:t>日内）不申请行政复议或者不提起行政诉讼（</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个月内），在征收补偿决定规定的期限内又不搬迁的，由乐山市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中区人民政府依法向有管辖权的峨眉山市人民法院申请强制执行。</w:t>
      </w:r>
    </w:p>
    <w:p w:rsidR="00DC5072" w:rsidRDefault="000B4D9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十二、本方案未尽事宜，按有关法律法规和本市相关规</w:t>
      </w:r>
      <w:r>
        <w:rPr>
          <w:rFonts w:ascii="黑体" w:eastAsia="黑体" w:hAnsi="黑体" w:cs="黑体" w:hint="eastAsia"/>
          <w:sz w:val="32"/>
          <w:szCs w:val="32"/>
        </w:rPr>
        <w:lastRenderedPageBreak/>
        <w:t>定执行</w:t>
      </w:r>
    </w:p>
    <w:p w:rsidR="00DC5072" w:rsidRDefault="00DC5072">
      <w:pPr>
        <w:spacing w:line="560" w:lineRule="exact"/>
        <w:ind w:firstLineChars="250" w:firstLine="800"/>
        <w:rPr>
          <w:rFonts w:ascii="仿宋_GB2312" w:eastAsia="仿宋_GB2312" w:hAnsi="宋体" w:cs="仿宋_GB2312"/>
          <w:sz w:val="32"/>
          <w:szCs w:val="32"/>
        </w:rPr>
      </w:pPr>
    </w:p>
    <w:p w:rsidR="00DC5072" w:rsidRDefault="000B4D97">
      <w:pPr>
        <w:spacing w:line="560" w:lineRule="exact"/>
        <w:ind w:firstLineChars="250" w:firstLine="800"/>
        <w:rPr>
          <w:rFonts w:ascii="仿宋_GB2312" w:eastAsia="仿宋_GB2312" w:hAnsi="宋体" w:cs="仿宋_GB2312"/>
          <w:sz w:val="32"/>
          <w:szCs w:val="32"/>
        </w:rPr>
      </w:pPr>
      <w:r>
        <w:rPr>
          <w:rFonts w:ascii="仿宋_GB2312" w:eastAsia="仿宋_GB2312" w:hAnsi="宋体" w:cs="仿宋_GB2312" w:hint="eastAsia"/>
          <w:sz w:val="32"/>
          <w:szCs w:val="32"/>
        </w:rPr>
        <w:t>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房屋装饰装修补偿标准</w:t>
      </w:r>
    </w:p>
    <w:p w:rsidR="00DC5072" w:rsidRDefault="000B4D97">
      <w:pPr>
        <w:spacing w:line="560" w:lineRule="exact"/>
        <w:ind w:firstLineChars="550" w:firstLine="176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建（构）筑物工料补偿标准</w:t>
      </w:r>
    </w:p>
    <w:p w:rsidR="00DC5072" w:rsidRDefault="000B4D97">
      <w:pPr>
        <w:spacing w:line="560" w:lineRule="exact"/>
        <w:ind w:firstLineChars="550" w:firstLine="1760"/>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重度残疾人认定标准</w:t>
      </w:r>
    </w:p>
    <w:p w:rsidR="00DC5072" w:rsidRDefault="000B4D97">
      <w:pPr>
        <w:spacing w:line="560" w:lineRule="exact"/>
        <w:ind w:firstLineChars="550" w:firstLine="176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水、电、气、光纤安装费用标准</w:t>
      </w:r>
    </w:p>
    <w:p w:rsidR="00DC5072" w:rsidRDefault="00DC5072">
      <w:pPr>
        <w:spacing w:line="600" w:lineRule="exact"/>
        <w:rPr>
          <w:rFonts w:ascii="仿宋_GB2312" w:eastAsia="仿宋_GB2312" w:hAnsi="宋体" w:cs="仿宋"/>
          <w:color w:val="000000"/>
          <w:kern w:val="0"/>
          <w:sz w:val="32"/>
          <w:szCs w:val="32"/>
        </w:rPr>
      </w:pPr>
    </w:p>
    <w:p w:rsidR="00DC5072" w:rsidRDefault="00DC5072">
      <w:pPr>
        <w:spacing w:line="600" w:lineRule="exact"/>
        <w:rPr>
          <w:rFonts w:ascii="仿宋_GB2312" w:eastAsia="仿宋_GB2312" w:hAnsi="宋体" w:cs="仿宋"/>
          <w:color w:val="000000"/>
          <w:kern w:val="0"/>
          <w:sz w:val="32"/>
          <w:szCs w:val="32"/>
        </w:rPr>
      </w:pPr>
    </w:p>
    <w:p w:rsidR="00DC5072" w:rsidRDefault="00DC5072">
      <w:pPr>
        <w:spacing w:line="600" w:lineRule="exact"/>
        <w:rPr>
          <w:rFonts w:ascii="仿宋_GB2312" w:eastAsia="仿宋_GB2312" w:hAnsi="宋体" w:cs="仿宋"/>
          <w:color w:val="000000"/>
          <w:kern w:val="0"/>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DC5072">
      <w:pPr>
        <w:spacing w:line="600" w:lineRule="exact"/>
        <w:rPr>
          <w:rFonts w:ascii="宋体" w:hAnsi="宋体" w:cs="仿宋"/>
          <w:sz w:val="32"/>
          <w:szCs w:val="32"/>
        </w:rPr>
      </w:pPr>
    </w:p>
    <w:p w:rsidR="00DC5072" w:rsidRDefault="000B4D97">
      <w:pPr>
        <w:spacing w:line="600" w:lineRule="exact"/>
        <w:rPr>
          <w:rFonts w:ascii="黑体" w:eastAsia="黑体" w:hAnsi="黑体" w:cs="黑体"/>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1</w:t>
      </w:r>
    </w:p>
    <w:p w:rsidR="00DC5072" w:rsidRDefault="000B4D97">
      <w:pPr>
        <w:ind w:firstLineChars="525" w:firstLine="2310"/>
        <w:rPr>
          <w:rFonts w:ascii="仿宋" w:eastAsia="仿宋" w:hAnsi="仿宋" w:cs="宋体"/>
          <w:sz w:val="32"/>
          <w:szCs w:val="32"/>
        </w:rPr>
      </w:pPr>
      <w:r>
        <w:rPr>
          <w:rFonts w:ascii="方正小标宋简体" w:eastAsia="方正小标宋简体" w:hAnsi="方正小标宋简体" w:cs="方正小标宋简体" w:hint="eastAsia"/>
          <w:kern w:val="0"/>
          <w:sz w:val="44"/>
          <w:szCs w:val="44"/>
        </w:rPr>
        <w:t>房屋装饰装修补偿标准</w:t>
      </w:r>
    </w:p>
    <w:tbl>
      <w:tblPr>
        <w:tblpPr w:leftFromText="180" w:rightFromText="180" w:vertAnchor="page" w:horzAnchor="margin" w:tblpY="3659"/>
        <w:tblW w:w="8647" w:type="dxa"/>
        <w:tblLayout w:type="fixed"/>
        <w:tblLook w:val="04A0"/>
      </w:tblPr>
      <w:tblGrid>
        <w:gridCol w:w="1635"/>
        <w:gridCol w:w="5040"/>
        <w:gridCol w:w="1972"/>
      </w:tblGrid>
      <w:tr w:rsidR="00DC5072">
        <w:trPr>
          <w:trHeight w:val="1030"/>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类别</w:t>
            </w:r>
          </w:p>
        </w:tc>
        <w:tc>
          <w:tcPr>
            <w:tcW w:w="5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装修装饰项目</w:t>
            </w:r>
          </w:p>
        </w:tc>
        <w:tc>
          <w:tcPr>
            <w:tcW w:w="19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补偿标准</w:t>
            </w:r>
          </w:p>
          <w:p w:rsidR="00DC5072" w:rsidRDefault="000B4D97">
            <w:pPr>
              <w:widowControl/>
              <w:spacing w:line="60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（元</w:t>
            </w:r>
            <w:r>
              <w:rPr>
                <w:rStyle w:val="font31"/>
                <w:rFonts w:ascii="仿宋_GB2312" w:eastAsia="仿宋_GB2312" w:hAnsi="仿宋_GB2312" w:cs="仿宋_GB2312" w:hint="eastAsia"/>
              </w:rPr>
              <w:t>/</w:t>
            </w:r>
            <w:r>
              <w:rPr>
                <w:rStyle w:val="font31"/>
                <w:rFonts w:ascii="仿宋_GB2312" w:eastAsia="仿宋_GB2312" w:hAnsi="仿宋_GB2312" w:cs="仿宋_GB2312" w:hint="eastAsia"/>
              </w:rPr>
              <w:t>平方米</w:t>
            </w:r>
            <w:r>
              <w:rPr>
                <w:rStyle w:val="font01"/>
                <w:rFonts w:ascii="仿宋_GB2312" w:eastAsia="仿宋_GB2312" w:hAnsi="仿宋_GB2312" w:cs="仿宋_GB2312" w:hint="eastAsia"/>
              </w:rPr>
              <w:t>）</w:t>
            </w:r>
          </w:p>
        </w:tc>
      </w:tr>
      <w:tr w:rsidR="00DC5072">
        <w:trPr>
          <w:trHeight w:val="3180"/>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jc w:val="center"/>
              <w:textAlignment w:val="center"/>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一类</w:t>
            </w:r>
          </w:p>
          <w:p w:rsidR="00DC5072" w:rsidRDefault="000B4D97">
            <w:pPr>
              <w:widowControl/>
              <w:spacing w:line="600" w:lineRule="exact"/>
              <w:jc w:val="center"/>
              <w:textAlignment w:val="center"/>
              <w:rPr>
                <w:rFonts w:ascii="仿宋_GB2312" w:eastAsia="仿宋_GB2312" w:hAnsi="仿宋" w:cs="仿宋"/>
                <w:color w:val="000000"/>
                <w:sz w:val="32"/>
                <w:szCs w:val="32"/>
              </w:rPr>
            </w:pPr>
            <w:r>
              <w:rPr>
                <w:rFonts w:ascii="仿宋_GB2312" w:eastAsia="仿宋_GB2312" w:hAnsi="仿宋" w:cs="仿宋" w:hint="eastAsia"/>
                <w:color w:val="000000"/>
                <w:kern w:val="0"/>
                <w:sz w:val="32"/>
                <w:szCs w:val="32"/>
              </w:rPr>
              <w:t>装饰装修</w:t>
            </w:r>
          </w:p>
        </w:tc>
        <w:tc>
          <w:tcPr>
            <w:tcW w:w="5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ind w:firstLine="645"/>
              <w:jc w:val="left"/>
              <w:textAlignment w:val="center"/>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地面装饰：实木地板、花岗岩石地板、大理石地板或</w:t>
            </w:r>
            <w:r>
              <w:rPr>
                <w:rFonts w:ascii="仿宋_GB2312" w:eastAsia="仿宋_GB2312" w:hAnsi="仿宋" w:cs="仿宋"/>
                <w:color w:val="000000"/>
                <w:kern w:val="0"/>
                <w:sz w:val="32"/>
                <w:szCs w:val="32"/>
              </w:rPr>
              <w:t>0.8</w:t>
            </w:r>
            <w:r>
              <w:rPr>
                <w:rFonts w:ascii="仿宋_GB2312" w:eastAsia="仿宋_GB2312" w:hAnsi="仿宋" w:cs="仿宋" w:hint="eastAsia"/>
                <w:color w:val="000000"/>
                <w:kern w:val="0"/>
                <w:sz w:val="32"/>
                <w:szCs w:val="32"/>
              </w:rPr>
              <w:t>米×</w:t>
            </w:r>
            <w:r>
              <w:rPr>
                <w:rFonts w:ascii="仿宋_GB2312" w:eastAsia="仿宋_GB2312" w:hAnsi="仿宋" w:cs="仿宋"/>
                <w:color w:val="000000"/>
                <w:kern w:val="0"/>
                <w:sz w:val="32"/>
                <w:szCs w:val="32"/>
              </w:rPr>
              <w:t>0.8</w:t>
            </w:r>
            <w:r>
              <w:rPr>
                <w:rFonts w:ascii="仿宋_GB2312" w:eastAsia="仿宋_GB2312" w:hAnsi="仿宋" w:cs="仿宋" w:hint="eastAsia"/>
                <w:color w:val="000000"/>
                <w:kern w:val="0"/>
                <w:sz w:val="32"/>
                <w:szCs w:val="32"/>
              </w:rPr>
              <w:t>米规格以上的抛光地砖。</w:t>
            </w:r>
          </w:p>
          <w:p w:rsidR="00DC5072" w:rsidRDefault="000B4D97">
            <w:pPr>
              <w:widowControl/>
              <w:spacing w:line="600" w:lineRule="exact"/>
              <w:ind w:firstLineChars="200" w:firstLine="640"/>
              <w:jc w:val="left"/>
              <w:textAlignment w:val="center"/>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墙面：外墙瓷砖、室内进口乳胶漆或高档墙布墙纸。</w:t>
            </w:r>
          </w:p>
          <w:p w:rsidR="00DC5072" w:rsidRDefault="000B4D97">
            <w:pPr>
              <w:widowControl/>
              <w:spacing w:line="600" w:lineRule="exact"/>
              <w:ind w:firstLine="645"/>
              <w:jc w:val="left"/>
              <w:textAlignment w:val="center"/>
              <w:rPr>
                <w:rFonts w:ascii="仿宋_GB2312" w:eastAsia="仿宋_GB2312" w:hAnsi="仿宋" w:cs="仿宋"/>
                <w:color w:val="000000"/>
                <w:sz w:val="32"/>
                <w:szCs w:val="32"/>
              </w:rPr>
            </w:pP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相配套的高级吊顶和</w:t>
            </w:r>
            <w:proofErr w:type="gramStart"/>
            <w:r>
              <w:rPr>
                <w:rFonts w:ascii="仿宋_GB2312" w:eastAsia="仿宋_GB2312" w:hAnsi="仿宋" w:cs="仿宋" w:hint="eastAsia"/>
                <w:color w:val="000000"/>
                <w:kern w:val="0"/>
                <w:sz w:val="32"/>
                <w:szCs w:val="32"/>
              </w:rPr>
              <w:t>厨卫</w:t>
            </w:r>
            <w:proofErr w:type="gramEnd"/>
            <w:r>
              <w:rPr>
                <w:rFonts w:ascii="仿宋_GB2312" w:eastAsia="仿宋_GB2312" w:hAnsi="仿宋" w:cs="仿宋" w:hint="eastAsia"/>
                <w:color w:val="000000"/>
                <w:kern w:val="0"/>
                <w:sz w:val="32"/>
                <w:szCs w:val="32"/>
              </w:rPr>
              <w:t>门窗。</w:t>
            </w:r>
          </w:p>
        </w:tc>
        <w:tc>
          <w:tcPr>
            <w:tcW w:w="19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jc w:val="center"/>
              <w:textAlignment w:val="center"/>
              <w:rPr>
                <w:rFonts w:ascii="仿宋_GB2312" w:eastAsia="仿宋_GB2312" w:hAnsi="仿宋" w:cs="仿宋"/>
                <w:color w:val="000000"/>
                <w:sz w:val="32"/>
                <w:szCs w:val="32"/>
              </w:rPr>
            </w:pPr>
            <w:r>
              <w:rPr>
                <w:rFonts w:ascii="仿宋_GB2312" w:eastAsia="仿宋_GB2312" w:hAnsi="仿宋" w:cs="仿宋" w:hint="eastAsia"/>
                <w:color w:val="000000"/>
                <w:kern w:val="0"/>
                <w:sz w:val="32"/>
                <w:szCs w:val="32"/>
              </w:rPr>
              <w:t>300</w:t>
            </w:r>
          </w:p>
        </w:tc>
      </w:tr>
      <w:tr w:rsidR="00DC5072">
        <w:trPr>
          <w:trHeight w:val="2462"/>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jc w:val="center"/>
              <w:textAlignment w:val="center"/>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二类</w:t>
            </w:r>
          </w:p>
          <w:p w:rsidR="00DC5072" w:rsidRDefault="000B4D97">
            <w:pPr>
              <w:widowControl/>
              <w:spacing w:line="600" w:lineRule="exact"/>
              <w:jc w:val="center"/>
              <w:textAlignment w:val="center"/>
              <w:rPr>
                <w:rFonts w:ascii="仿宋_GB2312" w:eastAsia="仿宋_GB2312" w:hAnsi="仿宋" w:cs="仿宋"/>
                <w:color w:val="000000"/>
                <w:sz w:val="32"/>
                <w:szCs w:val="32"/>
              </w:rPr>
            </w:pPr>
            <w:r>
              <w:rPr>
                <w:rFonts w:ascii="仿宋_GB2312" w:eastAsia="仿宋_GB2312" w:hAnsi="仿宋" w:cs="仿宋" w:hint="eastAsia"/>
                <w:color w:val="000000"/>
                <w:kern w:val="0"/>
                <w:sz w:val="32"/>
                <w:szCs w:val="32"/>
              </w:rPr>
              <w:t>装饰装修</w:t>
            </w:r>
          </w:p>
        </w:tc>
        <w:tc>
          <w:tcPr>
            <w:tcW w:w="5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ind w:firstLine="645"/>
              <w:jc w:val="left"/>
              <w:textAlignment w:val="center"/>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地面装饰：</w:t>
            </w:r>
            <w:r>
              <w:rPr>
                <w:rFonts w:ascii="仿宋_GB2312" w:eastAsia="仿宋_GB2312" w:hAnsi="仿宋" w:cs="仿宋"/>
                <w:color w:val="000000"/>
                <w:kern w:val="0"/>
                <w:sz w:val="32"/>
                <w:szCs w:val="32"/>
              </w:rPr>
              <w:t>0.5</w:t>
            </w:r>
            <w:r>
              <w:rPr>
                <w:rFonts w:ascii="仿宋_GB2312" w:eastAsia="仿宋_GB2312" w:hAnsi="仿宋" w:cs="仿宋" w:hint="eastAsia"/>
                <w:color w:val="000000"/>
                <w:kern w:val="0"/>
                <w:sz w:val="32"/>
                <w:szCs w:val="32"/>
              </w:rPr>
              <w:t>米×</w:t>
            </w:r>
            <w:r>
              <w:rPr>
                <w:rFonts w:ascii="仿宋_GB2312" w:eastAsia="仿宋_GB2312" w:hAnsi="仿宋" w:cs="仿宋"/>
                <w:color w:val="000000"/>
                <w:kern w:val="0"/>
                <w:sz w:val="32"/>
                <w:szCs w:val="32"/>
              </w:rPr>
              <w:t>0.5</w:t>
            </w:r>
            <w:r>
              <w:rPr>
                <w:rFonts w:ascii="仿宋_GB2312" w:eastAsia="仿宋_GB2312" w:hAnsi="仿宋" w:cs="仿宋" w:hint="eastAsia"/>
                <w:color w:val="000000"/>
                <w:kern w:val="0"/>
                <w:sz w:val="32"/>
                <w:szCs w:val="32"/>
              </w:rPr>
              <w:t>米至</w:t>
            </w:r>
            <w:r>
              <w:rPr>
                <w:rFonts w:ascii="仿宋_GB2312" w:eastAsia="仿宋_GB2312" w:hAnsi="仿宋" w:cs="仿宋"/>
                <w:color w:val="000000"/>
                <w:kern w:val="0"/>
                <w:sz w:val="32"/>
                <w:szCs w:val="32"/>
              </w:rPr>
              <w:t>0.6</w:t>
            </w:r>
            <w:r>
              <w:rPr>
                <w:rFonts w:ascii="仿宋_GB2312" w:eastAsia="仿宋_GB2312" w:hAnsi="仿宋" w:cs="仿宋" w:hint="eastAsia"/>
                <w:color w:val="000000"/>
                <w:kern w:val="0"/>
                <w:sz w:val="32"/>
                <w:szCs w:val="32"/>
              </w:rPr>
              <w:t>米×</w:t>
            </w:r>
            <w:r>
              <w:rPr>
                <w:rFonts w:ascii="仿宋_GB2312" w:eastAsia="仿宋_GB2312" w:hAnsi="仿宋" w:cs="仿宋"/>
                <w:color w:val="000000"/>
                <w:kern w:val="0"/>
                <w:sz w:val="32"/>
                <w:szCs w:val="32"/>
              </w:rPr>
              <w:t>0.6</w:t>
            </w:r>
            <w:r>
              <w:rPr>
                <w:rFonts w:ascii="仿宋_GB2312" w:eastAsia="仿宋_GB2312" w:hAnsi="仿宋" w:cs="仿宋" w:hint="eastAsia"/>
                <w:color w:val="000000"/>
                <w:kern w:val="0"/>
                <w:sz w:val="32"/>
                <w:szCs w:val="32"/>
              </w:rPr>
              <w:t>米规格的抛光地砖。</w:t>
            </w:r>
          </w:p>
          <w:p w:rsidR="00DC5072" w:rsidRDefault="000B4D97">
            <w:pPr>
              <w:widowControl/>
              <w:spacing w:line="600" w:lineRule="exact"/>
              <w:ind w:firstLine="645"/>
              <w:jc w:val="left"/>
              <w:textAlignment w:val="center"/>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墙面：中等价格的乳胶漆。</w:t>
            </w:r>
          </w:p>
          <w:p w:rsidR="00DC5072" w:rsidRDefault="000B4D97">
            <w:pPr>
              <w:widowControl/>
              <w:spacing w:line="600" w:lineRule="exact"/>
              <w:ind w:firstLine="645"/>
              <w:jc w:val="left"/>
              <w:textAlignment w:val="center"/>
              <w:rPr>
                <w:rFonts w:ascii="仿宋_GB2312" w:eastAsia="仿宋_GB2312" w:hAnsi="仿宋" w:cs="仿宋"/>
                <w:color w:val="000000"/>
                <w:sz w:val="32"/>
                <w:szCs w:val="32"/>
              </w:rPr>
            </w:pP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相配套的中等级吊顶和</w:t>
            </w:r>
            <w:proofErr w:type="gramStart"/>
            <w:r>
              <w:rPr>
                <w:rFonts w:ascii="仿宋_GB2312" w:eastAsia="仿宋_GB2312" w:hAnsi="仿宋" w:cs="仿宋" w:hint="eastAsia"/>
                <w:color w:val="000000"/>
                <w:kern w:val="0"/>
                <w:sz w:val="32"/>
                <w:szCs w:val="32"/>
              </w:rPr>
              <w:t>厨卫</w:t>
            </w:r>
            <w:proofErr w:type="gramEnd"/>
            <w:r>
              <w:rPr>
                <w:rFonts w:ascii="仿宋_GB2312" w:eastAsia="仿宋_GB2312" w:hAnsi="仿宋" w:cs="仿宋" w:hint="eastAsia"/>
                <w:color w:val="000000"/>
                <w:kern w:val="0"/>
                <w:sz w:val="32"/>
                <w:szCs w:val="32"/>
              </w:rPr>
              <w:t>门窗。</w:t>
            </w:r>
          </w:p>
        </w:tc>
        <w:tc>
          <w:tcPr>
            <w:tcW w:w="19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jc w:val="center"/>
              <w:textAlignment w:val="center"/>
              <w:rPr>
                <w:rFonts w:ascii="仿宋_GB2312" w:eastAsia="仿宋_GB2312" w:hAnsi="仿宋" w:cs="仿宋"/>
                <w:color w:val="000000"/>
                <w:sz w:val="32"/>
                <w:szCs w:val="32"/>
              </w:rPr>
            </w:pPr>
            <w:r>
              <w:rPr>
                <w:rFonts w:ascii="仿宋_GB2312" w:eastAsia="仿宋_GB2312" w:hAnsi="仿宋" w:cs="仿宋" w:hint="eastAsia"/>
                <w:color w:val="000000"/>
                <w:kern w:val="0"/>
                <w:sz w:val="32"/>
                <w:szCs w:val="32"/>
              </w:rPr>
              <w:t>2</w:t>
            </w:r>
            <w:r>
              <w:rPr>
                <w:rFonts w:ascii="仿宋_GB2312" w:eastAsia="仿宋_GB2312" w:hAnsi="仿宋" w:cs="仿宋"/>
                <w:color w:val="000000"/>
                <w:kern w:val="0"/>
                <w:sz w:val="32"/>
                <w:szCs w:val="32"/>
              </w:rPr>
              <w:t>00</w:t>
            </w:r>
          </w:p>
        </w:tc>
      </w:tr>
      <w:tr w:rsidR="00DC5072">
        <w:trPr>
          <w:trHeight w:val="2288"/>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jc w:val="center"/>
              <w:textAlignment w:val="center"/>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三类</w:t>
            </w:r>
          </w:p>
          <w:p w:rsidR="00DC5072" w:rsidRDefault="000B4D97">
            <w:pPr>
              <w:widowControl/>
              <w:spacing w:line="600" w:lineRule="exact"/>
              <w:jc w:val="center"/>
              <w:textAlignment w:val="center"/>
              <w:rPr>
                <w:rFonts w:ascii="仿宋_GB2312" w:eastAsia="仿宋_GB2312" w:hAnsi="仿宋" w:cs="仿宋"/>
                <w:color w:val="000000"/>
                <w:sz w:val="32"/>
                <w:szCs w:val="32"/>
              </w:rPr>
            </w:pPr>
            <w:r>
              <w:rPr>
                <w:rFonts w:ascii="仿宋_GB2312" w:eastAsia="仿宋_GB2312" w:hAnsi="仿宋" w:cs="仿宋" w:hint="eastAsia"/>
                <w:color w:val="000000"/>
                <w:kern w:val="0"/>
                <w:sz w:val="32"/>
                <w:szCs w:val="32"/>
              </w:rPr>
              <w:t>装饰装修</w:t>
            </w:r>
          </w:p>
        </w:tc>
        <w:tc>
          <w:tcPr>
            <w:tcW w:w="50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ind w:firstLine="645"/>
              <w:jc w:val="left"/>
              <w:textAlignment w:val="center"/>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地面装饰：地砖或水磨石地面。</w:t>
            </w:r>
          </w:p>
          <w:p w:rsidR="00DC5072" w:rsidRDefault="000B4D97">
            <w:pPr>
              <w:widowControl/>
              <w:spacing w:line="600" w:lineRule="exact"/>
              <w:ind w:firstLine="645"/>
              <w:jc w:val="left"/>
              <w:textAlignment w:val="center"/>
              <w:rPr>
                <w:rFonts w:ascii="仿宋_GB2312" w:eastAsia="仿宋_GB2312" w:hAnsi="仿宋" w:cs="仿宋"/>
                <w:color w:val="000000"/>
                <w:sz w:val="32"/>
                <w:szCs w:val="32"/>
              </w:rPr>
            </w:pPr>
            <w:r>
              <w:rPr>
                <w:rFonts w:ascii="仿宋_GB2312" w:eastAsia="仿宋_GB2312" w:hAnsi="仿宋" w:cs="仿宋"/>
                <w:color w:val="000000"/>
                <w:kern w:val="0"/>
                <w:sz w:val="32"/>
                <w:szCs w:val="32"/>
              </w:rPr>
              <w:t>2.</w:t>
            </w:r>
            <w:r>
              <w:rPr>
                <w:rFonts w:ascii="仿宋_GB2312" w:eastAsia="仿宋_GB2312" w:hAnsi="仿宋" w:cs="仿宋" w:hint="eastAsia"/>
                <w:color w:val="000000"/>
                <w:kern w:val="0"/>
                <w:sz w:val="32"/>
                <w:szCs w:val="32"/>
              </w:rPr>
              <w:t>墙面：仿瓷涂料或喷塑。</w:t>
            </w:r>
          </w:p>
        </w:tc>
        <w:tc>
          <w:tcPr>
            <w:tcW w:w="19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C5072" w:rsidRDefault="000B4D97">
            <w:pPr>
              <w:widowControl/>
              <w:spacing w:line="600" w:lineRule="exact"/>
              <w:jc w:val="center"/>
              <w:textAlignment w:val="center"/>
              <w:rPr>
                <w:rFonts w:ascii="仿宋_GB2312" w:eastAsia="仿宋_GB2312" w:hAnsi="仿宋" w:cs="仿宋"/>
                <w:color w:val="000000"/>
                <w:sz w:val="32"/>
                <w:szCs w:val="32"/>
              </w:rPr>
            </w:pPr>
            <w:r>
              <w:rPr>
                <w:rFonts w:ascii="仿宋_GB2312" w:eastAsia="仿宋_GB2312" w:hAnsi="仿宋" w:cs="仿宋" w:hint="eastAsia"/>
                <w:color w:val="000000"/>
                <w:kern w:val="0"/>
                <w:sz w:val="32"/>
                <w:szCs w:val="32"/>
              </w:rPr>
              <w:t>10</w:t>
            </w:r>
            <w:r>
              <w:rPr>
                <w:rFonts w:ascii="仿宋_GB2312" w:eastAsia="仿宋_GB2312" w:hAnsi="仿宋" w:cs="仿宋"/>
                <w:color w:val="000000"/>
                <w:kern w:val="0"/>
                <w:sz w:val="32"/>
                <w:szCs w:val="32"/>
              </w:rPr>
              <w:t>0</w:t>
            </w:r>
          </w:p>
        </w:tc>
      </w:tr>
    </w:tbl>
    <w:p w:rsidR="00DC5072" w:rsidRDefault="00DC5072">
      <w:pPr>
        <w:spacing w:line="580" w:lineRule="exact"/>
        <w:rPr>
          <w:rFonts w:ascii="方正小标宋简体" w:eastAsia="方正小标宋简体" w:hAnsi="宋体" w:cs="仿宋_GB2312"/>
          <w:sz w:val="44"/>
          <w:szCs w:val="44"/>
        </w:rPr>
      </w:pPr>
    </w:p>
    <w:p w:rsidR="00DC5072" w:rsidRDefault="00DC5072">
      <w:pPr>
        <w:spacing w:line="580" w:lineRule="exact"/>
        <w:rPr>
          <w:rFonts w:ascii="黑体" w:eastAsia="黑体" w:hAnsi="黑体" w:cs="黑体"/>
          <w:color w:val="000000"/>
          <w:kern w:val="0"/>
          <w:sz w:val="32"/>
          <w:szCs w:val="32"/>
        </w:rPr>
      </w:pPr>
    </w:p>
    <w:p w:rsidR="00DC5072" w:rsidRDefault="000B4D97">
      <w:pPr>
        <w:spacing w:line="580" w:lineRule="exact"/>
        <w:rPr>
          <w:rFonts w:ascii="黑体" w:eastAsia="黑体" w:hAnsi="黑体" w:cs="黑体"/>
          <w:color w:val="000000"/>
          <w:kern w:val="0"/>
          <w:sz w:val="32"/>
          <w:szCs w:val="32"/>
        </w:rPr>
      </w:pPr>
      <w:bookmarkStart w:id="0" w:name="_GoBack"/>
      <w:bookmarkEnd w:id="0"/>
      <w:r>
        <w:rPr>
          <w:rFonts w:ascii="黑体" w:eastAsia="黑体" w:hAnsi="黑体" w:cs="黑体" w:hint="eastAsia"/>
          <w:color w:val="000000"/>
          <w:kern w:val="0"/>
          <w:sz w:val="32"/>
          <w:szCs w:val="32"/>
        </w:rPr>
        <w:lastRenderedPageBreak/>
        <w:t>附件</w:t>
      </w:r>
      <w:r>
        <w:rPr>
          <w:rFonts w:ascii="黑体" w:eastAsia="黑体" w:hAnsi="黑体" w:cs="黑体" w:hint="eastAsia"/>
          <w:color w:val="000000"/>
          <w:kern w:val="0"/>
          <w:sz w:val="32"/>
          <w:szCs w:val="32"/>
        </w:rPr>
        <w:t>2</w:t>
      </w:r>
    </w:p>
    <w:p w:rsidR="00DC5072" w:rsidRDefault="000B4D97">
      <w:pPr>
        <w:spacing w:line="580" w:lineRule="exact"/>
        <w:jc w:val="center"/>
        <w:rPr>
          <w:rFonts w:ascii="方正小标宋简体" w:eastAsia="方正小标宋简体" w:hAnsi="宋体" w:cs="仿宋"/>
          <w:color w:val="000000"/>
          <w:kern w:val="0"/>
          <w:sz w:val="44"/>
          <w:szCs w:val="44"/>
        </w:rPr>
      </w:pPr>
      <w:r>
        <w:rPr>
          <w:rFonts w:ascii="方正小标宋简体" w:eastAsia="方正小标宋简体" w:hAnsi="宋体" w:cs="仿宋" w:hint="eastAsia"/>
          <w:color w:val="000000"/>
          <w:kern w:val="0"/>
          <w:sz w:val="44"/>
          <w:szCs w:val="44"/>
        </w:rPr>
        <w:t>建（构）筑物工料补偿标准</w:t>
      </w:r>
    </w:p>
    <w:p w:rsidR="00DC5072" w:rsidRDefault="00DC5072">
      <w:pPr>
        <w:spacing w:line="600" w:lineRule="exact"/>
        <w:jc w:val="center"/>
        <w:rPr>
          <w:rFonts w:ascii="宋体" w:hAnsi="宋体" w:cs="仿宋"/>
          <w:sz w:val="44"/>
          <w:szCs w:val="4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5040"/>
        <w:gridCol w:w="2309"/>
      </w:tblGrid>
      <w:tr w:rsidR="00DC5072">
        <w:trPr>
          <w:trHeight w:val="1613"/>
        </w:trPr>
        <w:tc>
          <w:tcPr>
            <w:tcW w:w="1440" w:type="dxa"/>
            <w:vAlign w:val="center"/>
          </w:tcPr>
          <w:p w:rsidR="00DC5072" w:rsidRDefault="000B4D97">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类别</w:t>
            </w:r>
          </w:p>
        </w:tc>
        <w:tc>
          <w:tcPr>
            <w:tcW w:w="5040" w:type="dxa"/>
            <w:vAlign w:val="center"/>
          </w:tcPr>
          <w:p w:rsidR="00DC5072" w:rsidRDefault="000B4D97">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建（构）筑物情况</w:t>
            </w:r>
          </w:p>
        </w:tc>
        <w:tc>
          <w:tcPr>
            <w:tcW w:w="2309" w:type="dxa"/>
            <w:vAlign w:val="center"/>
          </w:tcPr>
          <w:p w:rsidR="00DC5072" w:rsidRDefault="000B4D97">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补偿标准</w:t>
            </w:r>
          </w:p>
          <w:p w:rsidR="00DC5072" w:rsidRDefault="000B4D97">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Style w:val="font31"/>
                <w:rFonts w:ascii="仿宋_GB2312" w:eastAsia="仿宋_GB2312" w:cs="仿宋" w:hint="eastAsia"/>
              </w:rPr>
              <w:t>平方米</w:t>
            </w:r>
            <w:r>
              <w:rPr>
                <w:rFonts w:ascii="仿宋_GB2312" w:eastAsia="仿宋_GB2312" w:hAnsi="宋体" w:cs="仿宋" w:hint="eastAsia"/>
                <w:sz w:val="32"/>
                <w:szCs w:val="32"/>
              </w:rPr>
              <w:t>）</w:t>
            </w:r>
          </w:p>
        </w:tc>
      </w:tr>
      <w:tr w:rsidR="00DC5072">
        <w:trPr>
          <w:trHeight w:val="3885"/>
        </w:trPr>
        <w:tc>
          <w:tcPr>
            <w:tcW w:w="1440" w:type="dxa"/>
            <w:vAlign w:val="center"/>
          </w:tcPr>
          <w:p w:rsidR="00DC5072" w:rsidRDefault="000B4D97">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自建房</w:t>
            </w:r>
          </w:p>
        </w:tc>
        <w:tc>
          <w:tcPr>
            <w:tcW w:w="5040" w:type="dxa"/>
            <w:vAlign w:val="center"/>
          </w:tcPr>
          <w:p w:rsidR="00DC5072" w:rsidRDefault="000B4D97">
            <w:pPr>
              <w:spacing w:line="600" w:lineRule="exact"/>
              <w:rPr>
                <w:rFonts w:ascii="仿宋_GB2312" w:eastAsia="仿宋_GB2312" w:hAnsi="宋体" w:cs="仿宋"/>
                <w:sz w:val="32"/>
                <w:szCs w:val="32"/>
              </w:rPr>
            </w:pPr>
            <w:r>
              <w:rPr>
                <w:rFonts w:ascii="仿宋_GB2312" w:eastAsia="仿宋_GB2312" w:hAnsi="宋体" w:cs="仿宋" w:hint="eastAsia"/>
                <w:sz w:val="32"/>
                <w:szCs w:val="32"/>
              </w:rPr>
              <w:t>层高</w:t>
            </w:r>
            <w:r>
              <w:rPr>
                <w:rFonts w:ascii="仿宋_GB2312" w:eastAsia="仿宋_GB2312" w:hAnsi="宋体" w:cs="仿宋" w:hint="eastAsia"/>
                <w:sz w:val="32"/>
                <w:szCs w:val="32"/>
              </w:rPr>
              <w:t>2.2</w:t>
            </w:r>
            <w:r>
              <w:rPr>
                <w:rFonts w:ascii="仿宋_GB2312" w:eastAsia="仿宋_GB2312" w:hAnsi="宋体" w:cs="仿宋" w:hint="eastAsia"/>
                <w:sz w:val="32"/>
                <w:szCs w:val="32"/>
              </w:rPr>
              <w:t>米（含）以上，四周有墙，有房顶。</w:t>
            </w:r>
          </w:p>
        </w:tc>
        <w:tc>
          <w:tcPr>
            <w:tcW w:w="2309" w:type="dxa"/>
            <w:vAlign w:val="center"/>
          </w:tcPr>
          <w:p w:rsidR="00DC5072" w:rsidRDefault="000B4D97">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650</w:t>
            </w:r>
          </w:p>
        </w:tc>
      </w:tr>
      <w:tr w:rsidR="00DC5072">
        <w:trPr>
          <w:trHeight w:val="4190"/>
        </w:trPr>
        <w:tc>
          <w:tcPr>
            <w:tcW w:w="1440" w:type="dxa"/>
            <w:vAlign w:val="center"/>
          </w:tcPr>
          <w:p w:rsidR="00DC5072" w:rsidRDefault="000B4D97">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棚房</w:t>
            </w:r>
          </w:p>
        </w:tc>
        <w:tc>
          <w:tcPr>
            <w:tcW w:w="5040" w:type="dxa"/>
            <w:vAlign w:val="center"/>
          </w:tcPr>
          <w:p w:rsidR="00DC5072" w:rsidRDefault="000B4D97">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层高不足</w:t>
            </w:r>
            <w:r>
              <w:rPr>
                <w:rFonts w:ascii="仿宋_GB2312" w:eastAsia="仿宋_GB2312" w:hAnsi="宋体" w:cs="仿宋" w:hint="eastAsia"/>
                <w:sz w:val="32"/>
                <w:szCs w:val="32"/>
              </w:rPr>
              <w:t>2.2</w:t>
            </w:r>
            <w:r>
              <w:rPr>
                <w:rFonts w:ascii="仿宋_GB2312" w:eastAsia="仿宋_GB2312" w:hAnsi="宋体" w:cs="仿宋" w:hint="eastAsia"/>
                <w:sz w:val="32"/>
                <w:szCs w:val="32"/>
              </w:rPr>
              <w:t>米。</w:t>
            </w:r>
          </w:p>
        </w:tc>
        <w:tc>
          <w:tcPr>
            <w:tcW w:w="2309" w:type="dxa"/>
            <w:vAlign w:val="center"/>
          </w:tcPr>
          <w:p w:rsidR="00DC5072" w:rsidRDefault="000B4D97">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150</w:t>
            </w:r>
          </w:p>
        </w:tc>
      </w:tr>
    </w:tbl>
    <w:p w:rsidR="00DC5072" w:rsidRDefault="000B4D97">
      <w:pPr>
        <w:spacing w:line="600" w:lineRule="exact"/>
        <w:rPr>
          <w:rFonts w:ascii="宋体" w:hAnsi="宋体" w:cs="仿宋"/>
          <w:sz w:val="32"/>
          <w:szCs w:val="32"/>
        </w:rPr>
      </w:pPr>
      <w:r>
        <w:rPr>
          <w:rFonts w:ascii="宋体" w:hAnsi="宋体" w:cs="仿宋"/>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DC5072" w:rsidRDefault="00DC5072">
      <w:pPr>
        <w:spacing w:line="600" w:lineRule="exact"/>
        <w:jc w:val="center"/>
        <w:rPr>
          <w:rFonts w:ascii="方正小标宋简体" w:eastAsia="方正小标宋简体" w:hAnsi="宋体" w:cs="方正小标宋简体"/>
          <w:sz w:val="44"/>
          <w:szCs w:val="44"/>
        </w:rPr>
      </w:pPr>
    </w:p>
    <w:p w:rsidR="00DC5072" w:rsidRDefault="000B4D97">
      <w:pPr>
        <w:spacing w:line="600"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重度残疾人认定标准</w:t>
      </w:r>
    </w:p>
    <w:p w:rsidR="00DC5072" w:rsidRDefault="00DC5072">
      <w:pPr>
        <w:spacing w:line="600" w:lineRule="exact"/>
        <w:rPr>
          <w:rFonts w:ascii="宋体" w:hAnsi="宋体" w:cs="仿宋"/>
          <w:sz w:val="32"/>
          <w:szCs w:val="32"/>
        </w:rPr>
      </w:pPr>
    </w:p>
    <w:p w:rsidR="00DC5072" w:rsidRDefault="000B4D97">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重度残疾人包括：</w:t>
      </w:r>
    </w:p>
    <w:p w:rsidR="00DC5072" w:rsidRDefault="000B4D97">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一、视力残疾中的一级盲、二级盲；</w:t>
      </w:r>
    </w:p>
    <w:p w:rsidR="00DC5072" w:rsidRDefault="000B4D97">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二、听力残疾中的一级；</w:t>
      </w:r>
    </w:p>
    <w:p w:rsidR="00DC5072" w:rsidRDefault="000B4D97">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三、言语残疾中的一级；</w:t>
      </w:r>
    </w:p>
    <w:p w:rsidR="00DC5072" w:rsidRDefault="000B4D97">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四、肢体残疾中的一级、二级；</w:t>
      </w:r>
    </w:p>
    <w:p w:rsidR="00DC5072" w:rsidRDefault="000B4D97">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五、智力残疾中的一级、二级；</w:t>
      </w:r>
    </w:p>
    <w:p w:rsidR="00DC5072" w:rsidRDefault="000B4D97">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六、精神残疾中的一级、二级。</w:t>
      </w:r>
    </w:p>
    <w:p w:rsidR="00DC5072" w:rsidRDefault="00DC5072">
      <w:pPr>
        <w:spacing w:line="600" w:lineRule="exact"/>
        <w:ind w:firstLineChars="200" w:firstLine="640"/>
        <w:rPr>
          <w:rFonts w:ascii="仿宋_GB2312" w:eastAsia="仿宋_GB2312" w:hAnsi="宋体" w:cs="仿宋"/>
          <w:sz w:val="32"/>
          <w:szCs w:val="32"/>
        </w:rPr>
      </w:pPr>
    </w:p>
    <w:p w:rsidR="00DC5072" w:rsidRDefault="00DC5072">
      <w:pPr>
        <w:spacing w:line="600" w:lineRule="exact"/>
        <w:ind w:firstLineChars="200" w:firstLine="640"/>
        <w:rPr>
          <w:rFonts w:ascii="仿宋_GB2312" w:eastAsia="仿宋_GB2312" w:hAnsi="宋体" w:cs="仿宋"/>
          <w:sz w:val="32"/>
          <w:szCs w:val="32"/>
        </w:rPr>
      </w:pPr>
    </w:p>
    <w:p w:rsidR="00DC5072" w:rsidRDefault="000B4D97">
      <w:pPr>
        <w:spacing w:line="600" w:lineRule="exact"/>
        <w:ind w:firstLineChars="200" w:firstLine="640"/>
        <w:rPr>
          <w:rFonts w:ascii="仿宋_GB2312" w:eastAsia="仿宋_GB2312" w:hAnsi="宋体"/>
          <w:sz w:val="32"/>
          <w:szCs w:val="32"/>
        </w:rPr>
      </w:pPr>
      <w:r>
        <w:rPr>
          <w:rFonts w:ascii="仿宋_GB2312" w:eastAsia="仿宋_GB2312" w:hAnsi="宋体" w:cs="仿宋" w:hint="eastAsia"/>
          <w:sz w:val="32"/>
          <w:szCs w:val="32"/>
        </w:rPr>
        <w:t>注：</w:t>
      </w:r>
      <w:r>
        <w:rPr>
          <w:rFonts w:ascii="仿宋_GB2312" w:eastAsia="仿宋_GB2312" w:hAnsi="宋体" w:cs="仿宋" w:hint="eastAsia"/>
          <w:sz w:val="32"/>
          <w:szCs w:val="32"/>
        </w:rPr>
        <w:t>1.</w:t>
      </w:r>
      <w:r>
        <w:rPr>
          <w:rFonts w:ascii="仿宋_GB2312" w:eastAsia="仿宋_GB2312" w:hAnsi="宋体" w:cs="仿宋" w:hint="eastAsia"/>
          <w:sz w:val="32"/>
          <w:szCs w:val="32"/>
        </w:rPr>
        <w:t>本标准依据中华人民共和国国家标准</w:t>
      </w:r>
      <w:r>
        <w:rPr>
          <w:rFonts w:ascii="仿宋_GB2312" w:eastAsia="仿宋_GB2312" w:hAnsi="宋体" w:cs="仿宋" w:hint="eastAsia"/>
          <w:sz w:val="32"/>
          <w:szCs w:val="32"/>
        </w:rPr>
        <w:t>2011</w:t>
      </w:r>
      <w:r>
        <w:rPr>
          <w:rFonts w:ascii="仿宋_GB2312" w:eastAsia="仿宋_GB2312" w:hAnsi="宋体" w:cs="仿宋" w:hint="eastAsia"/>
          <w:sz w:val="32"/>
          <w:szCs w:val="32"/>
        </w:rPr>
        <w:t>年第</w:t>
      </w:r>
      <w:r>
        <w:rPr>
          <w:rFonts w:ascii="仿宋_GB2312" w:eastAsia="仿宋_GB2312" w:hAnsi="宋体" w:cs="仿宋" w:hint="eastAsia"/>
          <w:sz w:val="32"/>
          <w:szCs w:val="32"/>
        </w:rPr>
        <w:t>2</w:t>
      </w:r>
      <w:r>
        <w:rPr>
          <w:rFonts w:ascii="仿宋_GB2312" w:eastAsia="仿宋_GB2312" w:hAnsi="宋体" w:cs="仿宋" w:hint="eastAsia"/>
          <w:sz w:val="32"/>
          <w:szCs w:val="32"/>
        </w:rPr>
        <w:t>号公告《残疾人残疾分类和分级》（</w:t>
      </w:r>
      <w:r>
        <w:rPr>
          <w:rFonts w:ascii="仿宋_GB2312" w:eastAsia="仿宋_GB2312" w:hAnsi="宋体" w:cs="仿宋" w:hint="eastAsia"/>
          <w:sz w:val="32"/>
          <w:szCs w:val="32"/>
        </w:rPr>
        <w:t>GB/T26341-2010</w:t>
      </w:r>
      <w:r>
        <w:rPr>
          <w:rFonts w:ascii="仿宋_GB2312" w:eastAsia="仿宋_GB2312" w:hAnsi="宋体" w:cs="仿宋" w:hint="eastAsia"/>
          <w:sz w:val="32"/>
          <w:szCs w:val="32"/>
        </w:rPr>
        <w:t>）制定；</w:t>
      </w:r>
      <w:r>
        <w:rPr>
          <w:rFonts w:ascii="仿宋_GB2312" w:eastAsia="仿宋_GB2312" w:hAnsi="宋体" w:cs="仿宋" w:hint="eastAsia"/>
          <w:sz w:val="32"/>
          <w:szCs w:val="32"/>
        </w:rPr>
        <w:t>2.</w:t>
      </w:r>
      <w:r>
        <w:rPr>
          <w:rFonts w:ascii="仿宋_GB2312" w:eastAsia="仿宋_GB2312" w:hAnsi="宋体" w:cs="仿宋" w:hint="eastAsia"/>
          <w:sz w:val="32"/>
          <w:szCs w:val="32"/>
        </w:rPr>
        <w:t>残疾类别、等级以《中华人民共和国残疾人证》的认定为准</w:t>
      </w:r>
      <w:r>
        <w:rPr>
          <w:rFonts w:ascii="仿宋_GB2312" w:eastAsia="仿宋_GB2312" w:hAnsi="宋体" w:hint="eastAsia"/>
          <w:sz w:val="32"/>
          <w:szCs w:val="32"/>
        </w:rPr>
        <w:t>。</w:t>
      </w:r>
    </w:p>
    <w:p w:rsidR="00DC5072" w:rsidRDefault="00DC5072">
      <w:pPr>
        <w:spacing w:line="600" w:lineRule="exact"/>
        <w:ind w:firstLineChars="400" w:firstLine="1280"/>
        <w:rPr>
          <w:rFonts w:ascii="仿宋_GB2312" w:eastAsia="仿宋_GB2312" w:hAnsi="宋体"/>
          <w:sz w:val="32"/>
          <w:szCs w:val="32"/>
        </w:rPr>
      </w:pPr>
    </w:p>
    <w:p w:rsidR="00DC5072" w:rsidRDefault="000B4D97">
      <w:pPr>
        <w:spacing w:line="560" w:lineRule="exact"/>
        <w:rPr>
          <w:rFonts w:ascii="宋体" w:hAnsi="宋体"/>
          <w:sz w:val="32"/>
          <w:szCs w:val="32"/>
        </w:rPr>
      </w:pPr>
      <w:r>
        <w:rPr>
          <w:rFonts w:ascii="宋体" w:hAnsi="宋体"/>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4</w:t>
      </w:r>
    </w:p>
    <w:p w:rsidR="00DC5072" w:rsidRDefault="00DC5072">
      <w:pPr>
        <w:spacing w:line="560" w:lineRule="exact"/>
        <w:jc w:val="center"/>
        <w:rPr>
          <w:rFonts w:ascii="方正小标宋简体" w:eastAsia="方正小标宋简体" w:hAnsi="宋体"/>
          <w:sz w:val="44"/>
          <w:szCs w:val="44"/>
        </w:rPr>
      </w:pPr>
    </w:p>
    <w:p w:rsidR="00DC5072" w:rsidRDefault="000B4D97">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水、电、气、光纤安装费标准</w:t>
      </w:r>
    </w:p>
    <w:p w:rsidR="00DC5072" w:rsidRDefault="00DC5072">
      <w:pPr>
        <w:spacing w:line="560" w:lineRule="exact"/>
        <w:ind w:firstLineChars="200" w:firstLine="640"/>
        <w:rPr>
          <w:rFonts w:ascii="宋体" w:hAnsi="宋体"/>
          <w:sz w:val="32"/>
          <w:szCs w:val="32"/>
        </w:rPr>
      </w:pPr>
    </w:p>
    <w:p w:rsidR="00DC5072" w:rsidRDefault="000B4D97">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一、水安装费标准：多层</w:t>
      </w:r>
      <w:r>
        <w:rPr>
          <w:rFonts w:ascii="仿宋_GB2312" w:eastAsia="仿宋_GB2312" w:hAnsi="宋体" w:cs="宋体" w:hint="eastAsia"/>
          <w:sz w:val="32"/>
          <w:szCs w:val="32"/>
        </w:rPr>
        <w:t>DN15</w:t>
      </w:r>
      <w:r>
        <w:rPr>
          <w:rFonts w:ascii="仿宋_GB2312" w:eastAsia="仿宋_GB2312" w:hAnsi="宋体" w:cs="宋体" w:hint="eastAsia"/>
          <w:sz w:val="32"/>
          <w:szCs w:val="32"/>
        </w:rPr>
        <w:t>水表</w:t>
      </w:r>
      <w:r>
        <w:rPr>
          <w:rFonts w:ascii="仿宋_GB2312" w:eastAsia="仿宋_GB2312" w:hAnsi="宋体" w:cs="宋体" w:hint="eastAsia"/>
          <w:sz w:val="32"/>
          <w:szCs w:val="32"/>
        </w:rPr>
        <w:t>1960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r>
        <w:rPr>
          <w:rFonts w:ascii="仿宋_GB2312" w:eastAsia="仿宋_GB2312" w:hAnsi="宋体" w:cs="宋体" w:hint="eastAsia"/>
          <w:sz w:val="32"/>
          <w:szCs w:val="32"/>
        </w:rPr>
        <w:t>DN20</w:t>
      </w:r>
      <w:r>
        <w:rPr>
          <w:rFonts w:ascii="仿宋_GB2312" w:eastAsia="仿宋_GB2312" w:hAnsi="宋体" w:cs="宋体" w:hint="eastAsia"/>
          <w:sz w:val="32"/>
          <w:szCs w:val="32"/>
        </w:rPr>
        <w:t>水表</w:t>
      </w:r>
      <w:r>
        <w:rPr>
          <w:rFonts w:ascii="仿宋_GB2312" w:eastAsia="仿宋_GB2312" w:hAnsi="宋体" w:cs="宋体" w:hint="eastAsia"/>
          <w:sz w:val="32"/>
          <w:szCs w:val="32"/>
        </w:rPr>
        <w:t>2000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2800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DC5072" w:rsidRDefault="000B4D97">
      <w:pPr>
        <w:spacing w:line="56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二、电安装费标准：</w:t>
      </w:r>
      <w:r>
        <w:rPr>
          <w:rFonts w:ascii="仿宋_GB2312" w:eastAsia="仿宋_GB2312" w:hAnsi="宋体" w:hint="eastAsia"/>
          <w:sz w:val="32"/>
          <w:szCs w:val="32"/>
        </w:rPr>
        <w:t>1400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DC5072" w:rsidRDefault="000B4D97">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三、气安装费标准：多层</w:t>
      </w:r>
      <w:r>
        <w:rPr>
          <w:rFonts w:ascii="仿宋_GB2312" w:eastAsia="仿宋_GB2312" w:hAnsi="宋体" w:cs="宋体" w:hint="eastAsia"/>
          <w:sz w:val="32"/>
          <w:szCs w:val="32"/>
        </w:rPr>
        <w:t>2800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3800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DC5072" w:rsidRDefault="000B4D97">
      <w:pPr>
        <w:spacing w:line="560" w:lineRule="exact"/>
        <w:ind w:firstLineChars="200" w:firstLine="640"/>
        <w:rPr>
          <w:rFonts w:ascii="仿宋_GB2312" w:eastAsia="仿宋_GB2312" w:hAnsi="宋体"/>
          <w:sz w:val="32"/>
          <w:szCs w:val="32"/>
        </w:rPr>
      </w:pPr>
      <w:r>
        <w:rPr>
          <w:rFonts w:ascii="仿宋_GB2312" w:eastAsia="仿宋_GB2312" w:hAnsi="宋体" w:cs="宋体" w:hint="eastAsia"/>
          <w:sz w:val="32"/>
          <w:szCs w:val="32"/>
        </w:rPr>
        <w:t>四、光纤安装费标准：多层</w:t>
      </w:r>
      <w:r>
        <w:rPr>
          <w:rFonts w:ascii="仿宋_GB2312" w:eastAsia="仿宋_GB2312" w:hAnsi="宋体" w:cs="宋体" w:hint="eastAsia"/>
          <w:sz w:val="32"/>
          <w:szCs w:val="32"/>
        </w:rPr>
        <w:t>420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500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DC5072" w:rsidRDefault="00DC5072">
      <w:pPr>
        <w:spacing w:line="600" w:lineRule="exact"/>
        <w:ind w:firstLineChars="400" w:firstLine="1280"/>
        <w:rPr>
          <w:rFonts w:ascii="仿宋_GB2312" w:eastAsia="仿宋_GB2312" w:hAnsi="宋体"/>
          <w:sz w:val="32"/>
          <w:szCs w:val="32"/>
        </w:rPr>
      </w:pPr>
    </w:p>
    <w:p w:rsidR="00DC5072" w:rsidRDefault="00DC5072">
      <w:pPr>
        <w:spacing w:line="600" w:lineRule="exact"/>
        <w:ind w:firstLineChars="400" w:firstLine="1280"/>
        <w:rPr>
          <w:rFonts w:ascii="仿宋_GB2312" w:eastAsia="仿宋_GB2312" w:hAnsi="宋体"/>
          <w:sz w:val="32"/>
          <w:szCs w:val="32"/>
        </w:rPr>
      </w:pPr>
    </w:p>
    <w:p w:rsidR="00DC5072" w:rsidRDefault="000B4D97">
      <w:pPr>
        <w:spacing w:line="600" w:lineRule="exact"/>
        <w:ind w:firstLineChars="200" w:firstLine="640"/>
        <w:rPr>
          <w:rFonts w:ascii="仿宋_GB2312" w:eastAsia="仿宋_GB2312" w:hAnsi="宋体"/>
          <w:sz w:val="32"/>
          <w:szCs w:val="32"/>
        </w:rPr>
      </w:pPr>
      <w:r>
        <w:rPr>
          <w:rFonts w:ascii="仿宋_GB2312" w:eastAsia="仿宋_GB2312" w:hAnsi="宋体" w:cs="仿宋" w:hint="eastAsia"/>
          <w:sz w:val="32"/>
          <w:szCs w:val="32"/>
        </w:rPr>
        <w:t>注：本标准依据《乐山市发展和改革委员会、乐山市财政局、乐山市住房和城乡规划建设局关于核定棚户区改造工程涉及的水、电、气、光纤安装收费标准的通知》（</w:t>
      </w:r>
      <w:proofErr w:type="gramStart"/>
      <w:r>
        <w:rPr>
          <w:rFonts w:ascii="仿宋_GB2312" w:eastAsia="仿宋_GB2312" w:hAnsi="宋体" w:cs="仿宋" w:hint="eastAsia"/>
          <w:sz w:val="32"/>
          <w:szCs w:val="32"/>
        </w:rPr>
        <w:t>乐发改</w:t>
      </w:r>
      <w:proofErr w:type="gramEnd"/>
      <w:r>
        <w:rPr>
          <w:rFonts w:ascii="仿宋_GB2312" w:eastAsia="仿宋_GB2312" w:hAnsi="宋体" w:cs="仿宋" w:hint="eastAsia"/>
          <w:sz w:val="32"/>
          <w:szCs w:val="32"/>
        </w:rPr>
        <w:t>物价〔</w:t>
      </w:r>
      <w:r>
        <w:rPr>
          <w:rFonts w:ascii="仿宋_GB2312" w:eastAsia="仿宋_GB2312" w:hAnsi="宋体" w:cs="仿宋" w:hint="eastAsia"/>
          <w:sz w:val="32"/>
          <w:szCs w:val="32"/>
        </w:rPr>
        <w:t>2010</w:t>
      </w:r>
      <w:r>
        <w:rPr>
          <w:rFonts w:ascii="仿宋_GB2312" w:eastAsia="仿宋_GB2312" w:hAnsi="宋体" w:cs="仿宋" w:hint="eastAsia"/>
          <w:sz w:val="32"/>
          <w:szCs w:val="32"/>
        </w:rPr>
        <w:t>〕</w:t>
      </w:r>
      <w:r>
        <w:rPr>
          <w:rFonts w:ascii="仿宋_GB2312" w:eastAsia="仿宋_GB2312" w:hAnsi="宋体" w:cs="仿宋" w:hint="eastAsia"/>
          <w:sz w:val="32"/>
          <w:szCs w:val="32"/>
        </w:rPr>
        <w:t>794</w:t>
      </w:r>
      <w:r>
        <w:rPr>
          <w:rFonts w:ascii="仿宋_GB2312" w:eastAsia="仿宋_GB2312" w:hAnsi="宋体" w:cs="仿宋" w:hint="eastAsia"/>
          <w:sz w:val="32"/>
          <w:szCs w:val="32"/>
        </w:rPr>
        <w:t>号）制定。</w:t>
      </w:r>
    </w:p>
    <w:p w:rsidR="00DC5072" w:rsidRDefault="00DC5072">
      <w:pPr>
        <w:ind w:firstLineChars="200" w:firstLine="640"/>
        <w:rPr>
          <w:rFonts w:ascii="宋体" w:hAnsi="宋体"/>
          <w:sz w:val="32"/>
          <w:szCs w:val="32"/>
        </w:rPr>
      </w:pPr>
    </w:p>
    <w:p w:rsidR="00DC5072" w:rsidRDefault="00DC5072">
      <w:pPr>
        <w:ind w:firstLineChars="50" w:firstLine="150"/>
        <w:rPr>
          <w:rFonts w:ascii="宋体" w:hAnsi="宋体"/>
          <w:sz w:val="30"/>
          <w:szCs w:val="30"/>
          <w:u w:val="single"/>
        </w:rPr>
      </w:pPr>
    </w:p>
    <w:p w:rsidR="00DC5072" w:rsidRDefault="00DC5072">
      <w:pPr>
        <w:rPr>
          <w:rFonts w:ascii="宋体" w:hAnsi="宋体"/>
        </w:rPr>
      </w:pPr>
    </w:p>
    <w:p w:rsidR="00DC5072" w:rsidRDefault="00DC5072">
      <w:pPr>
        <w:spacing w:line="580" w:lineRule="exact"/>
        <w:ind w:firstLineChars="200" w:firstLine="640"/>
        <w:rPr>
          <w:rFonts w:ascii="宋体" w:hAnsi="宋体"/>
          <w:sz w:val="32"/>
          <w:szCs w:val="32"/>
        </w:rPr>
      </w:pPr>
    </w:p>
    <w:p w:rsidR="00DC5072" w:rsidRDefault="00DC5072">
      <w:pPr>
        <w:rPr>
          <w:rFonts w:ascii="宋体" w:hAnsi="宋体"/>
          <w:sz w:val="32"/>
          <w:szCs w:val="32"/>
        </w:rPr>
      </w:pPr>
    </w:p>
    <w:p w:rsidR="00DC5072" w:rsidRDefault="00DC5072">
      <w:pPr>
        <w:spacing w:line="580" w:lineRule="exact"/>
        <w:ind w:firstLineChars="235" w:firstLine="752"/>
        <w:rPr>
          <w:rFonts w:ascii="宋体" w:hAnsi="宋体" w:cs="仿宋"/>
          <w:color w:val="000000"/>
          <w:kern w:val="0"/>
          <w:sz w:val="32"/>
          <w:szCs w:val="32"/>
        </w:rPr>
      </w:pPr>
    </w:p>
    <w:p w:rsidR="00DC5072" w:rsidRDefault="000B4D97">
      <w:pPr>
        <w:spacing w:line="600" w:lineRule="exact"/>
        <w:rPr>
          <w:rFonts w:ascii="宋体" w:hAnsi="宋体"/>
          <w:sz w:val="32"/>
          <w:szCs w:val="32"/>
        </w:rPr>
      </w:pPr>
      <w:r>
        <w:rPr>
          <w:rFonts w:ascii="宋体" w:hAnsi="宋体"/>
          <w:sz w:val="32"/>
          <w:szCs w:val="32"/>
        </w:rPr>
        <w:t xml:space="preserve"> </w:t>
      </w:r>
    </w:p>
    <w:p w:rsidR="00DC5072" w:rsidRDefault="00DC5072">
      <w:pPr>
        <w:spacing w:line="580" w:lineRule="exact"/>
        <w:ind w:firstLineChars="235" w:firstLine="752"/>
        <w:rPr>
          <w:rFonts w:ascii="宋体" w:hAnsi="宋体" w:cs="仿宋"/>
          <w:color w:val="000000"/>
          <w:kern w:val="0"/>
          <w:sz w:val="32"/>
          <w:szCs w:val="32"/>
        </w:rPr>
      </w:pPr>
    </w:p>
    <w:p w:rsidR="00DC5072" w:rsidRDefault="00DC5072"/>
    <w:sectPr w:rsidR="00DC5072" w:rsidSect="00DC5072">
      <w:pgSz w:w="11906" w:h="16838"/>
      <w:pgMar w:top="1440" w:right="1803"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D97" w:rsidRDefault="000B4D97" w:rsidP="00194D03">
      <w:r>
        <w:separator/>
      </w:r>
    </w:p>
  </w:endnote>
  <w:endnote w:type="continuationSeparator" w:id="0">
    <w:p w:rsidR="000B4D97" w:rsidRDefault="000B4D97" w:rsidP="00194D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D97" w:rsidRDefault="000B4D97" w:rsidP="00194D03">
      <w:r>
        <w:separator/>
      </w:r>
    </w:p>
  </w:footnote>
  <w:footnote w:type="continuationSeparator" w:id="0">
    <w:p w:rsidR="000B4D97" w:rsidRDefault="000B4D97" w:rsidP="00194D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45667F"/>
    <w:multiLevelType w:val="singleLevel"/>
    <w:tmpl w:val="C545667F"/>
    <w:lvl w:ilvl="0">
      <w:start w:val="1"/>
      <w:numFmt w:val="chineseCounting"/>
      <w:suff w:val="nothing"/>
      <w:lvlText w:val="%1、"/>
      <w:lvlJc w:val="left"/>
      <w:rPr>
        <w:rFonts w:hint="eastAsia"/>
      </w:rPr>
    </w:lvl>
  </w:abstractNum>
  <w:abstractNum w:abstractNumId="1">
    <w:nsid w:val="42043293"/>
    <w:multiLevelType w:val="singleLevel"/>
    <w:tmpl w:val="42043293"/>
    <w:lvl w:ilvl="0">
      <w:start w:val="3"/>
      <w:numFmt w:val="decimal"/>
      <w:suff w:val="nothing"/>
      <w:lvlText w:val="（%1）"/>
      <w:lvlJc w:val="left"/>
    </w:lvl>
  </w:abstractNum>
  <w:abstractNum w:abstractNumId="2">
    <w:nsid w:val="5A557744"/>
    <w:multiLevelType w:val="singleLevel"/>
    <w:tmpl w:val="5A557744"/>
    <w:lvl w:ilvl="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6EA"/>
    <w:rsid w:val="000B4D97"/>
    <w:rsid w:val="000D6CBB"/>
    <w:rsid w:val="00194D03"/>
    <w:rsid w:val="003C26EA"/>
    <w:rsid w:val="00760AA6"/>
    <w:rsid w:val="00C51F04"/>
    <w:rsid w:val="00DC5072"/>
    <w:rsid w:val="075B2C39"/>
    <w:rsid w:val="1E9C758D"/>
    <w:rsid w:val="218C2181"/>
    <w:rsid w:val="38152EF1"/>
    <w:rsid w:val="494A0851"/>
    <w:rsid w:val="57240CA9"/>
    <w:rsid w:val="590806B5"/>
    <w:rsid w:val="61E3027A"/>
    <w:rsid w:val="6BEE06C9"/>
    <w:rsid w:val="765121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072"/>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1"/>
    <w:qFormat/>
    <w:rsid w:val="00DC5072"/>
    <w:pPr>
      <w:spacing w:line="500" w:lineRule="exact"/>
      <w:ind w:firstLineChars="200" w:firstLine="562"/>
    </w:pPr>
    <w:rPr>
      <w:rFonts w:ascii="仿宋_GB2312" w:eastAsia="仿宋_GB2312" w:hAnsi="Times New Roman" w:cstheme="minorBidi"/>
      <w:b/>
      <w:bCs/>
      <w:sz w:val="28"/>
      <w:szCs w:val="30"/>
    </w:rPr>
  </w:style>
  <w:style w:type="character" w:customStyle="1" w:styleId="font01">
    <w:name w:val="font01"/>
    <w:basedOn w:val="a0"/>
    <w:qFormat/>
    <w:rsid w:val="00DC5072"/>
    <w:rPr>
      <w:rFonts w:ascii="宋体" w:eastAsia="宋体" w:hAnsi="宋体" w:cs="宋体"/>
      <w:color w:val="000000"/>
      <w:sz w:val="32"/>
      <w:szCs w:val="32"/>
      <w:u w:val="none"/>
    </w:rPr>
  </w:style>
  <w:style w:type="character" w:customStyle="1" w:styleId="font31">
    <w:name w:val="font31"/>
    <w:basedOn w:val="a0"/>
    <w:qFormat/>
    <w:rsid w:val="00DC5072"/>
    <w:rPr>
      <w:rFonts w:ascii="Tahoma" w:hAnsi="Tahoma" w:cs="Tahoma"/>
      <w:color w:val="000000"/>
      <w:sz w:val="32"/>
      <w:szCs w:val="32"/>
      <w:u w:val="none"/>
    </w:rPr>
  </w:style>
  <w:style w:type="character" w:customStyle="1" w:styleId="2Char">
    <w:name w:val="正文文本缩进 2 Char"/>
    <w:basedOn w:val="a0"/>
    <w:link w:val="2"/>
    <w:qFormat/>
    <w:rsid w:val="00DC5072"/>
    <w:rPr>
      <w:rFonts w:ascii="仿宋_GB2312" w:eastAsia="仿宋_GB2312" w:hAnsi="Times New Roman"/>
      <w:b/>
      <w:bCs/>
      <w:sz w:val="28"/>
      <w:szCs w:val="30"/>
    </w:rPr>
  </w:style>
  <w:style w:type="character" w:customStyle="1" w:styleId="2Char1">
    <w:name w:val="正文文本缩进 2 Char1"/>
    <w:basedOn w:val="a0"/>
    <w:link w:val="2"/>
    <w:uiPriority w:val="99"/>
    <w:semiHidden/>
    <w:qFormat/>
    <w:rsid w:val="00DC5072"/>
    <w:rPr>
      <w:rFonts w:ascii="Calibri" w:eastAsia="宋体" w:hAnsi="Calibri" w:cs="Times New Roman"/>
    </w:rPr>
  </w:style>
  <w:style w:type="paragraph" w:styleId="a3">
    <w:name w:val="header"/>
    <w:basedOn w:val="a"/>
    <w:link w:val="Char"/>
    <w:uiPriority w:val="99"/>
    <w:semiHidden/>
    <w:unhideWhenUsed/>
    <w:rsid w:val="00194D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4D03"/>
    <w:rPr>
      <w:rFonts w:ascii="Calibri" w:eastAsia="宋体" w:hAnsi="Calibri" w:cs="Times New Roman"/>
      <w:kern w:val="2"/>
      <w:sz w:val="18"/>
      <w:szCs w:val="18"/>
    </w:rPr>
  </w:style>
  <w:style w:type="paragraph" w:styleId="a4">
    <w:name w:val="footer"/>
    <w:basedOn w:val="a"/>
    <w:link w:val="Char0"/>
    <w:uiPriority w:val="99"/>
    <w:semiHidden/>
    <w:unhideWhenUsed/>
    <w:rsid w:val="00194D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4D0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1189</Words>
  <Characters>6778</Characters>
  <Application>Microsoft Office Word</Application>
  <DocSecurity>0</DocSecurity>
  <Lines>56</Lines>
  <Paragraphs>15</Paragraphs>
  <ScaleCrop>false</ScaleCrop>
  <Company>Microsoft</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lenovola1</dc:creator>
  <cp:lastModifiedBy>郭梦颖</cp:lastModifiedBy>
  <cp:revision>2</cp:revision>
  <dcterms:created xsi:type="dcterms:W3CDTF">2018-10-19T06:49:00Z</dcterms:created>
  <dcterms:modified xsi:type="dcterms:W3CDTF">2018-10-19T06:49:00Z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