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contextualSpacing/>
        <w:rPr>
          <w:rFonts w:ascii="宋体" w:hAnsi="宋体" w:eastAsia="宋体"/>
          <w:b/>
          <w:sz w:val="44"/>
          <w:szCs w:val="44"/>
          <w:shd w:val="clear" w:color="auto" w:fill="FFFFFF"/>
        </w:rPr>
      </w:pPr>
    </w:p>
    <w:p>
      <w:pPr>
        <w:widowControl/>
        <w:spacing w:line="580" w:lineRule="exact"/>
        <w:contextualSpacing/>
        <w:jc w:val="center"/>
        <w:rPr>
          <w:rFonts w:hint="eastAsia" w:ascii="宋体" w:hAnsi="宋体" w:eastAsia="宋体"/>
          <w:b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shd w:val="clear" w:color="auto" w:fill="FFFFFF"/>
        </w:rPr>
        <w:t>2021年度</w:t>
      </w:r>
      <w:r>
        <w:rPr>
          <w:rFonts w:hint="eastAsia" w:ascii="宋体" w:hAnsi="宋体" w:eastAsia="宋体"/>
          <w:b/>
          <w:sz w:val="44"/>
          <w:szCs w:val="44"/>
          <w:shd w:val="clear" w:color="auto" w:fill="FFFFFF"/>
          <w:lang w:eastAsia="zh-CN"/>
        </w:rPr>
        <w:t>乐山市市中区乡村振兴发展中心</w:t>
      </w:r>
    </w:p>
    <w:p>
      <w:pPr>
        <w:widowControl/>
        <w:spacing w:line="580" w:lineRule="exact"/>
        <w:contextualSpacing/>
        <w:jc w:val="center"/>
        <w:rPr>
          <w:rFonts w:ascii="宋体" w:hAnsi="宋体" w:eastAsia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44"/>
          <w:shd w:val="clear" w:color="auto" w:fill="FFFFFF"/>
        </w:rPr>
        <w:t>整体支出绩效评价报告</w:t>
      </w:r>
    </w:p>
    <w:p>
      <w:pPr>
        <w:widowControl/>
        <w:adjustRightInd w:val="0"/>
        <w:snapToGrid w:val="0"/>
        <w:spacing w:line="580" w:lineRule="exact"/>
        <w:ind w:firstLine="48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24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  <w:bookmarkStart w:id="0" w:name="_GoBack"/>
      <w:bookmarkEnd w:id="0"/>
    </w:p>
    <w:p>
      <w:pPr>
        <w:pStyle w:val="17"/>
        <w:spacing w:line="560" w:lineRule="exact"/>
        <w:rPr>
          <w:rFonts w:hint="eastAsia" w:ascii="仿宋" w:hAnsi="仿宋" w:eastAsia="仿宋" w:cs="仿宋"/>
          <w:szCs w:val="32"/>
          <w:lang w:val="en-US"/>
        </w:rPr>
      </w:pPr>
      <w:r>
        <w:rPr>
          <w:rFonts w:hint="eastAsia" w:ascii="仿宋" w:hAnsi="仿宋" w:eastAsia="仿宋" w:cs="仿宋"/>
          <w:szCs w:val="32"/>
          <w:shd w:val="clear" w:color="auto" w:fill="FFFFFF"/>
        </w:rPr>
        <w:t>机构组成</w:t>
      </w:r>
    </w:p>
    <w:p>
      <w:pPr>
        <w:pStyle w:val="6"/>
        <w:widowControl/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内设股室：综合股 扶贫股 安置管理股 计财股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下属事业单位：扶贫移民服务中心。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扶贫移民服务中心纳入机关统一管理。</w:t>
      </w:r>
    </w:p>
    <w:p>
      <w:pPr>
        <w:pStyle w:val="17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Cs w:val="32"/>
          <w:shd w:val="clear" w:color="auto" w:fill="FFFFFF"/>
          <w:lang w:val="en-US"/>
        </w:rPr>
        <w:t>二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）机构职能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  <w:lang w:eastAsia="zh-CN"/>
        </w:rPr>
        <w:t>负责巩固拓展脱贫攻坚成果、统筹推进实施乡村振兴战略有关具体工作。</w:t>
      </w:r>
    </w:p>
    <w:p>
      <w:pPr>
        <w:pStyle w:val="17"/>
        <w:numPr>
          <w:ilvl w:val="0"/>
          <w:numId w:val="0"/>
        </w:numPr>
        <w:spacing w:line="560" w:lineRule="exact"/>
        <w:ind w:firstLine="640" w:firstLineChars="20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（三）人员概况。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现有职工22人，在编20人，临聘人员2人。其中参公编制人员1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人，事业编制人员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pStyle w:val="17"/>
        <w:numPr>
          <w:ilvl w:val="0"/>
          <w:numId w:val="2"/>
        </w:numPr>
        <w:spacing w:line="5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部门财政资金收入情况。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年财政拨款资金收入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2413.85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万元，年初项目支出结转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726.43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万元。</w:t>
      </w:r>
    </w:p>
    <w:p>
      <w:pPr>
        <w:pStyle w:val="17"/>
        <w:spacing w:line="560" w:lineRule="exac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部门财政资金支出情况。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年财政资金支出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2627.32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。其中：一般公共支出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198.22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万元，社会保障支出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142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万元，医疗卫生支出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7.59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农利水支出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2254.47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25.03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万元，项目支出结转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512.96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三、部门整体支出预算绩效管理情况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i w:val="0"/>
          <w:i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单位预算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按照预算管理有关规定</w:t>
      </w:r>
      <w:r>
        <w:rPr>
          <w:rFonts w:hint="eastAsia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编制</w:t>
      </w:r>
      <w:r>
        <w:rPr>
          <w:rFonts w:hint="eastAsia"/>
          <w:shd w:val="clear" w:color="auto" w:fill="FFFFFF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乐山市市中区</w:t>
      </w:r>
      <w:r>
        <w:rPr>
          <w:rFonts w:hint="eastAsia" w:ascii="仿宋_GB2312"/>
          <w:sz w:val="32"/>
          <w:szCs w:val="32"/>
          <w:lang w:val="en-US" w:eastAsia="zh-CN"/>
        </w:rPr>
        <w:t>乡村振兴发展中心</w:t>
      </w:r>
      <w:r>
        <w:rPr>
          <w:rFonts w:hint="eastAsia" w:ascii="仿宋_GB2312" w:eastAsia="仿宋_GB2312"/>
          <w:sz w:val="32"/>
          <w:szCs w:val="32"/>
        </w:rPr>
        <w:t>收入预算总额为</w:t>
      </w:r>
      <w:r>
        <w:rPr>
          <w:rFonts w:hint="eastAsia" w:ascii="仿宋_GB2312"/>
          <w:sz w:val="32"/>
          <w:szCs w:val="32"/>
          <w:lang w:val="en-US" w:eastAsia="zh-CN"/>
        </w:rPr>
        <w:t>296.84</w:t>
      </w:r>
      <w:r>
        <w:rPr>
          <w:rFonts w:hint="eastAsia" w:ascii="仿宋_GB2312" w:eastAsia="仿宋_GB2312"/>
          <w:sz w:val="32"/>
          <w:szCs w:val="32"/>
        </w:rPr>
        <w:t>万元，其中：当年财政拨款收入</w:t>
      </w:r>
      <w:r>
        <w:rPr>
          <w:rFonts w:hint="eastAsia" w:ascii="仿宋_GB2312"/>
          <w:sz w:val="32"/>
          <w:szCs w:val="32"/>
          <w:lang w:val="en-US" w:eastAsia="zh-CN"/>
        </w:rPr>
        <w:t>296.84</w:t>
      </w:r>
      <w:r>
        <w:rPr>
          <w:rFonts w:hint="eastAsia" w:ascii="仿宋_GB2312" w:eastAsia="仿宋_GB2312"/>
          <w:sz w:val="32"/>
          <w:szCs w:val="32"/>
        </w:rPr>
        <w:t>万元。相应安排支出预算</w:t>
      </w:r>
      <w:r>
        <w:rPr>
          <w:rFonts w:hint="eastAsia" w:ascii="仿宋_GB2312"/>
          <w:sz w:val="32"/>
          <w:szCs w:val="32"/>
          <w:lang w:val="en-US" w:eastAsia="zh-CN"/>
        </w:rPr>
        <w:t>296.84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</w:rPr>
        <w:t>，比20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  <w:lang w:val="en-US" w:eastAsia="zh-CN"/>
        </w:rPr>
        <w:t>20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</w:rPr>
        <w:t>年一般公共预算当年拨款收支减少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  <w:lang w:val="en-US" w:eastAsia="zh-CN"/>
        </w:rPr>
        <w:t>8.75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</w:rPr>
        <w:t>万元，主要是因为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  <w:lang w:eastAsia="zh-CN"/>
        </w:rPr>
        <w:t>减少公用经费支出预算</w:t>
      </w:r>
      <w:r>
        <w:rPr>
          <w:rStyle w:val="11"/>
          <w:rFonts w:hint="eastAsia" w:ascii="仿宋" w:hAnsi="仿宋" w:eastAsia="仿宋" w:cs="仿宋"/>
          <w:i w:val="0"/>
          <w:i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严格按照省市区下达资金计划要求拨付进度进行资金拨付。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节能降耗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“三公”经费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也严格按照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预算执行。</w:t>
      </w:r>
      <w:r>
        <w:rPr>
          <w:rFonts w:hint="eastAsia" w:ascii="仿宋_GB2312" w:eastAsia="仿宋_GB2312"/>
          <w:sz w:val="32"/>
          <w:szCs w:val="32"/>
          <w:lang w:eastAsia="zh-CN"/>
        </w:rPr>
        <w:t>乐山市市中区扶贫开发中心</w:t>
      </w:r>
      <w:r>
        <w:rPr>
          <w:rFonts w:hint="eastAsia" w:ascii="仿宋_GB2312" w:eastAsia="仿宋_GB2312"/>
          <w:sz w:val="32"/>
          <w:szCs w:val="32"/>
        </w:rPr>
        <w:t>预算安排支出主要用于保障该部门机构正常运转、完成日常工作任务以及承担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扶贫和移民</w:t>
      </w:r>
      <w:r>
        <w:rPr>
          <w:rFonts w:hint="eastAsia" w:ascii="仿宋_GB2312" w:eastAsia="仿宋_GB2312"/>
          <w:sz w:val="32"/>
          <w:szCs w:val="32"/>
        </w:rPr>
        <w:t xml:space="preserve">事业发展相关工作。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基本支出</w:t>
      </w:r>
      <w:r>
        <w:rPr>
          <w:rFonts w:hint="eastAsia" w:ascii="仿宋_GB2312"/>
          <w:sz w:val="32"/>
          <w:szCs w:val="32"/>
          <w:lang w:val="en-US" w:eastAsia="zh-CN"/>
        </w:rPr>
        <w:t>253.75</w:t>
      </w:r>
      <w:r>
        <w:rPr>
          <w:rFonts w:hint="eastAsia" w:ascii="仿宋_GB2312" w:eastAsia="仿宋_GB2312"/>
          <w:sz w:val="32"/>
          <w:szCs w:val="32"/>
        </w:rPr>
        <w:t>万元，是用于保障机关、下属事业单位等机构正常运转的日常支出，包括基本工资、津贴补贴等人员经费以及办公费、印刷费、水电费、办公设备购置等日常公用经费。</w:t>
      </w:r>
    </w:p>
    <w:p>
      <w:pPr>
        <w:spacing w:line="600" w:lineRule="exact"/>
        <w:ind w:firstLine="640" w:firstLineChars="200"/>
        <w:rPr>
          <w:rFonts w:hint="eastAsia"/>
          <w:shd w:val="clear" w:color="auto" w:fill="FFFFFF"/>
          <w:lang w:val="zh-CN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/>
          <w:sz w:val="32"/>
          <w:szCs w:val="32"/>
          <w:lang w:val="en-US" w:eastAsia="zh-CN"/>
        </w:rPr>
        <w:t>2373.57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主要用于乡村振兴衔接项目实施和</w:t>
      </w:r>
      <w:r>
        <w:rPr>
          <w:rFonts w:hint="eastAsia" w:ascii="仿宋_GB2312" w:eastAsia="仿宋_GB2312"/>
          <w:sz w:val="32"/>
          <w:szCs w:val="32"/>
        </w:rPr>
        <w:t>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对口援彝工作小组和扶贫开发协会</w:t>
      </w:r>
      <w:r>
        <w:rPr>
          <w:rFonts w:hint="eastAsia" w:ascii="仿宋_GB2312" w:eastAsia="仿宋_GB2312"/>
          <w:sz w:val="32"/>
          <w:szCs w:val="32"/>
        </w:rPr>
        <w:t>机构为完成特定的行政工作任务或事业发展目标，用于专项业务工作的经费支出。</w:t>
      </w:r>
    </w:p>
    <w:p>
      <w:pPr>
        <w:pStyle w:val="18"/>
        <w:ind w:firstLine="640"/>
        <w:rPr>
          <w:rFonts w:hint="eastAsia" w:ascii="仿宋" w:hAnsi="仿宋" w:eastAsia="仿宋" w:cs="仿宋"/>
          <w:shd w:val="clear" w:color="auto" w:fill="FFFFFF"/>
        </w:rPr>
      </w:pPr>
      <w:r>
        <w:rPr>
          <w:rFonts w:hint="eastAsia"/>
          <w:shd w:val="clear" w:color="auto" w:fill="FFFFFF"/>
        </w:rPr>
        <w:t>造成项目支出结余的原因是，</w:t>
      </w:r>
      <w:r>
        <w:rPr>
          <w:rFonts w:hint="eastAsia" w:ascii="仿宋" w:hAnsi="仿宋" w:eastAsia="仿宋" w:cs="仿宋"/>
          <w:color w:val="000000"/>
          <w:kern w:val="0"/>
          <w:lang w:bidi="ar"/>
        </w:rPr>
        <w:t>财政拨付</w:t>
      </w:r>
      <w:r>
        <w:rPr>
          <w:rFonts w:hint="eastAsia" w:ascii="仿宋" w:hAnsi="仿宋" w:eastAsia="仿宋" w:cs="仿宋"/>
          <w:color w:val="000000"/>
          <w:kern w:val="0"/>
          <w:lang w:eastAsia="zh-CN" w:bidi="ar"/>
        </w:rPr>
        <w:t>乡村振兴项目衔接资金部份项目未实施完成，</w:t>
      </w:r>
      <w:r>
        <w:rPr>
          <w:rFonts w:hint="eastAsia" w:ascii="仿宋" w:hAnsi="仿宋" w:eastAsia="仿宋" w:cs="仿宋"/>
          <w:shd w:val="clear" w:color="auto" w:fill="FFFFFF"/>
        </w:rPr>
        <w:t>造成项目支出节余。</w:t>
      </w:r>
    </w:p>
    <w:p>
      <w:pPr>
        <w:pStyle w:val="18"/>
        <w:ind w:firstLine="640"/>
        <w:rPr>
          <w:rFonts w:hint="eastAsia"/>
        </w:rPr>
      </w:pPr>
      <w:r>
        <w:rPr>
          <w:rFonts w:hint="eastAsia"/>
        </w:rPr>
        <w:t>我单位严格按财政要求进行采购、对固定资产进行全面清理，对符合报废的固定资产按要求申报处理，</w:t>
      </w:r>
      <w:r>
        <w:rPr>
          <w:rFonts w:hint="eastAsia"/>
          <w:lang w:eastAsia="zh-CN"/>
        </w:rPr>
        <w:t>修</w:t>
      </w:r>
      <w:r>
        <w:rPr>
          <w:rFonts w:hint="eastAsia"/>
        </w:rPr>
        <w:t>定单位内控制度，</w:t>
      </w:r>
      <w:r>
        <w:rPr>
          <w:rFonts w:hint="eastAsia"/>
          <w:lang w:val="en-US" w:eastAsia="zh-CN"/>
        </w:rPr>
        <w:t>2020预决算、2021年</w:t>
      </w:r>
      <w:r>
        <w:rPr>
          <w:rFonts w:hint="eastAsia"/>
          <w:lang w:eastAsia="zh-CN"/>
        </w:rPr>
        <w:t>乡村振兴衔接项目</w:t>
      </w:r>
      <w:r>
        <w:rPr>
          <w:rFonts w:hint="eastAsia"/>
        </w:rPr>
        <w:t>在区政府网进行信息公开，依法接受财政监督。</w:t>
      </w:r>
    </w:p>
    <w:p>
      <w:pPr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i w:val="0"/>
          <w:iCs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（二）结果应用情况。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包括绩效自评公开、评价结果整改和应用结果反馈等情况。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pStyle w:val="17"/>
        <w:numPr>
          <w:ilvl w:val="0"/>
          <w:numId w:val="3"/>
        </w:numPr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评价结论。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年部门支出绩效评价指标体系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整体评价自评99分，区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整体绩效较好。</w:t>
      </w:r>
    </w:p>
    <w:p>
      <w:pPr>
        <w:pStyle w:val="17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存在问题。</w:t>
      </w:r>
    </w:p>
    <w:p>
      <w:pPr>
        <w:pStyle w:val="1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单位预算编制总体良好，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存在问题：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乡村振兴衔接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工作开展需要，后期调整预算幅度较大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，个别项目拨付进度较慢，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部份项目资金有结余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7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改进建议。</w:t>
      </w:r>
    </w:p>
    <w:p>
      <w:pPr>
        <w:ind w:firstLine="585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年初预算时，加强项目工作经费测算，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增加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乡村振兴衔接工作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经费预算。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</w:sdtPr>
    <w:sdtContent>
      <w:p>
        <w:pPr>
          <w:pStyle w:val="4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chineseCountingThousand"/>
      <w:pStyle w:val="17"/>
      <w:suff w:val="nothing"/>
      <w:lvlText w:val="（%1）"/>
      <w:lvlJc w:val="left"/>
      <w:pPr>
        <w:ind w:left="0" w:firstLine="63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6275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6228C"/>
    <w:rsid w:val="00177AAF"/>
    <w:rsid w:val="00183850"/>
    <w:rsid w:val="00184D9F"/>
    <w:rsid w:val="001A4749"/>
    <w:rsid w:val="001A4842"/>
    <w:rsid w:val="001A5833"/>
    <w:rsid w:val="001B0F5D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2F73C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1699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7AAA"/>
    <w:rsid w:val="004E752F"/>
    <w:rsid w:val="004F1E37"/>
    <w:rsid w:val="00504097"/>
    <w:rsid w:val="00515198"/>
    <w:rsid w:val="00521C44"/>
    <w:rsid w:val="005274E1"/>
    <w:rsid w:val="00531DDF"/>
    <w:rsid w:val="00532E7D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1AFA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56447"/>
    <w:rsid w:val="009601FC"/>
    <w:rsid w:val="00965426"/>
    <w:rsid w:val="0096654A"/>
    <w:rsid w:val="009711E4"/>
    <w:rsid w:val="00971572"/>
    <w:rsid w:val="00981E55"/>
    <w:rsid w:val="00986CEF"/>
    <w:rsid w:val="00987212"/>
    <w:rsid w:val="00990CB5"/>
    <w:rsid w:val="009A0E5F"/>
    <w:rsid w:val="009C5331"/>
    <w:rsid w:val="009E6ED7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378EF"/>
    <w:rsid w:val="00A5432A"/>
    <w:rsid w:val="00A55F8A"/>
    <w:rsid w:val="00A6397C"/>
    <w:rsid w:val="00A9670E"/>
    <w:rsid w:val="00AA1423"/>
    <w:rsid w:val="00AB7996"/>
    <w:rsid w:val="00AC43C3"/>
    <w:rsid w:val="00AE2EAD"/>
    <w:rsid w:val="00AE2FE7"/>
    <w:rsid w:val="00AF77BE"/>
    <w:rsid w:val="00B0155C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4D6A"/>
    <w:rsid w:val="00DB66BB"/>
    <w:rsid w:val="00DB6A1B"/>
    <w:rsid w:val="00DB73AF"/>
    <w:rsid w:val="00DB7CE5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2D331F"/>
    <w:rsid w:val="0DC31556"/>
    <w:rsid w:val="1C013801"/>
    <w:rsid w:val="240A2B27"/>
    <w:rsid w:val="2D527252"/>
    <w:rsid w:val="2EDF4302"/>
    <w:rsid w:val="47550EBA"/>
    <w:rsid w:val="6636451A"/>
    <w:rsid w:val="6A0502D4"/>
    <w:rsid w:val="71397E03"/>
    <w:rsid w:val="7A9314AC"/>
    <w:rsid w:val="7C2C2218"/>
    <w:rsid w:val="7C631402"/>
    <w:rsid w:val="7E14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uiPriority w:val="0"/>
    <w:rPr>
      <w:rFonts w:ascii="Times New Roman" w:hAnsi="Times New Roman" w:eastAsia="宋体" w:cs="Times New Roman"/>
      <w:i/>
    </w:rPr>
  </w:style>
  <w:style w:type="paragraph" w:customStyle="1" w:styleId="12">
    <w:name w:val="四号正文"/>
    <w:basedOn w:val="1"/>
    <w:link w:val="13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3">
    <w:name w:val="四号正文 Char"/>
    <w:basedOn w:val="9"/>
    <w:link w:val="12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4">
    <w:name w:val="文档结构图 Char"/>
    <w:basedOn w:val="9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〖B02〗二级标题"/>
    <w:next w:val="1"/>
    <w:qFormat/>
    <w:uiPriority w:val="0"/>
    <w:pPr>
      <w:widowControl w:val="0"/>
      <w:numPr>
        <w:ilvl w:val="0"/>
        <w:numId w:val="1"/>
      </w:numPr>
      <w:spacing w:line="600" w:lineRule="exact"/>
      <w:outlineLvl w:val="1"/>
    </w:pPr>
    <w:rPr>
      <w:rFonts w:ascii="楷体_GB2312" w:hAnsi="Calibri" w:eastAsia="楷体_GB2312" w:cs="Times New Roman"/>
      <w:kern w:val="2"/>
      <w:sz w:val="32"/>
      <w:szCs w:val="21"/>
      <w:lang w:val="zh-CN" w:eastAsia="zh-CN" w:bidi="ar-SA"/>
    </w:rPr>
  </w:style>
  <w:style w:type="paragraph" w:customStyle="1" w:styleId="18">
    <w:name w:val="〖C01〗正文"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3</Pages>
  <Words>1056</Words>
  <Characters>1155</Characters>
  <Lines>2</Lines>
  <Paragraphs>1</Paragraphs>
  <TotalTime>213</TotalTime>
  <ScaleCrop>false</ScaleCrop>
  <LinksUpToDate>false</LinksUpToDate>
  <CharactersWithSpaces>1171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2021-04-19T06:58:00Z</dcterms:created>
  <dc:creator>陈萍</dc:creator>
  <cp:lastModifiedBy>风行</cp:lastModifiedBy>
  <cp:lastPrinted>2021-03-22T06:51:00Z</cp:lastPrinted>
  <dcterms:modified xsi:type="dcterms:W3CDTF">2022-04-02T07:49:13Z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FEE8D74255734C6A9370FFFF081751BB</vt:lpwstr>
  </property>
</Properties>
</file>