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Arial Unicode MS" w:hAnsi="宋体" w:eastAsia="Arial Unicode MS"/>
          <w:sz w:val="44"/>
          <w:szCs w:val="44"/>
        </w:rPr>
      </w:pPr>
    </w:p>
    <w:p>
      <w:pPr>
        <w:pStyle w:val="5"/>
        <w:jc w:val="center"/>
        <w:rPr>
          <w:rFonts w:ascii="Arial Unicode MS" w:hAnsi="宋体" w:eastAsia="Arial Unicode MS"/>
          <w:sz w:val="44"/>
          <w:szCs w:val="44"/>
        </w:rPr>
      </w:pPr>
    </w:p>
    <w:p>
      <w:pPr>
        <w:pStyle w:val="5"/>
        <w:jc w:val="center"/>
        <w:rPr>
          <w:rFonts w:ascii="Arial Unicode MS" w:hAnsi="宋体" w:eastAsia="Arial Unicode MS"/>
          <w:sz w:val="44"/>
          <w:szCs w:val="44"/>
        </w:rPr>
      </w:pPr>
    </w:p>
    <w:p>
      <w:pPr>
        <w:pStyle w:val="5"/>
        <w:ind w:firstLine="880" w:firstLineChars="200"/>
        <w:jc w:val="center"/>
        <w:rPr>
          <w:rFonts w:ascii="Arial Unicode MS" w:hAnsi="宋体" w:eastAsia="Arial Unicode MS"/>
          <w:sz w:val="44"/>
          <w:szCs w:val="44"/>
        </w:rPr>
      </w:pPr>
      <w:r>
        <w:rPr>
          <w:rFonts w:hint="eastAsia" w:ascii="Arial Unicode MS" w:hAnsi="宋体" w:eastAsia="Arial Unicode MS"/>
          <w:sz w:val="44"/>
          <w:szCs w:val="44"/>
        </w:rPr>
        <w:t>2024年度</w:t>
      </w:r>
    </w:p>
    <w:p>
      <w:pPr>
        <w:pStyle w:val="5"/>
        <w:jc w:val="center"/>
        <w:rPr>
          <w:rFonts w:ascii="Arial Unicode MS" w:hAnsi="宋体" w:eastAsia="Arial Unicode MS"/>
          <w:sz w:val="44"/>
          <w:szCs w:val="44"/>
        </w:rPr>
      </w:pPr>
      <w:r>
        <w:rPr>
          <w:rFonts w:hint="eastAsia" w:ascii="Arial Unicode MS" w:hAnsi="宋体" w:eastAsia="Arial Unicode MS"/>
          <w:sz w:val="44"/>
          <w:szCs w:val="44"/>
        </w:rPr>
        <w:t>乐山市市中区综合行政执法局单位决算</w:t>
      </w:r>
    </w:p>
    <w:p>
      <w:pPr>
        <w:widowControl/>
        <w:ind w:firstLine="720" w:firstLineChars="200"/>
        <w:jc w:val="left"/>
        <w:rPr>
          <w:rFonts w:ascii="Arial Unicode MS" w:hAnsi="宋体" w:eastAsia="Arial Unicode MS"/>
          <w:sz w:val="36"/>
          <w:szCs w:val="36"/>
        </w:rPr>
      </w:pPr>
      <w:r>
        <w:rPr>
          <w:rFonts w:ascii="Arial Unicode MS" w:hAnsi="宋体" w:eastAsia="Arial Unicode MS"/>
          <w:sz w:val="36"/>
          <w:szCs w:val="36"/>
        </w:rPr>
        <w:br w:type="page"/>
      </w:r>
    </w:p>
    <w:p>
      <w:pPr>
        <w:widowControl/>
        <w:ind w:firstLine="960" w:firstLineChars="200"/>
        <w:jc w:val="center"/>
        <w:rPr>
          <w:rFonts w:ascii="黑体" w:hAnsi="黑体" w:eastAsia="黑体"/>
          <w:sz w:val="28"/>
          <w:szCs w:val="28"/>
        </w:rPr>
      </w:pPr>
      <w:r>
        <w:rPr>
          <w:rFonts w:hint="eastAsia" w:ascii="黑体" w:hAnsi="黑体" w:eastAsia="黑体"/>
          <w:sz w:val="48"/>
          <w:szCs w:val="48"/>
        </w:rPr>
        <w:t>目录</w:t>
      </w:r>
    </w:p>
    <w:p>
      <w:pPr>
        <w:pStyle w:val="11"/>
        <w:ind w:firstLine="560" w:firstLineChars="200"/>
      </w:pPr>
      <w:r>
        <w:rPr>
          <w:rFonts w:hint="eastAsia"/>
        </w:rPr>
        <w:t>公开时间：2025年1</w:t>
      </w:r>
      <w:r>
        <w:rPr>
          <w:rFonts w:hint="eastAsia"/>
          <w:lang w:val="en-US" w:eastAsia="zh-CN"/>
        </w:rPr>
        <w:t>0</w:t>
      </w:r>
      <w:r>
        <w:rPr>
          <w:rFonts w:hint="eastAsia"/>
        </w:rPr>
        <w:t xml:space="preserve">月 </w:t>
      </w:r>
      <w:r>
        <w:rPr>
          <w:rFonts w:hint="eastAsia"/>
          <w:lang w:val="en-US" w:eastAsia="zh-CN"/>
        </w:rPr>
        <w:t>29</w:t>
      </w:r>
      <w:bookmarkStart w:id="45" w:name="_GoBack"/>
      <w:bookmarkEnd w:id="45"/>
      <w:r>
        <w:rPr>
          <w:rFonts w:hint="eastAsia"/>
        </w:rPr>
        <w:t>日</w:t>
      </w:r>
    </w:p>
    <w:p>
      <w:pPr>
        <w:pStyle w:val="11"/>
        <w:tabs>
          <w:tab w:val="right" w:leader="dot" w:pos="8306"/>
          <w:tab w:val="clear" w:pos="8296"/>
        </w:tabs>
        <w:spacing w:line="440" w:lineRule="exact"/>
        <w:ind w:firstLine="560" w:firstLineChars="200"/>
      </w:pPr>
      <w:r>
        <w:fldChar w:fldCharType="begin"/>
      </w:r>
      <w:r>
        <w:instrText xml:space="preserve">TOC \o "1-2" \h \u </w:instrText>
      </w:r>
      <w:r>
        <w:fldChar w:fldCharType="separate"/>
      </w:r>
      <w:r>
        <w:fldChar w:fldCharType="begin"/>
      </w:r>
      <w:r>
        <w:instrText xml:space="preserve"> HYPERLINK \l "_Toc11310" </w:instrText>
      </w:r>
      <w:r>
        <w:fldChar w:fldCharType="separate"/>
      </w:r>
      <w:r>
        <w:rPr>
          <w:rFonts w:hint="eastAsia" w:ascii="黑体" w:hAnsi="黑体" w:eastAsia="黑体"/>
        </w:rPr>
        <w:t>第一部分 单位概况</w:t>
      </w:r>
      <w:r>
        <w:rPr>
          <w:rFonts w:ascii="Calibri" w:hAnsi="Calibri" w:eastAsia="宋体"/>
          <w:sz w:val="21"/>
          <w:szCs w:val="24"/>
        </w:rPr>
        <w:tab/>
      </w:r>
      <w:r>
        <w:rPr>
          <w:rFonts w:ascii="Calibri" w:hAnsi="Calibri" w:eastAsia="宋体"/>
          <w:sz w:val="21"/>
          <w:szCs w:val="24"/>
        </w:rPr>
        <w:fldChar w:fldCharType="begin"/>
      </w:r>
      <w:r>
        <w:rPr>
          <w:rFonts w:ascii="Calibri" w:hAnsi="Calibri" w:eastAsia="宋体"/>
          <w:sz w:val="21"/>
          <w:szCs w:val="24"/>
        </w:rPr>
        <w:instrText xml:space="preserve"> PAGEREF _Toc11310 \h </w:instrText>
      </w:r>
      <w:r>
        <w:rPr>
          <w:rFonts w:ascii="Calibri" w:hAnsi="Calibri" w:eastAsia="宋体"/>
          <w:sz w:val="21"/>
          <w:szCs w:val="24"/>
        </w:rPr>
        <w:fldChar w:fldCharType="separate"/>
      </w:r>
      <w:r>
        <w:rPr>
          <w:rFonts w:ascii="Calibri" w:hAnsi="Calibri" w:eastAsia="宋体"/>
          <w:sz w:val="21"/>
          <w:szCs w:val="24"/>
        </w:rPr>
        <w:t>4</w:t>
      </w:r>
      <w:r>
        <w:rPr>
          <w:rFonts w:ascii="Calibri" w:hAnsi="Calibri" w:eastAsia="宋体"/>
          <w:sz w:val="21"/>
          <w:szCs w:val="24"/>
        </w:rPr>
        <w:fldChar w:fldCharType="end"/>
      </w:r>
      <w:r>
        <w:rPr>
          <w:rFonts w:ascii="Calibri" w:hAnsi="Calibri" w:eastAsia="宋体"/>
          <w:sz w:val="21"/>
          <w:szCs w:val="24"/>
        </w:rP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"_Toc6150" </w:instrText>
      </w:r>
      <w:r>
        <w:fldChar w:fldCharType="separate"/>
      </w:r>
      <w:r>
        <w:rPr>
          <w:rFonts w:hint="eastAsia" w:ascii="黑体" w:hAnsi="黑体" w:eastAsia="黑体"/>
          <w:bCs/>
        </w:rPr>
        <w:t xml:space="preserve">一、 </w:t>
      </w:r>
      <w:r>
        <w:rPr>
          <w:rFonts w:hint="eastAsia" w:ascii="黑体" w:hAnsi="黑体" w:eastAsia="黑体"/>
        </w:rPr>
        <w:t>主要职责</w:t>
      </w:r>
      <w:r>
        <w:tab/>
      </w:r>
      <w:r>
        <w:fldChar w:fldCharType="begin"/>
      </w:r>
      <w:r>
        <w:instrText xml:space="preserve"> PAGEREF _Toc6150 \h </w:instrText>
      </w:r>
      <w:r>
        <w:fldChar w:fldCharType="separate"/>
      </w:r>
      <w:r>
        <w:t>4</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"_Toc3250" </w:instrText>
      </w:r>
      <w:r>
        <w:fldChar w:fldCharType="separate"/>
      </w:r>
      <w:r>
        <w:rPr>
          <w:rFonts w:hint="eastAsia" w:ascii="黑体" w:hAnsi="黑体" w:eastAsia="黑体"/>
        </w:rPr>
        <w:t>二、 机构设置</w:t>
      </w:r>
      <w:r>
        <w:tab/>
      </w:r>
      <w:r>
        <w:fldChar w:fldCharType="begin"/>
      </w:r>
      <w:r>
        <w:instrText xml:space="preserve"> PAGEREF _Toc3250 \h </w:instrText>
      </w:r>
      <w:r>
        <w:fldChar w:fldCharType="separate"/>
      </w:r>
      <w:r>
        <w:t>4</w:t>
      </w:r>
      <w:r>
        <w:fldChar w:fldCharType="end"/>
      </w:r>
      <w:r>
        <w:fldChar w:fldCharType="end"/>
      </w:r>
    </w:p>
    <w:p>
      <w:pPr>
        <w:pStyle w:val="11"/>
        <w:tabs>
          <w:tab w:val="right" w:leader="dot" w:pos="8306"/>
          <w:tab w:val="clear" w:pos="8296"/>
        </w:tabs>
        <w:spacing w:line="440" w:lineRule="exact"/>
        <w:ind w:firstLine="560" w:firstLineChars="200"/>
      </w:pPr>
      <w:r>
        <w:fldChar w:fldCharType="begin"/>
      </w:r>
      <w:r>
        <w:instrText xml:space="preserve"> HYPERLINK \l "_Toc643" </w:instrText>
      </w:r>
      <w:r>
        <w:fldChar w:fldCharType="separate"/>
      </w:r>
      <w:r>
        <w:rPr>
          <w:rFonts w:hint="eastAsia" w:ascii="黑体" w:hAnsi="黑体" w:eastAsia="黑体"/>
        </w:rPr>
        <w:t>第二部分 2024年度</w:t>
      </w:r>
      <w:r>
        <w:rPr>
          <w:rFonts w:hint="eastAsia" w:ascii="黑体" w:hAnsi="黑体" w:eastAsia="黑体"/>
          <w:bCs/>
        </w:rPr>
        <w:t>单位决算情况说明</w:t>
      </w:r>
      <w:r>
        <w:rPr>
          <w:rFonts w:ascii="Calibri" w:hAnsi="Calibri" w:eastAsia="宋体"/>
          <w:sz w:val="21"/>
          <w:szCs w:val="24"/>
        </w:rPr>
        <w:tab/>
      </w:r>
      <w:r>
        <w:rPr>
          <w:rFonts w:ascii="Calibri" w:hAnsi="Calibri" w:eastAsia="宋体"/>
          <w:sz w:val="21"/>
          <w:szCs w:val="24"/>
        </w:rPr>
        <w:fldChar w:fldCharType="begin"/>
      </w:r>
      <w:r>
        <w:rPr>
          <w:rFonts w:ascii="Calibri" w:hAnsi="Calibri" w:eastAsia="宋体"/>
          <w:sz w:val="21"/>
          <w:szCs w:val="24"/>
        </w:rPr>
        <w:instrText xml:space="preserve"> PAGEREF _Toc643 \h </w:instrText>
      </w:r>
      <w:r>
        <w:rPr>
          <w:rFonts w:ascii="Calibri" w:hAnsi="Calibri" w:eastAsia="宋体"/>
          <w:sz w:val="21"/>
          <w:szCs w:val="24"/>
        </w:rPr>
        <w:fldChar w:fldCharType="separate"/>
      </w:r>
      <w:r>
        <w:rPr>
          <w:rFonts w:ascii="Calibri" w:hAnsi="Calibri" w:eastAsia="宋体"/>
          <w:sz w:val="21"/>
          <w:szCs w:val="24"/>
        </w:rPr>
        <w:t>4</w:t>
      </w:r>
      <w:r>
        <w:rPr>
          <w:rFonts w:ascii="Calibri" w:hAnsi="Calibri" w:eastAsia="宋体"/>
          <w:sz w:val="21"/>
          <w:szCs w:val="24"/>
        </w:rPr>
        <w:fldChar w:fldCharType="end"/>
      </w:r>
      <w:r>
        <w:rPr>
          <w:rFonts w:ascii="Calibri" w:hAnsi="Calibri" w:eastAsia="宋体"/>
          <w:sz w:val="21"/>
          <w:szCs w:val="24"/>
        </w:rP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"_Toc28742" </w:instrText>
      </w:r>
      <w:r>
        <w:fldChar w:fldCharType="separate"/>
      </w:r>
      <w:r>
        <w:rPr>
          <w:rFonts w:hint="eastAsia" w:ascii="黑体" w:hAnsi="黑体" w:eastAsia="黑体"/>
          <w:szCs w:val="32"/>
        </w:rPr>
        <w:t>一、收</w:t>
      </w:r>
      <w:r>
        <w:rPr>
          <w:rFonts w:hint="eastAsia" w:ascii="黑体" w:hAnsi="黑体" w:eastAsia="黑体"/>
        </w:rPr>
        <w:t>入支出决算总体情况说明</w:t>
      </w:r>
      <w:r>
        <w:tab/>
      </w:r>
      <w:r>
        <w:fldChar w:fldCharType="begin"/>
      </w:r>
      <w:r>
        <w:instrText xml:space="preserve"> PAGEREF _Toc28742 \h </w:instrText>
      </w:r>
      <w:r>
        <w:fldChar w:fldCharType="separate"/>
      </w:r>
      <w:r>
        <w:t>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"_Toc6472" </w:instrText>
      </w:r>
      <w:r>
        <w:fldChar w:fldCharType="separate"/>
      </w:r>
      <w:r>
        <w:rPr>
          <w:rFonts w:hint="eastAsia" w:ascii="黑体" w:hAnsi="黑体" w:eastAsia="黑体"/>
          <w:szCs w:val="32"/>
        </w:rPr>
        <w:t>二、收</w:t>
      </w:r>
      <w:r>
        <w:rPr>
          <w:rFonts w:hint="eastAsia" w:ascii="黑体" w:hAnsi="黑体" w:eastAsia="黑体"/>
        </w:rPr>
        <w:t>入决算情况说明</w:t>
      </w:r>
      <w:r>
        <w:tab/>
      </w:r>
      <w:r>
        <w:fldChar w:fldCharType="begin"/>
      </w:r>
      <w:r>
        <w:instrText xml:space="preserve"> PAGEREF _Toc6472 \h </w:instrText>
      </w:r>
      <w:r>
        <w:fldChar w:fldCharType="separate"/>
      </w:r>
      <w:r>
        <w:t>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"_Toc26514" </w:instrText>
      </w:r>
      <w:r>
        <w:fldChar w:fldCharType="separate"/>
      </w:r>
      <w:r>
        <w:rPr>
          <w:rFonts w:hint="eastAsia" w:ascii="黑体" w:hAnsi="黑体" w:eastAsia="黑体"/>
          <w:szCs w:val="32"/>
        </w:rPr>
        <w:t>三、支</w:t>
      </w:r>
      <w:r>
        <w:rPr>
          <w:rFonts w:hint="eastAsia" w:ascii="黑体" w:hAnsi="黑体" w:eastAsia="黑体"/>
        </w:rPr>
        <w:t>出决算情况说明</w:t>
      </w:r>
      <w:r>
        <w:tab/>
      </w:r>
      <w:r>
        <w:fldChar w:fldCharType="begin"/>
      </w:r>
      <w:r>
        <w:instrText xml:space="preserve"> PAGEREF _Toc26514 \h </w:instrText>
      </w:r>
      <w:r>
        <w:fldChar w:fldCharType="separate"/>
      </w:r>
      <w:r>
        <w:t>6</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"_Toc50"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_Toc50 \h </w:instrText>
      </w:r>
      <w:r>
        <w:fldChar w:fldCharType="separate"/>
      </w:r>
      <w:r>
        <w:t>6</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"_Toc19851"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_Toc19851 \h </w:instrText>
      </w:r>
      <w:r>
        <w:fldChar w:fldCharType="separate"/>
      </w:r>
      <w:r>
        <w:t>7</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"_Toc31425"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_Toc31425 \h </w:instrText>
      </w:r>
      <w:r>
        <w:fldChar w:fldCharType="separate"/>
      </w:r>
      <w:r>
        <w:t>10</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"_Toc25226" </w:instrText>
      </w:r>
      <w:r>
        <w:fldChar w:fldCharType="separate"/>
      </w:r>
      <w:r>
        <w:rPr>
          <w:rFonts w:hint="eastAsia" w:ascii="黑体" w:eastAsia="黑体"/>
          <w:szCs w:val="32"/>
        </w:rPr>
        <w:t>七、</w:t>
      </w:r>
      <w:r>
        <w:rPr>
          <w:rFonts w:hint="eastAsia" w:ascii="黑体" w:hAnsi="黑体" w:eastAsia="黑体"/>
        </w:rPr>
        <w:t>财政拨款“三公”经费支出决算情况说明</w:t>
      </w:r>
      <w:r>
        <w:tab/>
      </w:r>
      <w:r>
        <w:fldChar w:fldCharType="begin"/>
      </w:r>
      <w:r>
        <w:instrText xml:space="preserve"> PAGEREF _Toc25226 \h </w:instrText>
      </w:r>
      <w:r>
        <w:fldChar w:fldCharType="separate"/>
      </w:r>
      <w:r>
        <w:t>11</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"_Toc3938"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_Toc3938 \h </w:instrText>
      </w:r>
      <w:r>
        <w:fldChar w:fldCharType="separate"/>
      </w:r>
      <w:r>
        <w:t>12</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"_Toc1266" </w:instrText>
      </w:r>
      <w:r>
        <w:fldChar w:fldCharType="separate"/>
      </w:r>
      <w:r>
        <w:rPr>
          <w:rFonts w:hint="eastAsia" w:ascii="黑体" w:hAnsi="黑体" w:eastAsia="黑体"/>
        </w:rPr>
        <w:t>九、国有资本经营预算支出决算情况说明</w:t>
      </w:r>
      <w:r>
        <w:tab/>
      </w:r>
      <w:r>
        <w:fldChar w:fldCharType="begin"/>
      </w:r>
      <w:r>
        <w:instrText xml:space="preserve"> PAGEREF _Toc1266 \h </w:instrText>
      </w:r>
      <w:r>
        <w:fldChar w:fldCharType="separate"/>
      </w:r>
      <w:r>
        <w:t>12</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"_Toc30185" </w:instrText>
      </w:r>
      <w:r>
        <w:fldChar w:fldCharType="separate"/>
      </w:r>
      <w:r>
        <w:rPr>
          <w:rFonts w:hint="eastAsia" w:ascii="黑体" w:hAnsi="黑体" w:eastAsia="黑体"/>
        </w:rPr>
        <w:t>十、其他重要事项的情况说明</w:t>
      </w:r>
      <w:r>
        <w:tab/>
      </w:r>
      <w:r>
        <w:fldChar w:fldCharType="begin"/>
      </w:r>
      <w:r>
        <w:instrText xml:space="preserve"> PAGEREF _Toc30185 \h </w:instrText>
      </w:r>
      <w:r>
        <w:fldChar w:fldCharType="separate"/>
      </w:r>
      <w:r>
        <w:t>12</w:t>
      </w:r>
      <w:r>
        <w:fldChar w:fldCharType="end"/>
      </w:r>
      <w:r>
        <w:fldChar w:fldCharType="end"/>
      </w:r>
    </w:p>
    <w:p>
      <w:pPr>
        <w:pStyle w:val="11"/>
        <w:tabs>
          <w:tab w:val="right" w:leader="dot" w:pos="8306"/>
          <w:tab w:val="clear" w:pos="8296"/>
        </w:tabs>
        <w:spacing w:line="440" w:lineRule="exact"/>
        <w:ind w:firstLine="560" w:firstLineChars="200"/>
      </w:pPr>
      <w:r>
        <w:fldChar w:fldCharType="begin"/>
      </w:r>
      <w:r>
        <w:instrText xml:space="preserve"> HYPERLINK \l "_Toc7235" </w:instrText>
      </w:r>
      <w:r>
        <w:fldChar w:fldCharType="separate"/>
      </w:r>
      <w:r>
        <w:rPr>
          <w:rFonts w:hint="eastAsia" w:ascii="黑体" w:hAnsi="黑体" w:eastAsia="黑体"/>
          <w:szCs w:val="44"/>
        </w:rPr>
        <w:t>第三部分  名</w:t>
      </w:r>
      <w:r>
        <w:rPr>
          <w:rFonts w:hint="eastAsia" w:ascii="黑体" w:hAnsi="黑体" w:eastAsia="黑体"/>
        </w:rPr>
        <w:t>词解释</w:t>
      </w:r>
      <w:r>
        <w:rPr>
          <w:rFonts w:ascii="Calibri" w:hAnsi="Calibri" w:eastAsia="宋体"/>
          <w:sz w:val="21"/>
          <w:szCs w:val="24"/>
        </w:rPr>
        <w:tab/>
      </w:r>
      <w:r>
        <w:rPr>
          <w:rFonts w:ascii="Calibri" w:hAnsi="Calibri" w:eastAsia="宋体"/>
          <w:sz w:val="21"/>
          <w:szCs w:val="24"/>
        </w:rPr>
        <w:fldChar w:fldCharType="begin"/>
      </w:r>
      <w:r>
        <w:rPr>
          <w:rFonts w:ascii="Calibri" w:hAnsi="Calibri" w:eastAsia="宋体"/>
          <w:sz w:val="21"/>
          <w:szCs w:val="24"/>
        </w:rPr>
        <w:instrText xml:space="preserve"> PAGEREF _Toc7235 \h </w:instrText>
      </w:r>
      <w:r>
        <w:rPr>
          <w:rFonts w:ascii="Calibri" w:hAnsi="Calibri" w:eastAsia="宋体"/>
          <w:sz w:val="21"/>
          <w:szCs w:val="24"/>
        </w:rPr>
        <w:fldChar w:fldCharType="separate"/>
      </w:r>
      <w:r>
        <w:rPr>
          <w:rFonts w:ascii="Calibri" w:hAnsi="Calibri" w:eastAsia="宋体"/>
          <w:sz w:val="21"/>
          <w:szCs w:val="24"/>
        </w:rPr>
        <w:t>15</w:t>
      </w:r>
      <w:r>
        <w:rPr>
          <w:rFonts w:ascii="Calibri" w:hAnsi="Calibri" w:eastAsia="宋体"/>
          <w:sz w:val="21"/>
          <w:szCs w:val="24"/>
        </w:rPr>
        <w:fldChar w:fldCharType="end"/>
      </w:r>
      <w:r>
        <w:rPr>
          <w:rFonts w:ascii="Calibri" w:hAnsi="Calibri" w:eastAsia="宋体"/>
          <w:sz w:val="21"/>
          <w:szCs w:val="24"/>
        </w:rPr>
        <w:fldChar w:fldCharType="end"/>
      </w:r>
    </w:p>
    <w:p>
      <w:pPr>
        <w:pStyle w:val="11"/>
        <w:tabs>
          <w:tab w:val="right" w:leader="dot" w:pos="8306"/>
          <w:tab w:val="clear" w:pos="8296"/>
        </w:tabs>
        <w:spacing w:line="440" w:lineRule="exact"/>
        <w:ind w:firstLine="560" w:firstLineChars="200"/>
      </w:pPr>
      <w:r>
        <w:fldChar w:fldCharType="begin"/>
      </w:r>
      <w:r>
        <w:instrText xml:space="preserve"> HYPERLINK \l "_Toc13031" </w:instrText>
      </w:r>
      <w:r>
        <w:fldChar w:fldCharType="separate"/>
      </w:r>
      <w:r>
        <w:rPr>
          <w:rFonts w:hint="eastAsia" w:ascii="黑体" w:hAnsi="黑体" w:eastAsia="黑体"/>
          <w:szCs w:val="44"/>
        </w:rPr>
        <w:t>第</w:t>
      </w:r>
      <w:r>
        <w:rPr>
          <w:rFonts w:hint="eastAsia" w:ascii="黑体" w:hAnsi="黑体" w:eastAsia="黑体"/>
        </w:rPr>
        <w:t>四部分 附件</w:t>
      </w:r>
      <w:r>
        <w:rPr>
          <w:rFonts w:ascii="Calibri" w:hAnsi="Calibri" w:eastAsia="宋体"/>
          <w:sz w:val="21"/>
          <w:szCs w:val="24"/>
        </w:rPr>
        <w:tab/>
      </w:r>
      <w:r>
        <w:rPr>
          <w:rFonts w:ascii="Calibri" w:hAnsi="Calibri" w:eastAsia="宋体"/>
          <w:sz w:val="21"/>
          <w:szCs w:val="24"/>
        </w:rPr>
        <w:fldChar w:fldCharType="begin"/>
      </w:r>
      <w:r>
        <w:rPr>
          <w:rFonts w:ascii="Calibri" w:hAnsi="Calibri" w:eastAsia="宋体"/>
          <w:sz w:val="21"/>
          <w:szCs w:val="24"/>
        </w:rPr>
        <w:instrText xml:space="preserve"> PAGEREF _Toc13031 \h </w:instrText>
      </w:r>
      <w:r>
        <w:rPr>
          <w:rFonts w:ascii="Calibri" w:hAnsi="Calibri" w:eastAsia="宋体"/>
          <w:sz w:val="21"/>
          <w:szCs w:val="24"/>
        </w:rPr>
        <w:fldChar w:fldCharType="separate"/>
      </w:r>
      <w:r>
        <w:rPr>
          <w:rFonts w:ascii="Calibri" w:hAnsi="Calibri" w:eastAsia="宋体"/>
          <w:sz w:val="21"/>
          <w:szCs w:val="24"/>
        </w:rPr>
        <w:t>19</w:t>
      </w:r>
      <w:r>
        <w:rPr>
          <w:rFonts w:ascii="Calibri" w:hAnsi="Calibri" w:eastAsia="宋体"/>
          <w:sz w:val="21"/>
          <w:szCs w:val="24"/>
        </w:rPr>
        <w:fldChar w:fldCharType="end"/>
      </w:r>
      <w:r>
        <w:rPr>
          <w:rFonts w:ascii="Calibri" w:hAnsi="Calibri" w:eastAsia="宋体"/>
          <w:sz w:val="21"/>
          <w:szCs w:val="24"/>
        </w:rPr>
        <w:fldChar w:fldCharType="end"/>
      </w:r>
    </w:p>
    <w:p>
      <w:pPr>
        <w:pStyle w:val="11"/>
        <w:tabs>
          <w:tab w:val="right" w:leader="dot" w:pos="8306"/>
          <w:tab w:val="clear" w:pos="8296"/>
        </w:tabs>
        <w:spacing w:line="440" w:lineRule="exact"/>
        <w:ind w:firstLine="560" w:firstLineChars="200"/>
      </w:pPr>
      <w:r>
        <w:fldChar w:fldCharType="begin"/>
      </w:r>
      <w:r>
        <w:instrText xml:space="preserve"> HYPERLINK \l "_Toc12686" </w:instrText>
      </w:r>
      <w:r>
        <w:fldChar w:fldCharType="separate"/>
      </w:r>
      <w:r>
        <w:rPr>
          <w:rFonts w:hint="eastAsia" w:ascii="黑体" w:hAnsi="黑体" w:eastAsia="黑体"/>
          <w:szCs w:val="40"/>
        </w:rPr>
        <w:t>第五部分 附表</w:t>
      </w:r>
      <w:r>
        <w:rPr>
          <w:rFonts w:ascii="Calibri" w:hAnsi="Calibri" w:eastAsia="宋体"/>
          <w:sz w:val="21"/>
          <w:szCs w:val="24"/>
        </w:rPr>
        <w:tab/>
      </w:r>
      <w:r>
        <w:rPr>
          <w:rFonts w:ascii="Calibri" w:hAnsi="Calibri" w:eastAsia="宋体"/>
          <w:sz w:val="21"/>
          <w:szCs w:val="24"/>
        </w:rPr>
        <w:fldChar w:fldCharType="begin"/>
      </w:r>
      <w:r>
        <w:rPr>
          <w:rFonts w:ascii="Calibri" w:hAnsi="Calibri" w:eastAsia="宋体"/>
          <w:sz w:val="21"/>
          <w:szCs w:val="24"/>
        </w:rPr>
        <w:instrText xml:space="preserve"> PAGEREF _Toc12686 \h </w:instrText>
      </w:r>
      <w:r>
        <w:rPr>
          <w:rFonts w:ascii="Calibri" w:hAnsi="Calibri" w:eastAsia="宋体"/>
          <w:sz w:val="21"/>
          <w:szCs w:val="24"/>
        </w:rPr>
        <w:fldChar w:fldCharType="separate"/>
      </w:r>
      <w:r>
        <w:rPr>
          <w:rFonts w:ascii="Calibri" w:hAnsi="Calibri" w:eastAsia="宋体"/>
          <w:sz w:val="21"/>
          <w:szCs w:val="24"/>
        </w:rPr>
        <w:t>25</w:t>
      </w:r>
      <w:r>
        <w:rPr>
          <w:rFonts w:ascii="Calibri" w:hAnsi="Calibri" w:eastAsia="宋体"/>
          <w:sz w:val="21"/>
          <w:szCs w:val="24"/>
        </w:rPr>
        <w:fldChar w:fldCharType="end"/>
      </w:r>
      <w:r>
        <w:rPr>
          <w:rFonts w:ascii="Calibri" w:hAnsi="Calibri" w:eastAsia="宋体"/>
          <w:sz w:val="21"/>
          <w:szCs w:val="24"/>
        </w:rP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"_Toc3791" </w:instrText>
      </w:r>
      <w:r>
        <w:fldChar w:fldCharType="separate"/>
      </w:r>
      <w:r>
        <w:rPr>
          <w:rFonts w:hint="eastAsia" w:ascii="黑体" w:hAnsi="黑体" w:eastAsia="黑体" w:cs="黑体"/>
        </w:rPr>
        <w:t>一、收入支出决算总表</w:t>
      </w:r>
      <w:r>
        <w:tab/>
      </w:r>
      <w:r>
        <w:fldChar w:fldCharType="begin"/>
      </w:r>
      <w:r>
        <w:instrText xml:space="preserve"> PAGEREF _Toc3791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"_Toc18588" </w:instrText>
      </w:r>
      <w:r>
        <w:fldChar w:fldCharType="separate"/>
      </w:r>
      <w:r>
        <w:rPr>
          <w:rFonts w:hint="eastAsia" w:ascii="黑体" w:hAnsi="黑体" w:eastAsia="黑体" w:cs="黑体"/>
        </w:rPr>
        <w:t>二、收入决算表</w:t>
      </w:r>
      <w:r>
        <w:tab/>
      </w:r>
      <w:r>
        <w:fldChar w:fldCharType="begin"/>
      </w:r>
      <w:r>
        <w:instrText xml:space="preserve"> PAGEREF _Toc18588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"_Toc20217" </w:instrText>
      </w:r>
      <w:r>
        <w:fldChar w:fldCharType="separate"/>
      </w:r>
      <w:r>
        <w:rPr>
          <w:rFonts w:hint="eastAsia" w:ascii="黑体" w:hAnsi="黑体" w:eastAsia="黑体" w:cs="黑体"/>
        </w:rPr>
        <w:t>三、支出决算表</w:t>
      </w:r>
      <w:r>
        <w:tab/>
      </w:r>
      <w:r>
        <w:fldChar w:fldCharType="begin"/>
      </w:r>
      <w:r>
        <w:instrText xml:space="preserve"> PAGEREF _Toc20217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"_Toc26444" </w:instrText>
      </w:r>
      <w:r>
        <w:fldChar w:fldCharType="separate"/>
      </w:r>
      <w:r>
        <w:rPr>
          <w:rFonts w:hint="eastAsia" w:ascii="黑体" w:hAnsi="黑体" w:eastAsia="黑体" w:cs="黑体"/>
        </w:rPr>
        <w:t>四、财政拨款收入支出决算总表</w:t>
      </w:r>
      <w:r>
        <w:tab/>
      </w:r>
      <w:r>
        <w:fldChar w:fldCharType="begin"/>
      </w:r>
      <w:r>
        <w:instrText xml:space="preserve"> PAGEREF _Toc26444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"_Toc2051" </w:instrText>
      </w:r>
      <w:r>
        <w:fldChar w:fldCharType="separate"/>
      </w:r>
      <w:r>
        <w:rPr>
          <w:rFonts w:hint="eastAsia" w:ascii="黑体" w:hAnsi="黑体" w:eastAsia="黑体" w:cs="黑体"/>
        </w:rPr>
        <w:t>五、财政拨款支出决算明细表</w:t>
      </w:r>
      <w:r>
        <w:tab/>
      </w:r>
      <w:r>
        <w:fldChar w:fldCharType="begin"/>
      </w:r>
      <w:r>
        <w:instrText xml:space="preserve"> PAGEREF _Toc2051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"_Toc25849" </w:instrText>
      </w:r>
      <w:r>
        <w:fldChar w:fldCharType="separate"/>
      </w:r>
      <w:r>
        <w:rPr>
          <w:rFonts w:hint="eastAsia" w:ascii="黑体" w:hAnsi="黑体" w:eastAsia="黑体" w:cs="黑体"/>
        </w:rPr>
        <w:t>六、一般公共预算财政拨款支出决算表</w:t>
      </w:r>
      <w:r>
        <w:tab/>
      </w:r>
      <w:r>
        <w:fldChar w:fldCharType="begin"/>
      </w:r>
      <w:r>
        <w:instrText xml:space="preserve"> PAGEREF _Toc25849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"_Toc23604" </w:instrText>
      </w:r>
      <w:r>
        <w:fldChar w:fldCharType="separate"/>
      </w:r>
      <w:r>
        <w:rPr>
          <w:rFonts w:hint="eastAsia" w:ascii="黑体" w:hAnsi="黑体" w:eastAsia="黑体" w:cs="黑体"/>
        </w:rPr>
        <w:t>七、一般公共预算财政拨款支出决算明细表</w:t>
      </w:r>
      <w:r>
        <w:tab/>
      </w:r>
      <w:r>
        <w:fldChar w:fldCharType="begin"/>
      </w:r>
      <w:r>
        <w:instrText xml:space="preserve"> PAGEREF _Toc23604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"_Toc10720" </w:instrText>
      </w:r>
      <w:r>
        <w:fldChar w:fldCharType="separate"/>
      </w:r>
      <w:r>
        <w:rPr>
          <w:rFonts w:hint="eastAsia" w:ascii="黑体" w:hAnsi="黑体" w:eastAsia="黑体" w:cs="黑体"/>
        </w:rPr>
        <w:t>八、一般公共预算财政拨款基本支出决算表</w:t>
      </w:r>
      <w:r>
        <w:tab/>
      </w:r>
      <w:r>
        <w:fldChar w:fldCharType="begin"/>
      </w:r>
      <w:r>
        <w:instrText xml:space="preserve"> PAGEREF _Toc10720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"_Toc19892" </w:instrText>
      </w:r>
      <w:r>
        <w:fldChar w:fldCharType="separate"/>
      </w:r>
      <w:r>
        <w:rPr>
          <w:rFonts w:hint="eastAsia" w:ascii="黑体" w:hAnsi="黑体" w:eastAsia="黑体" w:cs="黑体"/>
        </w:rPr>
        <w:t>九、一般公共预算财政拨款项目支出决算表</w:t>
      </w:r>
      <w:r>
        <w:tab/>
      </w:r>
      <w:r>
        <w:fldChar w:fldCharType="begin"/>
      </w:r>
      <w:r>
        <w:instrText xml:space="preserve"> PAGEREF _Toc19892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"_Toc1757" </w:instrText>
      </w:r>
      <w:r>
        <w:fldChar w:fldCharType="separate"/>
      </w:r>
      <w:r>
        <w:rPr>
          <w:rFonts w:hint="eastAsia" w:ascii="黑体" w:hAnsi="黑体" w:eastAsia="黑体" w:cs="黑体"/>
        </w:rPr>
        <w:t>十、政府性基金预算财政拨款收入支出决算表</w:t>
      </w:r>
      <w:r>
        <w:tab/>
      </w:r>
      <w:r>
        <w:fldChar w:fldCharType="begin"/>
      </w:r>
      <w:r>
        <w:instrText xml:space="preserve"> PAGEREF _Toc1757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"_Toc19426" </w:instrText>
      </w:r>
      <w:r>
        <w:fldChar w:fldCharType="separate"/>
      </w:r>
      <w:r>
        <w:rPr>
          <w:rFonts w:hint="eastAsia" w:ascii="黑体" w:hAnsi="黑体" w:eastAsia="黑体" w:cs="黑体"/>
        </w:rPr>
        <w:t>十一、国有资本经营预算财政拨款收入支出决算表</w:t>
      </w:r>
      <w:r>
        <w:tab/>
      </w:r>
      <w:r>
        <w:fldChar w:fldCharType="begin"/>
      </w:r>
      <w:r>
        <w:instrText xml:space="preserve"> PAGEREF _Toc19426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"_Toc20479" </w:instrText>
      </w:r>
      <w:r>
        <w:fldChar w:fldCharType="separate"/>
      </w:r>
      <w:r>
        <w:rPr>
          <w:rFonts w:hint="eastAsia" w:ascii="黑体" w:hAnsi="黑体" w:eastAsia="黑体" w:cs="黑体"/>
        </w:rPr>
        <w:t>十二、国有资本经营预算财政拨款支出决算表</w:t>
      </w:r>
      <w:r>
        <w:tab/>
      </w:r>
      <w:r>
        <w:fldChar w:fldCharType="begin"/>
      </w:r>
      <w:r>
        <w:instrText xml:space="preserve"> PAGEREF _Toc20479 \h </w:instrText>
      </w:r>
      <w:r>
        <w:fldChar w:fldCharType="separate"/>
      </w:r>
      <w:r>
        <w:t>25</w:t>
      </w:r>
      <w:r>
        <w:fldChar w:fldCharType="end"/>
      </w:r>
      <w:r>
        <w:fldChar w:fldCharType="end"/>
      </w:r>
    </w:p>
    <w:p>
      <w:pPr>
        <w:pStyle w:val="14"/>
        <w:tabs>
          <w:tab w:val="right" w:leader="dot" w:pos="8306"/>
          <w:tab w:val="clear" w:pos="8296"/>
        </w:tabs>
        <w:spacing w:line="440" w:lineRule="exact"/>
        <w:ind w:firstLine="420" w:firstLineChars="200"/>
      </w:pPr>
      <w:r>
        <w:fldChar w:fldCharType="begin"/>
      </w:r>
      <w:r>
        <w:instrText xml:space="preserve"> HYPERLINK \l "_Toc7190" </w:instrText>
      </w:r>
      <w:r>
        <w:fldChar w:fldCharType="separate"/>
      </w:r>
      <w:r>
        <w:rPr>
          <w:rFonts w:hint="eastAsia" w:ascii="黑体" w:hAnsi="黑体" w:eastAsia="黑体" w:cs="黑体"/>
        </w:rPr>
        <w:t>十三、财政拨款“三公”经费支出决算表</w:t>
      </w:r>
      <w:r>
        <w:tab/>
      </w:r>
      <w:r>
        <w:fldChar w:fldCharType="begin"/>
      </w:r>
      <w:r>
        <w:instrText xml:space="preserve"> PAGEREF _Toc7190 \h </w:instrText>
      </w:r>
      <w:r>
        <w:fldChar w:fldCharType="separate"/>
      </w:r>
      <w:r>
        <w:t>25</w:t>
      </w:r>
      <w:r>
        <w:fldChar w:fldCharType="end"/>
      </w:r>
      <w:r>
        <w:fldChar w:fldCharType="end"/>
      </w:r>
    </w:p>
    <w:p>
      <w:pPr>
        <w:ind w:firstLine="420" w:firstLineChars="200"/>
      </w:pPr>
      <w:r>
        <w:fldChar w:fldCharType="end"/>
      </w:r>
    </w:p>
    <w:p>
      <w:pPr>
        <w:pStyle w:val="13"/>
      </w:pPr>
    </w:p>
    <w:p>
      <w:pPr>
        <w:pStyle w:val="13"/>
      </w:pPr>
    </w:p>
    <w:p>
      <w:pPr>
        <w:pStyle w:val="7"/>
        <w:ind w:left="420"/>
      </w:pPr>
    </w:p>
    <w:p/>
    <w:p>
      <w:pPr>
        <w:pStyle w:val="13"/>
      </w:pPr>
    </w:p>
    <w:p>
      <w:pPr>
        <w:pStyle w:val="7"/>
        <w:ind w:left="420"/>
      </w:pPr>
    </w:p>
    <w:p/>
    <w:p>
      <w:pPr>
        <w:pStyle w:val="13"/>
      </w:pPr>
    </w:p>
    <w:p>
      <w:pPr>
        <w:pStyle w:val="7"/>
        <w:ind w:left="420"/>
      </w:pPr>
    </w:p>
    <w:p/>
    <w:p>
      <w:pPr>
        <w:pStyle w:val="13"/>
      </w:pPr>
    </w:p>
    <w:p>
      <w:pPr>
        <w:pStyle w:val="7"/>
        <w:ind w:left="420"/>
      </w:pPr>
    </w:p>
    <w:p/>
    <w:p>
      <w:pPr>
        <w:pStyle w:val="13"/>
      </w:pPr>
    </w:p>
    <w:p>
      <w:pPr>
        <w:pStyle w:val="7"/>
        <w:ind w:left="420"/>
      </w:pPr>
    </w:p>
    <w:p/>
    <w:p>
      <w:pPr>
        <w:pStyle w:val="13"/>
      </w:pPr>
    </w:p>
    <w:p>
      <w:pPr>
        <w:pStyle w:val="7"/>
        <w:ind w:left="420"/>
      </w:pPr>
    </w:p>
    <w:p/>
    <w:p>
      <w:pPr>
        <w:pStyle w:val="13"/>
      </w:pPr>
    </w:p>
    <w:p>
      <w:pPr>
        <w:pStyle w:val="7"/>
        <w:ind w:left="420"/>
      </w:pPr>
    </w:p>
    <w:p/>
    <w:p>
      <w:pPr>
        <w:pStyle w:val="13"/>
      </w:pPr>
    </w:p>
    <w:p>
      <w:pPr>
        <w:pStyle w:val="7"/>
        <w:ind w:left="420"/>
      </w:pPr>
    </w:p>
    <w:p/>
    <w:p>
      <w:pPr>
        <w:pStyle w:val="2"/>
        <w:jc w:val="center"/>
        <w:rPr>
          <w:rFonts w:ascii="黑体" w:hAnsi="黑体" w:eastAsia="黑体"/>
          <w:b w:val="0"/>
        </w:rPr>
        <w:sectPr>
          <w:footerReference r:id="rId3" w:type="default"/>
          <w:pgSz w:w="11906" w:h="16838"/>
          <w:pgMar w:top="1440" w:right="1800" w:bottom="1440" w:left="1800" w:header="720" w:footer="720" w:gutter="0"/>
          <w:pgNumType w:start="1"/>
          <w:cols w:space="720" w:num="1"/>
          <w:docGrid w:type="lines" w:linePitch="312" w:charSpace="0"/>
        </w:sectPr>
      </w:pPr>
      <w:bookmarkStart w:id="0" w:name="_Toc11310"/>
    </w:p>
    <w:p>
      <w:pPr>
        <w:pStyle w:val="2"/>
        <w:ind w:firstLine="880" w:firstLineChars="200"/>
        <w:jc w:val="center"/>
        <w:rPr>
          <w:rStyle w:val="18"/>
          <w:rFonts w:ascii="黑体" w:hAnsi="黑体" w:eastAsia="黑体"/>
          <w:b/>
          <w:bCs w:val="0"/>
        </w:rPr>
      </w:pPr>
      <w:r>
        <w:rPr>
          <w:rFonts w:hint="eastAsia" w:ascii="黑体" w:hAnsi="黑体" w:eastAsia="黑体"/>
          <w:b w:val="0"/>
        </w:rPr>
        <w:t>第一部分 单位</w:t>
      </w:r>
      <w:r>
        <w:rPr>
          <w:rStyle w:val="18"/>
          <w:rFonts w:hint="eastAsia" w:ascii="黑体" w:hAnsi="黑体" w:eastAsia="黑体"/>
          <w:b w:val="0"/>
          <w:bCs w:val="0"/>
        </w:rPr>
        <w:t>概况</w:t>
      </w:r>
      <w:bookmarkEnd w:id="0"/>
    </w:p>
    <w:p>
      <w:pPr>
        <w:widowControl/>
        <w:jc w:val="left"/>
        <w:rPr>
          <w:rFonts w:ascii="黑体" w:eastAsia="黑体"/>
          <w:sz w:val="32"/>
          <w:szCs w:val="32"/>
        </w:rPr>
      </w:pPr>
    </w:p>
    <w:p>
      <w:pPr>
        <w:pStyle w:val="3"/>
        <w:numPr>
          <w:ilvl w:val="0"/>
          <w:numId w:val="1"/>
        </w:numPr>
        <w:ind w:firstLine="640" w:firstLineChars="200"/>
        <w:rPr>
          <w:rStyle w:val="19"/>
          <w:rFonts w:ascii="黑体" w:hAnsi="黑体" w:eastAsia="黑体"/>
          <w:b w:val="0"/>
          <w:bCs w:val="0"/>
        </w:rPr>
      </w:pPr>
      <w:bookmarkStart w:id="1" w:name="_Toc6150"/>
      <w:r>
        <w:rPr>
          <w:rStyle w:val="19"/>
          <w:rFonts w:hint="eastAsia" w:ascii="黑体" w:hAnsi="黑体" w:eastAsia="黑体"/>
          <w:b w:val="0"/>
          <w:bCs w:val="0"/>
        </w:rPr>
        <w:t>主要职责</w:t>
      </w:r>
      <w:bookmarkEnd w:id="1"/>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拟订全区城市管理和综合行政执法工作的发展规划、年度计划并组织实施。负责行使市中区管理范围内划入区综合执法局的城市管理和自然资源（不含林草）、住房城乡建设、发展改革、经济信息化、商务、水务、民政 7 个领域（以下简称有关领域）行政处罚权及与之相关的行政检查权、行政强制权。</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负责督查指导所属广场的维护和管理工作，负责对城市管理信息的采集、分类和办理等工作。</w:t>
      </w:r>
    </w:p>
    <w:p>
      <w:pPr>
        <w:ind w:firstLine="640" w:firstLineChars="200"/>
      </w:pPr>
      <w:r>
        <w:rPr>
          <w:rFonts w:hint="eastAsia" w:ascii="仿宋_GB2312" w:hAnsi="仿宋" w:eastAsia="仿宋_GB2312"/>
          <w:sz w:val="32"/>
          <w:szCs w:val="32"/>
        </w:rPr>
        <w:t>完成区委、区政府交办的其他任务。</w:t>
      </w:r>
    </w:p>
    <w:p>
      <w:pPr>
        <w:pStyle w:val="3"/>
        <w:numPr>
          <w:ilvl w:val="0"/>
          <w:numId w:val="1"/>
        </w:numPr>
        <w:ind w:firstLine="640" w:firstLineChars="200"/>
        <w:rPr>
          <w:rFonts w:ascii="黑体" w:hAnsi="黑体" w:eastAsia="黑体"/>
          <w:b w:val="0"/>
        </w:rPr>
      </w:pPr>
      <w:bookmarkStart w:id="2" w:name="_Toc3250"/>
      <w:r>
        <w:rPr>
          <w:rFonts w:hint="eastAsia" w:ascii="黑体" w:hAnsi="黑体" w:eastAsia="黑体"/>
          <w:b w:val="0"/>
        </w:rPr>
        <w:t>机构设置</w:t>
      </w:r>
      <w:bookmarkEnd w:id="2"/>
    </w:p>
    <w:p>
      <w:pPr>
        <w:pStyle w:val="2"/>
        <w:ind w:right="440" w:firstLine="640" w:firstLineChars="200"/>
        <w:jc w:val="left"/>
        <w:rPr>
          <w:rFonts w:ascii="仿宋_GB2312" w:hAnsi="仿宋" w:eastAsia="仿宋_GB2312"/>
          <w:b w:val="0"/>
          <w:bCs w:val="0"/>
          <w:kern w:val="2"/>
          <w:sz w:val="32"/>
          <w:szCs w:val="32"/>
        </w:rPr>
      </w:pPr>
      <w:bookmarkStart w:id="3" w:name="_Toc643"/>
      <w:r>
        <w:rPr>
          <w:rFonts w:hint="eastAsia" w:ascii="仿宋_GB2312" w:hAnsi="仿宋" w:eastAsia="仿宋_GB2312"/>
          <w:b w:val="0"/>
          <w:bCs w:val="0"/>
          <w:kern w:val="2"/>
          <w:sz w:val="32"/>
          <w:szCs w:val="32"/>
        </w:rPr>
        <w:t>区综合执法局下属二级预算单位4个，其中行政单位1个，参照公务员法管理的事业单位1个，其他事业单位2个。3个下属单位未独立核算。</w:t>
      </w:r>
    </w:p>
    <w:p/>
    <w:p>
      <w:pPr>
        <w:pStyle w:val="2"/>
        <w:ind w:right="440"/>
        <w:jc w:val="center"/>
        <w:rPr>
          <w:rFonts w:hint="eastAsia" w:ascii="黑体" w:hAnsi="黑体" w:eastAsia="黑体"/>
          <w:b w:val="0"/>
        </w:rPr>
      </w:pPr>
    </w:p>
    <w:p>
      <w:pPr>
        <w:pStyle w:val="2"/>
        <w:ind w:right="440"/>
        <w:jc w:val="center"/>
        <w:rPr>
          <w:rStyle w:val="18"/>
          <w:rFonts w:ascii="黑体" w:hAnsi="黑体" w:eastAsia="黑体"/>
          <w:b w:val="0"/>
          <w:bCs/>
        </w:rPr>
      </w:pPr>
      <w:r>
        <w:rPr>
          <w:rFonts w:hint="eastAsia" w:ascii="黑体" w:hAnsi="黑体" w:eastAsia="黑体"/>
          <w:b w:val="0"/>
        </w:rPr>
        <w:t>第二部分 2024年度</w:t>
      </w:r>
      <w:r>
        <w:rPr>
          <w:rStyle w:val="18"/>
          <w:rFonts w:hint="eastAsia" w:ascii="黑体" w:hAnsi="黑体" w:eastAsia="黑体"/>
          <w:b w:val="0"/>
          <w:bCs/>
        </w:rPr>
        <w:t>单位决算情况说明</w:t>
      </w:r>
      <w:bookmarkEnd w:id="3"/>
    </w:p>
    <w:p/>
    <w:p>
      <w:pPr>
        <w:pStyle w:val="25"/>
        <w:spacing w:line="600" w:lineRule="exact"/>
        <w:outlineLvl w:val="1"/>
        <w:rPr>
          <w:rStyle w:val="19"/>
          <w:rFonts w:ascii="黑体" w:hAnsi="黑体" w:eastAsia="黑体"/>
          <w:b w:val="0"/>
        </w:rPr>
      </w:pPr>
      <w:bookmarkStart w:id="4" w:name="_Toc28742"/>
      <w:r>
        <w:rPr>
          <w:rFonts w:hint="eastAsia" w:ascii="黑体" w:hAnsi="黑体" w:eastAsia="黑体"/>
          <w:sz w:val="32"/>
          <w:szCs w:val="32"/>
        </w:rPr>
        <w:t>一、收</w:t>
      </w:r>
      <w:r>
        <w:rPr>
          <w:rStyle w:val="19"/>
          <w:rFonts w:hint="eastAsia" w:ascii="黑体" w:hAnsi="黑体" w:eastAsia="黑体"/>
          <w:b w:val="0"/>
        </w:rPr>
        <w:t>入支出决算总体情况说明</w:t>
      </w:r>
      <w:bookmarkEnd w:id="4"/>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2024年度收</w:t>
      </w:r>
      <w:r>
        <w:rPr>
          <w:rFonts w:hint="eastAsia" w:ascii="仿宋" w:hAnsi="仿宋" w:eastAsia="仿宋"/>
          <w:sz w:val="32"/>
          <w:szCs w:val="32"/>
          <w:lang w:eastAsia="zh-CN"/>
        </w:rPr>
        <w:t>、</w:t>
      </w:r>
      <w:r>
        <w:rPr>
          <w:rFonts w:hint="eastAsia" w:ascii="仿宋" w:hAnsi="仿宋" w:eastAsia="仿宋"/>
          <w:sz w:val="32"/>
          <w:szCs w:val="32"/>
        </w:rPr>
        <w:t>支总计为4729.13万元。与2023年度相比，收、支总计各增加4337.93万元，增长1108.88</w:t>
      </w:r>
      <w:r>
        <w:rPr>
          <w:rFonts w:ascii="仿宋" w:hAnsi="仿宋" w:eastAsia="仿宋"/>
          <w:sz w:val="32"/>
          <w:szCs w:val="32"/>
        </w:rPr>
        <w:t>%</w:t>
      </w:r>
      <w:r>
        <w:rPr>
          <w:rFonts w:hint="eastAsia" w:ascii="仿宋" w:hAnsi="仿宋" w:eastAsia="仿宋"/>
          <w:sz w:val="32"/>
          <w:szCs w:val="32"/>
        </w:rPr>
        <w:t>。主要变动原因是市城管系统（包含城市管理执法队、市容管理大队、数字化中心）及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自然资源执法大队划转至我单位，人员、项目</w:t>
      </w:r>
      <w:r>
        <w:rPr>
          <w:rFonts w:hint="eastAsia" w:ascii="仿宋" w:hAnsi="仿宋" w:eastAsia="仿宋"/>
          <w:sz w:val="32"/>
          <w:szCs w:val="32"/>
          <w:lang w:eastAsia="zh-CN"/>
        </w:rPr>
        <w:t>增加</w:t>
      </w:r>
      <w:r>
        <w:rPr>
          <w:rFonts w:hint="eastAsia" w:ascii="仿宋" w:hAnsi="仿宋" w:eastAsia="仿宋"/>
          <w:sz w:val="32"/>
          <w:szCs w:val="32"/>
        </w:rPr>
        <w:t>，导致我单位</w:t>
      </w:r>
      <w:r>
        <w:rPr>
          <w:rFonts w:hint="eastAsia" w:ascii="仿宋" w:hAnsi="仿宋" w:eastAsia="仿宋"/>
          <w:sz w:val="32"/>
          <w:szCs w:val="32"/>
          <w:lang w:eastAsia="zh-CN"/>
        </w:rPr>
        <w:t>收支数据</w:t>
      </w:r>
      <w:r>
        <w:rPr>
          <w:rFonts w:hint="eastAsia" w:ascii="仿宋" w:hAnsi="仿宋" w:eastAsia="仿宋"/>
          <w:sz w:val="32"/>
          <w:szCs w:val="32"/>
        </w:rPr>
        <w:t>本年与上年相比急剧上升。</w:t>
      </w:r>
    </w:p>
    <w:p>
      <w:pPr>
        <w:ind w:firstLine="420" w:firstLineChars="200"/>
        <w:jc w:val="center"/>
        <w:rPr>
          <w:rFonts w:ascii="仿宋" w:hAnsi="仿宋" w:eastAsia="仿宋"/>
          <w:sz w:val="32"/>
          <w:szCs w:val="32"/>
        </w:rPr>
      </w:pPr>
      <w:r>
        <w:drawing>
          <wp:inline distT="0" distB="0" distL="114300" distR="114300">
            <wp:extent cx="3695700" cy="2095500"/>
            <wp:effectExtent l="38735" t="18415" r="56515" b="76835"/>
            <wp:docPr id="1"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5"/>
        <w:spacing w:line="600" w:lineRule="exact"/>
        <w:outlineLvl w:val="1"/>
        <w:rPr>
          <w:rStyle w:val="19"/>
          <w:rFonts w:ascii="黑体" w:hAnsi="黑体" w:eastAsia="黑体"/>
          <w:b w:val="0"/>
        </w:rPr>
      </w:pPr>
      <w:bookmarkStart w:id="5" w:name="_Toc6472"/>
      <w:r>
        <w:rPr>
          <w:rFonts w:hint="eastAsia" w:ascii="黑体" w:hAnsi="黑体" w:eastAsia="黑体"/>
          <w:sz w:val="32"/>
          <w:szCs w:val="32"/>
        </w:rPr>
        <w:t>二、收</w:t>
      </w:r>
      <w:r>
        <w:rPr>
          <w:rStyle w:val="19"/>
          <w:rFonts w:hint="eastAsia" w:ascii="黑体" w:hAnsi="黑体" w:eastAsia="黑体"/>
          <w:b w:val="0"/>
        </w:rPr>
        <w:t>入决算情况说明</w:t>
      </w:r>
      <w:bookmarkEnd w:id="5"/>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2024年度本年收入合计4631.24万元，其中：一般公共预算财政拨款收入4631.24万元，占100</w:t>
      </w:r>
      <w:r>
        <w:rPr>
          <w:rFonts w:ascii="仿宋" w:hAnsi="仿宋" w:eastAsia="仿宋"/>
          <w:sz w:val="32"/>
          <w:szCs w:val="32"/>
        </w:rPr>
        <w:t>%</w:t>
      </w:r>
      <w:r>
        <w:rPr>
          <w:rFonts w:hint="eastAsia" w:ascii="仿宋" w:hAnsi="仿宋" w:eastAsia="仿宋"/>
          <w:sz w:val="32"/>
          <w:szCs w:val="32"/>
        </w:rPr>
        <w:t>。</w:t>
      </w:r>
    </w:p>
    <w:p>
      <w:pPr>
        <w:ind w:firstLine="420" w:firstLineChars="200"/>
        <w:jc w:val="center"/>
      </w:pPr>
      <w:r>
        <w:drawing>
          <wp:inline distT="0" distB="0" distL="114300" distR="114300">
            <wp:extent cx="3714750" cy="2190750"/>
            <wp:effectExtent l="38735" t="18415" r="56515" b="76835"/>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ind w:firstLine="640" w:firstLineChars="200"/>
        <w:jc w:val="center"/>
        <w:rPr>
          <w:rFonts w:ascii="仿宋" w:hAnsi="仿宋" w:eastAsia="仿宋"/>
          <w:sz w:val="32"/>
          <w:szCs w:val="32"/>
        </w:rPr>
      </w:pPr>
      <w:r>
        <w:rPr>
          <w:rFonts w:hint="eastAsia" w:ascii="仿宋" w:hAnsi="仿宋" w:eastAsia="仿宋"/>
          <w:sz w:val="32"/>
          <w:szCs w:val="32"/>
        </w:rPr>
        <w:t>图2：收入决算结构图</w:t>
      </w:r>
    </w:p>
    <w:p>
      <w:pPr>
        <w:pStyle w:val="25"/>
        <w:spacing w:line="600" w:lineRule="exact"/>
        <w:outlineLvl w:val="1"/>
        <w:rPr>
          <w:rStyle w:val="19"/>
          <w:rFonts w:ascii="黑体" w:hAnsi="黑体" w:eastAsia="黑体"/>
          <w:b w:val="0"/>
        </w:rPr>
      </w:pPr>
      <w:bookmarkStart w:id="6" w:name="_Toc26514"/>
      <w:r>
        <w:rPr>
          <w:rFonts w:hint="eastAsia" w:ascii="黑体" w:hAnsi="黑体" w:eastAsia="黑体"/>
          <w:sz w:val="32"/>
          <w:szCs w:val="32"/>
        </w:rPr>
        <w:t>三、支</w:t>
      </w:r>
      <w:r>
        <w:rPr>
          <w:rStyle w:val="19"/>
          <w:rFonts w:hint="eastAsia" w:ascii="黑体" w:hAnsi="黑体" w:eastAsia="黑体"/>
          <w:b w:val="0"/>
        </w:rPr>
        <w:t>出决算情况说明</w:t>
      </w:r>
      <w:bookmarkEnd w:id="6"/>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2024年度本年支出合计4729.13万元，其中：基本支出3592.07万元，占75.96</w:t>
      </w:r>
      <w:r>
        <w:rPr>
          <w:rFonts w:ascii="仿宋" w:hAnsi="仿宋" w:eastAsia="仿宋"/>
          <w:sz w:val="32"/>
          <w:szCs w:val="32"/>
        </w:rPr>
        <w:t>%</w:t>
      </w:r>
      <w:r>
        <w:rPr>
          <w:rFonts w:hint="eastAsia" w:ascii="仿宋" w:hAnsi="仿宋" w:eastAsia="仿宋"/>
          <w:sz w:val="32"/>
          <w:szCs w:val="32"/>
        </w:rPr>
        <w:t>；项目支出1137.06万元，占24.04</w:t>
      </w:r>
      <w:r>
        <w:rPr>
          <w:rFonts w:ascii="仿宋" w:hAnsi="仿宋" w:eastAsia="仿宋"/>
          <w:sz w:val="32"/>
          <w:szCs w:val="32"/>
        </w:rPr>
        <w:t>%</w:t>
      </w:r>
      <w:r>
        <w:rPr>
          <w:rFonts w:hint="eastAsia" w:ascii="仿宋" w:hAnsi="仿宋" w:eastAsia="仿宋"/>
          <w:sz w:val="32"/>
          <w:szCs w:val="32"/>
        </w:rPr>
        <w:t>。</w:t>
      </w:r>
    </w:p>
    <w:p>
      <w:pPr>
        <w:ind w:firstLine="420" w:firstLineChars="200"/>
        <w:jc w:val="center"/>
        <w:rPr>
          <w:rFonts w:ascii="仿宋" w:hAnsi="仿宋" w:eastAsia="仿宋"/>
          <w:sz w:val="32"/>
          <w:szCs w:val="32"/>
          <w:shd w:val="pct10" w:color="auto" w:fill="FFFFFF"/>
        </w:rPr>
      </w:pPr>
      <w:r>
        <w:drawing>
          <wp:inline distT="0" distB="0" distL="114300" distR="114300">
            <wp:extent cx="3733800" cy="2115185"/>
            <wp:effectExtent l="38735" t="18415" r="56515" b="76200"/>
            <wp:docPr id="3"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图3：支出决算结构图</w:t>
      </w:r>
    </w:p>
    <w:p>
      <w:pPr>
        <w:spacing w:line="600" w:lineRule="exact"/>
        <w:ind w:firstLine="640" w:firstLineChars="200"/>
        <w:outlineLvl w:val="1"/>
        <w:rPr>
          <w:rStyle w:val="19"/>
          <w:rFonts w:ascii="黑体" w:hAnsi="黑体" w:eastAsia="黑体"/>
          <w:b w:val="0"/>
        </w:rPr>
      </w:pPr>
      <w:bookmarkStart w:id="7" w:name="_Toc50"/>
      <w:r>
        <w:rPr>
          <w:rFonts w:hint="eastAsia" w:ascii="黑体" w:hAnsi="黑体" w:eastAsia="黑体"/>
          <w:sz w:val="32"/>
          <w:szCs w:val="32"/>
        </w:rPr>
        <w:t>四、财</w:t>
      </w:r>
      <w:r>
        <w:rPr>
          <w:rStyle w:val="19"/>
          <w:rFonts w:hint="eastAsia" w:ascii="黑体" w:hAnsi="黑体" w:eastAsia="黑体"/>
          <w:b w:val="0"/>
        </w:rPr>
        <w:t>政拨款收入支出决算总体情况说明</w:t>
      </w:r>
      <w:bookmarkEnd w:id="7"/>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2024年度财政拨款收、支总计为4729.13万元。与2023年度相比，财政拨款收、支总计各增加4337.93万元，增长1108.88</w:t>
      </w:r>
      <w:r>
        <w:rPr>
          <w:rFonts w:ascii="仿宋" w:hAnsi="仿宋" w:eastAsia="仿宋"/>
          <w:sz w:val="32"/>
          <w:szCs w:val="32"/>
        </w:rPr>
        <w:t>%</w:t>
      </w:r>
      <w:r>
        <w:rPr>
          <w:rFonts w:hint="eastAsia" w:ascii="仿宋" w:hAnsi="仿宋" w:eastAsia="仿宋"/>
          <w:sz w:val="32"/>
          <w:szCs w:val="32"/>
        </w:rPr>
        <w:t>。主要变动原因是市城管系统（包含城市管理执法队、市容管理大队、数字化中心）及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自然资源执法大队划转至我单位，人员、项目</w:t>
      </w:r>
      <w:r>
        <w:rPr>
          <w:rFonts w:hint="eastAsia" w:ascii="仿宋" w:hAnsi="仿宋" w:eastAsia="仿宋"/>
          <w:sz w:val="32"/>
          <w:szCs w:val="32"/>
          <w:lang w:eastAsia="zh-CN"/>
        </w:rPr>
        <w:t>增加</w:t>
      </w:r>
      <w:r>
        <w:rPr>
          <w:rFonts w:hint="eastAsia" w:ascii="仿宋" w:hAnsi="仿宋" w:eastAsia="仿宋"/>
          <w:sz w:val="32"/>
          <w:szCs w:val="32"/>
        </w:rPr>
        <w:t>，导致我单位</w:t>
      </w:r>
      <w:r>
        <w:rPr>
          <w:rFonts w:hint="eastAsia" w:ascii="仿宋" w:hAnsi="仿宋" w:eastAsia="仿宋"/>
          <w:sz w:val="32"/>
          <w:szCs w:val="32"/>
          <w:lang w:eastAsia="zh-CN"/>
        </w:rPr>
        <w:t>收支数据</w:t>
      </w:r>
      <w:r>
        <w:rPr>
          <w:rFonts w:hint="eastAsia" w:ascii="仿宋" w:hAnsi="仿宋" w:eastAsia="仿宋"/>
          <w:sz w:val="32"/>
          <w:szCs w:val="32"/>
        </w:rPr>
        <w:t>本年与上年相比急剧上升。</w:t>
      </w:r>
    </w:p>
    <w:p>
      <w:pPr>
        <w:ind w:firstLine="420" w:firstLineChars="200"/>
        <w:jc w:val="center"/>
        <w:rPr>
          <w:rFonts w:ascii="仿宋" w:hAnsi="仿宋" w:eastAsia="仿宋"/>
          <w:sz w:val="32"/>
          <w:szCs w:val="32"/>
        </w:rPr>
      </w:pPr>
      <w:r>
        <w:drawing>
          <wp:inline distT="0" distB="0" distL="114300" distR="114300">
            <wp:extent cx="3733800" cy="2133600"/>
            <wp:effectExtent l="38735" t="18415" r="56515" b="76835"/>
            <wp:docPr id="4"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图4：财政拨款收、支决算总计变动情况</w:t>
      </w:r>
    </w:p>
    <w:p>
      <w:pPr>
        <w:spacing w:line="600" w:lineRule="exact"/>
        <w:ind w:firstLine="640" w:firstLineChars="200"/>
        <w:outlineLvl w:val="1"/>
        <w:rPr>
          <w:rStyle w:val="19"/>
          <w:rFonts w:ascii="黑体" w:hAnsi="黑体" w:eastAsia="黑体"/>
          <w:b w:val="0"/>
        </w:rPr>
      </w:pPr>
      <w:bookmarkStart w:id="8" w:name="_Toc19851"/>
      <w:r>
        <w:rPr>
          <w:rFonts w:hint="eastAsia" w:ascii="黑体" w:hAnsi="黑体" w:eastAsia="黑体"/>
          <w:sz w:val="32"/>
          <w:szCs w:val="32"/>
        </w:rPr>
        <w:t>五、</w:t>
      </w:r>
      <w:r>
        <w:rPr>
          <w:rFonts w:hint="eastAsia" w:ascii="黑体" w:hAnsi="黑体" w:eastAsia="黑体"/>
          <w:b/>
          <w:sz w:val="32"/>
          <w:szCs w:val="32"/>
        </w:rPr>
        <w:t>一</w:t>
      </w:r>
      <w:r>
        <w:rPr>
          <w:rStyle w:val="19"/>
          <w:rFonts w:hint="eastAsia" w:ascii="黑体" w:hAnsi="黑体" w:eastAsia="黑体"/>
          <w:b w:val="0"/>
        </w:rPr>
        <w:t>般公共预算财政拨款支出决算情况说明</w:t>
      </w:r>
      <w:bookmarkEnd w:id="8"/>
    </w:p>
    <w:p>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（一）一般公共预算财政拨款支出决算总体情况</w:t>
      </w:r>
    </w:p>
    <w:p>
      <w:pPr>
        <w:spacing w:line="600" w:lineRule="exact"/>
        <w:ind w:firstLine="420" w:firstLineChars="200"/>
        <w:rPr>
          <w:rFonts w:ascii="仿宋" w:hAnsi="仿宋" w:eastAsia="仿宋"/>
          <w:sz w:val="32"/>
          <w:szCs w:val="32"/>
        </w:rPr>
      </w:pPr>
      <w:r>
        <w:drawing>
          <wp:anchor distT="0" distB="0" distL="114300" distR="114300" simplePos="0" relativeHeight="251659264" behindDoc="0" locked="0" layoutInCell="1" allowOverlap="1">
            <wp:simplePos x="0" y="0"/>
            <wp:positionH relativeFrom="column">
              <wp:posOffset>800735</wp:posOffset>
            </wp:positionH>
            <wp:positionV relativeFrom="paragraph">
              <wp:posOffset>2426335</wp:posOffset>
            </wp:positionV>
            <wp:extent cx="3851910" cy="2210435"/>
            <wp:effectExtent l="38735" t="18415" r="52705" b="76200"/>
            <wp:wrapTopAndBottom/>
            <wp:docPr id="5"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sz w:val="32"/>
          <w:szCs w:val="32"/>
        </w:rPr>
        <w:t>2024年度一般公共预算财政拨款支出4729.13万元，占本年支出合计的100</w:t>
      </w:r>
      <w:r>
        <w:rPr>
          <w:rFonts w:ascii="仿宋" w:hAnsi="仿宋" w:eastAsia="仿宋"/>
          <w:sz w:val="32"/>
          <w:szCs w:val="32"/>
        </w:rPr>
        <w:t>%</w:t>
      </w:r>
      <w:r>
        <w:rPr>
          <w:rFonts w:hint="eastAsia" w:ascii="仿宋" w:hAnsi="仿宋" w:eastAsia="仿宋"/>
          <w:sz w:val="32"/>
          <w:szCs w:val="32"/>
        </w:rPr>
        <w:t>。与2023年度相比，一般公共预算财政拨款支出增加4337.93万元，增长1108.88</w:t>
      </w:r>
      <w:r>
        <w:rPr>
          <w:rFonts w:ascii="仿宋" w:hAnsi="仿宋" w:eastAsia="仿宋"/>
          <w:sz w:val="32"/>
          <w:szCs w:val="32"/>
        </w:rPr>
        <w:t>%</w:t>
      </w:r>
      <w:r>
        <w:rPr>
          <w:rFonts w:hint="eastAsia" w:ascii="仿宋" w:hAnsi="仿宋" w:eastAsia="仿宋"/>
          <w:sz w:val="32"/>
          <w:szCs w:val="32"/>
        </w:rPr>
        <w:t>。主要变动原因是市城管系统（包含城市管理执法队、市容管理大队、数字化中心）及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自然资源执法大队划转至我单位，人员、项目</w:t>
      </w:r>
      <w:r>
        <w:rPr>
          <w:rFonts w:hint="eastAsia" w:ascii="仿宋" w:hAnsi="仿宋" w:eastAsia="仿宋"/>
          <w:sz w:val="32"/>
          <w:szCs w:val="32"/>
          <w:lang w:eastAsia="zh-CN"/>
        </w:rPr>
        <w:t>增加</w:t>
      </w:r>
      <w:r>
        <w:rPr>
          <w:rFonts w:hint="eastAsia" w:ascii="仿宋" w:hAnsi="仿宋" w:eastAsia="仿宋"/>
          <w:sz w:val="32"/>
          <w:szCs w:val="32"/>
        </w:rPr>
        <w:t>，导致我单位</w:t>
      </w:r>
      <w:r>
        <w:rPr>
          <w:rFonts w:hint="eastAsia" w:ascii="仿宋" w:hAnsi="仿宋" w:eastAsia="仿宋"/>
          <w:sz w:val="32"/>
          <w:szCs w:val="32"/>
          <w:lang w:eastAsia="zh-CN"/>
        </w:rPr>
        <w:t>收支数据</w:t>
      </w:r>
      <w:r>
        <w:rPr>
          <w:rFonts w:hint="eastAsia" w:ascii="仿宋" w:hAnsi="仿宋" w:eastAsia="仿宋"/>
          <w:sz w:val="32"/>
          <w:szCs w:val="32"/>
        </w:rPr>
        <w:t>本年与上年相比急剧上升。</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p>
    <w:p>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（二）一般公共预算财政拨款支出决算结构情况</w:t>
      </w:r>
    </w:p>
    <w:p>
      <w:pPr>
        <w:spacing w:line="600" w:lineRule="exact"/>
        <w:ind w:firstLine="640" w:firstLineChars="200"/>
        <w:rPr>
          <w:rFonts w:ascii="仿宋" w:hAnsi="仿宋" w:eastAsia="仿宋"/>
          <w:b/>
          <w:sz w:val="32"/>
          <w:szCs w:val="32"/>
        </w:rPr>
      </w:pPr>
      <w:r>
        <w:rPr>
          <w:rFonts w:hint="eastAsia" w:ascii="仿宋" w:hAnsi="仿宋" w:eastAsia="仿宋"/>
          <w:sz w:val="32"/>
          <w:szCs w:val="32"/>
        </w:rPr>
        <w:t>2024年度一般公共预算财政拨款支出4729.13万元，主要用于以下方面：</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rPr>
        <w:t>492.64万元，占10.42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93.29万元，占1.97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城乡社区支出</w:t>
      </w:r>
      <w:r>
        <w:rPr>
          <w:rFonts w:hint="eastAsia" w:ascii="仿宋" w:hAnsi="仿宋" w:eastAsia="仿宋"/>
          <w:sz w:val="32"/>
          <w:szCs w:val="32"/>
        </w:rPr>
        <w:t>3880.81万元，占82.06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262.38万元，占5.55</w:t>
      </w:r>
      <w:r>
        <w:rPr>
          <w:rFonts w:ascii="仿宋" w:hAnsi="仿宋" w:eastAsia="仿宋"/>
          <w:sz w:val="32"/>
          <w:szCs w:val="32"/>
        </w:rPr>
        <w:t>%</w:t>
      </w:r>
      <w:r>
        <w:rPr>
          <w:rFonts w:hint="eastAsia" w:ascii="仿宋" w:hAnsi="仿宋" w:eastAsia="仿宋"/>
          <w:sz w:val="32"/>
          <w:szCs w:val="32"/>
        </w:rPr>
        <w:t>。</w:t>
      </w:r>
    </w:p>
    <w:p>
      <w:pPr>
        <w:ind w:firstLine="420" w:firstLineChars="200"/>
        <w:jc w:val="center"/>
        <w:rPr>
          <w:rFonts w:ascii="仿宋" w:hAnsi="仿宋" w:eastAsia="仿宋"/>
          <w:sz w:val="32"/>
          <w:szCs w:val="32"/>
        </w:rPr>
      </w:pPr>
      <w:r>
        <w:drawing>
          <wp:inline distT="0" distB="0" distL="114300" distR="114300">
            <wp:extent cx="3771900" cy="2058035"/>
            <wp:effectExtent l="38735" t="18415" r="56515" b="76200"/>
            <wp:docPr id="6"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图6：一般公共预算财政拨款支出决算结构</w:t>
      </w:r>
    </w:p>
    <w:p>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（三）一般公共预算财政拨款支出决算具体情况</w:t>
      </w:r>
    </w:p>
    <w:p>
      <w:pPr>
        <w:spacing w:line="600" w:lineRule="exact"/>
        <w:ind w:firstLine="643" w:firstLineChars="200"/>
      </w:pPr>
      <w:bookmarkStart w:id="9" w:name="_Toc15377444"/>
      <w:bookmarkStart w:id="10" w:name="_Toc15378460"/>
      <w:bookmarkStart w:id="11" w:name="_Toc15377213"/>
      <w:r>
        <w:rPr>
          <w:rFonts w:hint="eastAsia" w:ascii="仿宋" w:hAnsi="仿宋" w:eastAsia="仿宋"/>
          <w:b/>
          <w:sz w:val="32"/>
          <w:szCs w:val="32"/>
        </w:rPr>
        <w:t>2024年度一般公共预算支出决算数为4729.13万元</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98.82</w:t>
      </w:r>
      <w:r>
        <w:rPr>
          <w:rStyle w:val="17"/>
          <w:rFonts w:ascii="仿宋" w:hAnsi="仿宋" w:eastAsia="仿宋"/>
          <w:bCs/>
          <w:sz w:val="32"/>
          <w:szCs w:val="32"/>
        </w:rPr>
        <w:t>%</w:t>
      </w:r>
      <w:r>
        <w:rPr>
          <w:rStyle w:val="17"/>
          <w:rFonts w:hint="eastAsia" w:ascii="仿宋" w:hAnsi="仿宋" w:eastAsia="仿宋"/>
          <w:bCs/>
          <w:sz w:val="32"/>
          <w:szCs w:val="32"/>
        </w:rPr>
        <w:t>。</w:t>
      </w:r>
      <w:bookmarkEnd w:id="9"/>
      <w:bookmarkEnd w:id="10"/>
      <w:bookmarkEnd w:id="11"/>
      <w:r>
        <w:rPr>
          <w:rStyle w:val="17"/>
          <w:rFonts w:hint="eastAsia" w:ascii="仿宋" w:hAnsi="仿宋" w:eastAsia="仿宋"/>
          <w:bCs/>
          <w:sz w:val="32"/>
          <w:szCs w:val="32"/>
        </w:rPr>
        <w:t>其中：</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社会保障和就业（类）行政事业单位养老支出（款）机关事业单位基本养老保险缴费支出（项）：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支出决算为311.47万元，完成预算100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社会保障和就业（类）行政事业单位养老支出（款）机关事业单位职业年金缴费支出（项）：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支出决算为155.73万元，完成预算100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社会保障和就业（类）行政事业单位养老支出（款）其他行政事业单位养老支出（项）：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支出决算为4.35万元，完成预算100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社会保障和就业（类）抚恤（款）死亡抚恤（项）：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支出决算为14.84万元，完成预算100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社会保障和就业（类）其他社会保障和就业支出（款）其他社会保障和就业支出（项）：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支出决算为6.24万元，完成预算100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Style w:val="17"/>
          <w:rFonts w:ascii="仿宋" w:hAnsi="仿宋" w:eastAsia="仿宋"/>
          <w:b w:val="0"/>
          <w:bCs/>
          <w:sz w:val="32"/>
          <w:szCs w:val="32"/>
        </w:rPr>
      </w:pPr>
      <w:r>
        <w:rPr>
          <w:rFonts w:hint="eastAsia" w:ascii="仿宋" w:hAnsi="仿宋" w:eastAsia="仿宋"/>
          <w:b/>
          <w:bCs/>
          <w:sz w:val="32"/>
          <w:szCs w:val="32"/>
        </w:rPr>
        <w:t>卫生健康</w:t>
      </w:r>
      <w:r>
        <w:rPr>
          <w:rStyle w:val="17"/>
          <w:rFonts w:hint="eastAsia" w:ascii="仿宋" w:hAnsi="仿宋" w:eastAsia="仿宋"/>
          <w:bCs/>
          <w:sz w:val="32"/>
          <w:szCs w:val="32"/>
        </w:rPr>
        <w:t>（类）行政事业单位医疗（款）行政单位医疗（项）：</w:t>
      </w:r>
      <w:r>
        <w:rPr>
          <w:rStyle w:val="17"/>
          <w:rFonts w:hint="eastAsia" w:ascii="仿宋" w:hAnsi="仿宋" w:eastAsia="仿宋"/>
          <w:b w:val="0"/>
          <w:bCs/>
          <w:sz w:val="32"/>
          <w:szCs w:val="32"/>
        </w:rPr>
        <w:t>支出决算为68.72万元，完成预算100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Style w:val="17"/>
          <w:rFonts w:ascii="仿宋" w:hAnsi="仿宋" w:eastAsia="仿宋"/>
          <w:b w:val="0"/>
          <w:bCs/>
          <w:sz w:val="32"/>
          <w:szCs w:val="32"/>
        </w:rPr>
      </w:pPr>
      <w:r>
        <w:rPr>
          <w:rFonts w:hint="eastAsia" w:ascii="仿宋" w:hAnsi="仿宋" w:eastAsia="仿宋"/>
          <w:b/>
          <w:bCs/>
          <w:sz w:val="32"/>
          <w:szCs w:val="32"/>
        </w:rPr>
        <w:t>卫生健康</w:t>
      </w:r>
      <w:r>
        <w:rPr>
          <w:rStyle w:val="17"/>
          <w:rFonts w:hint="eastAsia" w:ascii="仿宋" w:hAnsi="仿宋" w:eastAsia="仿宋"/>
          <w:bCs/>
          <w:sz w:val="32"/>
          <w:szCs w:val="32"/>
        </w:rPr>
        <w:t>（类）行政事业单位医疗（款）事业单位医疗（项）：</w:t>
      </w:r>
      <w:r>
        <w:rPr>
          <w:rStyle w:val="17"/>
          <w:rFonts w:hint="eastAsia" w:ascii="仿宋" w:hAnsi="仿宋" w:eastAsia="仿宋"/>
          <w:b w:val="0"/>
          <w:bCs/>
          <w:sz w:val="32"/>
          <w:szCs w:val="32"/>
        </w:rPr>
        <w:t>支出决算为21.72万元，完成预算100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Style w:val="17"/>
          <w:rFonts w:ascii="仿宋" w:hAnsi="仿宋" w:eastAsia="仿宋"/>
          <w:b w:val="0"/>
          <w:bCs/>
          <w:sz w:val="32"/>
          <w:szCs w:val="32"/>
        </w:rPr>
      </w:pPr>
      <w:r>
        <w:rPr>
          <w:rFonts w:hint="eastAsia" w:ascii="仿宋" w:hAnsi="仿宋" w:eastAsia="仿宋"/>
          <w:b/>
          <w:bCs/>
          <w:sz w:val="32"/>
          <w:szCs w:val="32"/>
        </w:rPr>
        <w:t>卫生健康</w:t>
      </w:r>
      <w:r>
        <w:rPr>
          <w:rStyle w:val="17"/>
          <w:rFonts w:hint="eastAsia" w:ascii="仿宋" w:hAnsi="仿宋" w:eastAsia="仿宋"/>
          <w:bCs/>
          <w:sz w:val="32"/>
          <w:szCs w:val="32"/>
        </w:rPr>
        <w:t>（类）行政事业单位医疗（款）公务员医疗补助（项）：</w:t>
      </w:r>
      <w:r>
        <w:rPr>
          <w:rStyle w:val="17"/>
          <w:rFonts w:hint="eastAsia" w:ascii="仿宋" w:hAnsi="仿宋" w:eastAsia="仿宋"/>
          <w:b w:val="0"/>
          <w:bCs/>
          <w:sz w:val="32"/>
          <w:szCs w:val="32"/>
        </w:rPr>
        <w:t>支出决算为2.85万元，完成预算100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numPr>
          <w:ilvl w:val="0"/>
          <w:numId w:val="2"/>
        </w:num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城乡社区（类）城乡社区管理事务（款）行政运行（项）：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支出决算为2151.06万元，完成预算</w:t>
      </w:r>
      <w:r>
        <w:rPr>
          <w:rStyle w:val="17"/>
          <w:rFonts w:hint="eastAsia" w:ascii="仿宋" w:hAnsi="仿宋" w:eastAsia="仿宋"/>
          <w:b w:val="0"/>
          <w:bCs/>
          <w:sz w:val="32"/>
          <w:szCs w:val="32"/>
          <w:lang w:val="en-US" w:eastAsia="zh-CN"/>
        </w:rPr>
        <w:t>97.59</w:t>
      </w:r>
      <w:r>
        <w:rPr>
          <w:rStyle w:val="17"/>
          <w:rFonts w:ascii="仿宋" w:hAnsi="仿宋" w:eastAsia="仿宋"/>
          <w:b w:val="0"/>
          <w:bCs/>
          <w:sz w:val="32"/>
          <w:szCs w:val="32"/>
        </w:rPr>
        <w:t>%</w:t>
      </w:r>
      <w:r>
        <w:rPr>
          <w:rStyle w:val="17"/>
          <w:rFonts w:hint="eastAsia" w:ascii="仿宋" w:hAnsi="仿宋" w:eastAsia="仿宋"/>
          <w:b w:val="0"/>
          <w:bCs/>
          <w:sz w:val="32"/>
          <w:szCs w:val="32"/>
        </w:rPr>
        <w:t>，决算数</w:t>
      </w:r>
      <w:r>
        <w:rPr>
          <w:rStyle w:val="17"/>
          <w:rFonts w:hint="eastAsia" w:ascii="仿宋" w:hAnsi="仿宋" w:eastAsia="仿宋"/>
          <w:b w:val="0"/>
          <w:bCs/>
          <w:sz w:val="32"/>
          <w:szCs w:val="32"/>
          <w:lang w:eastAsia="zh-CN"/>
        </w:rPr>
        <w:t>小于</w:t>
      </w:r>
      <w:r>
        <w:rPr>
          <w:rStyle w:val="17"/>
          <w:rFonts w:hint="eastAsia" w:ascii="仿宋" w:hAnsi="仿宋" w:eastAsia="仿宋"/>
          <w:b w:val="0"/>
          <w:bCs/>
          <w:sz w:val="32"/>
          <w:szCs w:val="32"/>
        </w:rPr>
        <w:t>预算数</w:t>
      </w:r>
      <w:r>
        <w:rPr>
          <w:rFonts w:hint="eastAsia" w:ascii="仿宋" w:hAnsi="仿宋" w:eastAsia="仿宋"/>
          <w:sz w:val="32"/>
          <w:szCs w:val="32"/>
        </w:rPr>
        <w:t>主要原因是厉行节约</w:t>
      </w:r>
      <w:r>
        <w:rPr>
          <w:rFonts w:hint="eastAsia" w:ascii="仿宋" w:hAnsi="仿宋" w:eastAsia="仿宋"/>
          <w:sz w:val="32"/>
          <w:szCs w:val="32"/>
          <w:lang w:eastAsia="zh-CN"/>
        </w:rPr>
        <w:t>，减少开支</w:t>
      </w:r>
      <w:r>
        <w:rPr>
          <w:rStyle w:val="17"/>
          <w:rFonts w:hint="eastAsia" w:ascii="仿宋" w:hAnsi="仿宋" w:eastAsia="仿宋"/>
          <w:b w:val="0"/>
          <w:bCs/>
          <w:sz w:val="32"/>
          <w:szCs w:val="32"/>
        </w:rPr>
        <w:t>。</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城乡社区（类）城乡社区管理事务（款）一般行政管理事务（项）：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支出决算为1128.52万元，完成预算</w:t>
      </w:r>
      <w:r>
        <w:rPr>
          <w:rStyle w:val="17"/>
          <w:rFonts w:hint="eastAsia" w:ascii="仿宋" w:hAnsi="仿宋" w:eastAsia="仿宋"/>
          <w:b w:val="0"/>
          <w:bCs/>
          <w:sz w:val="32"/>
          <w:szCs w:val="32"/>
          <w:lang w:val="en-US" w:eastAsia="zh-CN"/>
        </w:rPr>
        <w:t>99.90</w:t>
      </w:r>
      <w:r>
        <w:rPr>
          <w:rStyle w:val="17"/>
          <w:rFonts w:ascii="仿宋" w:hAnsi="仿宋" w:eastAsia="仿宋"/>
          <w:b w:val="0"/>
          <w:bCs/>
          <w:sz w:val="32"/>
          <w:szCs w:val="32"/>
        </w:rPr>
        <w:t>%</w:t>
      </w:r>
      <w:r>
        <w:rPr>
          <w:rStyle w:val="17"/>
          <w:rFonts w:hint="eastAsia" w:ascii="仿宋" w:hAnsi="仿宋" w:eastAsia="仿宋"/>
          <w:b w:val="0"/>
          <w:bCs/>
          <w:sz w:val="32"/>
          <w:szCs w:val="32"/>
        </w:rPr>
        <w:t>，决算数</w:t>
      </w:r>
      <w:r>
        <w:rPr>
          <w:rStyle w:val="17"/>
          <w:rFonts w:hint="eastAsia" w:ascii="仿宋" w:hAnsi="仿宋" w:eastAsia="仿宋"/>
          <w:b w:val="0"/>
          <w:bCs/>
          <w:sz w:val="32"/>
          <w:szCs w:val="32"/>
          <w:lang w:eastAsia="zh-CN"/>
        </w:rPr>
        <w:t>小于</w:t>
      </w:r>
      <w:r>
        <w:rPr>
          <w:rStyle w:val="17"/>
          <w:rFonts w:hint="eastAsia" w:ascii="仿宋" w:hAnsi="仿宋" w:eastAsia="仿宋"/>
          <w:b w:val="0"/>
          <w:bCs/>
          <w:sz w:val="32"/>
          <w:szCs w:val="32"/>
        </w:rPr>
        <w:t>预算数</w:t>
      </w:r>
      <w:r>
        <w:rPr>
          <w:rFonts w:hint="eastAsia" w:ascii="仿宋" w:hAnsi="仿宋" w:eastAsia="仿宋"/>
          <w:sz w:val="32"/>
          <w:szCs w:val="32"/>
        </w:rPr>
        <w:t>主要原因是厉行节约</w:t>
      </w:r>
      <w:r>
        <w:rPr>
          <w:rFonts w:hint="eastAsia" w:ascii="仿宋" w:hAnsi="仿宋" w:eastAsia="仿宋"/>
          <w:sz w:val="32"/>
          <w:szCs w:val="32"/>
          <w:lang w:eastAsia="zh-CN"/>
        </w:rPr>
        <w:t>，减少开支</w:t>
      </w:r>
      <w:r>
        <w:rPr>
          <w:rStyle w:val="17"/>
          <w:rFonts w:hint="eastAsia" w:ascii="仿宋" w:hAnsi="仿宋" w:eastAsia="仿宋"/>
          <w:b w:val="0"/>
          <w:bCs/>
          <w:sz w:val="32"/>
          <w:szCs w:val="32"/>
        </w:rPr>
        <w:t>。</w:t>
      </w:r>
    </w:p>
    <w:p>
      <w:pPr>
        <w:numPr>
          <w:ilvl w:val="0"/>
          <w:numId w:val="2"/>
        </w:num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城乡社区（类）城乡社区管理事务（款）其他城乡社区管理事务支出（项）：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支出决算为601.24万元，完成预算</w:t>
      </w:r>
      <w:r>
        <w:rPr>
          <w:rStyle w:val="17"/>
          <w:rFonts w:hint="eastAsia" w:ascii="仿宋" w:hAnsi="仿宋" w:eastAsia="仿宋"/>
          <w:b w:val="0"/>
          <w:bCs/>
          <w:sz w:val="32"/>
          <w:szCs w:val="32"/>
          <w:lang w:val="en-US" w:eastAsia="zh-CN"/>
        </w:rPr>
        <w:t>99.62</w:t>
      </w:r>
      <w:r>
        <w:rPr>
          <w:rStyle w:val="17"/>
          <w:rFonts w:ascii="仿宋" w:hAnsi="仿宋" w:eastAsia="仿宋"/>
          <w:b w:val="0"/>
          <w:bCs/>
          <w:sz w:val="32"/>
          <w:szCs w:val="32"/>
        </w:rPr>
        <w:t>%</w:t>
      </w:r>
      <w:r>
        <w:rPr>
          <w:rStyle w:val="17"/>
          <w:rFonts w:hint="eastAsia" w:ascii="仿宋" w:hAnsi="仿宋" w:eastAsia="仿宋"/>
          <w:b w:val="0"/>
          <w:bCs/>
          <w:sz w:val="32"/>
          <w:szCs w:val="32"/>
        </w:rPr>
        <w:t>，决算数</w:t>
      </w:r>
      <w:r>
        <w:rPr>
          <w:rStyle w:val="17"/>
          <w:rFonts w:hint="eastAsia" w:ascii="仿宋" w:hAnsi="仿宋" w:eastAsia="仿宋"/>
          <w:b w:val="0"/>
          <w:bCs/>
          <w:sz w:val="32"/>
          <w:szCs w:val="32"/>
          <w:lang w:eastAsia="zh-CN"/>
        </w:rPr>
        <w:t>小于</w:t>
      </w:r>
      <w:r>
        <w:rPr>
          <w:rStyle w:val="17"/>
          <w:rFonts w:hint="eastAsia" w:ascii="仿宋" w:hAnsi="仿宋" w:eastAsia="仿宋"/>
          <w:b w:val="0"/>
          <w:bCs/>
          <w:sz w:val="32"/>
          <w:szCs w:val="32"/>
        </w:rPr>
        <w:t>预算数</w:t>
      </w:r>
      <w:r>
        <w:rPr>
          <w:rFonts w:hint="eastAsia" w:ascii="仿宋" w:hAnsi="仿宋" w:eastAsia="仿宋"/>
          <w:sz w:val="32"/>
          <w:szCs w:val="32"/>
        </w:rPr>
        <w:t>主要原因是厉行节约</w:t>
      </w:r>
      <w:r>
        <w:rPr>
          <w:rFonts w:hint="eastAsia" w:ascii="仿宋" w:hAnsi="仿宋" w:eastAsia="仿宋"/>
          <w:sz w:val="32"/>
          <w:szCs w:val="32"/>
          <w:lang w:eastAsia="zh-CN"/>
        </w:rPr>
        <w:t>，减少开支</w:t>
      </w:r>
      <w:r>
        <w:rPr>
          <w:rStyle w:val="17"/>
          <w:rFonts w:hint="eastAsia" w:ascii="仿宋" w:hAnsi="仿宋" w:eastAsia="仿宋"/>
          <w:b w:val="0"/>
          <w:bCs/>
          <w:sz w:val="32"/>
          <w:szCs w:val="32"/>
        </w:rPr>
        <w:t>。</w:t>
      </w:r>
    </w:p>
    <w:p>
      <w:pPr>
        <w:numPr>
          <w:ilvl w:val="0"/>
          <w:numId w:val="2"/>
        </w:numPr>
        <w:spacing w:line="600" w:lineRule="exact"/>
        <w:ind w:firstLine="643" w:firstLineChars="200"/>
        <w:rPr>
          <w:rFonts w:ascii="仿宋" w:hAnsi="仿宋" w:eastAsia="仿宋"/>
          <w:b/>
          <w:sz w:val="32"/>
          <w:szCs w:val="32"/>
        </w:rPr>
      </w:pPr>
      <w:r>
        <w:rPr>
          <w:rFonts w:hint="eastAsia" w:ascii="仿宋" w:hAnsi="仿宋" w:eastAsia="仿宋"/>
          <w:b/>
          <w:bCs/>
          <w:sz w:val="32"/>
          <w:szCs w:val="32"/>
        </w:rPr>
        <w:t>住房保障</w:t>
      </w:r>
      <w:r>
        <w:rPr>
          <w:rStyle w:val="17"/>
          <w:rFonts w:hint="eastAsia" w:ascii="仿宋" w:hAnsi="仿宋" w:eastAsia="仿宋"/>
          <w:bCs/>
          <w:sz w:val="32"/>
          <w:szCs w:val="32"/>
        </w:rPr>
        <w:t>（类）住房改革支出（款）住房公积金（项）：</w:t>
      </w:r>
      <w:r>
        <w:rPr>
          <w:rStyle w:val="17"/>
          <w:rFonts w:hint="eastAsia" w:ascii="仿宋" w:hAnsi="仿宋" w:eastAsia="仿宋"/>
          <w:b w:val="0"/>
          <w:bCs/>
          <w:sz w:val="32"/>
          <w:szCs w:val="32"/>
        </w:rPr>
        <w:t>支出决算为262.38万元，完成预算100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w:t>
      </w:r>
      <w:r>
        <w:rPr>
          <w:rStyle w:val="17"/>
          <w:rFonts w:hint="eastAsia" w:ascii="仿宋" w:hAnsi="仿宋" w:eastAsia="仿宋"/>
          <w:b w:val="0"/>
          <w:bCs/>
          <w:sz w:val="32"/>
          <w:szCs w:val="32"/>
          <w:lang w:eastAsia="zh-CN"/>
        </w:rPr>
        <w:t>等于</w:t>
      </w:r>
      <w:r>
        <w:rPr>
          <w:rStyle w:val="17"/>
          <w:rFonts w:hint="eastAsia" w:ascii="仿宋" w:hAnsi="仿宋" w:eastAsia="仿宋"/>
          <w:b w:val="0"/>
          <w:bCs/>
          <w:sz w:val="32"/>
          <w:szCs w:val="32"/>
        </w:rPr>
        <w:t>预算数。</w:t>
      </w:r>
    </w:p>
    <w:p>
      <w:pPr>
        <w:tabs>
          <w:tab w:val="right" w:pos="8306"/>
        </w:tabs>
        <w:spacing w:line="600" w:lineRule="exact"/>
        <w:ind w:firstLine="640" w:firstLineChars="200"/>
        <w:outlineLvl w:val="1"/>
        <w:rPr>
          <w:rStyle w:val="19"/>
        </w:rPr>
      </w:pPr>
      <w:bookmarkStart w:id="12" w:name="_Toc31425"/>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19"/>
          <w:rFonts w:hint="eastAsia" w:ascii="黑体" w:hAnsi="黑体" w:eastAsia="黑体"/>
          <w:b w:val="0"/>
        </w:rPr>
        <w:t>般公共预算财政拨款基本支出决算情况说明</w:t>
      </w:r>
      <w:bookmarkEnd w:id="12"/>
      <w:r>
        <w:rPr>
          <w:rStyle w:val="19"/>
          <w:rFonts w:ascii="黑体" w:hAnsi="黑体" w:eastAsia="黑体"/>
          <w:b w:val="0"/>
        </w:rPr>
        <w:tab/>
      </w:r>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2024年度一般公共预算财政拨款基本支出3592.07万元，其中：</w:t>
      </w:r>
    </w:p>
    <w:p>
      <w:pPr>
        <w:spacing w:line="600" w:lineRule="exact"/>
        <w:ind w:firstLine="640" w:firstLineChars="200"/>
        <w:rPr>
          <w:rFonts w:ascii="仿宋" w:hAnsi="仿宋" w:eastAsia="仿宋"/>
          <w:b/>
          <w:sz w:val="32"/>
          <w:szCs w:val="32"/>
        </w:rPr>
      </w:pPr>
      <w:r>
        <w:rPr>
          <w:rFonts w:hint="eastAsia" w:ascii="仿宋" w:hAnsi="仿宋" w:eastAsia="仿宋"/>
          <w:sz w:val="32"/>
          <w:szCs w:val="32"/>
        </w:rPr>
        <w:t>人员经费3191.4万元，主要包括：基本工资、津贴补贴、奖金、伙食补助费、绩效工资、机关事业单位基本养老保险缴费、职业年金缴费、职工基本医疗保险缴费、公务员医疗补助缴费、其他社会保障缴费、住房公积金、抚恤金、奖励金、其他对个人和家庭的补助支出等。</w:t>
      </w:r>
      <w:r>
        <w:rPr>
          <w:rFonts w:ascii="仿宋" w:hAnsi="仿宋" w:eastAsia="仿宋"/>
          <w:sz w:val="32"/>
          <w:szCs w:val="32"/>
        </w:rPr>
        <w:br w:type="textWrapping"/>
      </w:r>
      <w:r>
        <w:rPr>
          <w:rFonts w:hint="eastAsia" w:ascii="仿宋" w:hAnsi="仿宋" w:eastAsia="仿宋"/>
          <w:sz w:val="32"/>
          <w:szCs w:val="32"/>
        </w:rPr>
        <w:t>　　公用经费400.67万元，主要包括：办公费、印刷费、水费、电费、邮电费、差旅费、维修（护）费、培训费、劳务费、委托业务费、工会经费、福利费、公务用车运行维护费、其他交通费用、其他商品和服务支出。</w:t>
      </w:r>
    </w:p>
    <w:p>
      <w:pPr>
        <w:spacing w:line="600" w:lineRule="exact"/>
        <w:ind w:firstLine="640" w:firstLineChars="200"/>
        <w:outlineLvl w:val="1"/>
        <w:rPr>
          <w:rStyle w:val="19"/>
          <w:rFonts w:ascii="黑体" w:hAnsi="黑体" w:eastAsia="黑体"/>
          <w:b w:val="0"/>
        </w:rPr>
      </w:pPr>
      <w:bookmarkStart w:id="13" w:name="_Toc25226"/>
      <w:r>
        <w:rPr>
          <w:rFonts w:hint="eastAsia" w:ascii="黑体" w:eastAsia="黑体"/>
          <w:sz w:val="32"/>
          <w:szCs w:val="32"/>
        </w:rPr>
        <w:t>七、</w:t>
      </w:r>
      <w:r>
        <w:rPr>
          <w:rStyle w:val="19"/>
          <w:rFonts w:hint="eastAsia" w:ascii="黑体" w:hAnsi="黑体" w:eastAsia="黑体"/>
          <w:b w:val="0"/>
        </w:rPr>
        <w:t>财政拨款</w:t>
      </w:r>
      <w:r>
        <w:rPr>
          <w:rStyle w:val="19"/>
          <w:rFonts w:hint="eastAsia" w:ascii="黑体" w:hAnsi="黑体" w:eastAsia="黑体"/>
        </w:rPr>
        <w:t>“</w:t>
      </w:r>
      <w:r>
        <w:rPr>
          <w:rStyle w:val="19"/>
          <w:rFonts w:hint="eastAsia" w:ascii="黑体" w:hAnsi="黑体" w:eastAsia="黑体"/>
          <w:b w:val="0"/>
        </w:rPr>
        <w:t>三公”经费支出决算情况说明</w:t>
      </w:r>
      <w:bookmarkEnd w:id="13"/>
    </w:p>
    <w:p>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（一）“三公”经费财政拨款支出决算总体情况说明</w:t>
      </w:r>
    </w:p>
    <w:p>
      <w:pPr>
        <w:spacing w:line="600" w:lineRule="exact"/>
        <w:ind w:firstLine="640" w:firstLineChars="200"/>
        <w:rPr>
          <w:rFonts w:ascii="仿宋" w:hAnsi="仿宋" w:eastAsia="仿宋"/>
          <w:sz w:val="32"/>
          <w:szCs w:val="32"/>
          <w:highlight w:val="yellow"/>
        </w:rPr>
      </w:pPr>
      <w:r>
        <w:rPr>
          <w:rFonts w:hint="eastAsia" w:ascii="仿宋" w:hAnsi="仿宋" w:eastAsia="仿宋"/>
          <w:sz w:val="32"/>
          <w:szCs w:val="32"/>
        </w:rPr>
        <w:t>2024年度“三公”经费财政拨款支出决算为74.6万元，完成预算92.06</w:t>
      </w:r>
      <w:r>
        <w:rPr>
          <w:rFonts w:ascii="仿宋" w:hAnsi="仿宋" w:eastAsia="仿宋"/>
          <w:sz w:val="32"/>
          <w:szCs w:val="32"/>
        </w:rPr>
        <w:t>%</w:t>
      </w:r>
      <w:r>
        <w:rPr>
          <w:rFonts w:hint="eastAsia" w:ascii="仿宋" w:hAnsi="仿宋" w:eastAsia="仿宋"/>
          <w:sz w:val="32"/>
          <w:szCs w:val="32"/>
        </w:rPr>
        <w:t>，较上年度增加74.6万元，增长100%。</w:t>
      </w:r>
      <w:r>
        <w:rPr>
          <w:rStyle w:val="17"/>
          <w:rFonts w:hint="eastAsia" w:ascii="仿宋" w:hAnsi="仿宋" w:eastAsia="仿宋"/>
          <w:b w:val="0"/>
          <w:bCs/>
          <w:sz w:val="32"/>
          <w:szCs w:val="32"/>
        </w:rPr>
        <w:t>决算数</w:t>
      </w:r>
      <w:r>
        <w:rPr>
          <w:rStyle w:val="17"/>
          <w:rFonts w:hint="eastAsia" w:ascii="仿宋" w:hAnsi="仿宋" w:eastAsia="仿宋"/>
          <w:b w:val="0"/>
          <w:bCs/>
          <w:sz w:val="32"/>
          <w:szCs w:val="32"/>
          <w:lang w:eastAsia="zh-CN"/>
        </w:rPr>
        <w:t>小于</w:t>
      </w:r>
      <w:r>
        <w:rPr>
          <w:rStyle w:val="17"/>
          <w:rFonts w:hint="eastAsia" w:ascii="仿宋" w:hAnsi="仿宋" w:eastAsia="仿宋"/>
          <w:b w:val="0"/>
          <w:bCs/>
          <w:sz w:val="32"/>
          <w:szCs w:val="32"/>
        </w:rPr>
        <w:t>预算数</w:t>
      </w:r>
      <w:r>
        <w:rPr>
          <w:rFonts w:hint="eastAsia" w:ascii="仿宋" w:hAnsi="仿宋" w:eastAsia="仿宋"/>
          <w:sz w:val="32"/>
          <w:szCs w:val="32"/>
        </w:rPr>
        <w:t>主要原因是厉行节约</w:t>
      </w:r>
      <w:r>
        <w:rPr>
          <w:rFonts w:hint="eastAsia" w:ascii="仿宋" w:hAnsi="仿宋" w:eastAsia="仿宋"/>
          <w:sz w:val="32"/>
          <w:szCs w:val="32"/>
          <w:lang w:eastAsia="zh-CN"/>
        </w:rPr>
        <w:t>，减少开支。本年较去年</w:t>
      </w:r>
      <w:r>
        <w:rPr>
          <w:rFonts w:hint="eastAsia" w:ascii="仿宋" w:hAnsi="仿宋" w:eastAsia="仿宋"/>
          <w:sz w:val="32"/>
          <w:szCs w:val="32"/>
        </w:rPr>
        <w:t>增长的</w:t>
      </w:r>
      <w:r>
        <w:rPr>
          <w:rFonts w:hint="eastAsia" w:ascii="仿宋" w:hAnsi="仿宋" w:eastAsia="仿宋"/>
          <w:sz w:val="32"/>
          <w:szCs w:val="32"/>
          <w:lang w:eastAsia="zh-CN"/>
        </w:rPr>
        <w:t>主要</w:t>
      </w:r>
      <w:r>
        <w:rPr>
          <w:rFonts w:hint="eastAsia" w:ascii="仿宋" w:hAnsi="仿宋" w:eastAsia="仿宋"/>
          <w:sz w:val="32"/>
          <w:szCs w:val="32"/>
        </w:rPr>
        <w:t>原因是市城管系统（包含城市管理执法队、市容管理大队、数字化中心）及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w:t>
      </w:r>
      <w:r>
        <w:rPr>
          <w:rFonts w:hint="eastAsia" w:ascii="仿宋" w:hAnsi="仿宋" w:eastAsia="仿宋"/>
          <w:sz w:val="32"/>
          <w:szCs w:val="32"/>
          <w:lang w:eastAsia="zh-CN"/>
        </w:rPr>
        <w:t>人员、项目增加，</w:t>
      </w:r>
      <w:r>
        <w:rPr>
          <w:rFonts w:hint="eastAsia" w:ascii="仿宋" w:hAnsi="仿宋" w:eastAsia="仿宋"/>
          <w:sz w:val="32"/>
          <w:szCs w:val="32"/>
        </w:rPr>
        <w:t>导致</w:t>
      </w:r>
      <w:r>
        <w:rPr>
          <w:rFonts w:hint="eastAsia" w:ascii="仿宋" w:hAnsi="仿宋" w:eastAsia="仿宋"/>
          <w:sz w:val="32"/>
          <w:szCs w:val="32"/>
          <w:lang w:eastAsia="zh-CN"/>
        </w:rPr>
        <w:t>支出增加</w:t>
      </w:r>
      <w:r>
        <w:rPr>
          <w:rFonts w:hint="eastAsia" w:ascii="仿宋" w:hAnsi="仿宋" w:eastAsia="仿宋"/>
          <w:sz w:val="32"/>
          <w:szCs w:val="32"/>
        </w:rPr>
        <w:t>。</w:t>
      </w:r>
    </w:p>
    <w:p>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（二）“三公”经费财政拨款支出决算具体情况说明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2024年度“三公”经费财政拨款支出决算中，因公出国（境）费支出决算0万元，占0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；公务用车购置及运行维护费支出决算74.6万元，占100</w:t>
      </w:r>
      <w:r>
        <w:rPr>
          <w:rFonts w:ascii="仿宋" w:hAnsi="仿宋" w:eastAsia="仿宋"/>
          <w:sz w:val="32"/>
          <w:szCs w:val="32"/>
        </w:rPr>
        <w:t>%</w:t>
      </w:r>
      <w:r>
        <w:rPr>
          <w:rFonts w:hint="eastAsia" w:ascii="仿宋" w:hAnsi="仿宋" w:eastAsia="仿宋"/>
          <w:sz w:val="32"/>
          <w:szCs w:val="32"/>
        </w:rPr>
        <w:t>；公务接待费支出决算0万元，占0</w:t>
      </w:r>
      <w:r>
        <w:rPr>
          <w:rFonts w:ascii="仿宋" w:hAnsi="仿宋" w:eastAsia="仿宋"/>
          <w:sz w:val="32"/>
          <w:szCs w:val="32"/>
        </w:rPr>
        <w:t>%</w:t>
      </w:r>
      <w:r>
        <w:rPr>
          <w:rFonts w:hint="eastAsia" w:ascii="仿宋" w:hAnsi="仿宋" w:eastAsia="仿宋"/>
          <w:sz w:val="32"/>
          <w:szCs w:val="32"/>
        </w:rPr>
        <w:t>。具体情况如下：</w:t>
      </w:r>
    </w:p>
    <w:p>
      <w:pPr>
        <w:ind w:firstLine="420" w:firstLineChars="200"/>
        <w:jc w:val="center"/>
        <w:rPr>
          <w:rFonts w:ascii="仿宋" w:hAnsi="仿宋" w:eastAsia="仿宋"/>
          <w:sz w:val="32"/>
          <w:szCs w:val="32"/>
        </w:rPr>
      </w:pPr>
      <w:r>
        <w:drawing>
          <wp:inline distT="0" distB="0" distL="114300" distR="114300">
            <wp:extent cx="3771900" cy="2114550"/>
            <wp:effectExtent l="38735" t="18415" r="56515" b="76835"/>
            <wp:docPr id="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图7：“三公”经费财政拨款支出结构</w:t>
      </w:r>
    </w:p>
    <w:p>
      <w:pPr>
        <w:spacing w:line="600" w:lineRule="exact"/>
        <w:ind w:firstLine="643" w:firstLineChars="200"/>
        <w:rPr>
          <w:rFonts w:ascii="仿宋_GB2312" w:eastAsia="仿宋_GB2312"/>
          <w:sz w:val="32"/>
          <w:szCs w:val="32"/>
        </w:rPr>
      </w:pPr>
      <w:r>
        <w:rPr>
          <w:rFonts w:ascii="仿宋_GB2312" w:eastAsia="仿宋_GB2312"/>
          <w:b/>
          <w:sz w:val="32"/>
          <w:szCs w:val="32"/>
        </w:rPr>
        <w:t>1.</w:t>
      </w:r>
      <w:r>
        <w:rPr>
          <w:rFonts w:hint="eastAsia" w:ascii="仿宋_GB2312" w:eastAsia="仿宋_GB2312"/>
          <w:b/>
          <w:bCs/>
          <w:sz w:val="32"/>
          <w:szCs w:val="32"/>
        </w:rPr>
        <w:t>因公出国（境）经费支出</w:t>
      </w:r>
      <w:r>
        <w:rPr>
          <w:rFonts w:hint="eastAsia" w:ascii="仿宋_GB2312" w:eastAsia="仿宋_GB2312"/>
          <w:sz w:val="32"/>
          <w:szCs w:val="32"/>
        </w:rPr>
        <w:t>0万元，完成预算0</w:t>
      </w:r>
      <w:r>
        <w:rPr>
          <w:rFonts w:ascii="仿宋_GB2312" w:eastAsia="仿宋_GB2312"/>
          <w:sz w:val="32"/>
          <w:szCs w:val="32"/>
        </w:rPr>
        <w:t>%</w:t>
      </w:r>
      <w:r>
        <w:rPr>
          <w:rFonts w:hint="eastAsia" w:ascii="仿宋_GB2312" w:eastAsia="仿宋_GB2312"/>
          <w:sz w:val="32"/>
          <w:szCs w:val="32"/>
        </w:rPr>
        <w:t>。全年安排因公出国（境）团组0次，出国（境）0人。因公出国（境）支出决算与2023年持平。</w:t>
      </w:r>
    </w:p>
    <w:p>
      <w:pPr>
        <w:spacing w:line="600"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74.6万元，</w:t>
      </w:r>
      <w:r>
        <w:rPr>
          <w:rStyle w:val="17"/>
          <w:rFonts w:hint="eastAsia" w:ascii="仿宋" w:hAnsi="仿宋" w:eastAsia="仿宋"/>
          <w:b w:val="0"/>
          <w:bCs/>
          <w:sz w:val="32"/>
          <w:szCs w:val="32"/>
        </w:rPr>
        <w:t>完成预算92.06</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公务用车购置及运行维护费支出决算比2023年度增加74.6万元，增长100</w:t>
      </w:r>
      <w:r>
        <w:rPr>
          <w:rFonts w:ascii="仿宋_GB2312" w:eastAsia="仿宋_GB2312"/>
          <w:sz w:val="32"/>
          <w:szCs w:val="32"/>
        </w:rPr>
        <w:t>%</w:t>
      </w:r>
      <w:r>
        <w:rPr>
          <w:rFonts w:hint="eastAsia" w:ascii="仿宋_GB2312" w:eastAsia="仿宋_GB2312"/>
          <w:sz w:val="32"/>
          <w:szCs w:val="32"/>
        </w:rPr>
        <w:t>。主要原因</w:t>
      </w:r>
      <w:r>
        <w:rPr>
          <w:rFonts w:hint="eastAsia" w:ascii="仿宋" w:hAnsi="仿宋" w:eastAsia="仿宋"/>
          <w:sz w:val="32"/>
          <w:szCs w:val="32"/>
        </w:rPr>
        <w:t>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w:t>
      </w:r>
      <w:r>
        <w:rPr>
          <w:rFonts w:hint="eastAsia" w:ascii="仿宋" w:hAnsi="仿宋" w:eastAsia="仿宋"/>
          <w:sz w:val="32"/>
          <w:szCs w:val="32"/>
          <w:lang w:eastAsia="zh-CN"/>
        </w:rPr>
        <w:t>人员、项目增加，</w:t>
      </w:r>
      <w:r>
        <w:rPr>
          <w:rFonts w:hint="eastAsia" w:ascii="仿宋" w:hAnsi="仿宋" w:eastAsia="仿宋"/>
          <w:sz w:val="32"/>
          <w:szCs w:val="32"/>
        </w:rPr>
        <w:t>导致</w:t>
      </w:r>
      <w:r>
        <w:rPr>
          <w:rFonts w:hint="eastAsia" w:ascii="仿宋_GB2312" w:eastAsia="仿宋_GB2312"/>
          <w:sz w:val="32"/>
          <w:szCs w:val="32"/>
        </w:rPr>
        <w:t>车辆运行维护费增加。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其中：</w:t>
      </w:r>
      <w:r>
        <w:rPr>
          <w:rFonts w:hint="eastAsia" w:ascii="仿宋_GB2312" w:eastAsia="仿宋_GB2312"/>
          <w:b/>
          <w:bCs/>
          <w:sz w:val="32"/>
          <w:szCs w:val="32"/>
        </w:rPr>
        <w:t>公务用车购置支出</w:t>
      </w:r>
      <w:r>
        <w:rPr>
          <w:rFonts w:hint="eastAsia" w:ascii="仿宋_GB2312" w:eastAsia="仿宋_GB2312"/>
          <w:sz w:val="32"/>
          <w:szCs w:val="32"/>
        </w:rPr>
        <w:t>0万元。全年按规定更新购置公务用车0辆，其中：轿车0辆、金额0万元，越野车0辆、金额0万元，载客汽车0辆、金额0万元。</w:t>
      </w:r>
    </w:p>
    <w:p>
      <w:pPr>
        <w:spacing w:line="600" w:lineRule="exact"/>
        <w:ind w:firstLine="640" w:firstLineChars="200"/>
        <w:rPr>
          <w:rFonts w:ascii="宋体" w:hAnsi="宋体" w:cs="宋体"/>
          <w:sz w:val="32"/>
          <w:szCs w:val="32"/>
        </w:rPr>
      </w:pPr>
      <w:r>
        <w:rPr>
          <w:rFonts w:hint="eastAsia" w:ascii="仿宋_GB2312" w:eastAsia="仿宋_GB2312"/>
          <w:sz w:val="32"/>
          <w:szCs w:val="32"/>
        </w:rPr>
        <w:t>截至2024年</w:t>
      </w:r>
      <w:r>
        <w:rPr>
          <w:rFonts w:ascii="仿宋_GB2312" w:eastAsia="仿宋_GB2312"/>
          <w:sz w:val="32"/>
          <w:szCs w:val="32"/>
        </w:rPr>
        <w:t>12</w:t>
      </w:r>
      <w:r>
        <w:rPr>
          <w:rFonts w:hint="eastAsia" w:ascii="仿宋_GB2312" w:eastAsia="仿宋_GB2312"/>
          <w:sz w:val="32"/>
          <w:szCs w:val="32"/>
        </w:rPr>
        <w:t>月31日，单位共有公务用车53辆，其中：</w:t>
      </w:r>
      <w:r>
        <w:rPr>
          <w:rFonts w:hint="eastAsia" w:ascii="宋体" w:hAnsi="宋体" w:cs="宋体"/>
          <w:sz w:val="32"/>
          <w:szCs w:val="32"/>
        </w:rPr>
        <w:t>皮卡车</w:t>
      </w:r>
      <w:r>
        <w:rPr>
          <w:rFonts w:hint="eastAsia" w:ascii="仿宋_GB2312" w:eastAsia="仿宋_GB2312"/>
          <w:sz w:val="32"/>
          <w:szCs w:val="32"/>
        </w:rPr>
        <w:t>26辆，面包车22辆、商务车2辆、越野车2辆，新</w:t>
      </w:r>
      <w:r>
        <w:rPr>
          <w:rFonts w:hint="eastAsia" w:ascii="宋体" w:hAnsi="宋体" w:cs="宋体"/>
          <w:sz w:val="32"/>
          <w:szCs w:val="32"/>
        </w:rPr>
        <w:t>能</w:t>
      </w:r>
      <w:r>
        <w:rPr>
          <w:rFonts w:hint="eastAsia" w:ascii="仿宋_GB2312" w:eastAsia="仿宋_GB2312"/>
          <w:sz w:val="32"/>
          <w:szCs w:val="32"/>
        </w:rPr>
        <w:t>源轿车1辆。</w:t>
      </w:r>
    </w:p>
    <w:p>
      <w:pPr>
        <w:spacing w:line="600" w:lineRule="exact"/>
        <w:ind w:firstLine="643" w:firstLineChars="200"/>
        <w:rPr>
          <w:rFonts w:ascii="仿宋_GB2312" w:eastAsia="仿宋_GB2312"/>
          <w:sz w:val="32"/>
          <w:szCs w:val="32"/>
          <w:highlight w:val="yellow"/>
        </w:rPr>
      </w:pPr>
      <w:r>
        <w:rPr>
          <w:rFonts w:hint="eastAsia" w:ascii="仿宋_GB2312" w:eastAsia="仿宋_GB2312"/>
          <w:b/>
          <w:sz w:val="32"/>
          <w:szCs w:val="32"/>
        </w:rPr>
        <w:t>公务用车运行维护费支出</w:t>
      </w:r>
      <w:r>
        <w:rPr>
          <w:rFonts w:hint="eastAsia" w:ascii="仿宋_GB2312" w:eastAsia="仿宋_GB2312"/>
          <w:sz w:val="32"/>
          <w:szCs w:val="32"/>
        </w:rPr>
        <w:t>74.6万元。主要用于</w:t>
      </w:r>
      <w:r>
        <w:rPr>
          <w:rFonts w:hint="eastAsia" w:ascii="Times New Roman" w:hAnsi="Times New Roman" w:eastAsia="仿宋_GB2312"/>
          <w:sz w:val="32"/>
          <w:szCs w:val="32"/>
        </w:rPr>
        <w:t>53辆公务用车燃油、维修、保险等方面支出，主要保障行政执法、城市管理等工作开展。</w:t>
      </w:r>
    </w:p>
    <w:p>
      <w:pPr>
        <w:spacing w:line="600" w:lineRule="exact"/>
        <w:ind w:firstLine="643" w:firstLineChars="200"/>
        <w:rPr>
          <w:rFonts w:ascii="仿宋_GB2312" w:eastAsia="仿宋_GB2312"/>
          <w:sz w:val="32"/>
          <w:szCs w:val="32"/>
        </w:rPr>
      </w:pPr>
      <w:r>
        <w:rPr>
          <w:rFonts w:ascii="仿宋_GB2312" w:eastAsia="仿宋_GB2312"/>
          <w:b/>
          <w:sz w:val="32"/>
          <w:szCs w:val="32"/>
        </w:rPr>
        <w:t>3.</w:t>
      </w:r>
      <w:r>
        <w:rPr>
          <w:rFonts w:hint="eastAsia" w:ascii="仿宋_GB2312" w:eastAsia="仿宋_GB2312"/>
          <w:b/>
          <w:bCs/>
          <w:sz w:val="32"/>
          <w:szCs w:val="32"/>
        </w:rPr>
        <w:t>公务接待费支出</w:t>
      </w:r>
      <w:r>
        <w:rPr>
          <w:rFonts w:hint="eastAsia" w:ascii="仿宋_GB2312" w:eastAsia="仿宋_GB2312"/>
          <w:sz w:val="32"/>
          <w:szCs w:val="32"/>
        </w:rPr>
        <w:t>0万元，完成预算0</w:t>
      </w:r>
      <w:r>
        <w:rPr>
          <w:rFonts w:ascii="仿宋_GB2312" w:eastAsia="仿宋_GB2312"/>
          <w:sz w:val="32"/>
          <w:szCs w:val="32"/>
        </w:rPr>
        <w:t>%</w:t>
      </w:r>
      <w:r>
        <w:rPr>
          <w:rFonts w:hint="eastAsia" w:ascii="仿宋_GB2312" w:eastAsia="仿宋_GB2312"/>
          <w:sz w:val="32"/>
          <w:szCs w:val="32"/>
        </w:rPr>
        <w:t>。公务接待费支出决算与2023年度持平。主要原因是2024年本单位无公务接待费支出。其中：</w:t>
      </w: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国内公务接待支出</w:t>
      </w:r>
      <w:r>
        <w:rPr>
          <w:rFonts w:hint="eastAsia" w:ascii="仿宋_GB2312" w:eastAsia="仿宋_GB2312"/>
          <w:sz w:val="32"/>
          <w:szCs w:val="32"/>
        </w:rPr>
        <w:t>0万元</w:t>
      </w:r>
      <w:r>
        <w:rPr>
          <w:rFonts w:hint="eastAsia" w:ascii="仿宋_GB2312" w:eastAsia="仿宋_GB2312"/>
          <w:b/>
          <w:bCs/>
          <w:sz w:val="32"/>
          <w:szCs w:val="32"/>
        </w:rPr>
        <w:t>。</w:t>
      </w:r>
    </w:p>
    <w:p>
      <w:pPr>
        <w:spacing w:line="600" w:lineRule="exact"/>
        <w:ind w:firstLine="643" w:firstLineChars="200"/>
        <w:rPr>
          <w:rFonts w:ascii="黑体" w:eastAsia="黑体"/>
          <w:sz w:val="32"/>
          <w:szCs w:val="32"/>
        </w:rPr>
      </w:pPr>
      <w:r>
        <w:rPr>
          <w:rFonts w:hint="eastAsia" w:ascii="仿宋_GB2312" w:eastAsia="仿宋_GB2312"/>
          <w:b/>
          <w:bCs/>
          <w:sz w:val="32"/>
          <w:szCs w:val="32"/>
        </w:rPr>
        <w:t>外事接待支出</w:t>
      </w:r>
      <w:r>
        <w:rPr>
          <w:rFonts w:hint="eastAsia" w:ascii="仿宋_GB2312" w:eastAsia="仿宋_GB2312"/>
          <w:sz w:val="32"/>
          <w:szCs w:val="32"/>
        </w:rPr>
        <w:t>0万元。</w:t>
      </w:r>
    </w:p>
    <w:p>
      <w:pPr>
        <w:spacing w:line="600" w:lineRule="exact"/>
        <w:ind w:firstLine="640" w:firstLineChars="200"/>
        <w:outlineLvl w:val="1"/>
        <w:rPr>
          <w:rStyle w:val="19"/>
          <w:rFonts w:ascii="黑体" w:hAnsi="黑体" w:eastAsia="黑体"/>
        </w:rPr>
      </w:pPr>
      <w:bookmarkStart w:id="14" w:name="_Toc3938"/>
      <w:r>
        <w:rPr>
          <w:rFonts w:hint="eastAsia" w:ascii="黑体" w:eastAsia="黑体"/>
          <w:sz w:val="32"/>
          <w:szCs w:val="32"/>
        </w:rPr>
        <w:t>八、</w:t>
      </w:r>
      <w:r>
        <w:rPr>
          <w:rStyle w:val="19"/>
          <w:rFonts w:hint="eastAsia" w:ascii="黑体" w:hAnsi="黑体" w:eastAsia="黑体"/>
          <w:b w:val="0"/>
        </w:rPr>
        <w:t>政府性基金预算支出决算情况说明</w:t>
      </w:r>
      <w:bookmarkEnd w:id="14"/>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2024年度政府性基金预算财政拨款支出0万元。</w:t>
      </w:r>
    </w:p>
    <w:p>
      <w:pPr>
        <w:spacing w:line="600" w:lineRule="exact"/>
        <w:ind w:firstLine="640" w:firstLineChars="200"/>
        <w:outlineLvl w:val="1"/>
        <w:rPr>
          <w:rStyle w:val="19"/>
          <w:rFonts w:ascii="黑体" w:hAnsi="黑体" w:eastAsia="黑体"/>
          <w:b w:val="0"/>
        </w:rPr>
      </w:pPr>
      <w:bookmarkStart w:id="15" w:name="_Toc1266"/>
      <w:r>
        <w:rPr>
          <w:rStyle w:val="19"/>
          <w:rFonts w:hint="eastAsia" w:ascii="黑体" w:hAnsi="黑体" w:eastAsia="黑体"/>
          <w:b w:val="0"/>
        </w:rPr>
        <w:t>九、国有资本经营预算支出决算情况说明</w:t>
      </w:r>
      <w:bookmarkEnd w:id="15"/>
    </w:p>
    <w:p>
      <w:pPr>
        <w:spacing w:line="600" w:lineRule="exact"/>
        <w:ind w:firstLine="640" w:firstLineChars="200"/>
        <w:rPr>
          <w:rFonts w:ascii="Arial Unicode MS" w:hAnsi="Arial Unicode MS" w:eastAsia="Arial Unicode MS" w:cs="Arial Unicode MS"/>
          <w:sz w:val="44"/>
          <w:szCs w:val="44"/>
        </w:rPr>
      </w:pPr>
      <w:r>
        <w:rPr>
          <w:rFonts w:hint="eastAsia" w:ascii="仿宋_GB2312" w:eastAsia="仿宋_GB2312"/>
          <w:sz w:val="32"/>
          <w:szCs w:val="32"/>
        </w:rPr>
        <w:t>2024年度国有资本经营预算财政拨款支出0万元。</w:t>
      </w:r>
    </w:p>
    <w:p>
      <w:pPr>
        <w:spacing w:line="600" w:lineRule="exact"/>
        <w:ind w:firstLine="640" w:firstLineChars="200"/>
        <w:outlineLvl w:val="1"/>
        <w:rPr>
          <w:rStyle w:val="19"/>
          <w:rFonts w:ascii="黑体" w:hAnsi="黑体" w:eastAsia="黑体"/>
          <w:b w:val="0"/>
        </w:rPr>
      </w:pPr>
      <w:bookmarkStart w:id="16" w:name="_Toc30185"/>
      <w:r>
        <w:rPr>
          <w:rStyle w:val="19"/>
          <w:rFonts w:hint="eastAsia" w:ascii="黑体" w:hAnsi="黑体" w:eastAsia="黑体"/>
          <w:b w:val="0"/>
        </w:rPr>
        <w:t>十、其他重要事项的情况说明</w:t>
      </w:r>
      <w:bookmarkEnd w:id="16"/>
    </w:p>
    <w:p>
      <w:pPr>
        <w:spacing w:line="600" w:lineRule="exact"/>
        <w:ind w:firstLine="643" w:firstLineChars="200"/>
        <w:outlineLvl w:val="2"/>
        <w:rPr>
          <w:rFonts w:ascii="仿宋" w:hAnsi="仿宋" w:eastAsia="仿宋"/>
          <w:sz w:val="32"/>
          <w:szCs w:val="32"/>
        </w:rPr>
      </w:pPr>
      <w:r>
        <w:rPr>
          <w:rFonts w:hint="eastAsia" w:ascii="仿宋" w:hAnsi="仿宋" w:eastAsia="仿宋"/>
          <w:b/>
          <w:sz w:val="32"/>
          <w:szCs w:val="32"/>
        </w:rPr>
        <w:t>（一）机关运行经费支出情况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2024年度，乐山市市中区综合行政执法局机关运行经费支出400.67万元，比2023年度增加359.55万元，增长874.41</w:t>
      </w:r>
      <w:r>
        <w:rPr>
          <w:rFonts w:ascii="仿宋_GB2312" w:eastAsia="仿宋_GB2312"/>
          <w:sz w:val="32"/>
          <w:szCs w:val="32"/>
        </w:rPr>
        <w:t>%</w:t>
      </w:r>
      <w:r>
        <w:rPr>
          <w:rFonts w:hint="eastAsia" w:ascii="仿宋_GB2312" w:eastAsia="仿宋_GB2312"/>
          <w:sz w:val="32"/>
          <w:szCs w:val="32"/>
        </w:rPr>
        <w:t>。主要原因是</w:t>
      </w:r>
      <w:r>
        <w:rPr>
          <w:rFonts w:hint="eastAsia" w:ascii="仿宋" w:hAnsi="仿宋" w:eastAsia="仿宋"/>
          <w:sz w:val="32"/>
          <w:szCs w:val="32"/>
        </w:rPr>
        <w:t>市城管系统（包含城市管理执法队、市容管理大队、数字化中心）及</w:t>
      </w:r>
      <w:r>
        <w:rPr>
          <w:rFonts w:hint="eastAsia" w:ascii="仿宋" w:hAnsi="仿宋" w:eastAsia="仿宋"/>
          <w:sz w:val="32"/>
          <w:szCs w:val="32"/>
          <w:lang w:eastAsia="zh-CN"/>
        </w:rPr>
        <w:t>市</w:t>
      </w:r>
      <w:r>
        <w:rPr>
          <w:rFonts w:hint="eastAsia" w:ascii="仿宋" w:hAnsi="仿宋" w:eastAsia="仿宋"/>
          <w:sz w:val="32"/>
          <w:szCs w:val="32"/>
        </w:rPr>
        <w:t>自然资源执法大队划转至我单位，</w:t>
      </w:r>
      <w:r>
        <w:rPr>
          <w:rFonts w:hint="eastAsia" w:ascii="仿宋" w:hAnsi="仿宋" w:eastAsia="仿宋"/>
          <w:sz w:val="32"/>
          <w:szCs w:val="32"/>
          <w:lang w:eastAsia="zh-CN"/>
        </w:rPr>
        <w:t>人员、项目增加，</w:t>
      </w:r>
      <w:r>
        <w:rPr>
          <w:rFonts w:hint="eastAsia" w:ascii="仿宋" w:hAnsi="仿宋" w:eastAsia="仿宋"/>
          <w:sz w:val="32"/>
          <w:szCs w:val="32"/>
        </w:rPr>
        <w:t>导致</w:t>
      </w:r>
      <w:r>
        <w:rPr>
          <w:rFonts w:hint="eastAsia" w:ascii="仿宋_GB2312" w:eastAsia="仿宋_GB2312"/>
          <w:sz w:val="32"/>
          <w:szCs w:val="32"/>
        </w:rPr>
        <w:t>车辆运行维护费增加。</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（二）政府采购支出情况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2024年度，乐山市市中区综合行政执法局政府采购支出总额70.67万元，其中：政府采购货物支出5万元、政府采购工程支出0万元、政府采购服务支出65.67万元。主要用于</w:t>
      </w:r>
      <w:r>
        <w:rPr>
          <w:rFonts w:hint="eastAsia" w:ascii="Times New Roman" w:hAnsi="Times New Roman" w:eastAsia="仿宋_GB2312"/>
          <w:sz w:val="32"/>
          <w:szCs w:val="32"/>
        </w:rPr>
        <w:t>53辆公务用车燃油、维修、保险等方面支出，主要保障行政执法、城市管理等工作开展。</w:t>
      </w:r>
      <w:r>
        <w:rPr>
          <w:rFonts w:hint="eastAsia" w:ascii="仿宋_GB2312" w:eastAsia="仿宋_GB2312"/>
          <w:sz w:val="32"/>
          <w:szCs w:val="32"/>
        </w:rPr>
        <w:t>授予中小企业合同金额0万元，占政府采购支出总额的0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（三）国有资产占有使用情况</w:t>
      </w:r>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截至2024年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日，乐山市市中区综合行政执法局共有车辆53辆，其中：主要领导干部用车0辆、机要通信用车0辆、应急保障用车0辆、执法执勤用车0辆、特种专业技术用车53辆、离退休干部服务用车0辆、其他用车0辆。单价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万元以上专用设备（不含车辆）0台（套）。</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根据预算绩效管理要求，本单位在2024年度预算编制阶段，组织对“2024年公益性岗位补贴资金（原城管局划转）”“2024年基本运转经费”“2024年综合行政执法制式服装和标志购置项目”“2024年创文巩卫城市管理缓堵保畅工作经费”“2024年城市管理协管员工资”“2023年砂石资源专项整治工作经费”等6个项目开展了预算事前绩效评估，对6个项目编制了绩效目标，在预算执行过程中，选取6个项目开展绩效监控，组织对6个项目开展绩效自评，绩效自评表详见第四部分附件。</w:t>
      </w:r>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br w:type="page"/>
      </w:r>
    </w:p>
    <w:p>
      <w:pPr>
        <w:spacing w:line="600" w:lineRule="exact"/>
        <w:ind w:firstLine="880" w:firstLineChars="200"/>
        <w:jc w:val="center"/>
        <w:outlineLvl w:val="0"/>
        <w:rPr>
          <w:rStyle w:val="18"/>
          <w:rFonts w:ascii="黑体" w:hAnsi="黑体" w:eastAsia="黑体"/>
          <w:b w:val="0"/>
        </w:rPr>
      </w:pPr>
      <w:bookmarkStart w:id="17" w:name="_Toc7235"/>
      <w:r>
        <w:rPr>
          <w:rFonts w:hint="eastAsia" w:ascii="黑体" w:hAnsi="黑体" w:eastAsia="黑体"/>
          <w:sz w:val="44"/>
          <w:szCs w:val="44"/>
        </w:rPr>
        <w:t>第三部分  名</w:t>
      </w:r>
      <w:r>
        <w:rPr>
          <w:rStyle w:val="18"/>
          <w:rFonts w:hint="eastAsia" w:ascii="黑体" w:hAnsi="黑体" w:eastAsia="黑体"/>
          <w:b w:val="0"/>
        </w:rPr>
        <w:t>词解释</w:t>
      </w:r>
      <w:bookmarkEnd w:id="17"/>
    </w:p>
    <w:p>
      <w:pPr>
        <w:spacing w:line="600" w:lineRule="exact"/>
        <w:jc w:val="left"/>
        <w:rPr>
          <w:rFonts w:ascii="宋体"/>
          <w:b/>
          <w:sz w:val="44"/>
          <w:szCs w:val="44"/>
        </w:rPr>
      </w:pP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财政拨款收入：指单位从同级财政部门取得的财政预算资金。</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事业收入：指事业单位开展专业业务活动及辅助活动取得的收入。</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经营收入：指事业单位在专业业务活动及其辅助活动之外开展非独立核算经营活动取得的收入。</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其他收入：指单位取得的除上述收入以外的各项收入。</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：指事业单位使用以前年度积累的非财政拨款结余弥补当年收支差额的金额。</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年末结转和结余：指单位按有关规定结转到下年或以后年度继续使用的资金。</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社会保障和就业（类）行政事业单位养老支出（款）机关事业单位基本养老保险缴费支出（项）：指机关事业单位实施养老保险制度由单位缴纳的基本养老保险费支出。</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社会保障和就业（类）行政事业单位养老支出（款）机关事业单位职业年金缴费支出（项）：指机关事业单位实施养老保险制度由单位实际缴纳的职业年金支出（含职业年金补记支出）。</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社会保障和就业（类）行政事业单位养老支出（款）其他行政事业单位养老支出（项）： 指其他用于行政事业单位养老方面的支出。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社会保障和就业（类）抚恤（款）死亡抚恤（项）： 指按规定用于烈士和牺牲、病故人员家属的一次性和定期抚恤金、丧葬补助费以及烈士褒扬金。</w:t>
      </w:r>
    </w:p>
    <w:p>
      <w:pPr>
        <w:numPr>
          <w:ilvl w:val="0"/>
          <w:numId w:val="3"/>
        </w:numPr>
        <w:spacing w:line="600" w:lineRule="exact"/>
        <w:ind w:firstLine="640" w:firstLineChars="200"/>
        <w:rPr>
          <w:rFonts w:ascii="仿宋_GB2312" w:eastAsia="仿宋_GB2312"/>
          <w:sz w:val="32"/>
          <w:szCs w:val="32"/>
        </w:rPr>
      </w:pPr>
      <w:r>
        <w:rPr>
          <w:rFonts w:hint="eastAsia" w:ascii="仿宋_GB2312" w:eastAsia="仿宋_GB2312"/>
          <w:sz w:val="32"/>
          <w:szCs w:val="32"/>
        </w:rPr>
        <w:t>社会保障和就业（类）其他社会保障和就业支出（款）其他社会保障和就业支出（项）：指按规定用于其他社会保障和就业等方面的支出。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行政单位医疗（项）：指财政部门安排的行政单位（包括实行公务员管理的事业单位，下同）基本医疗保险缴费经费，未参加医疗保险的行政单位的公费医疗经费，按国家规定享受离休人员、红军老战士待遇人员的医疗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卫生健康（类）行政事业单位医疗（款）事业单位医疗（项）：指财政部门安排的事业单位基本医疗保险缴费经费，未参加医疗保险的事业单位的公费医疗经费，按国家规定享受离休人员待遇的医疗经费。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卫生健康（类）行政事业单位医疗（款）公务员医疗补助（项）：指财政部门安排的公务员医疗补助经费。</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城乡社区（类）城乡社区管理事务（款）行政运行（项）： 指行政单位（包括实行公务员管理的事业单位）的基本支出。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城乡社区（类）城乡社区管理事务（款）一般行政管理事务（项）：指行政单位（包括实行公务员管理的事业单位）未单独设置项级科目的其他项目支出。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城乡社区（类）城乡社区管理事务（款）其他城乡社区管理事务支出（项）：指其他用于城乡社区管理事务方面的支出。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住房保障（类）住房改革支出（款）住房公积金（项）：指行政事业单位按人力资源和社会保障部、财政部规定的基本工资和津贴补贴以及规定比例为职工缴纳的住房公积金。</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基本支出：指为保障机构正常运转、完成日常工作任务而发生的人员支出和公用支出。</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pPr>
        <w:numPr>
          <w:ilvl w:val="0"/>
          <w:numId w:val="3"/>
        </w:numPr>
        <w:ind w:firstLine="640" w:firstLineChars="200"/>
        <w:rPr>
          <w:rFonts w:ascii="仿宋_GB2312" w:eastAsia="仿宋_GB2312"/>
          <w:sz w:val="32"/>
          <w:szCs w:val="32"/>
        </w:rPr>
      </w:pPr>
      <w:r>
        <w:rPr>
          <w:rFonts w:hint="eastAsia" w:ascii="仿宋_GB2312" w:eastAsia="仿宋_GB2312"/>
          <w:sz w:val="32"/>
          <w:szCs w:val="32"/>
        </w:rPr>
        <w:t>经营支出：指事业单位在专业业务活动及其辅助活动之外开展非独立核算经营活动发生的支出。</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6"/>
        <w:numPr>
          <w:ilvl w:val="0"/>
          <w:numId w:val="3"/>
        </w:num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ind w:firstLine="883" w:firstLineChars="200"/>
        <w:jc w:val="center"/>
        <w:outlineLvl w:val="0"/>
        <w:rPr>
          <w:rStyle w:val="18"/>
          <w:rFonts w:ascii="黑体" w:hAnsi="黑体" w:eastAsia="黑体"/>
          <w:b w:val="0"/>
        </w:rPr>
      </w:pPr>
      <w:r>
        <w:rPr>
          <w:rFonts w:ascii="宋体"/>
          <w:b/>
          <w:sz w:val="44"/>
          <w:szCs w:val="44"/>
        </w:rPr>
        <w:br w:type="page"/>
      </w:r>
      <w:bookmarkStart w:id="18" w:name="_Toc13031"/>
      <w:r>
        <w:rPr>
          <w:rFonts w:hint="eastAsia" w:ascii="黑体" w:hAnsi="黑体" w:eastAsia="黑体"/>
          <w:sz w:val="44"/>
          <w:szCs w:val="44"/>
        </w:rPr>
        <w:t>第</w:t>
      </w:r>
      <w:r>
        <w:rPr>
          <w:rStyle w:val="18"/>
          <w:rFonts w:hint="eastAsia" w:ascii="黑体" w:hAnsi="黑体" w:eastAsia="黑体"/>
          <w:b w:val="0"/>
        </w:rPr>
        <w:t>四部分 附件</w:t>
      </w:r>
      <w:bookmarkEnd w:id="18"/>
    </w:p>
    <w:p>
      <w:pPr>
        <w:spacing w:line="572" w:lineRule="exact"/>
        <w:jc w:val="left"/>
        <w:rPr>
          <w:rFonts w:ascii="仿宋_GB2312" w:hAnsi="仿宋_GB2312" w:eastAsia="仿宋_GB2312" w:cs="仿宋_GB2312"/>
          <w:sz w:val="32"/>
          <w:szCs w:val="32"/>
        </w:rPr>
      </w:pPr>
    </w:p>
    <w:p>
      <w:pPr>
        <w:spacing w:line="600" w:lineRule="exact"/>
        <w:ind w:firstLine="640" w:firstLineChars="200"/>
        <w:jc w:val="center"/>
        <w:rPr>
          <w:rFonts w:ascii="黑体" w:hAnsi="黑体" w:eastAsia="黑体"/>
          <w:color w:val="FF0000"/>
          <w:sz w:val="44"/>
          <w:szCs w:val="44"/>
        </w:rPr>
      </w:pPr>
      <w:r>
        <w:rPr>
          <w:rFonts w:hint="eastAsia" w:hAnsi="Times New Roman"/>
          <w:sz w:val="32"/>
          <w:szCs w:val="32"/>
        </w:rPr>
        <w:t>部门预算项目支出绩效自评表（2024年度）</w:t>
      </w:r>
    </w:p>
    <w:p>
      <w:pPr>
        <w:pStyle w:val="5"/>
        <w:rPr>
          <w:rFonts w:ascii="仿宋_GB2312" w:eastAsia="仿宋_GB2312" w:cs="仿宋"/>
          <w:kern w:val="0"/>
          <w:sz w:val="32"/>
          <w:szCs w:val="32"/>
        </w:rPr>
      </w:pPr>
    </w:p>
    <w:p>
      <w:pPr>
        <w:pStyle w:val="5"/>
        <w:rPr>
          <w:rFonts w:ascii="仿宋_GB2312" w:eastAsia="仿宋_GB2312" w:cs="仿宋"/>
          <w:kern w:val="0"/>
          <w:sz w:val="32"/>
          <w:szCs w:val="32"/>
        </w:rPr>
      </w:pPr>
      <w:r>
        <w:rPr>
          <w:rFonts w:hint="eastAsia" w:ascii="仿宋_GB2312" w:eastAsia="仿宋_GB2312" w:cs="仿宋"/>
          <w:kern w:val="0"/>
          <w:sz w:val="32"/>
          <w:szCs w:val="32"/>
        </w:rPr>
        <w:drawing>
          <wp:inline distT="0" distB="0" distL="114300" distR="114300">
            <wp:extent cx="5272405" cy="5210175"/>
            <wp:effectExtent l="0" t="0" r="4445" b="9525"/>
            <wp:docPr id="8" name="图片 15" descr="区综合行政执法局部门预算项目支出绩效自评表_自评表 (公益性岗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区综合行政执法局部门预算项目支出绩效自评表_自评表 (公益性岗位)"/>
                    <pic:cNvPicPr>
                      <a:picLocks noChangeAspect="1"/>
                    </pic:cNvPicPr>
                  </pic:nvPicPr>
                  <pic:blipFill>
                    <a:blip r:embed="rId13"/>
                    <a:stretch>
                      <a:fillRect/>
                    </a:stretch>
                  </pic:blipFill>
                  <pic:spPr>
                    <a:xfrm>
                      <a:off x="0" y="0"/>
                      <a:ext cx="5272405" cy="5210175"/>
                    </a:xfrm>
                    <a:prstGeom prst="rect">
                      <a:avLst/>
                    </a:prstGeom>
                    <a:noFill/>
                    <a:ln>
                      <a:noFill/>
                    </a:ln>
                  </pic:spPr>
                </pic:pic>
              </a:graphicData>
            </a:graphic>
          </wp:inline>
        </w:drawing>
      </w:r>
      <w:r>
        <w:rPr>
          <w:rFonts w:hint="eastAsia" w:ascii="仿宋_GB2312" w:eastAsia="仿宋_GB2312" w:cs="仿宋"/>
          <w:kern w:val="0"/>
          <w:sz w:val="32"/>
          <w:szCs w:val="32"/>
        </w:rPr>
        <w:drawing>
          <wp:inline distT="0" distB="0" distL="114300" distR="114300">
            <wp:extent cx="5272405" cy="5210175"/>
            <wp:effectExtent l="0" t="0" r="4445" b="9525"/>
            <wp:docPr id="9" name="图片 14" descr="区综合行政执法局部门预算项目支出绩效自评表_自评表 (缓堵保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区综合行政执法局部门预算项目支出绩效自评表_自评表 (缓堵保畅)"/>
                    <pic:cNvPicPr>
                      <a:picLocks noChangeAspect="1"/>
                    </pic:cNvPicPr>
                  </pic:nvPicPr>
                  <pic:blipFill>
                    <a:blip r:embed="rId14"/>
                    <a:stretch>
                      <a:fillRect/>
                    </a:stretch>
                  </pic:blipFill>
                  <pic:spPr>
                    <a:xfrm>
                      <a:off x="0" y="0"/>
                      <a:ext cx="5272405" cy="5210175"/>
                    </a:xfrm>
                    <a:prstGeom prst="rect">
                      <a:avLst/>
                    </a:prstGeom>
                    <a:noFill/>
                    <a:ln>
                      <a:noFill/>
                    </a:ln>
                  </pic:spPr>
                </pic:pic>
              </a:graphicData>
            </a:graphic>
          </wp:inline>
        </w:drawing>
      </w:r>
      <w:r>
        <w:rPr>
          <w:rFonts w:hint="eastAsia" w:ascii="仿宋_GB2312" w:eastAsia="仿宋_GB2312" w:cs="仿宋"/>
          <w:kern w:val="0"/>
          <w:sz w:val="32"/>
          <w:szCs w:val="32"/>
        </w:rPr>
        <w:drawing>
          <wp:inline distT="0" distB="0" distL="114300" distR="114300">
            <wp:extent cx="5273040" cy="5815330"/>
            <wp:effectExtent l="0" t="0" r="3810" b="13970"/>
            <wp:docPr id="10" name="图片 13" descr="区综合行政执法局部门预算项目支出绩效自评表_自评表 (基本运转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区综合行政执法局部门预算项目支出绩效自评表_自评表 (基本运转经费)"/>
                    <pic:cNvPicPr>
                      <a:picLocks noChangeAspect="1"/>
                    </pic:cNvPicPr>
                  </pic:nvPicPr>
                  <pic:blipFill>
                    <a:blip r:embed="rId15"/>
                    <a:stretch>
                      <a:fillRect/>
                    </a:stretch>
                  </pic:blipFill>
                  <pic:spPr>
                    <a:xfrm>
                      <a:off x="0" y="0"/>
                      <a:ext cx="5273040" cy="5815330"/>
                    </a:xfrm>
                    <a:prstGeom prst="rect">
                      <a:avLst/>
                    </a:prstGeom>
                    <a:noFill/>
                    <a:ln>
                      <a:noFill/>
                    </a:ln>
                  </pic:spPr>
                </pic:pic>
              </a:graphicData>
            </a:graphic>
          </wp:inline>
        </w:drawing>
      </w:r>
      <w:r>
        <w:rPr>
          <w:rFonts w:hint="eastAsia" w:ascii="仿宋_GB2312" w:eastAsia="仿宋_GB2312" w:cs="仿宋"/>
          <w:kern w:val="0"/>
          <w:sz w:val="32"/>
          <w:szCs w:val="32"/>
        </w:rPr>
        <w:drawing>
          <wp:inline distT="0" distB="0" distL="114300" distR="114300">
            <wp:extent cx="5272405" cy="6824980"/>
            <wp:effectExtent l="0" t="0" r="4445" b="13970"/>
            <wp:docPr id="11" name="图片 12" descr="区综合行政执法局部门预算项目支出绩效自评表_自评表 (砂石整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区综合行政执法局部门预算项目支出绩效自评表_自评表 (砂石整治)"/>
                    <pic:cNvPicPr>
                      <a:picLocks noChangeAspect="1"/>
                    </pic:cNvPicPr>
                  </pic:nvPicPr>
                  <pic:blipFill>
                    <a:blip r:embed="rId16"/>
                    <a:stretch>
                      <a:fillRect/>
                    </a:stretch>
                  </pic:blipFill>
                  <pic:spPr>
                    <a:xfrm>
                      <a:off x="0" y="0"/>
                      <a:ext cx="5272405" cy="6824980"/>
                    </a:xfrm>
                    <a:prstGeom prst="rect">
                      <a:avLst/>
                    </a:prstGeom>
                    <a:noFill/>
                    <a:ln>
                      <a:noFill/>
                    </a:ln>
                  </pic:spPr>
                </pic:pic>
              </a:graphicData>
            </a:graphic>
          </wp:inline>
        </w:drawing>
      </w:r>
      <w:r>
        <w:rPr>
          <w:rFonts w:hint="eastAsia" w:ascii="仿宋_GB2312" w:eastAsia="仿宋_GB2312" w:cs="仿宋"/>
          <w:kern w:val="0"/>
          <w:sz w:val="32"/>
          <w:szCs w:val="32"/>
        </w:rPr>
        <w:drawing>
          <wp:inline distT="0" distB="0" distL="114300" distR="114300">
            <wp:extent cx="5272405" cy="5769610"/>
            <wp:effectExtent l="0" t="0" r="4445" b="2540"/>
            <wp:docPr id="12" name="图片 11" descr="区综合行政执法局部门预算项目支出绩效自评表_自评表 (协管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区综合行政执法局部门预算项目支出绩效自评表_自评表 (协管员)"/>
                    <pic:cNvPicPr>
                      <a:picLocks noChangeAspect="1"/>
                    </pic:cNvPicPr>
                  </pic:nvPicPr>
                  <pic:blipFill>
                    <a:blip r:embed="rId17"/>
                    <a:stretch>
                      <a:fillRect/>
                    </a:stretch>
                  </pic:blipFill>
                  <pic:spPr>
                    <a:xfrm>
                      <a:off x="0" y="0"/>
                      <a:ext cx="5272405" cy="5769610"/>
                    </a:xfrm>
                    <a:prstGeom prst="rect">
                      <a:avLst/>
                    </a:prstGeom>
                    <a:noFill/>
                    <a:ln>
                      <a:noFill/>
                    </a:ln>
                  </pic:spPr>
                </pic:pic>
              </a:graphicData>
            </a:graphic>
          </wp:inline>
        </w:drawing>
      </w:r>
      <w:r>
        <w:rPr>
          <w:rFonts w:hint="eastAsia" w:ascii="仿宋_GB2312" w:eastAsia="仿宋_GB2312" w:cs="仿宋"/>
          <w:kern w:val="0"/>
          <w:sz w:val="32"/>
          <w:szCs w:val="32"/>
        </w:rPr>
        <w:drawing>
          <wp:inline distT="0" distB="0" distL="114300" distR="114300">
            <wp:extent cx="5272405" cy="5328285"/>
            <wp:effectExtent l="0" t="0" r="4445" b="5715"/>
            <wp:docPr id="13" name="图片 10" descr="区综合行政执法局部门预算项目支出绩效自评表_自评表（服装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区综合行政执法局部门预算项目支出绩效自评表_自评表（服装采购）"/>
                    <pic:cNvPicPr>
                      <a:picLocks noChangeAspect="1"/>
                    </pic:cNvPicPr>
                  </pic:nvPicPr>
                  <pic:blipFill>
                    <a:blip r:embed="rId18"/>
                    <a:stretch>
                      <a:fillRect/>
                    </a:stretch>
                  </pic:blipFill>
                  <pic:spPr>
                    <a:xfrm>
                      <a:off x="0" y="0"/>
                      <a:ext cx="5272405" cy="5328285"/>
                    </a:xfrm>
                    <a:prstGeom prst="rect">
                      <a:avLst/>
                    </a:prstGeom>
                    <a:noFill/>
                    <a:ln>
                      <a:noFill/>
                    </a:ln>
                  </pic:spPr>
                </pic:pic>
              </a:graphicData>
            </a:graphic>
          </wp:inline>
        </w:drawing>
      </w: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pStyle w:val="5"/>
        <w:rPr>
          <w:rFonts w:ascii="仿宋_GB2312" w:eastAsia="仿宋_GB2312" w:cs="仿宋"/>
          <w:kern w:val="0"/>
          <w:sz w:val="32"/>
          <w:szCs w:val="32"/>
        </w:rPr>
      </w:pPr>
    </w:p>
    <w:p>
      <w:pPr>
        <w:rPr>
          <w:rFonts w:ascii="黑体" w:hAnsi="黑体" w:eastAsia="黑体"/>
          <w:sz w:val="44"/>
          <w:szCs w:val="44"/>
        </w:rPr>
      </w:pPr>
    </w:p>
    <w:p>
      <w:pPr>
        <w:numPr>
          <w:ilvl w:val="0"/>
          <w:numId w:val="4"/>
        </w:numPr>
        <w:spacing w:line="600" w:lineRule="exact"/>
        <w:ind w:firstLine="800" w:firstLineChars="200"/>
        <w:jc w:val="center"/>
        <w:outlineLvl w:val="0"/>
        <w:rPr>
          <w:rStyle w:val="18"/>
          <w:rFonts w:ascii="黑体" w:hAnsi="黑体" w:eastAsia="黑体"/>
          <w:b w:val="0"/>
          <w:sz w:val="40"/>
          <w:szCs w:val="40"/>
        </w:rPr>
      </w:pPr>
      <w:bookmarkStart w:id="19" w:name="_Toc12686"/>
      <w:r>
        <w:rPr>
          <w:rStyle w:val="18"/>
          <w:rFonts w:hint="eastAsia" w:ascii="黑体" w:hAnsi="黑体" w:eastAsia="黑体"/>
          <w:b w:val="0"/>
          <w:sz w:val="40"/>
          <w:szCs w:val="40"/>
        </w:rPr>
        <w:t>附表</w:t>
      </w:r>
      <w:bookmarkEnd w:id="19"/>
    </w:p>
    <w:p>
      <w:pPr>
        <w:pStyle w:val="13"/>
      </w:pPr>
    </w:p>
    <w:p>
      <w:pPr>
        <w:pStyle w:val="3"/>
        <w:spacing w:before="0" w:after="0" w:line="240" w:lineRule="auto"/>
        <w:ind w:firstLine="640" w:firstLineChars="200"/>
        <w:rPr>
          <w:rFonts w:ascii="黑体" w:hAnsi="黑体" w:eastAsia="黑体" w:cs="黑体"/>
        </w:rPr>
      </w:pPr>
      <w:bookmarkStart w:id="20" w:name="_Toc3791"/>
      <w:r>
        <w:rPr>
          <w:rFonts w:hint="eastAsia" w:ascii="黑体" w:hAnsi="黑体" w:eastAsia="黑体" w:cs="黑体"/>
          <w:b w:val="0"/>
        </w:rPr>
        <w:t>一、收</w:t>
      </w:r>
      <w:r>
        <w:rPr>
          <w:rStyle w:val="19"/>
          <w:rFonts w:hint="eastAsia" w:ascii="黑体" w:hAnsi="黑体" w:eastAsia="黑体" w:cs="黑体"/>
          <w:b w:val="0"/>
          <w:bCs w:val="0"/>
        </w:rPr>
        <w:t>入支出决算总表</w:t>
      </w:r>
      <w:bookmarkEnd w:id="20"/>
    </w:p>
    <w:p>
      <w:pPr>
        <w:pStyle w:val="3"/>
        <w:spacing w:before="0" w:after="0" w:line="240" w:lineRule="auto"/>
        <w:ind w:firstLine="640" w:firstLineChars="200"/>
        <w:rPr>
          <w:rFonts w:ascii="黑体" w:hAnsi="黑体" w:eastAsia="黑体" w:cs="黑体"/>
        </w:rPr>
      </w:pPr>
      <w:bookmarkStart w:id="21" w:name="_Toc15396620"/>
      <w:bookmarkStart w:id="22" w:name="_Toc18588"/>
      <w:r>
        <w:rPr>
          <w:rFonts w:hint="eastAsia" w:ascii="黑体" w:hAnsi="黑体" w:eastAsia="黑体" w:cs="黑体"/>
          <w:b w:val="0"/>
        </w:rPr>
        <w:t>二、收</w:t>
      </w:r>
      <w:r>
        <w:rPr>
          <w:rStyle w:val="19"/>
          <w:rFonts w:hint="eastAsia" w:ascii="黑体" w:hAnsi="黑体" w:eastAsia="黑体" w:cs="黑体"/>
          <w:b w:val="0"/>
          <w:bCs w:val="0"/>
        </w:rPr>
        <w:t>入决算表</w:t>
      </w:r>
      <w:bookmarkEnd w:id="21"/>
      <w:bookmarkEnd w:id="22"/>
    </w:p>
    <w:p>
      <w:pPr>
        <w:pStyle w:val="3"/>
        <w:spacing w:before="0" w:after="0" w:line="240" w:lineRule="auto"/>
        <w:ind w:firstLine="640" w:firstLineChars="200"/>
        <w:rPr>
          <w:rFonts w:ascii="黑体" w:hAnsi="黑体" w:eastAsia="黑体" w:cs="黑体"/>
        </w:rPr>
      </w:pPr>
      <w:bookmarkStart w:id="23" w:name="_Toc20217"/>
      <w:bookmarkStart w:id="24" w:name="_Toc15396621"/>
      <w:r>
        <w:rPr>
          <w:rStyle w:val="19"/>
          <w:rFonts w:hint="eastAsia" w:ascii="黑体" w:hAnsi="黑体" w:eastAsia="黑体" w:cs="黑体"/>
          <w:b w:val="0"/>
          <w:bCs w:val="0"/>
        </w:rPr>
        <w:t>三、</w:t>
      </w:r>
      <w:r>
        <w:rPr>
          <w:rFonts w:hint="eastAsia" w:ascii="黑体" w:hAnsi="黑体" w:eastAsia="黑体" w:cs="黑体"/>
          <w:b w:val="0"/>
        </w:rPr>
        <w:t>支</w:t>
      </w:r>
      <w:r>
        <w:rPr>
          <w:rStyle w:val="19"/>
          <w:rFonts w:hint="eastAsia" w:ascii="黑体" w:hAnsi="黑体" w:eastAsia="黑体" w:cs="黑体"/>
          <w:b w:val="0"/>
          <w:bCs w:val="0"/>
        </w:rPr>
        <w:t>出决算表</w:t>
      </w:r>
      <w:bookmarkEnd w:id="23"/>
      <w:bookmarkEnd w:id="24"/>
    </w:p>
    <w:p>
      <w:pPr>
        <w:pStyle w:val="3"/>
        <w:spacing w:before="0" w:after="0" w:line="240" w:lineRule="auto"/>
        <w:ind w:firstLine="640" w:firstLineChars="200"/>
        <w:rPr>
          <w:rFonts w:ascii="黑体" w:hAnsi="黑体" w:eastAsia="黑体" w:cs="黑体"/>
          <w:b w:val="0"/>
        </w:rPr>
      </w:pPr>
      <w:bookmarkStart w:id="25" w:name="_Toc15396622"/>
      <w:bookmarkStart w:id="26" w:name="_Toc26444"/>
      <w:r>
        <w:rPr>
          <w:rStyle w:val="19"/>
          <w:rFonts w:hint="eastAsia" w:ascii="黑体" w:hAnsi="黑体" w:eastAsia="黑体" w:cs="黑体"/>
          <w:b w:val="0"/>
          <w:bCs w:val="0"/>
        </w:rPr>
        <w:t>四、</w:t>
      </w:r>
      <w:r>
        <w:rPr>
          <w:rFonts w:hint="eastAsia" w:ascii="黑体" w:hAnsi="黑体" w:eastAsia="黑体" w:cs="黑体"/>
          <w:b w:val="0"/>
        </w:rPr>
        <w:t>财</w:t>
      </w:r>
      <w:r>
        <w:rPr>
          <w:rStyle w:val="19"/>
          <w:rFonts w:hint="eastAsia" w:ascii="黑体" w:hAnsi="黑体" w:eastAsia="黑体" w:cs="黑体"/>
          <w:b w:val="0"/>
          <w:bCs w:val="0"/>
        </w:rPr>
        <w:t>政拨款收入支出决算总表</w:t>
      </w:r>
      <w:bookmarkEnd w:id="25"/>
      <w:bookmarkEnd w:id="26"/>
    </w:p>
    <w:p>
      <w:pPr>
        <w:pStyle w:val="3"/>
        <w:spacing w:before="0" w:after="0" w:line="240" w:lineRule="auto"/>
        <w:ind w:firstLine="640" w:firstLineChars="200"/>
        <w:rPr>
          <w:rStyle w:val="19"/>
          <w:rFonts w:ascii="黑体" w:hAnsi="黑体" w:eastAsia="黑体" w:cs="黑体"/>
          <w:b w:val="0"/>
          <w:bCs w:val="0"/>
        </w:rPr>
      </w:pPr>
      <w:bookmarkStart w:id="27" w:name="_Toc2051"/>
      <w:bookmarkStart w:id="28" w:name="_Toc15396623"/>
      <w:r>
        <w:rPr>
          <w:rStyle w:val="19"/>
          <w:rFonts w:hint="eastAsia" w:ascii="黑体" w:hAnsi="黑体" w:eastAsia="黑体" w:cs="黑体"/>
          <w:b w:val="0"/>
          <w:bCs w:val="0"/>
        </w:rPr>
        <w:t>五、</w:t>
      </w:r>
      <w:r>
        <w:rPr>
          <w:rFonts w:hint="eastAsia" w:ascii="黑体" w:hAnsi="黑体" w:eastAsia="黑体" w:cs="黑体"/>
          <w:b w:val="0"/>
        </w:rPr>
        <w:t>财</w:t>
      </w:r>
      <w:r>
        <w:rPr>
          <w:rStyle w:val="19"/>
          <w:rFonts w:hint="eastAsia" w:ascii="黑体" w:hAnsi="黑体" w:eastAsia="黑体" w:cs="黑体"/>
          <w:b w:val="0"/>
          <w:bCs w:val="0"/>
        </w:rPr>
        <w:t>政拨款支出决算明细表</w:t>
      </w:r>
      <w:bookmarkEnd w:id="27"/>
      <w:bookmarkEnd w:id="28"/>
      <w:bookmarkStart w:id="29" w:name="_Toc15396624"/>
    </w:p>
    <w:p>
      <w:pPr>
        <w:pStyle w:val="3"/>
        <w:spacing w:before="0" w:after="0" w:line="240" w:lineRule="auto"/>
        <w:ind w:firstLine="640" w:firstLineChars="200"/>
        <w:rPr>
          <w:rFonts w:ascii="黑体" w:hAnsi="黑体" w:eastAsia="黑体" w:cs="黑体"/>
        </w:rPr>
      </w:pPr>
      <w:bookmarkStart w:id="30" w:name="_Toc25849"/>
      <w:r>
        <w:rPr>
          <w:rStyle w:val="19"/>
          <w:rFonts w:hint="eastAsia" w:ascii="黑体" w:hAnsi="黑体" w:eastAsia="黑体" w:cs="黑体"/>
          <w:b w:val="0"/>
          <w:bCs w:val="0"/>
        </w:rPr>
        <w:t>六、</w:t>
      </w:r>
      <w:r>
        <w:rPr>
          <w:rFonts w:hint="eastAsia" w:ascii="黑体" w:hAnsi="黑体" w:eastAsia="黑体" w:cs="黑体"/>
          <w:b w:val="0"/>
        </w:rPr>
        <w:t>一</w:t>
      </w:r>
      <w:r>
        <w:rPr>
          <w:rStyle w:val="19"/>
          <w:rFonts w:hint="eastAsia" w:ascii="黑体" w:hAnsi="黑体" w:eastAsia="黑体" w:cs="黑体"/>
          <w:b w:val="0"/>
          <w:bCs w:val="0"/>
        </w:rPr>
        <w:t>般公共预算财政拨款支出决算表</w:t>
      </w:r>
      <w:bookmarkEnd w:id="29"/>
      <w:bookmarkEnd w:id="30"/>
    </w:p>
    <w:p>
      <w:pPr>
        <w:pStyle w:val="3"/>
        <w:spacing w:before="0" w:after="0" w:line="240" w:lineRule="auto"/>
        <w:ind w:firstLine="640" w:firstLineChars="200"/>
        <w:rPr>
          <w:rFonts w:ascii="黑体" w:hAnsi="黑体" w:eastAsia="黑体" w:cs="黑体"/>
        </w:rPr>
      </w:pPr>
      <w:bookmarkStart w:id="31" w:name="_Toc23604"/>
      <w:bookmarkStart w:id="32" w:name="_Toc15396625"/>
      <w:r>
        <w:rPr>
          <w:rStyle w:val="19"/>
          <w:rFonts w:hint="eastAsia" w:ascii="黑体" w:hAnsi="黑体" w:eastAsia="黑体" w:cs="黑体"/>
          <w:b w:val="0"/>
          <w:bCs w:val="0"/>
        </w:rPr>
        <w:t>七、</w:t>
      </w:r>
      <w:r>
        <w:rPr>
          <w:rFonts w:hint="eastAsia" w:ascii="黑体" w:hAnsi="黑体" w:eastAsia="黑体" w:cs="黑体"/>
          <w:b w:val="0"/>
        </w:rPr>
        <w:t>一</w:t>
      </w:r>
      <w:r>
        <w:rPr>
          <w:rStyle w:val="19"/>
          <w:rFonts w:hint="eastAsia" w:ascii="黑体" w:hAnsi="黑体" w:eastAsia="黑体" w:cs="黑体"/>
          <w:b w:val="0"/>
          <w:bCs w:val="0"/>
        </w:rPr>
        <w:t>般公共预算财政拨款支出决算明细表</w:t>
      </w:r>
      <w:bookmarkEnd w:id="31"/>
      <w:bookmarkEnd w:id="32"/>
    </w:p>
    <w:p>
      <w:pPr>
        <w:pStyle w:val="3"/>
        <w:spacing w:before="0" w:after="0" w:line="240" w:lineRule="auto"/>
        <w:ind w:firstLine="640" w:firstLineChars="200"/>
        <w:rPr>
          <w:rFonts w:ascii="黑体" w:hAnsi="黑体" w:eastAsia="黑体" w:cs="黑体"/>
        </w:rPr>
      </w:pPr>
      <w:bookmarkStart w:id="33" w:name="_Toc15396626"/>
      <w:bookmarkStart w:id="34" w:name="_Toc10720"/>
      <w:r>
        <w:rPr>
          <w:rStyle w:val="19"/>
          <w:rFonts w:hint="eastAsia" w:ascii="黑体" w:hAnsi="黑体" w:eastAsia="黑体" w:cs="黑体"/>
          <w:b w:val="0"/>
          <w:bCs w:val="0"/>
        </w:rPr>
        <w:t>八、</w:t>
      </w:r>
      <w:r>
        <w:rPr>
          <w:rFonts w:hint="eastAsia" w:ascii="黑体" w:hAnsi="黑体" w:eastAsia="黑体" w:cs="黑体"/>
          <w:b w:val="0"/>
        </w:rPr>
        <w:t>一</w:t>
      </w:r>
      <w:r>
        <w:rPr>
          <w:rStyle w:val="19"/>
          <w:rFonts w:hint="eastAsia" w:ascii="黑体" w:hAnsi="黑体" w:eastAsia="黑体" w:cs="黑体"/>
          <w:b w:val="0"/>
          <w:bCs w:val="0"/>
        </w:rPr>
        <w:t>般公共预算财政拨款基本支出决算表</w:t>
      </w:r>
      <w:bookmarkEnd w:id="33"/>
      <w:bookmarkEnd w:id="34"/>
    </w:p>
    <w:p>
      <w:pPr>
        <w:pStyle w:val="3"/>
        <w:spacing w:before="0" w:after="0" w:line="240" w:lineRule="auto"/>
        <w:ind w:firstLine="640" w:firstLineChars="200"/>
        <w:rPr>
          <w:rFonts w:ascii="黑体" w:hAnsi="黑体" w:eastAsia="黑体" w:cs="黑体"/>
        </w:rPr>
      </w:pPr>
      <w:bookmarkStart w:id="35" w:name="_Toc19892"/>
      <w:bookmarkStart w:id="36" w:name="_Toc15396627"/>
      <w:r>
        <w:rPr>
          <w:rStyle w:val="19"/>
          <w:rFonts w:hint="eastAsia" w:ascii="黑体" w:hAnsi="黑体" w:eastAsia="黑体" w:cs="黑体"/>
          <w:b w:val="0"/>
          <w:bCs w:val="0"/>
        </w:rPr>
        <w:t>九、</w:t>
      </w:r>
      <w:r>
        <w:rPr>
          <w:rFonts w:hint="eastAsia" w:ascii="黑体" w:hAnsi="黑体" w:eastAsia="黑体" w:cs="黑体"/>
          <w:b w:val="0"/>
        </w:rPr>
        <w:t>一</w:t>
      </w:r>
      <w:r>
        <w:rPr>
          <w:rStyle w:val="19"/>
          <w:rFonts w:hint="eastAsia" w:ascii="黑体" w:hAnsi="黑体" w:eastAsia="黑体" w:cs="黑体"/>
          <w:b w:val="0"/>
          <w:bCs w:val="0"/>
        </w:rPr>
        <w:t>般公共预算财政拨款项目支出决算表</w:t>
      </w:r>
      <w:bookmarkEnd w:id="35"/>
      <w:bookmarkEnd w:id="36"/>
    </w:p>
    <w:p>
      <w:pPr>
        <w:pStyle w:val="3"/>
        <w:spacing w:before="0" w:after="0" w:line="240" w:lineRule="auto"/>
        <w:ind w:firstLine="640" w:firstLineChars="200"/>
        <w:rPr>
          <w:rFonts w:ascii="黑体" w:hAnsi="黑体" w:eastAsia="黑体" w:cs="黑体"/>
        </w:rPr>
      </w:pPr>
      <w:bookmarkStart w:id="37" w:name="_Toc15396628"/>
      <w:bookmarkStart w:id="38" w:name="_Toc1757"/>
      <w:r>
        <w:rPr>
          <w:rStyle w:val="19"/>
          <w:rFonts w:hint="eastAsia" w:ascii="黑体" w:hAnsi="黑体" w:eastAsia="黑体" w:cs="黑体"/>
          <w:b w:val="0"/>
          <w:bCs w:val="0"/>
        </w:rPr>
        <w:t>十、</w:t>
      </w:r>
      <w:bookmarkEnd w:id="37"/>
      <w:r>
        <w:rPr>
          <w:rFonts w:hint="eastAsia" w:ascii="黑体" w:hAnsi="黑体" w:eastAsia="黑体" w:cs="黑体"/>
          <w:b w:val="0"/>
        </w:rPr>
        <w:t>政</w:t>
      </w:r>
      <w:r>
        <w:rPr>
          <w:rStyle w:val="19"/>
          <w:rFonts w:hint="eastAsia" w:ascii="黑体" w:hAnsi="黑体" w:eastAsia="黑体" w:cs="黑体"/>
          <w:b w:val="0"/>
          <w:bCs w:val="0"/>
        </w:rPr>
        <w:t>府性基金预算财政拨款收入支出决算表</w:t>
      </w:r>
      <w:bookmarkEnd w:id="38"/>
    </w:p>
    <w:p>
      <w:pPr>
        <w:pStyle w:val="3"/>
        <w:spacing w:before="0" w:after="0" w:line="240" w:lineRule="auto"/>
        <w:ind w:firstLine="640" w:firstLineChars="200"/>
        <w:rPr>
          <w:rFonts w:ascii="黑体" w:hAnsi="黑体" w:eastAsia="黑体" w:cs="黑体"/>
        </w:rPr>
      </w:pPr>
      <w:bookmarkStart w:id="39" w:name="_Toc15396629"/>
      <w:bookmarkStart w:id="40" w:name="_Toc19426"/>
      <w:r>
        <w:rPr>
          <w:rStyle w:val="19"/>
          <w:rFonts w:hint="eastAsia" w:ascii="黑体" w:hAnsi="黑体" w:eastAsia="黑体" w:cs="黑体"/>
          <w:b w:val="0"/>
          <w:bCs w:val="0"/>
        </w:rPr>
        <w:t>十一、</w:t>
      </w:r>
      <w:bookmarkEnd w:id="39"/>
      <w:r>
        <w:rPr>
          <w:rFonts w:hint="eastAsia" w:ascii="黑体" w:hAnsi="黑体" w:eastAsia="黑体" w:cs="黑体"/>
          <w:b w:val="0"/>
        </w:rPr>
        <w:t>国</w:t>
      </w:r>
      <w:r>
        <w:rPr>
          <w:rStyle w:val="19"/>
          <w:rFonts w:hint="eastAsia" w:ascii="黑体" w:hAnsi="黑体" w:eastAsia="黑体" w:cs="黑体"/>
          <w:b w:val="0"/>
          <w:bCs w:val="0"/>
        </w:rPr>
        <w:t>有资本经营预算财政拨款收入支出决算表</w:t>
      </w:r>
      <w:bookmarkEnd w:id="40"/>
    </w:p>
    <w:p>
      <w:pPr>
        <w:pStyle w:val="3"/>
        <w:spacing w:before="0" w:after="0" w:line="240" w:lineRule="auto"/>
        <w:ind w:firstLine="640" w:firstLineChars="200"/>
        <w:rPr>
          <w:rFonts w:ascii="黑体" w:hAnsi="黑体" w:eastAsia="黑体" w:cs="黑体"/>
        </w:rPr>
      </w:pPr>
      <w:bookmarkStart w:id="41" w:name="_Toc15396630"/>
      <w:bookmarkStart w:id="42" w:name="_Toc20479"/>
      <w:r>
        <w:rPr>
          <w:rStyle w:val="19"/>
          <w:rFonts w:hint="eastAsia" w:ascii="黑体" w:hAnsi="黑体" w:eastAsia="黑体" w:cs="黑体"/>
          <w:b w:val="0"/>
          <w:bCs w:val="0"/>
        </w:rPr>
        <w:t>十二、</w:t>
      </w:r>
      <w:bookmarkEnd w:id="41"/>
      <w:r>
        <w:rPr>
          <w:rStyle w:val="19"/>
          <w:rFonts w:hint="eastAsia" w:ascii="黑体" w:hAnsi="黑体" w:eastAsia="黑体" w:cs="黑体"/>
          <w:b w:val="0"/>
          <w:bCs w:val="0"/>
        </w:rPr>
        <w:t>国有资本经营预算财政拨款支出决算表</w:t>
      </w:r>
      <w:bookmarkEnd w:id="42"/>
    </w:p>
    <w:p>
      <w:pPr>
        <w:pStyle w:val="3"/>
        <w:spacing w:before="0" w:after="0" w:line="240" w:lineRule="auto"/>
        <w:ind w:firstLine="640" w:firstLineChars="200"/>
        <w:rPr>
          <w:rStyle w:val="19"/>
          <w:rFonts w:ascii="黑体" w:hAnsi="黑体" w:eastAsia="黑体" w:cs="黑体"/>
          <w:b w:val="0"/>
          <w:bCs w:val="0"/>
        </w:rPr>
      </w:pPr>
      <w:bookmarkStart w:id="43" w:name="_Toc15396631"/>
      <w:bookmarkStart w:id="44" w:name="_Toc7190"/>
      <w:r>
        <w:rPr>
          <w:rStyle w:val="19"/>
          <w:rFonts w:hint="eastAsia" w:ascii="黑体" w:hAnsi="黑体" w:eastAsia="黑体" w:cs="黑体"/>
          <w:b w:val="0"/>
          <w:bCs w:val="0"/>
        </w:rPr>
        <w:t>十三、</w:t>
      </w:r>
      <w:bookmarkEnd w:id="43"/>
      <w:r>
        <w:rPr>
          <w:rStyle w:val="19"/>
          <w:rFonts w:hint="eastAsia" w:ascii="黑体" w:hAnsi="黑体" w:eastAsia="黑体" w:cs="黑体"/>
          <w:b w:val="0"/>
          <w:bCs w:val="0"/>
        </w:rPr>
        <w:t>财政拨款“三公”经费支出决算表</w:t>
      </w:r>
      <w:bookmarkEnd w:id="44"/>
    </w:p>
    <w:p/>
    <w:sectPr>
      <w:footerReference r:id="rId4" w:type="default"/>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7D6E32-51DE-4101-8877-D9F8C6B930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2B43786-35F0-4C2C-AA67-BFDFB6FABAAB}"/>
  </w:font>
  <w:font w:name="Cambria">
    <w:panose1 w:val="02040503050406030204"/>
    <w:charset w:val="00"/>
    <w:family w:val="roman"/>
    <w:pitch w:val="default"/>
    <w:sig w:usb0="E00006FF" w:usb1="420024FF" w:usb2="02000000" w:usb3="00000000" w:csb0="2000019F" w:csb1="00000000"/>
    <w:embedRegular r:id="rId3" w:fontKey="{6DA47D21-EC7E-4E9E-9195-DC627BB1561F}"/>
  </w:font>
  <w:font w:name="仿宋_GB2312">
    <w:panose1 w:val="02010609030101010101"/>
    <w:charset w:val="86"/>
    <w:family w:val="modern"/>
    <w:pitch w:val="default"/>
    <w:sig w:usb0="00000001" w:usb1="080E0000" w:usb2="00000000" w:usb3="00000000" w:csb0="00040000" w:csb1="00000000"/>
    <w:embedRegular r:id="rId4" w:fontKey="{D6CB009F-DC58-44D5-9580-C93E83BB51FA}"/>
  </w:font>
  <w:font w:name="仿宋">
    <w:panose1 w:val="02010609060101010101"/>
    <w:charset w:val="86"/>
    <w:family w:val="modern"/>
    <w:pitch w:val="default"/>
    <w:sig w:usb0="800002BF" w:usb1="38CF7CFA" w:usb2="00000016" w:usb3="00000000" w:csb0="00040001" w:csb1="00000000"/>
    <w:embedRegular r:id="rId5" w:fontKey="{F82BE913-24AC-468A-B1DC-DB846F7A537F}"/>
  </w:font>
  <w:font w:name="Liberation Sans">
    <w:altName w:val="微软雅黑"/>
    <w:panose1 w:val="00000000000000000000"/>
    <w:charset w:val="00"/>
    <w:family w:val="swiss"/>
    <w:pitch w:val="default"/>
    <w:sig w:usb0="00000000" w:usb1="00000000" w:usb2="00000000" w:usb3="00000000" w:csb0="00040001" w:csb1="00000000"/>
  </w:font>
  <w:font w:name="Noto Sans CJK SC Regular">
    <w:altName w:val="宋体"/>
    <w:panose1 w:val="00000000000000000000"/>
    <w:charset w:val="86"/>
    <w:family w:val="auto"/>
    <w:pitch w:val="default"/>
    <w:sig w:usb0="00000000" w:usb1="00000000" w:usb2="00000016" w:usb3="00000000" w:csb0="602E0107" w:csb1="00000000"/>
  </w:font>
  <w:font w:name="Arial Unicode MS">
    <w:panose1 w:val="020B0604020202020204"/>
    <w:charset w:val="86"/>
    <w:family w:val="auto"/>
    <w:pitch w:val="default"/>
    <w:sig w:usb0="FFFFFFFF" w:usb1="E9FFFFFF" w:usb2="0000003F" w:usb3="00000000" w:csb0="603F01FF" w:csb1="FFFF0000"/>
    <w:embedRegular r:id="rId6" w:fontKey="{BDB4C44B-DA84-47C2-9C31-6BD5AF8063D9}"/>
  </w:font>
  <w:font w:name="华文中宋">
    <w:panose1 w:val="02010600040101010101"/>
    <w:charset w:val="86"/>
    <w:family w:val="auto"/>
    <w:pitch w:val="default"/>
    <w:sig w:usb0="00000287" w:usb1="080F0000" w:usb2="00000000" w:usb3="00000000" w:csb0="0004009F" w:csb1="DFD70000"/>
    <w:embedRegular r:id="rId7" w:fontKey="{2856F8CF-DC38-4C38-BFB7-78DBF09FDFD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3</w:t>
                          </w:r>
                          <w: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&#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Qfsx/XAQAAswMAAA4AAAAAAAAAAQAgAAAA&#10;HgEAAGRycy9lMm9Eb2MueG1sUEsFBgAAAAAGAAYAWQEAAG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14</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ItMsbPXAQAAswMAAA4AAAAAAAAAAQAgAAAA&#10;HgEAAGRycy9lMm9Eb2MueG1sUEsFBgAAAAAGAAYAWQEAAG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610CE2"/>
    <w:multiLevelType w:val="singleLevel"/>
    <w:tmpl w:val="AD610CE2"/>
    <w:lvl w:ilvl="0" w:tentative="0">
      <w:start w:val="5"/>
      <w:numFmt w:val="chineseCounting"/>
      <w:suff w:val="space"/>
      <w:lvlText w:val="第%1部分"/>
      <w:lvlJc w:val="left"/>
      <w:rPr>
        <w:rFonts w:hint="eastAsia"/>
      </w:rPr>
    </w:lvl>
  </w:abstractNum>
  <w:abstractNum w:abstractNumId="1">
    <w:nsid w:val="3818A09A"/>
    <w:multiLevelType w:val="singleLevel"/>
    <w:tmpl w:val="3818A09A"/>
    <w:lvl w:ilvl="0" w:tentative="0">
      <w:start w:val="1"/>
      <w:numFmt w:val="chineseCounting"/>
      <w:suff w:val="nothing"/>
      <w:lvlText w:val="%1、"/>
      <w:lvlJc w:val="left"/>
      <w:rPr>
        <w:rFonts w:hint="eastAsia"/>
      </w:rPr>
    </w:lvl>
  </w:abstractNum>
  <w:abstractNum w:abstractNumId="2">
    <w:nsid w:val="3D52A425"/>
    <w:multiLevelType w:val="singleLevel"/>
    <w:tmpl w:val="3D52A425"/>
    <w:lvl w:ilvl="0" w:tentative="0">
      <w:start w:val="1"/>
      <w:numFmt w:val="decimal"/>
      <w:suff w:val="nothing"/>
      <w:lvlText w:val="%1．"/>
      <w:lvlJc w:val="left"/>
      <w:pPr>
        <w:ind w:left="0" w:firstLine="400"/>
      </w:pPr>
      <w:rPr>
        <w:rFonts w:hint="default"/>
      </w:rPr>
    </w:lvl>
  </w:abstractNum>
  <w:abstractNum w:abstractNumId="3">
    <w:nsid w:val="4095C4B0"/>
    <w:multiLevelType w:val="singleLevel"/>
    <w:tmpl w:val="4095C4B0"/>
    <w:lvl w:ilvl="0" w:tentative="0">
      <w:start w:val="1"/>
      <w:numFmt w:val="decimal"/>
      <w:suff w:val="nothing"/>
      <w:lvlText w:val="%1．"/>
      <w:lvlJc w:val="left"/>
      <w:pPr>
        <w:ind w:left="0" w:firstLine="400"/>
      </w:pPr>
      <w:rPr>
        <w:rFonts w:hint="default"/>
        <w:b w:val="0"/>
        <w:bCs w:val="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
  <w:drawingGridVerticalSpacing w:val="1"/>
  <w:displayHorizontalDrawingGridEvery w:val="0"/>
  <w:displayVerticalDrawingGridEvery w:val="0"/>
  <w:doNotUseMarginsForDrawingGridOrigin w:val="1"/>
  <w:drawingGridHorizontalOrigin w:val="0"/>
  <w:drawingGridVerticalOrigin w:val="0"/>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2MTlkZjVjMWE2MDg0Njc3NWJjMjFhNDhmZjNkYmYifQ=="/>
  </w:docVars>
  <w:rsids>
    <w:rsidRoot w:val="00D0394A"/>
    <w:rsid w:val="00020817"/>
    <w:rsid w:val="00163E81"/>
    <w:rsid w:val="00315FAD"/>
    <w:rsid w:val="003365A3"/>
    <w:rsid w:val="003A5321"/>
    <w:rsid w:val="00401D78"/>
    <w:rsid w:val="0051662B"/>
    <w:rsid w:val="00533013"/>
    <w:rsid w:val="005E1F6F"/>
    <w:rsid w:val="005E66AB"/>
    <w:rsid w:val="00632F0D"/>
    <w:rsid w:val="006F3746"/>
    <w:rsid w:val="009454D4"/>
    <w:rsid w:val="009D240E"/>
    <w:rsid w:val="00AC39A7"/>
    <w:rsid w:val="00C222AA"/>
    <w:rsid w:val="00D0394A"/>
    <w:rsid w:val="00DD080E"/>
    <w:rsid w:val="00F700E1"/>
    <w:rsid w:val="03F21127"/>
    <w:rsid w:val="04CE763A"/>
    <w:rsid w:val="0527127C"/>
    <w:rsid w:val="05CC64B2"/>
    <w:rsid w:val="078B725F"/>
    <w:rsid w:val="082C5D12"/>
    <w:rsid w:val="090B5543"/>
    <w:rsid w:val="09BA7D80"/>
    <w:rsid w:val="0AD240B6"/>
    <w:rsid w:val="0B3C184C"/>
    <w:rsid w:val="0BB43C70"/>
    <w:rsid w:val="0C5D6764"/>
    <w:rsid w:val="0C6D3E1F"/>
    <w:rsid w:val="0C82189F"/>
    <w:rsid w:val="0D30365F"/>
    <w:rsid w:val="0E1704E7"/>
    <w:rsid w:val="1147169F"/>
    <w:rsid w:val="125534D9"/>
    <w:rsid w:val="14725642"/>
    <w:rsid w:val="157168F2"/>
    <w:rsid w:val="16C07874"/>
    <w:rsid w:val="1A2A5208"/>
    <w:rsid w:val="22F45711"/>
    <w:rsid w:val="254729B8"/>
    <w:rsid w:val="27440052"/>
    <w:rsid w:val="2A59467B"/>
    <w:rsid w:val="2AD9557C"/>
    <w:rsid w:val="2C5D5965"/>
    <w:rsid w:val="2E816B53"/>
    <w:rsid w:val="306B50CC"/>
    <w:rsid w:val="32D103B5"/>
    <w:rsid w:val="38860CF5"/>
    <w:rsid w:val="3AF14626"/>
    <w:rsid w:val="3C9C6E2A"/>
    <w:rsid w:val="3E5F109C"/>
    <w:rsid w:val="3E9410AF"/>
    <w:rsid w:val="3FC02CC2"/>
    <w:rsid w:val="403A7797"/>
    <w:rsid w:val="419D599E"/>
    <w:rsid w:val="422B6BD2"/>
    <w:rsid w:val="42660CE6"/>
    <w:rsid w:val="4310457F"/>
    <w:rsid w:val="476B5A18"/>
    <w:rsid w:val="486670D7"/>
    <w:rsid w:val="490D0CFF"/>
    <w:rsid w:val="4B1F0AA9"/>
    <w:rsid w:val="4D01600E"/>
    <w:rsid w:val="4D3C7046"/>
    <w:rsid w:val="4FB77F18"/>
    <w:rsid w:val="508F1B83"/>
    <w:rsid w:val="51ED10B9"/>
    <w:rsid w:val="597B6A56"/>
    <w:rsid w:val="5A2B37A7"/>
    <w:rsid w:val="5BF31735"/>
    <w:rsid w:val="5E6B5414"/>
    <w:rsid w:val="603075AC"/>
    <w:rsid w:val="615269E1"/>
    <w:rsid w:val="621F0405"/>
    <w:rsid w:val="63C35974"/>
    <w:rsid w:val="67EA70AD"/>
    <w:rsid w:val="686D24D1"/>
    <w:rsid w:val="69B0782E"/>
    <w:rsid w:val="6E50156F"/>
    <w:rsid w:val="6F31181F"/>
    <w:rsid w:val="6F7A136C"/>
    <w:rsid w:val="6FC80D56"/>
    <w:rsid w:val="702F2114"/>
    <w:rsid w:val="716D13BA"/>
    <w:rsid w:val="730808DB"/>
    <w:rsid w:val="739E7864"/>
    <w:rsid w:val="741962D5"/>
    <w:rsid w:val="7499437B"/>
    <w:rsid w:val="74C33F75"/>
    <w:rsid w:val="75112019"/>
    <w:rsid w:val="761C1BBB"/>
    <w:rsid w:val="780201A5"/>
    <w:rsid w:val="78B72B77"/>
    <w:rsid w:val="7A545120"/>
    <w:rsid w:val="7BFFE41D"/>
    <w:rsid w:val="7CCD16AD"/>
    <w:rsid w:val="7F6D582E"/>
    <w:rsid w:val="7F8A1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qFormat/>
    <w:uiPriority w:val="9"/>
    <w:pPr>
      <w:keepNext/>
      <w:keepLines/>
      <w:spacing w:before="260" w:after="260" w:line="416" w:lineRule="auto"/>
      <w:outlineLvl w:val="1"/>
    </w:pPr>
    <w:rPr>
      <w:rFonts w:ascii="Cambria" w:hAnsi="Cambria"/>
      <w:b/>
      <w:bCs/>
      <w:sz w:val="32"/>
      <w:szCs w:val="32"/>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0"/>
    <w:pPr>
      <w:suppressLineNumbers/>
      <w:spacing w:before="120" w:after="120"/>
    </w:pPr>
    <w:rPr>
      <w:i/>
      <w:iCs/>
      <w:sz w:val="24"/>
    </w:rPr>
  </w:style>
  <w:style w:type="paragraph" w:styleId="5">
    <w:name w:val="Body Text"/>
    <w:basedOn w:val="1"/>
    <w:qFormat/>
    <w:uiPriority w:val="0"/>
    <w:pPr>
      <w:spacing w:after="140" w:line="276" w:lineRule="auto"/>
    </w:pPr>
  </w:style>
  <w:style w:type="paragraph" w:styleId="6">
    <w:name w:val="Body Text Indent"/>
    <w:basedOn w:val="1"/>
    <w:next w:val="7"/>
    <w:qFormat/>
    <w:uiPriority w:val="0"/>
    <w:pPr>
      <w:spacing w:after="120"/>
      <w:ind w:left="200" w:leftChars="200"/>
    </w:pPr>
    <w:rPr>
      <w:rFonts w:ascii="仿宋_GB2312"/>
      <w:szCs w:val="32"/>
    </w:rPr>
  </w:style>
  <w:style w:type="paragraph" w:styleId="7">
    <w:name w:val="Body Text First Indent 2"/>
    <w:basedOn w:val="6"/>
    <w:next w:val="1"/>
    <w:unhideWhenUsed/>
    <w:qFormat/>
    <w:uiPriority w:val="99"/>
    <w:pPr>
      <w:ind w:firstLine="420" w:firstLineChars="200"/>
    </w:pPr>
  </w:style>
  <w:style w:type="paragraph" w:styleId="8">
    <w:name w:val="Balloon Text"/>
    <w:basedOn w:val="1"/>
    <w:link w:val="29"/>
    <w:qFormat/>
    <w:uiPriority w:val="0"/>
    <w:rPr>
      <w:sz w:val="18"/>
      <w:szCs w:val="18"/>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List"/>
    <w:basedOn w:val="5"/>
    <w:qFormat/>
    <w:uiPriority w:val="0"/>
  </w:style>
  <w:style w:type="paragraph" w:styleId="13">
    <w:name w:val="footnote text"/>
    <w:basedOn w:val="1"/>
    <w:next w:val="7"/>
    <w:semiHidden/>
    <w:qFormat/>
    <w:uiPriority w:val="0"/>
    <w:pPr>
      <w:snapToGrid w:val="0"/>
      <w:jc w:val="left"/>
    </w:pPr>
    <w:rPr>
      <w:sz w:val="18"/>
      <w:szCs w:val="1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customStyle="1" w:styleId="18">
    <w:name w:val="标题 1 Char"/>
    <w:basedOn w:val="16"/>
    <w:link w:val="2"/>
    <w:qFormat/>
    <w:uiPriority w:val="9"/>
    <w:rPr>
      <w:b/>
      <w:bCs/>
      <w:kern w:val="44"/>
      <w:sz w:val="44"/>
      <w:szCs w:val="44"/>
    </w:rPr>
  </w:style>
  <w:style w:type="character" w:customStyle="1" w:styleId="19">
    <w:name w:val="标题 2 Char"/>
    <w:basedOn w:val="16"/>
    <w:link w:val="3"/>
    <w:qFormat/>
    <w:uiPriority w:val="9"/>
    <w:rPr>
      <w:rFonts w:ascii="Cambria" w:hAnsi="Cambria" w:eastAsia="宋体" w:cs="Times New Roman"/>
      <w:b/>
      <w:bCs/>
      <w:sz w:val="32"/>
      <w:szCs w:val="32"/>
    </w:rPr>
  </w:style>
  <w:style w:type="character" w:customStyle="1" w:styleId="20">
    <w:name w:val="页脚 Char"/>
    <w:basedOn w:val="16"/>
    <w:link w:val="9"/>
    <w:qFormat/>
    <w:uiPriority w:val="0"/>
    <w:rPr>
      <w:rFonts w:ascii="Calibri" w:hAnsi="Calibri"/>
      <w:kern w:val="2"/>
      <w:sz w:val="18"/>
      <w:szCs w:val="18"/>
    </w:rPr>
  </w:style>
  <w:style w:type="character" w:customStyle="1" w:styleId="21">
    <w:name w:val="页眉 Char"/>
    <w:basedOn w:val="16"/>
    <w:link w:val="10"/>
    <w:uiPriority w:val="0"/>
    <w:rPr>
      <w:rFonts w:ascii="Calibri" w:hAnsi="Calibri"/>
      <w:kern w:val="2"/>
      <w:sz w:val="18"/>
      <w:szCs w:val="18"/>
    </w:rPr>
  </w:style>
  <w:style w:type="character" w:customStyle="1" w:styleId="22">
    <w:name w:val="默认段落字体1"/>
    <w:qFormat/>
    <w:uiPriority w:val="0"/>
  </w:style>
  <w:style w:type="paragraph" w:customStyle="1" w:styleId="23">
    <w:name w:val="Heading"/>
    <w:basedOn w:val="1"/>
    <w:next w:val="5"/>
    <w:qFormat/>
    <w:uiPriority w:val="0"/>
    <w:pPr>
      <w:keepNext/>
      <w:spacing w:before="240" w:after="120"/>
    </w:pPr>
    <w:rPr>
      <w:rFonts w:ascii="Liberation Sans" w:hAnsi="Liberation Sans" w:eastAsia="Noto Sans CJK SC Regular" w:cs="Noto Sans CJK SC Regular"/>
      <w:sz w:val="28"/>
      <w:szCs w:val="28"/>
    </w:rPr>
  </w:style>
  <w:style w:type="paragraph" w:customStyle="1" w:styleId="24">
    <w:name w:val="Index"/>
    <w:basedOn w:val="1"/>
    <w:qFormat/>
    <w:uiPriority w:val="0"/>
    <w:pPr>
      <w:suppressLineNumbers/>
    </w:pPr>
  </w:style>
  <w:style w:type="paragraph" w:styleId="25">
    <w:name w:val="List Paragraph"/>
    <w:basedOn w:val="1"/>
    <w:qFormat/>
    <w:uiPriority w:val="34"/>
    <w:pPr>
      <w:ind w:firstLine="420" w:firstLineChars="200"/>
    </w:p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7">
    <w:name w:val="正文-公1"/>
    <w:basedOn w:val="28"/>
    <w:next w:val="1"/>
    <w:qFormat/>
    <w:uiPriority w:val="0"/>
    <w:pPr>
      <w:ind w:firstLine="200" w:firstLineChars="200"/>
    </w:pPr>
  </w:style>
  <w:style w:type="paragraph" w:customStyle="1" w:styleId="2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7"/>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9">
    <w:name w:val="批注框文本 Char"/>
    <w:basedOn w:val="16"/>
    <w:link w:val="8"/>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24&#24180;&#20915;&#31639;&#20844;&#24320;\&#24066;&#20013;&#21306;\&#20915;&#31639;&#20844;&#24320;&#38468;&#22270;(&#27169;&#26495;)&#20165;&#20379;&#21442;&#327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ltLang="zh-CN"/>
              <a:t>2024</a:t>
            </a:r>
            <a:r>
              <a:rPr lang="zh-CN" altLang="en-US"/>
              <a:t>年收、支决算总计变动情况图</a:t>
            </a:r>
            <a:endParaRPr lang="zh-CN" altLang="en-US"/>
          </a:p>
        </c:rich>
      </c:tx>
      <c:layout>
        <c:manualLayout>
          <c:xMode val="edge"/>
          <c:yMode val="edge"/>
          <c:x val="0.106940388249442"/>
          <c:y val="0.0181818181818182"/>
        </c:manualLayout>
      </c:layout>
      <c:overlay val="0"/>
    </c:title>
    <c:autoTitleDeleted val="0"/>
    <c:plotArea>
      <c:layout>
        <c:manualLayout>
          <c:layoutTarget val="inner"/>
          <c:xMode val="edge"/>
          <c:yMode val="edge"/>
          <c:x val="0.161484281051366"/>
          <c:y val="0.30030303030303"/>
          <c:w val="0.619996564164233"/>
          <c:h val="0.561515151515152"/>
        </c:manualLayout>
      </c:layout>
      <c:barChart>
        <c:barDir val="col"/>
        <c:grouping val="clustered"/>
        <c:varyColors val="0"/>
        <c:ser>
          <c:idx val="0"/>
          <c:order val="0"/>
          <c:tx>
            <c:strRef>
              <c:f>'[决算公开附图(模板)仅供参考.xlsx]收、支决算总计变动情况图1'!$C$4</c:f>
              <c:strCache>
                <c:ptCount val="1"/>
                <c:pt idx="0">
                  <c:v>金额</c:v>
                </c:pt>
              </c:strCache>
            </c:strRef>
          </c:tx>
          <c:invertIfNegative val="0"/>
          <c:dPt>
            <c:idx val="1"/>
            <c:invertIfNegative val="0"/>
            <c:bubble3D val="0"/>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w="9525" cap="flat" cmpd="sng" algn="ctr">
                <a:solidFill>
                  <a:srgbClr val="BE4B48">
                    <a:shade val="95000"/>
                    <a:satMod val="105000"/>
                  </a:srgbClr>
                </a:solidFill>
                <a:prstDash val="solid"/>
              </a:ln>
              <a:effectLst>
                <a:outerShdw blurRad="40000" dist="23000" dir="5400000" rotWithShape="0">
                  <a:srgbClr val="000000">
                    <a:alpha val="35000"/>
                  </a:srgbClr>
                </a:outerShdw>
              </a:effectLst>
            </c:spPr>
          </c:dPt>
          <c:dLbls>
            <c:dLbl>
              <c:idx val="0"/>
              <c:layout>
                <c:manualLayout>
                  <c:x val="0.00257687682528775"/>
                  <c:y val="0.0318181818181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181818181818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'[决算公开附图(模板)仅供参考.xlsx]收、支决算总计变动情况图1'!$B$5:$B$6</c:f>
              <c:strCache>
                <c:ptCount val="2"/>
                <c:pt idx="0">
                  <c:v>2023年</c:v>
                </c:pt>
                <c:pt idx="1">
                  <c:v>2024年</c:v>
                </c:pt>
              </c:strCache>
            </c:strRef>
          </c:cat>
          <c:val>
            <c:numRef>
              <c:f>'[决算公开附图(模板)仅供参考.xlsx]收、支决算总计变动情况图1'!$C$5:$C$6</c:f>
              <c:numCache>
                <c:formatCode>0.00_ </c:formatCode>
                <c:ptCount val="2"/>
                <c:pt idx="0">
                  <c:v>391.2</c:v>
                </c:pt>
                <c:pt idx="1">
                  <c:v>4729.13</c:v>
                </c:pt>
              </c:numCache>
            </c:numRef>
          </c:val>
        </c:ser>
        <c:dLbls>
          <c:showLegendKey val="0"/>
          <c:showVal val="1"/>
          <c:showCatName val="0"/>
          <c:showSerName val="0"/>
          <c:showPercent val="0"/>
          <c:showBubbleSize val="0"/>
        </c:dLbls>
        <c:gapWidth val="150"/>
        <c:axId val="86721280"/>
        <c:axId val="112027520"/>
      </c:barChart>
      <c:catAx>
        <c:axId val="867212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12027520"/>
        <c:crosses val="autoZero"/>
        <c:auto val="1"/>
        <c:lblAlgn val="ctr"/>
        <c:lblOffset val="100"/>
        <c:noMultiLvlLbl val="0"/>
      </c:catAx>
      <c:valAx>
        <c:axId val="112027520"/>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86721280"/>
        <c:crosses val="autoZero"/>
        <c:crossBetween val="between"/>
      </c:valAx>
      <c:spPr>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t>2024</a:t>
            </a:r>
            <a:r>
              <a:rPr lang="zh-CN"/>
              <a:t>年收入决算结构图</a:t>
            </a:r>
            <a:endParaRPr lang="zh-CN"/>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'[决算公开附图(模板)仅供参考.xlsx]收入决算结构图2'!$B$6</c:f>
              <c:strCache>
                <c:ptCount val="1"/>
                <c:pt idx="0">
                  <c:v>占比</c:v>
                </c:pt>
              </c:strCache>
            </c:strRef>
          </c:tx>
          <c:explosion val="0"/>
          <c:dPt>
            <c:idx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'[决算公开附图(模板)仅供参考.xlsx]收入决算结构图2'!$A$7:$A$9</c15:sqref>
                  </c15:fullRef>
                </c:ext>
              </c:extLst>
              <c:f>'[决算公开附图(模板)仅供参考.xlsx]收入决算结构图2'!$A$7</c:f>
              <c:strCache>
                <c:ptCount val="1"/>
                <c:pt idx="0">
                  <c:v>一般公共预算财政拨款收入4631.24万元</c:v>
                </c:pt>
              </c:strCache>
            </c:strRef>
          </c:cat>
          <c:val>
            <c:numRef>
              <c:extLst>
                <c:ext xmlns:c15="http://schemas.microsoft.com/office/drawing/2012/chart" uri="{02D57815-91ED-43cb-92C2-25804820EDAC}">
                  <c15:fullRef>
                    <c15:sqref>收入决算结构图2!$B$7:$B$9</c15:sqref>
                  </c15:fullRef>
                </c:ext>
              </c:extLst>
              <c:f>'[决算公开附图(模板)仅供参考.xlsx]收入决算结构图2'!$B$7</c:f>
              <c:numCache>
                <c:formatCode>0.00%</c:formatCode>
                <c:ptCount val="1"/>
                <c:pt idx="0">
                  <c:v>1</c:v>
                </c:pt>
              </c:numCache>
            </c:numRef>
          </c:val>
        </c:ser>
        <c:dLbls>
          <c:showLegendKey val="0"/>
          <c:showVal val="1"/>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t>2024</a:t>
            </a:r>
            <a:r>
              <a:rPr lang="zh-CN"/>
              <a:t>年支出决算结构图</a:t>
            </a:r>
            <a:endParaRPr lang="zh-CN"/>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'[决算公开附图(模板)仅供参考.xlsx]支出决算结构图3'!$B$9</c:f>
              <c:strCache>
                <c:ptCount val="1"/>
                <c:pt idx="0">
                  <c:v>占比</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'[决算公开附图(模板)仅供参考.xlsx]支出决算结构图3'!$A$10:$A$11</c:f>
              <c:strCache>
                <c:ptCount val="2"/>
                <c:pt idx="0">
                  <c:v>基本支出3592.07万元</c:v>
                </c:pt>
                <c:pt idx="1">
                  <c:v>项目支出1137.06万元</c:v>
                </c:pt>
              </c:strCache>
            </c:strRef>
          </c:cat>
          <c:val>
            <c:numRef>
              <c:f>'[决算公开附图(模板)仅供参考.xlsx]支出决算结构图3'!$B$10:$B$11</c:f>
              <c:numCache>
                <c:formatCode>0.00%</c:formatCode>
                <c:ptCount val="2"/>
                <c:pt idx="0">
                  <c:v>0.75956254110164</c:v>
                </c:pt>
                <c:pt idx="1">
                  <c:v>0.24043745889836</c:v>
                </c:pt>
              </c:numCache>
            </c:numRef>
          </c:val>
        </c:ser>
        <c:dLbls>
          <c:showLegendKey val="0"/>
          <c:showVal val="1"/>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ltLang="zh-CN"/>
              <a:t>2024</a:t>
            </a:r>
            <a:r>
              <a:rPr lang="zh-CN" altLang="en-US"/>
              <a:t>年收、支决算总计变动情况图</a:t>
            </a:r>
            <a:endParaRPr lang="zh-CN" altLang="en-US"/>
          </a:p>
        </c:rich>
      </c:tx>
      <c:layout>
        <c:manualLayout>
          <c:xMode val="edge"/>
          <c:yMode val="edge"/>
          <c:x val="0.107977050261174"/>
          <c:y val="0.00892325996430696"/>
        </c:manualLayout>
      </c:layout>
      <c:overlay val="0"/>
    </c:title>
    <c:autoTitleDeleted val="0"/>
    <c:plotArea>
      <c:layout>
        <c:manualLayout>
          <c:layoutTarget val="inner"/>
          <c:xMode val="edge"/>
          <c:yMode val="edge"/>
          <c:x val="0.147532643717144"/>
          <c:y val="0.286436644854253"/>
          <c:w val="0.642021366796676"/>
          <c:h val="0.557108863771565"/>
        </c:manualLayout>
      </c:layout>
      <c:barChart>
        <c:barDir val="col"/>
        <c:grouping val="clustered"/>
        <c:varyColors val="0"/>
        <c:ser>
          <c:idx val="0"/>
          <c:order val="0"/>
          <c:tx>
            <c:strRef>
              <c:f>'[决算公开附图(模板)仅供参考.xlsx]财政拨款收、支决算总计变动情况图4'!$C$4</c:f>
              <c:strCache>
                <c:ptCount val="1"/>
                <c:pt idx="0">
                  <c:v>金额</c:v>
                </c:pt>
              </c:strCache>
            </c:strRef>
          </c:tx>
          <c:invertIfNegative val="0"/>
          <c:dPt>
            <c:idx val="1"/>
            <c:invertIfNegative val="0"/>
            <c:bubble3D val="0"/>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w="9525" cap="flat" cmpd="sng" algn="ctr">
                <a:solidFill>
                  <a:srgbClr val="BE4B48">
                    <a:shade val="95000"/>
                    <a:satMod val="105000"/>
                  </a:srgbClr>
                </a:solidFill>
                <a:prstDash val="solid"/>
              </a:ln>
              <a:effectLst>
                <a:outerShdw blurRad="40000" dist="23000" dir="5400000" rotWithShape="0">
                  <a:srgbClr val="000000">
                    <a:alpha val="35000"/>
                  </a:srgbClr>
                </a:outerShdw>
              </a:effectLst>
            </c:spPr>
          </c:dPt>
          <c:dLbls>
            <c:dLbl>
              <c:idx val="0"/>
              <c:layout>
                <c:manualLayout>
                  <c:x val="0.00254366627098525"/>
                  <c:y val="0.02230814991076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54366627098525"/>
                  <c:y val="0.1204640095181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'[决算公开附图(模板)仅供参考.xlsx]财政拨款收、支决算总计变动情况图4'!$B$5:$B$6</c:f>
              <c:strCache>
                <c:ptCount val="2"/>
                <c:pt idx="0">
                  <c:v>2023年</c:v>
                </c:pt>
                <c:pt idx="1">
                  <c:v>2024年</c:v>
                </c:pt>
              </c:strCache>
            </c:strRef>
          </c:cat>
          <c:val>
            <c:numRef>
              <c:f>'[决算公开附图(模板)仅供参考.xlsx]财政拨款收、支决算总计变动情况图4'!$C$5:$C$6</c:f>
              <c:numCache>
                <c:formatCode>0.00_ </c:formatCode>
                <c:ptCount val="2"/>
                <c:pt idx="0">
                  <c:v>391.2</c:v>
                </c:pt>
                <c:pt idx="1">
                  <c:v>4729.13</c:v>
                </c:pt>
              </c:numCache>
            </c:numRef>
          </c:val>
        </c:ser>
        <c:dLbls>
          <c:showLegendKey val="0"/>
          <c:showVal val="1"/>
          <c:showCatName val="0"/>
          <c:showSerName val="0"/>
          <c:showPercent val="0"/>
          <c:showBubbleSize val="0"/>
        </c:dLbls>
        <c:gapWidth val="150"/>
        <c:axId val="112114688"/>
        <c:axId val="112130304"/>
      </c:barChart>
      <c:catAx>
        <c:axId val="1121146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12130304"/>
        <c:crosses val="autoZero"/>
        <c:auto val="1"/>
        <c:lblAlgn val="ctr"/>
        <c:lblOffset val="100"/>
        <c:noMultiLvlLbl val="0"/>
      </c:catAx>
      <c:valAx>
        <c:axId val="112130304"/>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12114688"/>
        <c:crosses val="autoZero"/>
        <c:crossBetween val="between"/>
      </c:valAx>
      <c:spPr>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ltLang="zh-CN"/>
              <a:t>2024</a:t>
            </a:r>
            <a:r>
              <a:rPr lang="zh-CN" altLang="en-US"/>
              <a:t>年一般公共预算收、支决算总计变动情况图</a:t>
            </a:r>
            <a:endParaRPr lang="zh-CN" altLang="en-US"/>
          </a:p>
        </c:rich>
      </c:tx>
      <c:layout>
        <c:manualLayout>
          <c:xMode val="edge"/>
          <c:yMode val="edge"/>
          <c:x val="0.136409650750801"/>
          <c:y val="0.00884694780300796"/>
        </c:manualLayout>
      </c:layout>
      <c:overlay val="0"/>
    </c:title>
    <c:autoTitleDeleted val="0"/>
    <c:plotArea>
      <c:layout>
        <c:manualLayout>
          <c:layoutTarget val="inner"/>
          <c:xMode val="edge"/>
          <c:yMode val="edge"/>
          <c:x val="0.146785895056521"/>
          <c:y val="0.315881836794384"/>
          <c:w val="0.64383330521343"/>
          <c:h val="0.530272009359462"/>
        </c:manualLayout>
      </c:layout>
      <c:barChart>
        <c:barDir val="col"/>
        <c:grouping val="clustered"/>
        <c:varyColors val="0"/>
        <c:ser>
          <c:idx val="0"/>
          <c:order val="0"/>
          <c:tx>
            <c:strRef>
              <c:f>'[决算公开附图(模板)仅供参考.xlsx]一般公共预算财政拨款收、支决算总计变动情况图5'!$C$4</c:f>
              <c:strCache>
                <c:ptCount val="1"/>
                <c:pt idx="0">
                  <c:v>金额</c:v>
                </c:pt>
              </c:strCache>
            </c:strRef>
          </c:tx>
          <c:invertIfNegative val="0"/>
          <c:dPt>
            <c:idx val="1"/>
            <c:invertIfNegative val="0"/>
            <c:bubble3D val="0"/>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w="9525" cap="flat" cmpd="sng" algn="ctr">
                <a:solidFill>
                  <a:srgbClr val="BE4B48">
                    <a:shade val="95000"/>
                    <a:satMod val="105000"/>
                  </a:srgbClr>
                </a:solidFill>
                <a:prstDash val="solid"/>
              </a:ln>
              <a:effectLst>
                <a:outerShdw blurRad="40000" dist="23000" dir="5400000" rotWithShape="0">
                  <a:srgbClr val="000000">
                    <a:alpha val="35000"/>
                  </a:srgbClr>
                </a:outerShdw>
              </a:effectLst>
            </c:spPr>
          </c:dPt>
          <c:dLbls>
            <c:dLbl>
              <c:idx val="0"/>
              <c:layout>
                <c:manualLayout>
                  <c:x val="0.00253079129407791"/>
                  <c:y val="0.15794091839719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77492829424667"/>
                      <c:h val="0.149458906112898"/>
                    </c:manualLayout>
                  </c15:layout>
                </c:ext>
              </c:extLst>
            </c:dLbl>
            <c:dLbl>
              <c:idx val="1"/>
              <c:layout>
                <c:manualLayout>
                  <c:x val="0"/>
                  <c:y val="0.1140684410646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'[决算公开附图(模板)仅供参考.xlsx]一般公共预算财政拨款收、支决算总计变动情况图5'!$B$5:$B$6</c:f>
              <c:strCache>
                <c:ptCount val="2"/>
                <c:pt idx="0">
                  <c:v>2023年</c:v>
                </c:pt>
                <c:pt idx="1">
                  <c:v>2024年</c:v>
                </c:pt>
              </c:strCache>
            </c:strRef>
          </c:cat>
          <c:val>
            <c:numRef>
              <c:f>'[决算公开附图(模板)仅供参考.xlsx]一般公共预算财政拨款收、支决算总计变动情况图5'!$C$5:$C$6</c:f>
              <c:numCache>
                <c:formatCode>0.00_ </c:formatCode>
                <c:ptCount val="2"/>
                <c:pt idx="0">
                  <c:v>391.2</c:v>
                </c:pt>
                <c:pt idx="1">
                  <c:v>4729.13</c:v>
                </c:pt>
              </c:numCache>
            </c:numRef>
          </c:val>
        </c:ser>
        <c:dLbls>
          <c:showLegendKey val="0"/>
          <c:showVal val="1"/>
          <c:showCatName val="0"/>
          <c:showSerName val="0"/>
          <c:showPercent val="0"/>
          <c:showBubbleSize val="0"/>
        </c:dLbls>
        <c:gapWidth val="150"/>
        <c:axId val="112540288"/>
        <c:axId val="112587904"/>
      </c:barChart>
      <c:catAx>
        <c:axId val="1125402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12587904"/>
        <c:crosses val="autoZero"/>
        <c:auto val="1"/>
        <c:lblAlgn val="ctr"/>
        <c:lblOffset val="100"/>
        <c:noMultiLvlLbl val="0"/>
      </c:catAx>
      <c:valAx>
        <c:axId val="112587904"/>
        <c:scaling>
          <c:orientation val="minMax"/>
        </c:scaling>
        <c:delete val="0"/>
        <c:axPos val="l"/>
        <c:majorGridlines/>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12540288"/>
        <c:crosses val="autoZero"/>
        <c:crossBetween val="between"/>
      </c:valAx>
      <c:spPr>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c:spPr>
    </c:plotArea>
    <c:legend>
      <c:legendPos val="r"/>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t>2024</a:t>
            </a:r>
            <a:r>
              <a:rPr lang="zh-CN"/>
              <a:t>年一般公共预算</a:t>
            </a:r>
            <a:r>
              <a:rPr lang="zh-CN" altLang="en-US"/>
              <a:t>财政拨款支出决算</a:t>
            </a:r>
            <a:r>
              <a:rPr lang="zh-CN"/>
              <a:t>结构图</a:t>
            </a:r>
            <a:endParaRPr lang="zh-CN"/>
          </a:p>
        </c:rich>
      </c:tx>
      <c:layout>
        <c:manualLayout>
          <c:xMode val="edge"/>
          <c:yMode val="edge"/>
          <c:x val="0.123005877413938"/>
          <c:y val="0.00920810313075507"/>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743946263643997"/>
          <c:y val="0.429294045426642"/>
          <c:w val="0.512335852225021"/>
          <c:h val="0.471062001227747"/>
        </c:manualLayout>
      </c:layout>
      <c:pie3DChart>
        <c:varyColors val="1"/>
        <c:ser>
          <c:idx val="0"/>
          <c:order val="0"/>
          <c:explosion val="0"/>
          <c:dPt>
            <c:idx val="0"/>
            <c:bubble3D val="0"/>
          </c:dPt>
          <c:dPt>
            <c:idx val="1"/>
            <c:bubble3D val="0"/>
          </c:dPt>
          <c:dPt>
            <c:idx val="2"/>
            <c:bubble3D val="0"/>
          </c:dPt>
          <c:dPt>
            <c:idx val="3"/>
            <c:bubble3D val="0"/>
          </c:dPt>
          <c:dLbls>
            <c:dLbl>
              <c:idx val="0"/>
              <c:layout>
                <c:manualLayout>
                  <c:x val="0.0428211586901764"/>
                  <c:y val="-0.05524861878453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54911838790934"/>
                  <c:y val="0.05524861878453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7632241813602"/>
                  <c:y val="0.01381215469613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831234256927"/>
                  <c:y val="-0.069060773480662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'[决算公开附图(模板)仅供参考.xlsx]一般公共预算财政拨款支出决算结构图6'!$A$7:$A$13</c15:sqref>
                  </c15:fullRef>
                </c:ext>
              </c:extLst>
              <c:f>'[决算公开附图(模板)仅供参考.xlsx]一般公共预算财政拨款支出决算结构图6'!$A$10:$A$13</c:f>
              <c:strCache>
                <c:ptCount val="4"/>
                <c:pt idx="0">
                  <c:v>社会保障和就业支出492.64万元</c:v>
                </c:pt>
                <c:pt idx="1">
                  <c:v>卫生健康支出93.29万元</c:v>
                </c:pt>
                <c:pt idx="2">
                  <c:v>城乡社区支出3880.81万元</c:v>
                </c:pt>
                <c:pt idx="3">
                  <c:v>住房保障支出262.38万元</c:v>
                </c:pt>
              </c:strCache>
            </c:strRef>
          </c:cat>
          <c:val>
            <c:numRef>
              <c:extLst>
                <c:ext xmlns:c15="http://schemas.microsoft.com/office/drawing/2012/chart" uri="{02D57815-91ED-43cb-92C2-25804820EDAC}">
                  <c15:fullRef>
                    <c15:sqref>一般公共预算财政拨款支出决算结构图6!$B$7:$B$13</c15:sqref>
                  </c15:fullRef>
                </c:ext>
              </c:extLst>
              <c:f>'[决算公开附图(模板)仅供参考.xlsx]一般公共预算财政拨款支出决算结构图6'!$B$10:$B$13</c:f>
              <c:numCache>
                <c:formatCode>0.00%</c:formatCode>
                <c:ptCount val="4"/>
                <c:pt idx="0">
                  <c:v>0.104171600636059</c:v>
                </c:pt>
                <c:pt idx="1">
                  <c:v>0.0197267144838786</c:v>
                </c:pt>
                <c:pt idx="2">
                  <c:v>0.82061990391447</c:v>
                </c:pt>
                <c:pt idx="3">
                  <c:v>0.0554817809655919</c:v>
                </c:pt>
              </c:numCache>
            </c:numRef>
          </c:val>
        </c:ser>
        <c:dLbls>
          <c:showLegendKey val="0"/>
          <c:showVal val="1"/>
          <c:showCatName val="0"/>
          <c:showSerName val="0"/>
          <c:showPercent val="0"/>
          <c:showBubbleSize val="0"/>
        </c:dLbls>
      </c:pie3DChart>
    </c:plotArea>
    <c:legend>
      <c:legendPos val="r"/>
      <c:layout>
        <c:manualLayout>
          <c:xMode val="edge"/>
          <c:yMode val="edge"/>
          <c:x val="0.647019311502939"/>
          <c:y val="0.332412523020258"/>
          <c:w val="0.332829554995802"/>
          <c:h val="0.640270104358502"/>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en-US" altLang="zh-CN"/>
              <a:t>2024</a:t>
            </a:r>
            <a:r>
              <a:rPr lang="zh-CN" altLang="en-US"/>
              <a:t>年“三公”经费财政拨款支出结构图</a:t>
            </a:r>
            <a:endParaRPr lang="zh-CN" altLang="en-US"/>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'[决算公开附图(模板)仅供参考.xlsx]“三公”经费财政拨款支出结构图7'!$B$6</c:f>
              <c:strCache>
                <c:ptCount val="1"/>
                <c:pt idx="0">
                  <c:v>占比</c:v>
                </c:pt>
              </c:strCache>
            </c:strRef>
          </c:tx>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extLst>
                <c:ext xmlns:c15="http://schemas.microsoft.com/office/drawing/2012/chart" uri="{02D57815-91ED-43cb-92C2-25804820EDAC}">
                  <c15:fullRef>
                    <c15:sqref>'[决算公开附图(模板)仅供参考.xlsx]“三公”经费财政拨款支出结构图7'!$A$7:$A$11</c15:sqref>
                  </c15:fullRef>
                </c:ext>
              </c:extLst>
              <c:f>'[决算公开附图(模板)仅供参考.xlsx]“三公”经费财政拨款支出结构图7'!$A$7:$A$9</c:f>
              <c:strCache>
                <c:ptCount val="3"/>
                <c:pt idx="0">
                  <c:v>因公出国（境）费支出决算0万元</c:v>
                </c:pt>
                <c:pt idx="1">
                  <c:v>公务用车购置及运行维护费支出决算74.6万元</c:v>
                </c:pt>
                <c:pt idx="2">
                  <c:v>公务接待费支出决算0万元</c:v>
                </c:pt>
              </c:strCache>
            </c:strRef>
          </c:cat>
          <c:val>
            <c:numRef>
              <c:extLst>
                <c:ext xmlns:c15="http://schemas.microsoft.com/office/drawing/2012/chart" uri="{02D57815-91ED-43cb-92C2-25804820EDAC}">
                  <c15:fullRef>
                    <c15:sqref>“三公”经费财政拨款支出结构图7!$B$7:$B$11</c15:sqref>
                  </c15:fullRef>
                </c:ext>
              </c:extLst>
              <c:f>'[决算公开附图(模板)仅供参考.xlsx]“三公”经费财政拨款支出结构图7'!$B$7:$B$9</c:f>
              <c:numCache>
                <c:formatCode>0.00%</c:formatCode>
                <c:ptCount val="3"/>
                <c:pt idx="0">
                  <c:v>0</c:v>
                </c:pt>
                <c:pt idx="1">
                  <c:v>1</c:v>
                </c:pt>
                <c:pt idx="2">
                  <c:v>0</c:v>
                </c:pt>
              </c:numCache>
            </c:numRef>
          </c:val>
        </c:ser>
        <c:dLbls>
          <c:showLegendKey val="0"/>
          <c:showVal val="1"/>
          <c:showCatName val="0"/>
          <c:showSerName val="0"/>
          <c:showPercent val="0"/>
          <c:showBubbleSize val="0"/>
        </c:dLbls>
      </c:pie3DChart>
    </c:plotArea>
    <c:legend>
      <c:legendPos val="r"/>
      <c:layout>
        <c:manualLayout>
          <c:xMode val="edge"/>
          <c:yMode val="edge"/>
          <c:x val="0.655218855218855"/>
          <c:y val="0.310717502251576"/>
          <c:w val="0.324579124579125"/>
          <c:h val="0.652957069948964"/>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gradFill rotWithShape="1">
      <a:gsLst>
        <a:gs pos="0">
          <a:srgbClr val="DAFDA7">
            <a:tint val="50000"/>
            <a:satMod val="300000"/>
          </a:srgbClr>
        </a:gs>
        <a:gs pos="35000">
          <a:srgbClr val="E4FDC2">
            <a:tint val="37000"/>
            <a:satMod val="300000"/>
          </a:srgbClr>
        </a:gs>
        <a:gs pos="100000">
          <a:srgbClr val="F5FFE6">
            <a:tint val="15000"/>
            <a:satMod val="350000"/>
          </a:srgbClr>
        </a:gs>
      </a:gsLst>
      <a:lin ang="16200000" scaled="1"/>
    </a:gradFill>
    <a:ln w="9525" cap="flat" cmpd="sng" algn="ctr">
      <a:solidFill>
        <a:srgbClr val="98B954">
          <a:shade val="95000"/>
          <a:satMod val="105000"/>
        </a:srgbClr>
      </a:solidFill>
      <a:prstDash val="solid"/>
      <a:round/>
    </a:ln>
    <a:effectLst>
      <a:outerShdw blurRad="40000" dist="20000" dir="5400000" rotWithShape="0">
        <a:srgbClr val="000000">
          <a:alpha val="38000"/>
        </a:srgbClr>
      </a:outerShdw>
    </a:effectLst>
  </c:spPr>
  <c:txPr>
    <a:bodyPr/>
    <a:lstStyle/>
    <a:p>
      <a:pPr>
        <a:defRPr lang="zh-CN">
          <a:solidFill>
            <a:srgbClr val="000000"/>
          </a:solidFill>
          <a:latin typeface="+mn-lt"/>
          <a:ea typeface="+mn-ea"/>
          <a:cs typeface="+mn-cs"/>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5869</Words>
  <Characters>6352</Characters>
  <Lines>19</Lines>
  <Paragraphs>16</Paragraphs>
  <TotalTime>6</TotalTime>
  <ScaleCrop>false</ScaleCrop>
  <LinksUpToDate>false</LinksUpToDate>
  <CharactersWithSpaces>6416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2018-11-27T01:47:00Z</dcterms:created>
  <dc:creator>user</dc:creator>
  <cp:lastModifiedBy>leshan</cp:lastModifiedBy>
  <dcterms:modified xsi:type="dcterms:W3CDTF">2025-11-05T01:41:28Z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96A849E305A7406BA8FD2F80101D81DB_13</vt:lpwstr>
  </property>
  <property fmtid="{D5CDD505-2E9C-101B-9397-08002B2CF9AE}" pid="4" name="KSOTemplateDocerSaveRecord">
    <vt:lpwstr>eyJoZGlkIjoiNjE3NjdjZmJjYzMwZDY1ODYxY2FmNWFiODMwOGNhNzUiLCJ1c2VySWQiOiIyODg5NzY3MjEifQ==</vt:lpwstr>
  </property>
</Properties>
</file>