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15377193"/>
      <w:bookmarkStart w:id="1" w:name="_Toc15306267"/>
      <w:bookmarkStart w:id="2" w:name="_Toc15396475"/>
      <w:bookmarkStart w:id="3" w:name="_Toc15396597"/>
      <w:bookmarkStart w:id="4" w:name="_Toc15378441"/>
      <w:bookmarkStart w:id="5" w:name="_Toc15377425"/>
    </w:p>
    <w:bookmarkEnd w:id="0"/>
    <w:bookmarkEnd w:id="1"/>
    <w:bookmarkEnd w:id="2"/>
    <w:bookmarkEnd w:id="3"/>
    <w:bookmarkEnd w:id="4"/>
    <w:bookmarkEnd w:id="5"/>
    <w:p>
      <w:pPr>
        <w:pStyle w:val="6"/>
        <w:spacing w:before="93"/>
        <w:rPr>
          <w:rFonts w:ascii="Arial Unicode MS" w:hAnsi="宋体" w:eastAsia="Arial Unicode MS"/>
          <w:kern w:val="2"/>
          <w:sz w:val="44"/>
          <w:szCs w:val="44"/>
        </w:rPr>
      </w:pPr>
    </w:p>
    <w:p>
      <w:pPr>
        <w:pStyle w:val="6"/>
        <w:spacing w:before="93"/>
        <w:jc w:val="center"/>
        <w:rPr>
          <w:rFonts w:ascii="Arial Unicode MS" w:hAnsi="宋体" w:eastAsia="Arial Unicode MS"/>
          <w:kern w:val="2"/>
          <w:sz w:val="44"/>
          <w:szCs w:val="44"/>
        </w:rPr>
      </w:pPr>
    </w:p>
    <w:p>
      <w:pPr>
        <w:pStyle w:val="6"/>
        <w:spacing w:before="93"/>
        <w:jc w:val="center"/>
        <w:rPr>
          <w:rFonts w:ascii="Arial Unicode MS" w:hAnsi="宋体" w:eastAsia="Arial Unicode MS"/>
          <w:kern w:val="2"/>
          <w:sz w:val="44"/>
          <w:szCs w:val="44"/>
        </w:rPr>
      </w:pPr>
      <w:r>
        <w:rPr>
          <w:rFonts w:hint="eastAsia" w:ascii="Arial Unicode MS" w:hAnsi="宋体" w:eastAsia="Arial Unicode MS"/>
          <w:kern w:val="2"/>
          <w:sz w:val="44"/>
          <w:szCs w:val="44"/>
        </w:rPr>
        <w:t>2024年度</w:t>
      </w:r>
      <w:bookmarkStart w:id="6" w:name="_Toc15377194"/>
      <w:bookmarkStart w:id="7" w:name="_Toc15377426"/>
      <w:bookmarkStart w:id="8" w:name="_Toc15396476"/>
      <w:bookmarkStart w:id="9" w:name="_Toc15378442"/>
      <w:bookmarkStart w:id="10" w:name="_Toc15396598"/>
    </w:p>
    <w:p>
      <w:pPr>
        <w:pStyle w:val="6"/>
        <w:spacing w:before="93"/>
        <w:jc w:val="center"/>
        <w:rPr>
          <w:rFonts w:ascii="Arial Unicode MS" w:hAnsi="宋体" w:eastAsia="Arial Unicode MS"/>
          <w:kern w:val="2"/>
          <w:sz w:val="44"/>
          <w:szCs w:val="44"/>
        </w:rPr>
      </w:pPr>
      <w:bookmarkStart w:id="11" w:name="_Toc15306268"/>
      <w:r>
        <w:rPr>
          <w:rFonts w:hint="eastAsia" w:ascii="Arial Unicode MS" w:hAnsi="宋体" w:eastAsia="Arial Unicode MS"/>
          <w:kern w:val="2"/>
          <w:sz w:val="44"/>
          <w:szCs w:val="44"/>
        </w:rPr>
        <w:t>乐山市市中区综合行政执法局部门决算</w:t>
      </w:r>
      <w:bookmarkEnd w:id="6"/>
      <w:bookmarkEnd w:id="7"/>
      <w:bookmarkEnd w:id="8"/>
      <w:bookmarkEnd w:id="9"/>
      <w:bookmarkEnd w:id="10"/>
      <w:bookmarkEnd w:id="11"/>
    </w:p>
    <w:p>
      <w:pPr>
        <w:pStyle w:val="15"/>
        <w:adjustRightInd w:val="0"/>
        <w:snapToGrid w:val="0"/>
        <w:spacing w:line="560" w:lineRule="exact"/>
        <w:jc w:val="center"/>
        <w:rPr>
          <w:rFonts w:eastAsia="仿宋_GB2312" w:cs="仿宋_GB2312"/>
          <w:b/>
          <w:bCs/>
          <w:color w:val="FF0000"/>
          <w:sz w:val="32"/>
          <w:szCs w:val="32"/>
          <w:highlight w:val="yellow"/>
        </w:rPr>
      </w:pPr>
    </w:p>
    <w:p/>
    <w:p>
      <w:pPr>
        <w:widowControl/>
        <w:jc w:val="center"/>
        <w:rPr>
          <w:rFonts w:eastAsia="Arial Unicode MS"/>
          <w:sz w:val="36"/>
          <w:szCs w:val="36"/>
        </w:rPr>
      </w:pPr>
      <w:r>
        <w:rPr>
          <w:rFonts w:eastAsia="Arial Unicode MS"/>
          <w:sz w:val="36"/>
          <w:szCs w:val="36"/>
        </w:rPr>
        <w:br w:type="page"/>
      </w:r>
    </w:p>
    <w:p>
      <w:pPr>
        <w:widowControl/>
        <w:jc w:val="center"/>
        <w:rPr>
          <w:rFonts w:eastAsia="黑体" w:cstheme="minorBidi"/>
          <w:sz w:val="28"/>
          <w:szCs w:val="28"/>
        </w:rPr>
      </w:pPr>
      <w:r>
        <w:rPr>
          <w:rFonts w:hint="eastAsia" w:eastAsia="黑体"/>
          <w:sz w:val="48"/>
          <w:szCs w:val="48"/>
        </w:rPr>
        <w:t>目录</w:t>
      </w:r>
    </w:p>
    <w:p>
      <w:pPr>
        <w:pStyle w:val="13"/>
        <w:rPr>
          <w:rFonts w:ascii="Times New Roman" w:hAnsi="Times New Roman" w:eastAsia="仿宋_GB2312" w:cs="仿宋_GB2312"/>
          <w:sz w:val="32"/>
          <w:szCs w:val="32"/>
        </w:rPr>
      </w:pPr>
      <w:r>
        <w:rPr>
          <w:rFonts w:hint="eastAsia" w:ascii="Times New Roman" w:hAnsi="Times New Roman" w:eastAsia="仿宋_GB2312" w:cs="仿宋_GB2312"/>
          <w:sz w:val="32"/>
          <w:szCs w:val="32"/>
        </w:rPr>
        <w:t>公开时间：2025年10月2</w:t>
      </w:r>
      <w:r>
        <w:rPr>
          <w:rFonts w:hint="eastAsia" w:ascii="Times New Roman" w:hAnsi="Times New Roman" w:eastAsia="仿宋_GB2312" w:cs="仿宋_GB2312"/>
          <w:sz w:val="32"/>
          <w:szCs w:val="32"/>
          <w:lang w:val="en-US" w:eastAsia="zh-CN"/>
        </w:rPr>
        <w:t>9</w:t>
      </w:r>
      <w:bookmarkStart w:id="111" w:name="_GoBack"/>
      <w:bookmarkEnd w:id="111"/>
      <w:r>
        <w:rPr>
          <w:rFonts w:hint="eastAsia" w:ascii="Times New Roman" w:hAnsi="Times New Roman" w:eastAsia="仿宋_GB2312" w:cs="仿宋_GB2312"/>
          <w:sz w:val="32"/>
          <w:szCs w:val="32"/>
        </w:rPr>
        <w:t xml:space="preserve"> 日</w:t>
      </w:r>
    </w:p>
    <w:p>
      <w:pPr>
        <w:jc w:val="center"/>
        <w:rPr>
          <w:rFonts w:ascii="仿宋" w:hAnsi="仿宋" w:eastAsia="仿宋"/>
          <w:bCs/>
          <w:sz w:val="32"/>
          <w:szCs w:val="32"/>
          <w:highlight w:val="yellow"/>
        </w:rPr>
      </w:pPr>
    </w:p>
    <w:sdt>
      <w:sdtPr>
        <w:rPr>
          <w:rFonts w:ascii="宋体" w:hAnsi="宋体"/>
        </w:rPr>
        <w:id w:val="147453778"/>
        <w:docPartObj>
          <w:docPartGallery w:val="Table of Contents"/>
          <w:docPartUnique/>
        </w:docPartObj>
      </w:sdtPr>
      <w:sdtEndPr>
        <w:rPr>
          <w:rFonts w:ascii="仿宋_GB2312" w:hAnsi="Times New Roman"/>
          <w:szCs w:val="32"/>
        </w:rPr>
      </w:sdtEndPr>
      <w:sdtContent>
        <w:p>
          <w:pPr>
            <w:spacing w:line="440" w:lineRule="exact"/>
            <w:jc w:val="center"/>
          </w:pPr>
        </w:p>
        <w:p>
          <w:pPr>
            <w:pStyle w:val="13"/>
            <w:tabs>
              <w:tab w:val="right" w:leader="dot" w:pos="8306"/>
              <w:tab w:val="clear" w:pos="8296"/>
            </w:tabs>
            <w:spacing w:line="480" w:lineRule="exact"/>
          </w:pPr>
          <w:r>
            <w:rPr>
              <w:rFonts w:ascii="Times New Roman" w:hAnsi="Times New Roman" w:eastAsia="黑体" w:cs="黑体"/>
              <w:sz w:val="32"/>
              <w:szCs w:val="32"/>
            </w:rPr>
            <w:fldChar w:fldCharType="begin"/>
          </w:r>
          <w:r>
            <w:rPr>
              <w:rFonts w:hint="eastAsia" w:ascii="Times New Roman" w:hAnsi="Times New Roman" w:eastAsia="黑体" w:cs="黑体"/>
              <w:sz w:val="32"/>
              <w:szCs w:val="32"/>
            </w:rPr>
            <w:instrText xml:space="preserve">TOC \o "1-2" \h \u </w:instrText>
          </w:r>
          <w:r>
            <w:rPr>
              <w:rFonts w:ascii="Times New Roman" w:hAnsi="Times New Roman" w:eastAsia="黑体" w:cs="黑体"/>
              <w:sz w:val="32"/>
              <w:szCs w:val="32"/>
            </w:rPr>
            <w:fldChar w:fldCharType="separate"/>
          </w:r>
          <w:r>
            <w:fldChar w:fldCharType="begin"/>
          </w:r>
          <w:r>
            <w:instrText xml:space="preserve"> HYPERLINK \l "_Toc18621" </w:instrText>
          </w:r>
          <w:r>
            <w:fldChar w:fldCharType="separate"/>
          </w:r>
          <w:r>
            <w:rPr>
              <w:rFonts w:hint="eastAsia" w:eastAsia="Arial Unicode MS" w:cs="Arial Unicode MS"/>
            </w:rPr>
            <w:t>第一部分  部门概况</w:t>
          </w:r>
          <w:r>
            <w:rPr>
              <w:rFonts w:ascii="Times New Roman" w:hAnsi="Times New Roman" w:eastAsia="宋体"/>
              <w:sz w:val="21"/>
              <w:szCs w:val="24"/>
            </w:rPr>
            <w:tab/>
          </w:r>
          <w:r>
            <w:rPr>
              <w:rFonts w:ascii="Times New Roman" w:hAnsi="Times New Roman" w:eastAsia="宋体"/>
              <w:sz w:val="21"/>
              <w:szCs w:val="24"/>
            </w:rPr>
            <w:fldChar w:fldCharType="begin"/>
          </w:r>
          <w:r>
            <w:rPr>
              <w:rFonts w:ascii="Times New Roman" w:hAnsi="Times New Roman" w:eastAsia="宋体"/>
              <w:sz w:val="21"/>
              <w:szCs w:val="24"/>
            </w:rPr>
            <w:instrText xml:space="preserve"> PAGEREF _Toc18621 \h </w:instrText>
          </w:r>
          <w:r>
            <w:rPr>
              <w:rFonts w:ascii="Times New Roman" w:hAnsi="Times New Roman" w:eastAsia="宋体"/>
              <w:sz w:val="21"/>
              <w:szCs w:val="24"/>
            </w:rPr>
            <w:fldChar w:fldCharType="separate"/>
          </w:r>
          <w:r>
            <w:rPr>
              <w:rFonts w:ascii="Times New Roman" w:hAnsi="Times New Roman" w:eastAsia="宋体"/>
              <w:sz w:val="21"/>
              <w:szCs w:val="24"/>
            </w:rPr>
            <w:t>- 3 -</w:t>
          </w:r>
          <w:r>
            <w:rPr>
              <w:rFonts w:ascii="Times New Roman" w:hAnsi="Times New Roman" w:eastAsia="宋体"/>
              <w:sz w:val="21"/>
              <w:szCs w:val="24"/>
            </w:rPr>
            <w:fldChar w:fldCharType="end"/>
          </w:r>
          <w:r>
            <w:rPr>
              <w:rFonts w:ascii="Times New Roman" w:hAnsi="Times New Roman" w:eastAsia="宋体"/>
              <w:sz w:val="21"/>
              <w:szCs w:val="24"/>
            </w:rPr>
            <w:fldChar w:fldCharType="end"/>
          </w:r>
        </w:p>
        <w:p>
          <w:pPr>
            <w:pStyle w:val="15"/>
            <w:tabs>
              <w:tab w:val="right" w:leader="dot" w:pos="8306"/>
              <w:tab w:val="clear" w:pos="8296"/>
            </w:tabs>
            <w:spacing w:line="480" w:lineRule="exact"/>
          </w:pPr>
          <w:r>
            <w:fldChar w:fldCharType="begin"/>
          </w:r>
          <w:r>
            <w:instrText xml:space="preserve"> HYPERLINK \l "_Toc21330" </w:instrText>
          </w:r>
          <w:r>
            <w:fldChar w:fldCharType="separate"/>
          </w:r>
          <w:r>
            <w:rPr>
              <w:rFonts w:hint="eastAsia" w:eastAsia="黑体"/>
            </w:rPr>
            <w:t>一、部门职责</w:t>
          </w:r>
          <w:r>
            <w:tab/>
          </w:r>
          <w:r>
            <w:fldChar w:fldCharType="begin"/>
          </w:r>
          <w:r>
            <w:instrText xml:space="preserve"> PAGEREF _Toc21330 \h </w:instrText>
          </w:r>
          <w:r>
            <w:fldChar w:fldCharType="separate"/>
          </w:r>
          <w:r>
            <w:t>- 3 -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"_Toc18085" </w:instrText>
          </w:r>
          <w:r>
            <w:fldChar w:fldCharType="separate"/>
          </w:r>
          <w:r>
            <w:rPr>
              <w:rFonts w:hint="eastAsia" w:eastAsia="黑体"/>
            </w:rPr>
            <w:t>二、机构设置</w:t>
          </w:r>
          <w:r>
            <w:tab/>
          </w:r>
          <w:r>
            <w:fldChar w:fldCharType="begin"/>
          </w:r>
          <w:r>
            <w:instrText xml:space="preserve"> PAGEREF _Toc18085 \h </w:instrText>
          </w:r>
          <w:r>
            <w:fldChar w:fldCharType="separate"/>
          </w:r>
          <w:r>
            <w:t>- 4 -</w:t>
          </w:r>
          <w:r>
            <w:fldChar w:fldCharType="end"/>
          </w:r>
          <w:r>
            <w:fldChar w:fldCharType="end"/>
          </w:r>
        </w:p>
        <w:p>
          <w:pPr>
            <w:pStyle w:val="13"/>
            <w:tabs>
              <w:tab w:val="right" w:leader="dot" w:pos="8306"/>
              <w:tab w:val="clear" w:pos="8296"/>
            </w:tabs>
            <w:spacing w:line="480" w:lineRule="exact"/>
          </w:pPr>
          <w:r>
            <w:fldChar w:fldCharType="begin"/>
          </w:r>
          <w:r>
            <w:instrText xml:space="preserve"> HYPERLINK \l "_Toc13544" </w:instrText>
          </w:r>
          <w:r>
            <w:fldChar w:fldCharType="separate"/>
          </w:r>
          <w:r>
            <w:rPr>
              <w:rFonts w:hint="eastAsia" w:eastAsia="Arial Unicode MS" w:cs="Arial Unicode MS"/>
            </w:rPr>
            <w:t xml:space="preserve">第二部分 </w:t>
          </w:r>
          <w:r>
            <w:rPr>
              <w:rFonts w:hint="eastAsia" w:eastAsia="Arial Unicode MS" w:cs="Arial Unicode MS"/>
              <w:b/>
              <w:bCs/>
            </w:rPr>
            <w:t xml:space="preserve"> 2024</w:t>
          </w:r>
          <w:r>
            <w:rPr>
              <w:rFonts w:hint="eastAsia" w:eastAsia="Arial Unicode MS" w:cs="Arial Unicode MS"/>
            </w:rPr>
            <w:t>年度部门决算情况说明</w:t>
          </w:r>
          <w:r>
            <w:rPr>
              <w:rFonts w:ascii="Times New Roman" w:hAnsi="Times New Roman" w:eastAsia="宋体"/>
              <w:sz w:val="21"/>
              <w:szCs w:val="24"/>
            </w:rPr>
            <w:tab/>
          </w:r>
          <w:r>
            <w:rPr>
              <w:rFonts w:ascii="Times New Roman" w:hAnsi="Times New Roman" w:eastAsia="宋体"/>
              <w:sz w:val="21"/>
              <w:szCs w:val="24"/>
            </w:rPr>
            <w:fldChar w:fldCharType="begin"/>
          </w:r>
          <w:r>
            <w:rPr>
              <w:rFonts w:ascii="Times New Roman" w:hAnsi="Times New Roman" w:eastAsia="宋体"/>
              <w:sz w:val="21"/>
              <w:szCs w:val="24"/>
            </w:rPr>
            <w:instrText xml:space="preserve"> PAGEREF _Toc13544 \h </w:instrText>
          </w:r>
          <w:r>
            <w:rPr>
              <w:rFonts w:ascii="Times New Roman" w:hAnsi="Times New Roman" w:eastAsia="宋体"/>
              <w:sz w:val="21"/>
              <w:szCs w:val="24"/>
            </w:rPr>
            <w:fldChar w:fldCharType="separate"/>
          </w:r>
          <w:r>
            <w:rPr>
              <w:rFonts w:ascii="Times New Roman" w:hAnsi="Times New Roman" w:eastAsia="宋体"/>
              <w:sz w:val="21"/>
              <w:szCs w:val="24"/>
            </w:rPr>
            <w:t>- 5 -</w:t>
          </w:r>
          <w:r>
            <w:rPr>
              <w:rFonts w:ascii="Times New Roman" w:hAnsi="Times New Roman" w:eastAsia="宋体"/>
              <w:sz w:val="21"/>
              <w:szCs w:val="24"/>
            </w:rPr>
            <w:fldChar w:fldCharType="end"/>
          </w:r>
          <w:r>
            <w:rPr>
              <w:rFonts w:ascii="Times New Roman" w:hAnsi="Times New Roman" w:eastAsia="宋体"/>
              <w:sz w:val="21"/>
              <w:szCs w:val="24"/>
            </w:rPr>
            <w:fldChar w:fldCharType="end"/>
          </w:r>
        </w:p>
        <w:p>
          <w:pPr>
            <w:pStyle w:val="15"/>
            <w:tabs>
              <w:tab w:val="right" w:leader="dot" w:pos="8306"/>
              <w:tab w:val="clear" w:pos="8296"/>
            </w:tabs>
            <w:spacing w:line="480" w:lineRule="exact"/>
          </w:pPr>
          <w:r>
            <w:fldChar w:fldCharType="begin"/>
          </w:r>
          <w:r>
            <w:instrText xml:space="preserve"> HYPERLINK \l "_Toc19741" </w:instrText>
          </w:r>
          <w:r>
            <w:fldChar w:fldCharType="separate"/>
          </w:r>
          <w:r>
            <w:rPr>
              <w:rFonts w:hint="eastAsia" w:eastAsia="黑体"/>
              <w:szCs w:val="32"/>
            </w:rPr>
            <w:t>一、收</w:t>
          </w:r>
          <w:r>
            <w:rPr>
              <w:rFonts w:hint="eastAsia" w:eastAsia="黑体"/>
            </w:rPr>
            <w:t>入支出决算总体情况说明</w:t>
          </w:r>
          <w:r>
            <w:tab/>
          </w:r>
          <w:r>
            <w:fldChar w:fldCharType="begin"/>
          </w:r>
          <w:r>
            <w:instrText xml:space="preserve"> PAGEREF _Toc19741 \h </w:instrText>
          </w:r>
          <w:r>
            <w:fldChar w:fldCharType="separate"/>
          </w:r>
          <w:r>
            <w:t>- 5 -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"_Toc26740" </w:instrText>
          </w:r>
          <w:r>
            <w:fldChar w:fldCharType="separate"/>
          </w:r>
          <w:r>
            <w:rPr>
              <w:rFonts w:hint="eastAsia" w:eastAsia="黑体"/>
              <w:szCs w:val="32"/>
            </w:rPr>
            <w:t>二、收入决算情况说明</w:t>
          </w:r>
          <w:r>
            <w:tab/>
          </w:r>
          <w:r>
            <w:fldChar w:fldCharType="begin"/>
          </w:r>
          <w:r>
            <w:instrText xml:space="preserve"> PAGEREF _Toc26740 \h </w:instrText>
          </w:r>
          <w:r>
            <w:fldChar w:fldCharType="separate"/>
          </w:r>
          <w:r>
            <w:t>- 5 -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"_Toc961" </w:instrText>
          </w:r>
          <w:r>
            <w:fldChar w:fldCharType="separate"/>
          </w:r>
          <w:r>
            <w:rPr>
              <w:rFonts w:hint="eastAsia" w:eastAsia="黑体"/>
              <w:szCs w:val="32"/>
            </w:rPr>
            <w:t>三、支</w:t>
          </w:r>
          <w:r>
            <w:rPr>
              <w:rFonts w:hint="eastAsia" w:eastAsia="黑体"/>
            </w:rPr>
            <w:t>出决算情况说明</w:t>
          </w:r>
          <w:r>
            <w:tab/>
          </w:r>
          <w:r>
            <w:fldChar w:fldCharType="begin"/>
          </w:r>
          <w:r>
            <w:instrText xml:space="preserve"> PAGEREF _Toc961 \h </w:instrText>
          </w:r>
          <w:r>
            <w:fldChar w:fldCharType="separate"/>
          </w:r>
          <w:r>
            <w:t>- 6 -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"_Toc24146" </w:instrText>
          </w:r>
          <w:r>
            <w:fldChar w:fldCharType="separate"/>
          </w:r>
          <w:r>
            <w:rPr>
              <w:rFonts w:hint="eastAsia" w:eastAsia="黑体"/>
              <w:szCs w:val="32"/>
            </w:rPr>
            <w:t>四、财</w:t>
          </w:r>
          <w:r>
            <w:rPr>
              <w:rFonts w:hint="eastAsia" w:eastAsia="黑体"/>
            </w:rPr>
            <w:t>政拨款收入支出决算总体情况说明</w:t>
          </w:r>
          <w:r>
            <w:tab/>
          </w:r>
          <w:r>
            <w:fldChar w:fldCharType="begin"/>
          </w:r>
          <w:r>
            <w:instrText xml:space="preserve"> PAGEREF _Toc24146 \h </w:instrText>
          </w:r>
          <w:r>
            <w:fldChar w:fldCharType="separate"/>
          </w:r>
          <w:r>
            <w:t>- 6 -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"_Toc11234" </w:instrText>
          </w:r>
          <w:r>
            <w:fldChar w:fldCharType="separate"/>
          </w:r>
          <w:r>
            <w:rPr>
              <w:rFonts w:hint="eastAsia" w:eastAsia="黑体"/>
              <w:szCs w:val="32"/>
            </w:rPr>
            <w:t>五、一</w:t>
          </w:r>
          <w:r>
            <w:rPr>
              <w:rFonts w:hint="eastAsia" w:eastAsia="黑体"/>
            </w:rPr>
            <w:t>般公共预算财政拨款支出决算情况说明</w:t>
          </w:r>
          <w:r>
            <w:tab/>
          </w:r>
          <w:r>
            <w:fldChar w:fldCharType="begin"/>
          </w:r>
          <w:r>
            <w:instrText xml:space="preserve"> PAGEREF _Toc11234 \h </w:instrText>
          </w:r>
          <w:r>
            <w:fldChar w:fldCharType="separate"/>
          </w:r>
          <w:r>
            <w:t>- 7 -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"_Toc17235" </w:instrText>
          </w:r>
          <w:r>
            <w:fldChar w:fldCharType="separate"/>
          </w:r>
          <w:r>
            <w:rPr>
              <w:rFonts w:hint="eastAsia" w:eastAsia="黑体"/>
              <w:szCs w:val="32"/>
            </w:rPr>
            <w:t>六、一</w:t>
          </w:r>
          <w:r>
            <w:rPr>
              <w:rFonts w:hint="eastAsia" w:eastAsia="黑体"/>
            </w:rPr>
            <w:t>般公共预算财政拨款基本支出决算情况说明</w:t>
          </w:r>
          <w:r>
            <w:tab/>
          </w:r>
          <w:r>
            <w:fldChar w:fldCharType="begin"/>
          </w:r>
          <w:r>
            <w:instrText xml:space="preserve"> PAGEREF _Toc17235 \h </w:instrText>
          </w:r>
          <w:r>
            <w:fldChar w:fldCharType="separate"/>
          </w:r>
          <w:r>
            <w:t>- 10 -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"_Toc29905" </w:instrText>
          </w:r>
          <w:r>
            <w:fldChar w:fldCharType="separate"/>
          </w:r>
          <w:r>
            <w:rPr>
              <w:rFonts w:hint="eastAsia" w:eastAsia="黑体"/>
              <w:szCs w:val="32"/>
            </w:rPr>
            <w:t>七、</w:t>
          </w:r>
          <w:r>
            <w:rPr>
              <w:rFonts w:hint="eastAsia" w:eastAsia="黑体"/>
            </w:rPr>
            <w:t>财政拨款“三公”经费支出决算情况说明</w:t>
          </w:r>
          <w:r>
            <w:tab/>
          </w:r>
          <w:r>
            <w:fldChar w:fldCharType="begin"/>
          </w:r>
          <w:r>
            <w:instrText xml:space="preserve"> PAGEREF _Toc29905 \h </w:instrText>
          </w:r>
          <w:r>
            <w:fldChar w:fldCharType="separate"/>
          </w:r>
          <w:r>
            <w:t>- 11 -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"_Toc20567" </w:instrText>
          </w:r>
          <w:r>
            <w:fldChar w:fldCharType="separate"/>
          </w:r>
          <w:r>
            <w:rPr>
              <w:rFonts w:hint="eastAsia" w:eastAsia="黑体"/>
              <w:szCs w:val="32"/>
            </w:rPr>
            <w:t>八、</w:t>
          </w:r>
          <w:r>
            <w:rPr>
              <w:rFonts w:hint="eastAsia" w:eastAsia="黑体"/>
            </w:rPr>
            <w:t>政府性基金预算支出决算情况说明</w:t>
          </w:r>
          <w:r>
            <w:tab/>
          </w:r>
          <w:r>
            <w:fldChar w:fldCharType="begin"/>
          </w:r>
          <w:r>
            <w:instrText xml:space="preserve"> PAGEREF _Toc20567 \h </w:instrText>
          </w:r>
          <w:r>
            <w:fldChar w:fldCharType="separate"/>
          </w:r>
          <w:r>
            <w:t>- 13 -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"_Toc10094" </w:instrText>
          </w:r>
          <w:r>
            <w:fldChar w:fldCharType="separate"/>
          </w:r>
          <w:r>
            <w:rPr>
              <w:rFonts w:hint="eastAsia" w:eastAsia="黑体"/>
            </w:rPr>
            <w:t>九、国有资本经营预算支出决算情况说明</w:t>
          </w:r>
          <w:r>
            <w:tab/>
          </w:r>
          <w:r>
            <w:fldChar w:fldCharType="begin"/>
          </w:r>
          <w:r>
            <w:instrText xml:space="preserve"> PAGEREF _Toc10094 \h </w:instrText>
          </w:r>
          <w:r>
            <w:fldChar w:fldCharType="separate"/>
          </w:r>
          <w:r>
            <w:t>- 13 -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"_Toc30755" </w:instrText>
          </w:r>
          <w:r>
            <w:fldChar w:fldCharType="separate"/>
          </w:r>
          <w:r>
            <w:rPr>
              <w:rFonts w:hint="eastAsia" w:eastAsia="黑体"/>
            </w:rPr>
            <w:t>十、其他重要事项的情况说明</w:t>
          </w:r>
          <w:r>
            <w:tab/>
          </w:r>
          <w:r>
            <w:fldChar w:fldCharType="begin"/>
          </w:r>
          <w:r>
            <w:instrText xml:space="preserve"> PAGEREF _Toc30755 \h </w:instrText>
          </w:r>
          <w:r>
            <w:fldChar w:fldCharType="separate"/>
          </w:r>
          <w:r>
            <w:t>- 13 -</w:t>
          </w:r>
          <w:r>
            <w:fldChar w:fldCharType="end"/>
          </w:r>
          <w:r>
            <w:fldChar w:fldCharType="end"/>
          </w:r>
        </w:p>
        <w:p>
          <w:pPr>
            <w:pStyle w:val="13"/>
            <w:tabs>
              <w:tab w:val="right" w:leader="dot" w:pos="8306"/>
              <w:tab w:val="clear" w:pos="8296"/>
            </w:tabs>
            <w:spacing w:line="480" w:lineRule="exact"/>
          </w:pPr>
          <w:r>
            <w:fldChar w:fldCharType="begin"/>
          </w:r>
          <w:r>
            <w:instrText xml:space="preserve"> HYPERLINK \l "_Toc2890" </w:instrText>
          </w:r>
          <w:r>
            <w:fldChar w:fldCharType="separate"/>
          </w:r>
          <w:r>
            <w:rPr>
              <w:rFonts w:hint="eastAsia" w:eastAsia="Arial Unicode MS" w:cs="Arial Unicode MS"/>
            </w:rPr>
            <w:t>第三部分  名词解释</w:t>
          </w:r>
          <w:r>
            <w:rPr>
              <w:rFonts w:ascii="Times New Roman" w:hAnsi="Times New Roman" w:eastAsia="宋体"/>
              <w:sz w:val="21"/>
              <w:szCs w:val="24"/>
            </w:rPr>
            <w:tab/>
          </w:r>
          <w:r>
            <w:rPr>
              <w:rFonts w:ascii="Times New Roman" w:hAnsi="Times New Roman" w:eastAsia="宋体"/>
              <w:sz w:val="21"/>
              <w:szCs w:val="24"/>
            </w:rPr>
            <w:fldChar w:fldCharType="begin"/>
          </w:r>
          <w:r>
            <w:rPr>
              <w:rFonts w:ascii="Times New Roman" w:hAnsi="Times New Roman" w:eastAsia="宋体"/>
              <w:sz w:val="21"/>
              <w:szCs w:val="24"/>
            </w:rPr>
            <w:instrText xml:space="preserve"> PAGEREF _Toc2890 \h </w:instrText>
          </w:r>
          <w:r>
            <w:rPr>
              <w:rFonts w:ascii="Times New Roman" w:hAnsi="Times New Roman" w:eastAsia="宋体"/>
              <w:sz w:val="21"/>
              <w:szCs w:val="24"/>
            </w:rPr>
            <w:fldChar w:fldCharType="separate"/>
          </w:r>
          <w:r>
            <w:rPr>
              <w:rFonts w:ascii="Times New Roman" w:hAnsi="Times New Roman" w:eastAsia="宋体"/>
              <w:sz w:val="21"/>
              <w:szCs w:val="24"/>
            </w:rPr>
            <w:t>- 15 -</w:t>
          </w:r>
          <w:r>
            <w:rPr>
              <w:rFonts w:ascii="Times New Roman" w:hAnsi="Times New Roman" w:eastAsia="宋体"/>
              <w:sz w:val="21"/>
              <w:szCs w:val="24"/>
            </w:rPr>
            <w:fldChar w:fldCharType="end"/>
          </w:r>
          <w:r>
            <w:rPr>
              <w:rFonts w:ascii="Times New Roman" w:hAnsi="Times New Roman" w:eastAsia="宋体"/>
              <w:sz w:val="21"/>
              <w:szCs w:val="24"/>
            </w:rPr>
            <w:fldChar w:fldCharType="end"/>
          </w:r>
        </w:p>
        <w:p>
          <w:pPr>
            <w:pStyle w:val="13"/>
            <w:tabs>
              <w:tab w:val="right" w:leader="dot" w:pos="8306"/>
              <w:tab w:val="clear" w:pos="8296"/>
            </w:tabs>
            <w:spacing w:line="480" w:lineRule="exact"/>
          </w:pPr>
          <w:r>
            <w:fldChar w:fldCharType="begin"/>
          </w:r>
          <w:r>
            <w:instrText xml:space="preserve"> HYPERLINK \l "_Toc27757" </w:instrText>
          </w:r>
          <w:r>
            <w:fldChar w:fldCharType="separate"/>
          </w:r>
          <w:r>
            <w:rPr>
              <w:rFonts w:hint="eastAsia" w:eastAsia="Arial Unicode MS" w:cs="Arial Unicode MS"/>
            </w:rPr>
            <w:t>第四部分  附件</w:t>
          </w:r>
          <w:r>
            <w:rPr>
              <w:rFonts w:ascii="Times New Roman" w:hAnsi="Times New Roman" w:eastAsia="宋体"/>
              <w:sz w:val="21"/>
              <w:szCs w:val="24"/>
            </w:rPr>
            <w:tab/>
          </w:r>
          <w:r>
            <w:rPr>
              <w:rFonts w:ascii="Times New Roman" w:hAnsi="Times New Roman" w:eastAsia="宋体"/>
              <w:sz w:val="21"/>
              <w:szCs w:val="24"/>
            </w:rPr>
            <w:fldChar w:fldCharType="begin"/>
          </w:r>
          <w:r>
            <w:rPr>
              <w:rFonts w:ascii="Times New Roman" w:hAnsi="Times New Roman" w:eastAsia="宋体"/>
              <w:sz w:val="21"/>
              <w:szCs w:val="24"/>
            </w:rPr>
            <w:instrText xml:space="preserve"> PAGEREF _Toc27757 \h </w:instrText>
          </w:r>
          <w:r>
            <w:rPr>
              <w:rFonts w:ascii="Times New Roman" w:hAnsi="Times New Roman" w:eastAsia="宋体"/>
              <w:sz w:val="21"/>
              <w:szCs w:val="24"/>
            </w:rPr>
            <w:fldChar w:fldCharType="separate"/>
          </w:r>
          <w:r>
            <w:rPr>
              <w:rFonts w:ascii="Times New Roman" w:hAnsi="Times New Roman" w:eastAsia="宋体"/>
              <w:sz w:val="21"/>
              <w:szCs w:val="24"/>
            </w:rPr>
            <w:t>- 20 -</w:t>
          </w:r>
          <w:r>
            <w:rPr>
              <w:rFonts w:ascii="Times New Roman" w:hAnsi="Times New Roman" w:eastAsia="宋体"/>
              <w:sz w:val="21"/>
              <w:szCs w:val="24"/>
            </w:rPr>
            <w:fldChar w:fldCharType="end"/>
          </w:r>
          <w:r>
            <w:rPr>
              <w:rFonts w:ascii="Times New Roman" w:hAnsi="Times New Roman" w:eastAsia="宋体"/>
              <w:sz w:val="21"/>
              <w:szCs w:val="24"/>
            </w:rPr>
            <w:fldChar w:fldCharType="end"/>
          </w:r>
        </w:p>
        <w:p>
          <w:pPr>
            <w:pStyle w:val="13"/>
            <w:tabs>
              <w:tab w:val="right" w:leader="dot" w:pos="8306"/>
              <w:tab w:val="clear" w:pos="8296"/>
            </w:tabs>
            <w:spacing w:line="480" w:lineRule="exact"/>
          </w:pPr>
          <w:r>
            <w:fldChar w:fldCharType="begin"/>
          </w:r>
          <w:r>
            <w:instrText xml:space="preserve"> HYPERLINK \l "_Toc14827" </w:instrText>
          </w:r>
          <w:r>
            <w:fldChar w:fldCharType="separate"/>
          </w:r>
          <w:r>
            <w:rPr>
              <w:rFonts w:hint="eastAsia" w:eastAsia="Arial Unicode MS" w:cs="Arial Unicode MS"/>
            </w:rPr>
            <w:t>第五部分 附表</w:t>
          </w:r>
          <w:r>
            <w:rPr>
              <w:rFonts w:ascii="Times New Roman" w:hAnsi="Times New Roman" w:eastAsia="宋体"/>
              <w:sz w:val="21"/>
              <w:szCs w:val="24"/>
            </w:rPr>
            <w:tab/>
          </w:r>
          <w:r>
            <w:rPr>
              <w:rFonts w:ascii="Times New Roman" w:hAnsi="Times New Roman" w:eastAsia="宋体"/>
              <w:sz w:val="21"/>
              <w:szCs w:val="24"/>
            </w:rPr>
            <w:fldChar w:fldCharType="begin"/>
          </w:r>
          <w:r>
            <w:rPr>
              <w:rFonts w:ascii="Times New Roman" w:hAnsi="Times New Roman" w:eastAsia="宋体"/>
              <w:sz w:val="21"/>
              <w:szCs w:val="24"/>
            </w:rPr>
            <w:instrText xml:space="preserve"> PAGEREF _Toc14827 \h </w:instrText>
          </w:r>
          <w:r>
            <w:rPr>
              <w:rFonts w:ascii="Times New Roman" w:hAnsi="Times New Roman" w:eastAsia="宋体"/>
              <w:sz w:val="21"/>
              <w:szCs w:val="24"/>
            </w:rPr>
            <w:fldChar w:fldCharType="separate"/>
          </w:r>
          <w:r>
            <w:rPr>
              <w:rFonts w:ascii="Times New Roman" w:hAnsi="Times New Roman" w:eastAsia="宋体"/>
              <w:sz w:val="21"/>
              <w:szCs w:val="24"/>
            </w:rPr>
            <w:t>- 44 -</w:t>
          </w:r>
          <w:r>
            <w:rPr>
              <w:rFonts w:ascii="Times New Roman" w:hAnsi="Times New Roman" w:eastAsia="宋体"/>
              <w:sz w:val="21"/>
              <w:szCs w:val="24"/>
            </w:rPr>
            <w:fldChar w:fldCharType="end"/>
          </w:r>
          <w:r>
            <w:rPr>
              <w:rFonts w:ascii="Times New Roman" w:hAnsi="Times New Roman" w:eastAsia="宋体"/>
              <w:sz w:val="21"/>
              <w:szCs w:val="24"/>
            </w:rPr>
            <w:fldChar w:fldCharType="end"/>
          </w:r>
        </w:p>
        <w:p>
          <w:pPr>
            <w:pStyle w:val="15"/>
            <w:tabs>
              <w:tab w:val="right" w:leader="dot" w:pos="8306"/>
              <w:tab w:val="clear" w:pos="8296"/>
            </w:tabs>
            <w:spacing w:line="480" w:lineRule="exact"/>
          </w:pPr>
          <w:r>
            <w:fldChar w:fldCharType="begin"/>
          </w:r>
          <w:r>
            <w:instrText xml:space="preserve"> HYPERLINK \l "_Toc31919" </w:instrText>
          </w:r>
          <w:r>
            <w:fldChar w:fldCharType="separate"/>
          </w:r>
          <w:r>
            <w:rPr>
              <w:rFonts w:hint="eastAsia" w:ascii="黑体" w:hAnsi="黑体" w:eastAsia="黑体" w:cs="黑体"/>
              <w:szCs w:val="32"/>
            </w:rPr>
            <w:t>一、收入支出决算总表</w:t>
          </w:r>
          <w:r>
            <w:tab/>
          </w:r>
          <w:r>
            <w:fldChar w:fldCharType="begin"/>
          </w:r>
          <w:r>
            <w:instrText xml:space="preserve"> PAGEREF _Toc31919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"_Toc30942" </w:instrText>
          </w:r>
          <w:r>
            <w:fldChar w:fldCharType="separate"/>
          </w:r>
          <w:r>
            <w:rPr>
              <w:rFonts w:hint="eastAsia" w:ascii="黑体" w:hAnsi="黑体" w:eastAsia="黑体" w:cs="黑体"/>
              <w:szCs w:val="32"/>
            </w:rPr>
            <w:t>二、收入决算表</w:t>
          </w:r>
          <w:r>
            <w:tab/>
          </w:r>
          <w:r>
            <w:fldChar w:fldCharType="begin"/>
          </w:r>
          <w:r>
            <w:instrText xml:space="preserve"> PAGEREF _Toc30942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"_Toc9290" </w:instrText>
          </w:r>
          <w:r>
            <w:fldChar w:fldCharType="separate"/>
          </w:r>
          <w:r>
            <w:rPr>
              <w:rFonts w:hint="eastAsia" w:ascii="黑体" w:hAnsi="黑体" w:eastAsia="黑体" w:cs="黑体"/>
              <w:szCs w:val="32"/>
            </w:rPr>
            <w:t>三、支出决算表</w:t>
          </w:r>
          <w:r>
            <w:tab/>
          </w:r>
          <w:r>
            <w:fldChar w:fldCharType="begin"/>
          </w:r>
          <w:r>
            <w:instrText xml:space="preserve"> PAGEREF _Toc9290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"_Toc14793" </w:instrText>
          </w:r>
          <w:r>
            <w:fldChar w:fldCharType="separate"/>
          </w:r>
          <w:r>
            <w:rPr>
              <w:rFonts w:hint="eastAsia" w:ascii="黑体" w:hAnsi="黑体" w:eastAsia="黑体" w:cs="黑体"/>
              <w:szCs w:val="32"/>
            </w:rPr>
            <w:t>四、财政拨款收入支出决算总表</w:t>
          </w:r>
          <w:r>
            <w:tab/>
          </w:r>
          <w:r>
            <w:fldChar w:fldCharType="begin"/>
          </w:r>
          <w:r>
            <w:instrText xml:space="preserve"> PAGEREF _Toc14793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"_Toc2809" </w:instrText>
          </w:r>
          <w:r>
            <w:fldChar w:fldCharType="separate"/>
          </w:r>
          <w:r>
            <w:rPr>
              <w:rFonts w:hint="eastAsia" w:ascii="黑体" w:hAnsi="黑体" w:eastAsia="黑体" w:cs="黑体"/>
              <w:szCs w:val="32"/>
            </w:rPr>
            <w:t>五、财政拨款支出决算明细表</w:t>
          </w:r>
          <w:r>
            <w:tab/>
          </w:r>
          <w:r>
            <w:fldChar w:fldCharType="begin"/>
          </w:r>
          <w:r>
            <w:instrText xml:space="preserve"> PAGEREF _Toc2809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"_Toc6038" </w:instrText>
          </w:r>
          <w:r>
            <w:fldChar w:fldCharType="separate"/>
          </w:r>
          <w:r>
            <w:rPr>
              <w:rFonts w:hint="eastAsia" w:ascii="黑体" w:hAnsi="黑体" w:eastAsia="黑体" w:cs="黑体"/>
              <w:szCs w:val="32"/>
            </w:rPr>
            <w:t>六、一般公共预算财政拨款支出决算表</w:t>
          </w:r>
          <w:r>
            <w:tab/>
          </w:r>
          <w:r>
            <w:fldChar w:fldCharType="begin"/>
          </w:r>
          <w:r>
            <w:instrText xml:space="preserve"> PAGEREF _Toc6038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"_Toc4518" </w:instrText>
          </w:r>
          <w:r>
            <w:fldChar w:fldCharType="separate"/>
          </w:r>
          <w:r>
            <w:rPr>
              <w:rFonts w:hint="eastAsia" w:ascii="黑体" w:hAnsi="黑体" w:eastAsia="黑体" w:cs="黑体"/>
              <w:szCs w:val="32"/>
            </w:rPr>
            <w:t>七、一般公共预算财政拨款支出决算明细表</w:t>
          </w:r>
          <w:r>
            <w:tab/>
          </w:r>
          <w:r>
            <w:fldChar w:fldCharType="begin"/>
          </w:r>
          <w:r>
            <w:instrText xml:space="preserve"> PAGEREF _Toc4518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"_Toc8813" </w:instrText>
          </w:r>
          <w:r>
            <w:fldChar w:fldCharType="separate"/>
          </w:r>
          <w:r>
            <w:rPr>
              <w:rFonts w:hint="eastAsia" w:ascii="黑体" w:hAnsi="黑体" w:eastAsia="黑体" w:cs="黑体"/>
              <w:szCs w:val="32"/>
            </w:rPr>
            <w:t>八、一般公共预算财政拨款基本支出决算表</w:t>
          </w:r>
          <w:r>
            <w:tab/>
          </w:r>
          <w:r>
            <w:fldChar w:fldCharType="begin"/>
          </w:r>
          <w:r>
            <w:instrText xml:space="preserve"> PAGEREF _Toc8813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"_Toc5920" </w:instrText>
          </w:r>
          <w:r>
            <w:fldChar w:fldCharType="separate"/>
          </w:r>
          <w:r>
            <w:rPr>
              <w:rFonts w:hint="eastAsia" w:ascii="黑体" w:hAnsi="黑体" w:eastAsia="黑体" w:cs="黑体"/>
              <w:szCs w:val="32"/>
            </w:rPr>
            <w:t>九、一般公共预算财政拨款项目支出决算表</w:t>
          </w:r>
          <w:r>
            <w:tab/>
          </w:r>
          <w:r>
            <w:fldChar w:fldCharType="begin"/>
          </w:r>
          <w:r>
            <w:instrText xml:space="preserve"> PAGEREF _Toc5920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"_Toc6176" </w:instrText>
          </w:r>
          <w:r>
            <w:fldChar w:fldCharType="separate"/>
          </w:r>
          <w:r>
            <w:rPr>
              <w:rFonts w:hint="eastAsia" w:ascii="黑体" w:hAnsi="黑体" w:eastAsia="黑体" w:cs="黑体"/>
              <w:szCs w:val="32"/>
            </w:rPr>
            <w:t>十、政府性基金预算财政拨款收入支出决算表</w:t>
          </w:r>
          <w:r>
            <w:tab/>
          </w:r>
          <w:r>
            <w:fldChar w:fldCharType="begin"/>
          </w:r>
          <w:r>
            <w:instrText xml:space="preserve"> PAGEREF _Toc6176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"_Toc15170" </w:instrText>
          </w:r>
          <w:r>
            <w:fldChar w:fldCharType="separate"/>
          </w:r>
          <w:r>
            <w:rPr>
              <w:rFonts w:hint="eastAsia" w:ascii="黑体" w:hAnsi="黑体" w:eastAsia="黑体" w:cs="黑体"/>
              <w:szCs w:val="32"/>
            </w:rPr>
            <w:t>十一、国有资本经营预算财政拨款收入支出决算表</w:t>
          </w:r>
          <w:r>
            <w:tab/>
          </w:r>
          <w:r>
            <w:fldChar w:fldCharType="begin"/>
          </w:r>
          <w:r>
            <w:instrText xml:space="preserve"> PAGEREF _Toc15170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"_Toc21799" </w:instrText>
          </w:r>
          <w:r>
            <w:fldChar w:fldCharType="separate"/>
          </w:r>
          <w:r>
            <w:rPr>
              <w:rFonts w:hint="eastAsia" w:ascii="黑体" w:hAnsi="黑体" w:eastAsia="黑体" w:cs="黑体"/>
              <w:szCs w:val="32"/>
            </w:rPr>
            <w:t>十二、国有资本经营预算财政拨款支出决算表</w:t>
          </w:r>
          <w:r>
            <w:tab/>
          </w:r>
          <w:r>
            <w:fldChar w:fldCharType="begin"/>
          </w:r>
          <w:r>
            <w:instrText xml:space="preserve"> PAGEREF _Toc21799 \h </w:instrText>
          </w:r>
          <w:r>
            <w:fldChar w:fldCharType="separate"/>
          </w:r>
          <w:r>
            <w:t>- 44 -</w:t>
          </w:r>
          <w:r>
            <w:fldChar w:fldCharType="end"/>
          </w:r>
          <w:r>
            <w:fldChar w:fldCharType="end"/>
          </w:r>
        </w:p>
        <w:p>
          <w:pPr>
            <w:pStyle w:val="15"/>
            <w:tabs>
              <w:tab w:val="right" w:leader="dot" w:pos="8306"/>
              <w:tab w:val="clear" w:pos="8296"/>
            </w:tabs>
            <w:spacing w:line="480" w:lineRule="exact"/>
          </w:pPr>
          <w:r>
            <w:fldChar w:fldCharType="begin"/>
          </w:r>
          <w:r>
            <w:instrText xml:space="preserve"> HYPERLINK \l "_Toc23687" </w:instrText>
          </w:r>
          <w:r>
            <w:fldChar w:fldCharType="separate"/>
          </w:r>
          <w:r>
            <w:rPr>
              <w:rFonts w:hint="eastAsia" w:ascii="黑体" w:hAnsi="黑体" w:eastAsia="黑体" w:cs="黑体"/>
              <w:szCs w:val="32"/>
            </w:rPr>
            <w:t>十三、财政拨款“三公”经费支出决算表</w:t>
          </w:r>
          <w:r>
            <w:tab/>
          </w:r>
          <w:r>
            <w:fldChar w:fldCharType="begin"/>
          </w:r>
          <w:r>
            <w:instrText xml:space="preserve"> PAGEREF _Toc23687 \h </w:instrText>
          </w:r>
          <w:r>
            <w:fldChar w:fldCharType="separate"/>
          </w:r>
          <w:r>
            <w:t>- 44 -</w:t>
          </w:r>
          <w:r>
            <w:fldChar w:fldCharType="end"/>
          </w:r>
          <w:r>
            <w:fldChar w:fldCharType="end"/>
          </w:r>
        </w:p>
        <w:p>
          <w:pPr>
            <w:pStyle w:val="8"/>
            <w:spacing w:line="440" w:lineRule="exact"/>
            <w:ind w:left="420"/>
          </w:pPr>
          <w:r>
            <w:fldChar w:fldCharType="end"/>
          </w:r>
        </w:p>
      </w:sdtContent>
    </w:sdt>
    <w:p/>
    <w:p>
      <w:pPr>
        <w:pStyle w:val="3"/>
        <w:jc w:val="center"/>
        <w:rPr>
          <w:rFonts w:eastAsia="黑体"/>
          <w:sz w:val="32"/>
          <w:szCs w:val="32"/>
        </w:rPr>
      </w:pPr>
      <w:bookmarkStart w:id="12" w:name="_Toc18621"/>
      <w:bookmarkStart w:id="13" w:name="_Toc15396599"/>
      <w:bookmarkStart w:id="14" w:name="_Toc15377196"/>
      <w:r>
        <w:rPr>
          <w:rFonts w:hint="eastAsia" w:eastAsia="Arial Unicode MS" w:cs="Arial Unicode MS"/>
          <w:b w:val="0"/>
        </w:rPr>
        <w:t xml:space="preserve">第一部分  </w:t>
      </w:r>
      <w:r>
        <w:rPr>
          <w:rStyle w:val="28"/>
          <w:rFonts w:hint="eastAsia" w:eastAsia="Arial Unicode MS" w:cs="Arial Unicode MS"/>
          <w:b w:val="0"/>
          <w:bCs w:val="0"/>
        </w:rPr>
        <w:t>部门概况</w:t>
      </w:r>
      <w:bookmarkEnd w:id="12"/>
      <w:bookmarkEnd w:id="13"/>
      <w:bookmarkEnd w:id="14"/>
    </w:p>
    <w:p>
      <w:pPr>
        <w:pStyle w:val="4"/>
        <w:rPr>
          <w:rFonts w:ascii="Times New Roman" w:hAnsi="Times New Roman" w:eastAsia="黑体"/>
          <w:b w:val="0"/>
        </w:rPr>
      </w:pPr>
      <w:bookmarkStart w:id="15" w:name="_Toc15377197"/>
      <w:bookmarkStart w:id="16" w:name="_Toc15396600"/>
      <w:bookmarkStart w:id="17" w:name="_Toc21330"/>
      <w:r>
        <w:rPr>
          <w:rFonts w:hint="eastAsia" w:ascii="Times New Roman" w:hAnsi="Times New Roman" w:eastAsia="黑体"/>
          <w:b w:val="0"/>
        </w:rPr>
        <w:t>一、</w:t>
      </w:r>
      <w:bookmarkEnd w:id="15"/>
      <w:bookmarkEnd w:id="16"/>
      <w:r>
        <w:rPr>
          <w:rFonts w:hint="eastAsia" w:ascii="Times New Roman" w:hAnsi="Times New Roman" w:eastAsia="黑体"/>
          <w:b w:val="0"/>
        </w:rPr>
        <w:t>部门职责</w:t>
      </w:r>
      <w:bookmarkEnd w:id="17"/>
    </w:p>
    <w:p>
      <w:pPr>
        <w:snapToGrid w:val="0"/>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拟订全区城市管理和综合行政执法工作的发展规划、年度计划并组织实施。负责行使市中区管理范围内划入区综合执法局的城市管理和自然资源（不含林草）、住房城乡建设、发展改革、经济信息化、商务、水务、民政 7 个领域（以下简称有关领域）行政处罚权及与之相关的行政检查权、行政强制权。</w:t>
      </w:r>
    </w:p>
    <w:p>
      <w:pPr>
        <w:snapToGrid w:val="0"/>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负责督查指导所属广场的维护和管理工作，负责对城市管理信息的采集、分类和办理等工作。</w:t>
      </w:r>
    </w:p>
    <w:p>
      <w:pPr>
        <w:snapToGrid w:val="0"/>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完成区委、区政府交办的其他任务。</w:t>
      </w:r>
    </w:p>
    <w:p/>
    <w:p>
      <w:pPr>
        <w:pStyle w:val="4"/>
        <w:rPr>
          <w:rStyle w:val="29"/>
          <w:rFonts w:ascii="Times New Roman" w:hAnsi="Times New Roman"/>
          <w:b w:val="0"/>
          <w:bCs w:val="0"/>
        </w:rPr>
      </w:pPr>
      <w:bookmarkStart w:id="18" w:name="_Toc15396601"/>
      <w:bookmarkStart w:id="19" w:name="_Toc18085"/>
      <w:bookmarkStart w:id="20" w:name="_Toc15377200"/>
      <w:r>
        <w:rPr>
          <w:rFonts w:hint="eastAsia" w:ascii="Times New Roman" w:hAnsi="Times New Roman" w:eastAsia="黑体"/>
          <w:b w:val="0"/>
        </w:rPr>
        <w:t>二、机</w:t>
      </w:r>
      <w:r>
        <w:rPr>
          <w:rStyle w:val="29"/>
          <w:rFonts w:hint="eastAsia" w:ascii="Times New Roman" w:hAnsi="Times New Roman" w:eastAsia="黑体"/>
          <w:b w:val="0"/>
          <w:bCs w:val="0"/>
        </w:rPr>
        <w:t>构设置</w:t>
      </w:r>
      <w:bookmarkEnd w:id="18"/>
      <w:bookmarkEnd w:id="19"/>
      <w:bookmarkEnd w:id="20"/>
    </w:p>
    <w:p>
      <w:pPr>
        <w:ind w:firstLine="800" w:firstLineChars="250"/>
        <w:rPr>
          <w:rFonts w:eastAsia="仿宋_GB2312" w:cs="仿宋_GB2312"/>
          <w:sz w:val="32"/>
          <w:szCs w:val="32"/>
        </w:rPr>
      </w:pPr>
      <w:r>
        <w:rPr>
          <w:rFonts w:hint="eastAsia" w:ascii="仿宋_GB2312" w:hAnsi="仿宋_GB2312" w:eastAsia="仿宋_GB2312" w:cs="仿宋_GB2312"/>
          <w:sz w:val="32"/>
          <w:szCs w:val="32"/>
        </w:rPr>
        <w:t>乐山市市中区综合行政执法局</w:t>
      </w:r>
      <w:r>
        <w:rPr>
          <w:rFonts w:hint="eastAsia" w:eastAsia="仿宋_GB2312" w:cs="仿宋_GB2312"/>
          <w:sz w:val="32"/>
          <w:szCs w:val="32"/>
        </w:rPr>
        <w:t>下属二级预算单位2个，其中行政单位1个，参照公务员法管理的事业单位</w:t>
      </w:r>
      <w:r>
        <w:rPr>
          <w:rFonts w:hint="eastAsia" w:eastAsia="仿宋_GB2312" w:cs="仿宋_GB2312"/>
          <w:bCs/>
          <w:sz w:val="32"/>
          <w:szCs w:val="32"/>
        </w:rPr>
        <w:t>0</w:t>
      </w:r>
      <w:r>
        <w:rPr>
          <w:rFonts w:hint="eastAsia" w:eastAsia="仿宋_GB2312" w:cs="仿宋_GB2312"/>
          <w:sz w:val="32"/>
          <w:szCs w:val="32"/>
        </w:rPr>
        <w:t>个，其他事业单位1个。</w:t>
      </w:r>
    </w:p>
    <w:p>
      <w:pPr>
        <w:pStyle w:val="6"/>
        <w:adjustRightInd w:val="0"/>
        <w:snapToGrid w:val="0"/>
        <w:spacing w:before="93" w:line="600" w:lineRule="exact"/>
        <w:ind w:firstLine="672" w:firstLineChars="210"/>
        <w:rPr>
          <w:rFonts w:ascii="Times New Roman" w:cs="仿宋_GB2312"/>
          <w:sz w:val="32"/>
          <w:szCs w:val="32"/>
        </w:rPr>
      </w:pPr>
      <w:r>
        <w:rPr>
          <w:rFonts w:hint="eastAsia" w:ascii="Times New Roman" w:cs="仿宋_GB2312"/>
          <w:sz w:val="32"/>
          <w:szCs w:val="32"/>
        </w:rPr>
        <w:t>纳入</w:t>
      </w:r>
      <w:r>
        <w:rPr>
          <w:rFonts w:hint="eastAsia" w:hAnsi="仿宋_GB2312" w:cs="仿宋_GB2312"/>
          <w:sz w:val="32"/>
          <w:szCs w:val="32"/>
        </w:rPr>
        <w:t>乐山市市中区综合行政执法局</w:t>
      </w:r>
      <w:r>
        <w:rPr>
          <w:rFonts w:hint="eastAsia" w:ascii="Times New Roman" w:cs="仿宋_GB2312"/>
          <w:sz w:val="32"/>
          <w:szCs w:val="32"/>
        </w:rPr>
        <w:t>2024年度部门决算编制范围的二级预算单位包括：</w:t>
      </w:r>
    </w:p>
    <w:p>
      <w:pPr>
        <w:pStyle w:val="6"/>
        <w:numPr>
          <w:ilvl w:val="0"/>
          <w:numId w:val="1"/>
        </w:numPr>
        <w:adjustRightInd w:val="0"/>
        <w:snapToGrid w:val="0"/>
        <w:spacing w:before="93" w:line="600" w:lineRule="exact"/>
        <w:rPr>
          <w:rFonts w:ascii="Times New Roman" w:cs="仿宋_GB2312"/>
          <w:sz w:val="32"/>
          <w:szCs w:val="32"/>
        </w:rPr>
      </w:pPr>
      <w:bookmarkStart w:id="21" w:name="_Toc15377202"/>
      <w:bookmarkStart w:id="22" w:name="_Toc15378449"/>
      <w:bookmarkStart w:id="23" w:name="_Toc15306276"/>
      <w:bookmarkStart w:id="24" w:name="_Toc15377433"/>
      <w:r>
        <w:rPr>
          <w:rFonts w:hint="eastAsia" w:ascii="Times New Roman" w:cs="仿宋_GB2312"/>
          <w:sz w:val="32"/>
          <w:szCs w:val="32"/>
        </w:rPr>
        <w:t>乐山市市中区综合行政执法局</w:t>
      </w:r>
      <w:bookmarkEnd w:id="21"/>
      <w:bookmarkEnd w:id="22"/>
      <w:bookmarkEnd w:id="23"/>
      <w:bookmarkEnd w:id="24"/>
    </w:p>
    <w:p>
      <w:pPr>
        <w:pStyle w:val="6"/>
        <w:numPr>
          <w:ilvl w:val="0"/>
          <w:numId w:val="1"/>
        </w:numPr>
        <w:adjustRightInd w:val="0"/>
        <w:snapToGrid w:val="0"/>
        <w:spacing w:before="93" w:line="600" w:lineRule="exact"/>
        <w:rPr>
          <w:rFonts w:ascii="Times New Roman" w:cs="仿宋_GB2312"/>
          <w:sz w:val="32"/>
          <w:szCs w:val="32"/>
        </w:rPr>
      </w:pPr>
      <w:bookmarkStart w:id="25" w:name="_Toc15378450"/>
      <w:bookmarkStart w:id="26" w:name="_Toc15377203"/>
      <w:bookmarkStart w:id="27" w:name="_Toc15306277"/>
      <w:bookmarkStart w:id="28" w:name="_Toc15377434"/>
      <w:r>
        <w:rPr>
          <w:rFonts w:hint="eastAsia" w:hAnsi="仿宋_GB2312" w:cs="仿宋_GB2312"/>
          <w:sz w:val="32"/>
          <w:szCs w:val="32"/>
        </w:rPr>
        <w:t>乐山市广场管理处</w:t>
      </w:r>
      <w:bookmarkEnd w:id="25"/>
      <w:bookmarkEnd w:id="26"/>
      <w:bookmarkEnd w:id="27"/>
      <w:bookmarkEnd w:id="28"/>
    </w:p>
    <w:p>
      <w:pPr>
        <w:widowControl/>
        <w:jc w:val="left"/>
        <w:rPr>
          <w:rFonts w:eastAsia="仿宋"/>
          <w:kern w:val="0"/>
          <w:sz w:val="32"/>
          <w:szCs w:val="32"/>
        </w:rPr>
      </w:pPr>
      <w:r>
        <w:rPr>
          <w:rFonts w:eastAsia="仿宋"/>
          <w:sz w:val="32"/>
          <w:szCs w:val="32"/>
        </w:rPr>
        <w:br w:type="page"/>
      </w:r>
    </w:p>
    <w:p>
      <w:pPr>
        <w:pStyle w:val="3"/>
        <w:jc w:val="center"/>
        <w:rPr>
          <w:rFonts w:eastAsia="Arial Unicode MS" w:cs="Arial Unicode MS"/>
          <w:b w:val="0"/>
        </w:rPr>
      </w:pPr>
      <w:bookmarkStart w:id="29" w:name="_Toc15377204"/>
      <w:bookmarkStart w:id="30" w:name="_Toc13544"/>
      <w:bookmarkStart w:id="31" w:name="_Toc15396602"/>
      <w:r>
        <w:rPr>
          <w:rFonts w:hint="eastAsia" w:eastAsia="Arial Unicode MS" w:cs="Arial Unicode MS"/>
          <w:b w:val="0"/>
        </w:rPr>
        <w:t>第二部分  2024年度部门决算情况说明</w:t>
      </w:r>
      <w:bookmarkEnd w:id="29"/>
      <w:bookmarkEnd w:id="30"/>
      <w:bookmarkEnd w:id="31"/>
    </w:p>
    <w:p>
      <w:pPr>
        <w:pStyle w:val="14"/>
      </w:pPr>
    </w:p>
    <w:p>
      <w:pPr>
        <w:ind w:firstLine="480" w:firstLineChars="200"/>
        <w:rPr>
          <w:sz w:val="24"/>
          <w:szCs w:val="32"/>
          <w:highlight w:val="yellow"/>
        </w:rPr>
      </w:pPr>
    </w:p>
    <w:p>
      <w:pPr>
        <w:pStyle w:val="27"/>
        <w:spacing w:line="600" w:lineRule="exact"/>
        <w:ind w:firstLine="640"/>
        <w:outlineLvl w:val="1"/>
        <w:rPr>
          <w:rStyle w:val="29"/>
          <w:rFonts w:ascii="Times New Roman" w:hAnsi="Times New Roman" w:eastAsia="黑体"/>
          <w:b w:val="0"/>
        </w:rPr>
      </w:pPr>
      <w:bookmarkStart w:id="32" w:name="_Toc19741"/>
      <w:bookmarkStart w:id="33" w:name="_Toc15377205"/>
      <w:bookmarkStart w:id="34" w:name="_Toc15396603"/>
      <w:r>
        <w:rPr>
          <w:rFonts w:hint="eastAsia" w:eastAsia="黑体"/>
          <w:sz w:val="32"/>
          <w:szCs w:val="32"/>
        </w:rPr>
        <w:t>一、收</w:t>
      </w:r>
      <w:r>
        <w:rPr>
          <w:rStyle w:val="29"/>
          <w:rFonts w:hint="eastAsia" w:ascii="Times New Roman" w:hAnsi="Times New Roman" w:eastAsia="黑体"/>
          <w:b w:val="0"/>
        </w:rPr>
        <w:t>入支出决算总体情况说明</w:t>
      </w:r>
      <w:bookmarkEnd w:id="32"/>
      <w:bookmarkEnd w:id="33"/>
      <w:bookmarkEnd w:id="34"/>
    </w:p>
    <w:p>
      <w:pPr>
        <w:pStyle w:val="27"/>
        <w:spacing w:line="600" w:lineRule="exact"/>
        <w:ind w:firstLine="640"/>
        <w:rPr>
          <w:rFonts w:eastAsia="仿宋_GB2312" w:cs="仿宋_GB2312"/>
          <w:sz w:val="32"/>
          <w:szCs w:val="32"/>
        </w:rPr>
      </w:pPr>
      <w:r>
        <w:rPr>
          <w:rFonts w:hint="eastAsia" w:eastAsia="仿宋_GB2312" w:cs="仿宋_GB2312"/>
          <w:sz w:val="32"/>
          <w:szCs w:val="32"/>
        </w:rPr>
        <w:t>2024年度收入、支出总计为5401.82万元。与2023年度相比，收入、支出总计</w:t>
      </w:r>
      <w:r>
        <w:rPr>
          <w:rFonts w:hint="eastAsia" w:eastAsia="仿宋_GB2312" w:cs="仿宋_GB2312"/>
          <w:sz w:val="32"/>
          <w:szCs w:val="32"/>
          <w:lang w:eastAsia="zh-CN"/>
        </w:rPr>
        <w:t>各</w:t>
      </w:r>
      <w:r>
        <w:rPr>
          <w:rFonts w:hint="eastAsia" w:eastAsia="仿宋_GB2312" w:cs="仿宋_GB2312"/>
          <w:sz w:val="32"/>
          <w:szCs w:val="32"/>
        </w:rPr>
        <w:t>增加5010.62万元，增长1280.84%。主要变动原因是市城管系统（包含城市管理执法队、市容管理大队、数字化中心</w:t>
      </w:r>
      <w:r>
        <w:rPr>
          <w:rFonts w:hint="eastAsia" w:eastAsia="仿宋_GB2312" w:cs="仿宋_GB2312"/>
          <w:sz w:val="32"/>
          <w:szCs w:val="32"/>
          <w:lang w:eastAsia="zh-CN"/>
        </w:rPr>
        <w:t>和市广场管理处</w:t>
      </w:r>
      <w:r>
        <w:rPr>
          <w:rFonts w:hint="eastAsia" w:eastAsia="仿宋_GB2312" w:cs="仿宋_GB2312"/>
          <w:sz w:val="32"/>
          <w:szCs w:val="32"/>
        </w:rPr>
        <w:t>）</w:t>
      </w:r>
      <w:r>
        <w:rPr>
          <w:rFonts w:hint="eastAsia" w:eastAsia="仿宋_GB2312" w:cs="仿宋_GB2312"/>
          <w:sz w:val="32"/>
          <w:szCs w:val="32"/>
          <w:lang w:eastAsia="zh-CN"/>
        </w:rPr>
        <w:t>及市</w:t>
      </w:r>
      <w:r>
        <w:rPr>
          <w:rFonts w:hint="eastAsia" w:eastAsia="仿宋_GB2312" w:cs="仿宋_GB2312"/>
          <w:sz w:val="32"/>
          <w:szCs w:val="32"/>
        </w:rPr>
        <w:t>自然资源执法大队划转至我</w:t>
      </w:r>
      <w:r>
        <w:rPr>
          <w:rFonts w:hint="eastAsia" w:eastAsia="仿宋_GB2312" w:cs="仿宋_GB2312"/>
          <w:sz w:val="32"/>
          <w:szCs w:val="32"/>
          <w:lang w:eastAsia="zh-CN"/>
        </w:rPr>
        <w:t>部门</w:t>
      </w:r>
      <w:r>
        <w:rPr>
          <w:rFonts w:hint="eastAsia" w:eastAsia="仿宋_GB2312" w:cs="仿宋_GB2312"/>
          <w:sz w:val="32"/>
          <w:szCs w:val="32"/>
        </w:rPr>
        <w:t>，人员、项目</w:t>
      </w:r>
      <w:r>
        <w:rPr>
          <w:rFonts w:hint="eastAsia" w:eastAsia="仿宋_GB2312" w:cs="仿宋_GB2312"/>
          <w:sz w:val="32"/>
          <w:szCs w:val="32"/>
          <w:lang w:eastAsia="zh-CN"/>
        </w:rPr>
        <w:t>大幅增加</w:t>
      </w:r>
      <w:r>
        <w:rPr>
          <w:rFonts w:hint="eastAsia" w:eastAsia="仿宋_GB2312" w:cs="仿宋_GB2312"/>
          <w:sz w:val="32"/>
          <w:szCs w:val="32"/>
        </w:rPr>
        <w:t>，导致我</w:t>
      </w:r>
      <w:r>
        <w:rPr>
          <w:rFonts w:hint="eastAsia" w:eastAsia="仿宋_GB2312" w:cs="仿宋_GB2312"/>
          <w:sz w:val="32"/>
          <w:szCs w:val="32"/>
          <w:lang w:eastAsia="zh-CN"/>
        </w:rPr>
        <w:t>部门</w:t>
      </w:r>
      <w:r>
        <w:rPr>
          <w:rFonts w:hint="eastAsia" w:eastAsia="仿宋_GB2312" w:cs="仿宋_GB2312"/>
          <w:sz w:val="32"/>
          <w:szCs w:val="32"/>
        </w:rPr>
        <w:t>本年与上年相比</w:t>
      </w:r>
      <w:r>
        <w:rPr>
          <w:rFonts w:hint="eastAsia" w:eastAsia="仿宋_GB2312" w:cs="仿宋_GB2312"/>
          <w:sz w:val="32"/>
          <w:szCs w:val="32"/>
          <w:lang w:eastAsia="zh-CN"/>
        </w:rPr>
        <w:t>收支总计数</w:t>
      </w:r>
      <w:r>
        <w:rPr>
          <w:rFonts w:hint="eastAsia" w:eastAsia="仿宋_GB2312" w:cs="仿宋_GB2312"/>
          <w:sz w:val="32"/>
          <w:szCs w:val="32"/>
        </w:rPr>
        <w:t>急剧上升。</w:t>
      </w:r>
    </w:p>
    <w:p>
      <w:pPr>
        <w:pStyle w:val="27"/>
        <w:ind w:firstLine="0" w:firstLineChars="0"/>
        <w:jc w:val="center"/>
        <w:rPr>
          <w:rFonts w:eastAsia="仿宋_GB2312" w:cs="仿宋_GB2312"/>
          <w:bCs/>
          <w:sz w:val="32"/>
          <w:szCs w:val="32"/>
        </w:rPr>
      </w:pPr>
      <w:r>
        <w:drawing>
          <wp:inline distT="0" distB="0" distL="114300" distR="114300">
            <wp:extent cx="3696335" cy="2095500"/>
            <wp:effectExtent l="38735" t="18415" r="55880" b="7683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ind w:firstLine="640" w:firstLineChars="200"/>
        <w:jc w:val="center"/>
        <w:rPr>
          <w:rFonts w:eastAsia="仿宋_GB2312" w:cs="仿宋_GB2312"/>
          <w:sz w:val="32"/>
          <w:szCs w:val="32"/>
        </w:rPr>
      </w:pPr>
      <w:r>
        <w:rPr>
          <w:rFonts w:hint="eastAsia" w:eastAsia="仿宋_GB2312" w:cs="仿宋_GB2312"/>
          <w:sz w:val="32"/>
          <w:szCs w:val="32"/>
        </w:rPr>
        <w:t>图1：收入、支出决算总计变动情况图</w:t>
      </w:r>
    </w:p>
    <w:p>
      <w:pPr>
        <w:pStyle w:val="27"/>
        <w:spacing w:line="600" w:lineRule="exact"/>
        <w:ind w:firstLine="640"/>
        <w:outlineLvl w:val="1"/>
        <w:rPr>
          <w:rFonts w:eastAsia="黑体"/>
          <w:sz w:val="32"/>
          <w:szCs w:val="32"/>
        </w:rPr>
      </w:pPr>
      <w:bookmarkStart w:id="35" w:name="_Toc15396604"/>
      <w:bookmarkStart w:id="36" w:name="_Toc26740"/>
      <w:bookmarkStart w:id="37" w:name="_Toc15377206"/>
      <w:r>
        <w:rPr>
          <w:rFonts w:hint="eastAsia" w:eastAsia="黑体"/>
          <w:sz w:val="32"/>
          <w:szCs w:val="32"/>
        </w:rPr>
        <w:t>二、收入决算情况说明</w:t>
      </w:r>
      <w:bookmarkEnd w:id="35"/>
      <w:bookmarkEnd w:id="36"/>
      <w:bookmarkEnd w:id="37"/>
    </w:p>
    <w:p>
      <w:pPr>
        <w:pStyle w:val="27"/>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2024年度本年收入合计</w:t>
      </w:r>
      <w:r>
        <w:rPr>
          <w:rFonts w:hint="eastAsia" w:eastAsia="仿宋_GB2312" w:cs="仿宋_GB2312"/>
          <w:sz w:val="32"/>
          <w:szCs w:val="32"/>
        </w:rPr>
        <w:t>5196.87</w:t>
      </w:r>
      <w:r>
        <w:rPr>
          <w:rFonts w:hint="eastAsia" w:ascii="仿宋_GB2312" w:hAnsi="仿宋_GB2312" w:eastAsia="仿宋_GB2312" w:cs="仿宋_GB2312"/>
          <w:sz w:val="32"/>
          <w:szCs w:val="32"/>
        </w:rPr>
        <w:t>万元，其中：一般公共预算财政拨款收入</w:t>
      </w:r>
      <w:r>
        <w:rPr>
          <w:rFonts w:hint="eastAsia" w:eastAsia="仿宋_GB2312" w:cs="仿宋_GB2312"/>
          <w:sz w:val="32"/>
          <w:szCs w:val="32"/>
        </w:rPr>
        <w:t>4937.08</w:t>
      </w:r>
      <w:r>
        <w:rPr>
          <w:rFonts w:hint="eastAsia" w:ascii="仿宋_GB2312" w:hAnsi="仿宋_GB2312" w:eastAsia="仿宋_GB2312" w:cs="仿宋_GB2312"/>
          <w:sz w:val="32"/>
          <w:szCs w:val="32"/>
        </w:rPr>
        <w:t>万元，占</w:t>
      </w:r>
      <w:r>
        <w:rPr>
          <w:rFonts w:hint="eastAsia" w:eastAsia="仿宋_GB2312" w:cs="仿宋_GB2312"/>
          <w:sz w:val="32"/>
          <w:szCs w:val="32"/>
        </w:rPr>
        <w:t>95</w:t>
      </w:r>
      <w:r>
        <w:rPr>
          <w:rFonts w:hint="eastAsia" w:ascii="仿宋_GB2312" w:hAnsi="仿宋_GB2312" w:eastAsia="仿宋_GB2312" w:cs="仿宋_GB2312"/>
          <w:sz w:val="32"/>
          <w:szCs w:val="32"/>
        </w:rPr>
        <w:t>%；其他收入259.79万元，占5%。</w:t>
      </w:r>
    </w:p>
    <w:p>
      <w:pPr>
        <w:ind w:firstLine="800" w:firstLineChars="250"/>
        <w:rPr>
          <w:rFonts w:eastAsia="仿宋_GB2312" w:cs="仿宋_GB2312"/>
          <w:sz w:val="32"/>
          <w:szCs w:val="32"/>
        </w:rPr>
      </w:pPr>
    </w:p>
    <w:p>
      <w:pPr>
        <w:ind w:firstLine="525" w:firstLineChars="250"/>
        <w:jc w:val="center"/>
        <w:rPr>
          <w:rFonts w:eastAsia="仿宋_GB2312" w:cs="仿宋_GB2312"/>
          <w:sz w:val="32"/>
          <w:szCs w:val="32"/>
        </w:rPr>
      </w:pPr>
      <w:r>
        <w:drawing>
          <wp:inline distT="0" distB="0" distL="114300" distR="114300">
            <wp:extent cx="3716020" cy="2191385"/>
            <wp:effectExtent l="38735" t="18415" r="55245" b="76200"/>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ind w:firstLine="800" w:firstLineChars="250"/>
        <w:jc w:val="center"/>
        <w:rPr>
          <w:rFonts w:eastAsia="仿宋_GB2312" w:cs="仿宋_GB2312"/>
          <w:sz w:val="32"/>
          <w:szCs w:val="32"/>
        </w:rPr>
      </w:pPr>
      <w:r>
        <w:rPr>
          <w:rFonts w:hint="eastAsia" w:eastAsia="仿宋_GB2312" w:cs="仿宋_GB2312"/>
          <w:sz w:val="32"/>
          <w:szCs w:val="32"/>
        </w:rPr>
        <w:t>图2：收入决算结构图</w:t>
      </w:r>
    </w:p>
    <w:p>
      <w:pPr>
        <w:pStyle w:val="27"/>
        <w:spacing w:line="600" w:lineRule="exact"/>
        <w:ind w:firstLine="640"/>
        <w:outlineLvl w:val="1"/>
        <w:rPr>
          <w:rStyle w:val="29"/>
          <w:rFonts w:ascii="Times New Roman" w:hAnsi="Times New Roman" w:eastAsia="黑体"/>
          <w:b w:val="0"/>
        </w:rPr>
      </w:pPr>
      <w:bookmarkStart w:id="38" w:name="_Toc15377207"/>
      <w:bookmarkStart w:id="39" w:name="_Toc15396605"/>
      <w:bookmarkStart w:id="40" w:name="_Toc961"/>
      <w:r>
        <w:rPr>
          <w:rFonts w:hint="eastAsia" w:eastAsia="黑体"/>
          <w:sz w:val="32"/>
          <w:szCs w:val="32"/>
        </w:rPr>
        <w:t>三、支</w:t>
      </w:r>
      <w:r>
        <w:rPr>
          <w:rStyle w:val="29"/>
          <w:rFonts w:hint="eastAsia" w:ascii="Times New Roman" w:hAnsi="Times New Roman" w:eastAsia="黑体"/>
          <w:b w:val="0"/>
        </w:rPr>
        <w:t>出决算情况说明</w:t>
      </w:r>
      <w:bookmarkEnd w:id="38"/>
      <w:bookmarkEnd w:id="39"/>
      <w:bookmarkEnd w:id="40"/>
    </w:p>
    <w:p>
      <w:pPr>
        <w:pStyle w:val="27"/>
        <w:spacing w:line="600" w:lineRule="exact"/>
        <w:ind w:firstLine="640"/>
        <w:jc w:val="left"/>
        <w:rPr>
          <w:rFonts w:eastAsia="仿宋_GB2312" w:cs="仿宋_GB2312"/>
          <w:b/>
          <w:bCs/>
          <w:sz w:val="32"/>
          <w:szCs w:val="32"/>
          <w:highlight w:val="yellow"/>
        </w:rPr>
      </w:pPr>
      <w:r>
        <w:rPr>
          <w:rFonts w:hint="eastAsia" w:ascii="仿宋_GB2312" w:hAnsi="仿宋_GB2312" w:eastAsia="仿宋_GB2312" w:cs="仿宋_GB2312"/>
          <w:sz w:val="32"/>
          <w:szCs w:val="32"/>
        </w:rPr>
        <w:t>2024年度本年支出合计</w:t>
      </w:r>
      <w:r>
        <w:rPr>
          <w:rFonts w:hint="eastAsia" w:eastAsia="仿宋_GB2312" w:cs="仿宋_GB2312"/>
          <w:sz w:val="32"/>
          <w:szCs w:val="32"/>
        </w:rPr>
        <w:t>5401.82</w:t>
      </w:r>
      <w:r>
        <w:rPr>
          <w:rFonts w:hint="eastAsia" w:ascii="仿宋_GB2312" w:hAnsi="仿宋_GB2312" w:eastAsia="仿宋_GB2312" w:cs="仿宋_GB2312"/>
          <w:sz w:val="32"/>
          <w:szCs w:val="32"/>
        </w:rPr>
        <w:t>万元，其中：基本支出</w:t>
      </w:r>
      <w:r>
        <w:rPr>
          <w:rFonts w:hint="eastAsia" w:eastAsia="仿宋_GB2312" w:cs="仿宋_GB2312"/>
          <w:sz w:val="32"/>
          <w:szCs w:val="32"/>
        </w:rPr>
        <w:t>3948.66</w:t>
      </w:r>
      <w:r>
        <w:rPr>
          <w:rFonts w:hint="eastAsia" w:ascii="仿宋_GB2312" w:hAnsi="仿宋_GB2312" w:eastAsia="仿宋_GB2312" w:cs="仿宋_GB2312"/>
          <w:sz w:val="32"/>
          <w:szCs w:val="32"/>
        </w:rPr>
        <w:t>万元，占</w:t>
      </w:r>
      <w:r>
        <w:rPr>
          <w:rFonts w:hint="eastAsia" w:eastAsia="仿宋_GB2312" w:cs="仿宋_GB2312"/>
          <w:sz w:val="32"/>
          <w:szCs w:val="32"/>
        </w:rPr>
        <w:t>73.1</w:t>
      </w:r>
      <w:r>
        <w:rPr>
          <w:rFonts w:hint="eastAsia" w:ascii="仿宋_GB2312" w:hAnsi="仿宋_GB2312" w:eastAsia="仿宋_GB2312" w:cs="仿宋_GB2312"/>
          <w:sz w:val="32"/>
          <w:szCs w:val="32"/>
        </w:rPr>
        <w:t>%；项目支出</w:t>
      </w:r>
      <w:r>
        <w:rPr>
          <w:rFonts w:hint="eastAsia" w:eastAsia="仿宋_GB2312" w:cs="仿宋_GB2312"/>
          <w:sz w:val="32"/>
          <w:szCs w:val="32"/>
        </w:rPr>
        <w:t>1453.16</w:t>
      </w:r>
      <w:r>
        <w:rPr>
          <w:rFonts w:hint="eastAsia" w:ascii="仿宋_GB2312" w:hAnsi="仿宋_GB2312" w:eastAsia="仿宋_GB2312" w:cs="仿宋_GB2312"/>
          <w:sz w:val="32"/>
          <w:szCs w:val="32"/>
        </w:rPr>
        <w:t>万元，占</w:t>
      </w:r>
      <w:r>
        <w:rPr>
          <w:rFonts w:hint="eastAsia" w:eastAsia="仿宋_GB2312" w:cs="仿宋_GB2312"/>
          <w:sz w:val="32"/>
          <w:szCs w:val="32"/>
        </w:rPr>
        <w:t>26.9</w:t>
      </w:r>
      <w:r>
        <w:rPr>
          <w:rFonts w:hint="eastAsia" w:ascii="仿宋_GB2312" w:hAnsi="仿宋_GB2312" w:eastAsia="仿宋_GB2312" w:cs="仿宋_GB2312"/>
          <w:sz w:val="32"/>
          <w:szCs w:val="32"/>
        </w:rPr>
        <w:t>%。</w:t>
      </w:r>
    </w:p>
    <w:p>
      <w:pPr>
        <w:ind w:firstLine="525" w:firstLineChars="250"/>
        <w:jc w:val="center"/>
        <w:rPr>
          <w:rFonts w:eastAsia="仿宋_GB2312" w:cs="仿宋_GB2312"/>
          <w:sz w:val="32"/>
          <w:szCs w:val="32"/>
        </w:rPr>
      </w:pPr>
      <w:r>
        <w:drawing>
          <wp:inline distT="0" distB="0" distL="114300" distR="114300">
            <wp:extent cx="3734435" cy="2132965"/>
            <wp:effectExtent l="38735" t="18415" r="55880" b="584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ind w:firstLine="800" w:firstLineChars="250"/>
        <w:jc w:val="center"/>
        <w:rPr>
          <w:rFonts w:eastAsia="仿宋_GB2312" w:cs="仿宋_GB2312"/>
          <w:sz w:val="32"/>
          <w:szCs w:val="32"/>
        </w:rPr>
      </w:pPr>
      <w:r>
        <w:rPr>
          <w:rFonts w:hint="eastAsia" w:eastAsia="仿宋_GB2312" w:cs="仿宋_GB2312"/>
          <w:sz w:val="32"/>
          <w:szCs w:val="32"/>
        </w:rPr>
        <w:t>图3：支出决算结构图</w:t>
      </w:r>
    </w:p>
    <w:p>
      <w:pPr>
        <w:spacing w:line="600" w:lineRule="exact"/>
        <w:ind w:firstLine="640" w:firstLineChars="200"/>
        <w:outlineLvl w:val="1"/>
        <w:rPr>
          <w:rStyle w:val="29"/>
          <w:rFonts w:ascii="Times New Roman" w:hAnsi="Times New Roman" w:eastAsia="黑体"/>
          <w:b w:val="0"/>
        </w:rPr>
      </w:pPr>
      <w:bookmarkStart w:id="41" w:name="_Toc15396606"/>
      <w:bookmarkStart w:id="42" w:name="_Toc15377208"/>
      <w:bookmarkStart w:id="43" w:name="_Toc24146"/>
      <w:r>
        <w:rPr>
          <w:rFonts w:hint="eastAsia" w:eastAsia="黑体"/>
          <w:sz w:val="32"/>
          <w:szCs w:val="32"/>
        </w:rPr>
        <w:t>四、财</w:t>
      </w:r>
      <w:r>
        <w:rPr>
          <w:rStyle w:val="29"/>
          <w:rFonts w:hint="eastAsia" w:ascii="Times New Roman" w:hAnsi="Times New Roman" w:eastAsia="黑体"/>
          <w:b w:val="0"/>
        </w:rPr>
        <w:t>政拨款收入支出决算总体情况说明</w:t>
      </w:r>
      <w:bookmarkEnd w:id="41"/>
      <w:bookmarkEnd w:id="42"/>
      <w:bookmarkEnd w:id="43"/>
    </w:p>
    <w:p>
      <w:pPr>
        <w:pStyle w:val="27"/>
        <w:spacing w:line="600" w:lineRule="exact"/>
        <w:ind w:firstLine="640"/>
        <w:rPr>
          <w:rFonts w:eastAsia="仿宋_GB2312" w:cs="仿宋_GB2312"/>
          <w:sz w:val="32"/>
          <w:szCs w:val="32"/>
        </w:rPr>
      </w:pPr>
      <w:r>
        <w:rPr>
          <w:rFonts w:hint="eastAsia" w:eastAsia="仿宋_GB2312" w:cs="仿宋_GB2312"/>
          <w:sz w:val="32"/>
          <w:szCs w:val="32"/>
        </w:rPr>
        <w:t>2024年度财政拨款收入支出</w:t>
      </w:r>
      <w:r>
        <w:rPr>
          <w:rFonts w:hint="eastAsia" w:eastAsia="仿宋_GB2312" w:cs="仿宋_GB2312"/>
          <w:sz w:val="32"/>
          <w:szCs w:val="32"/>
          <w:lang w:eastAsia="zh-CN"/>
        </w:rPr>
        <w:t>总计</w:t>
      </w:r>
      <w:r>
        <w:rPr>
          <w:rFonts w:hint="eastAsia" w:eastAsia="仿宋_GB2312" w:cs="仿宋_GB2312"/>
          <w:sz w:val="32"/>
          <w:szCs w:val="32"/>
        </w:rPr>
        <w:t>为5142.03万元。与2023年度相比，财政拨款收入支出总计增加4750.83万元，增长1214.42%。主要变动原因是市城管系统（包含城市管理执法队、市容管理大队、数字化中心</w:t>
      </w:r>
      <w:r>
        <w:rPr>
          <w:rFonts w:hint="eastAsia" w:eastAsia="仿宋_GB2312" w:cs="仿宋_GB2312"/>
          <w:sz w:val="32"/>
          <w:szCs w:val="32"/>
          <w:lang w:eastAsia="zh-CN"/>
        </w:rPr>
        <w:t>和市广场管理处</w:t>
      </w:r>
      <w:r>
        <w:rPr>
          <w:rFonts w:hint="eastAsia" w:eastAsia="仿宋_GB2312" w:cs="仿宋_GB2312"/>
          <w:sz w:val="32"/>
          <w:szCs w:val="32"/>
        </w:rPr>
        <w:t>）</w:t>
      </w:r>
      <w:r>
        <w:rPr>
          <w:rFonts w:hint="eastAsia" w:eastAsia="仿宋_GB2312" w:cs="仿宋_GB2312"/>
          <w:sz w:val="32"/>
          <w:szCs w:val="32"/>
          <w:lang w:eastAsia="zh-CN"/>
        </w:rPr>
        <w:t>及市</w:t>
      </w:r>
      <w:r>
        <w:rPr>
          <w:rFonts w:hint="eastAsia" w:eastAsia="仿宋_GB2312" w:cs="仿宋_GB2312"/>
          <w:sz w:val="32"/>
          <w:szCs w:val="32"/>
        </w:rPr>
        <w:t>自然资源执法大队划转至我</w:t>
      </w:r>
      <w:r>
        <w:rPr>
          <w:rFonts w:hint="eastAsia" w:eastAsia="仿宋_GB2312" w:cs="仿宋_GB2312"/>
          <w:sz w:val="32"/>
          <w:szCs w:val="32"/>
          <w:lang w:eastAsia="zh-CN"/>
        </w:rPr>
        <w:t>部门</w:t>
      </w:r>
      <w:r>
        <w:rPr>
          <w:rFonts w:hint="eastAsia" w:eastAsia="仿宋_GB2312" w:cs="仿宋_GB2312"/>
          <w:sz w:val="32"/>
          <w:szCs w:val="32"/>
        </w:rPr>
        <w:t>，人员、项目</w:t>
      </w:r>
      <w:r>
        <w:rPr>
          <w:rFonts w:hint="eastAsia" w:eastAsia="仿宋_GB2312" w:cs="仿宋_GB2312"/>
          <w:sz w:val="32"/>
          <w:szCs w:val="32"/>
          <w:lang w:eastAsia="zh-CN"/>
        </w:rPr>
        <w:t>大幅增加</w:t>
      </w:r>
      <w:r>
        <w:rPr>
          <w:rFonts w:hint="eastAsia" w:eastAsia="仿宋_GB2312" w:cs="仿宋_GB2312"/>
          <w:sz w:val="32"/>
          <w:szCs w:val="32"/>
        </w:rPr>
        <w:t>，导致我</w:t>
      </w:r>
      <w:r>
        <w:rPr>
          <w:rFonts w:hint="eastAsia" w:eastAsia="仿宋_GB2312" w:cs="仿宋_GB2312"/>
          <w:sz w:val="32"/>
          <w:szCs w:val="32"/>
          <w:lang w:eastAsia="zh-CN"/>
        </w:rPr>
        <w:t>部门</w:t>
      </w:r>
      <w:r>
        <w:rPr>
          <w:rFonts w:hint="eastAsia" w:eastAsia="仿宋_GB2312" w:cs="仿宋_GB2312"/>
          <w:sz w:val="32"/>
          <w:szCs w:val="32"/>
        </w:rPr>
        <w:t>本年与上年相比</w:t>
      </w:r>
      <w:r>
        <w:rPr>
          <w:rFonts w:hint="eastAsia" w:eastAsia="仿宋_GB2312" w:cs="仿宋_GB2312"/>
          <w:sz w:val="32"/>
          <w:szCs w:val="32"/>
          <w:lang w:eastAsia="zh-CN"/>
        </w:rPr>
        <w:t>收支总计数</w:t>
      </w:r>
      <w:r>
        <w:rPr>
          <w:rFonts w:hint="eastAsia" w:eastAsia="仿宋_GB2312" w:cs="仿宋_GB2312"/>
          <w:sz w:val="32"/>
          <w:szCs w:val="32"/>
        </w:rPr>
        <w:t>急剧上升。</w:t>
      </w:r>
    </w:p>
    <w:p>
      <w:pPr>
        <w:spacing w:line="600" w:lineRule="exact"/>
        <w:ind w:firstLine="640"/>
        <w:rPr>
          <w:rFonts w:eastAsia="仿宋_GB2312" w:cs="仿宋_GB2312"/>
          <w:sz w:val="32"/>
          <w:szCs w:val="32"/>
        </w:rPr>
      </w:pPr>
    </w:p>
    <w:p>
      <w:pPr>
        <w:jc w:val="center"/>
      </w:pPr>
      <w:r>
        <w:drawing>
          <wp:inline distT="0" distB="0" distL="114300" distR="114300">
            <wp:extent cx="3744595" cy="2134870"/>
            <wp:effectExtent l="38735" t="18415" r="45720" b="7556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jc w:val="center"/>
        <w:rPr>
          <w:rFonts w:eastAsia="仿宋_GB2312" w:cs="仿宋_GB2312"/>
          <w:sz w:val="32"/>
          <w:szCs w:val="32"/>
        </w:rPr>
      </w:pPr>
      <w:r>
        <w:rPr>
          <w:rFonts w:hint="eastAsia" w:eastAsia="仿宋_GB2312" w:cs="仿宋_GB2312"/>
          <w:sz w:val="32"/>
          <w:szCs w:val="32"/>
        </w:rPr>
        <w:t>图4：财政拨款收、支决算总计变动情况</w:t>
      </w:r>
    </w:p>
    <w:p>
      <w:pPr>
        <w:spacing w:line="600" w:lineRule="exact"/>
        <w:ind w:firstLine="640" w:firstLineChars="200"/>
        <w:outlineLvl w:val="1"/>
        <w:rPr>
          <w:rStyle w:val="29"/>
          <w:rFonts w:ascii="Times New Roman" w:hAnsi="Times New Roman" w:eastAsia="黑体"/>
          <w:b w:val="0"/>
        </w:rPr>
      </w:pPr>
      <w:bookmarkStart w:id="44" w:name="_Toc15396607"/>
      <w:bookmarkStart w:id="45" w:name="_Toc11234"/>
      <w:bookmarkStart w:id="46" w:name="_Toc15377209"/>
      <w:r>
        <w:rPr>
          <w:rFonts w:hint="eastAsia" w:eastAsia="黑体"/>
          <w:sz w:val="32"/>
          <w:szCs w:val="32"/>
        </w:rPr>
        <w:t>五、</w:t>
      </w:r>
      <w:r>
        <w:rPr>
          <w:rFonts w:hint="eastAsia" w:eastAsia="黑体"/>
          <w:b/>
          <w:sz w:val="32"/>
          <w:szCs w:val="32"/>
        </w:rPr>
        <w:t>一</w:t>
      </w:r>
      <w:r>
        <w:rPr>
          <w:rStyle w:val="29"/>
          <w:rFonts w:hint="eastAsia" w:ascii="Times New Roman" w:hAnsi="Times New Roman" w:eastAsia="黑体"/>
          <w:b w:val="0"/>
        </w:rPr>
        <w:t>般公共预算财政拨款支出决算情况说明</w:t>
      </w:r>
      <w:bookmarkEnd w:id="44"/>
      <w:bookmarkEnd w:id="45"/>
      <w:bookmarkEnd w:id="46"/>
    </w:p>
    <w:p>
      <w:pPr>
        <w:spacing w:line="600" w:lineRule="exact"/>
        <w:ind w:firstLine="643" w:firstLineChars="200"/>
        <w:outlineLvl w:val="2"/>
        <w:rPr>
          <w:rFonts w:eastAsia="楷体_GB2312" w:cs="楷体_GB2312"/>
          <w:b/>
          <w:sz w:val="32"/>
          <w:szCs w:val="32"/>
        </w:rPr>
      </w:pPr>
      <w:bookmarkStart w:id="47" w:name="_Toc15377210"/>
      <w:r>
        <w:rPr>
          <w:rFonts w:hint="eastAsia" w:eastAsia="楷体_GB2312" w:cs="楷体_GB2312"/>
          <w:b/>
          <w:sz w:val="32"/>
          <w:szCs w:val="32"/>
        </w:rPr>
        <w:t>（一）一般公共预算财政拨款支出决算总体情况</w:t>
      </w:r>
      <w:bookmarkEnd w:id="47"/>
    </w:p>
    <w:p>
      <w:pPr>
        <w:pStyle w:val="27"/>
        <w:spacing w:line="600" w:lineRule="exact"/>
        <w:ind w:firstLine="640"/>
        <w:rPr>
          <w:rFonts w:eastAsia="仿宋_GB2312" w:cs="仿宋_GB2312"/>
          <w:sz w:val="32"/>
          <w:szCs w:val="32"/>
        </w:rPr>
      </w:pPr>
      <w:r>
        <w:rPr>
          <w:rFonts w:hint="eastAsia" w:ascii="仿宋_GB2312" w:hAnsi="仿宋_GB2312" w:eastAsia="仿宋_GB2312" w:cs="仿宋_GB2312"/>
          <w:sz w:val="32"/>
          <w:szCs w:val="32"/>
        </w:rPr>
        <w:t>2024年度一般公共预算财政拨款支出</w:t>
      </w:r>
      <w:r>
        <w:rPr>
          <w:rFonts w:hint="eastAsia" w:eastAsia="仿宋_GB2312" w:cs="仿宋_GB2312"/>
          <w:sz w:val="32"/>
          <w:szCs w:val="32"/>
        </w:rPr>
        <w:t>5142.03</w:t>
      </w:r>
      <w:r>
        <w:rPr>
          <w:rFonts w:hint="eastAsia" w:ascii="仿宋_GB2312" w:hAnsi="仿宋_GB2312" w:eastAsia="仿宋_GB2312" w:cs="仿宋_GB2312"/>
          <w:sz w:val="32"/>
          <w:szCs w:val="32"/>
        </w:rPr>
        <w:t>万元，占本年支出合计的95.19%。与2023年度相比，一般公共预算财政拨款支出</w:t>
      </w:r>
      <w:r>
        <w:rPr>
          <w:rFonts w:hint="eastAsia" w:eastAsia="仿宋_GB2312" w:cs="仿宋_GB2312"/>
          <w:sz w:val="32"/>
          <w:szCs w:val="32"/>
        </w:rPr>
        <w:t>增加4750.83万元，增长1214.42%。主要变动原因一是市城管系统（包含城市管理执法队、市容管理大队、数字化中心</w:t>
      </w:r>
      <w:r>
        <w:rPr>
          <w:rFonts w:hint="eastAsia" w:eastAsia="仿宋_GB2312" w:cs="仿宋_GB2312"/>
          <w:sz w:val="32"/>
          <w:szCs w:val="32"/>
          <w:lang w:eastAsia="zh-CN"/>
        </w:rPr>
        <w:t>和市广场管理处</w:t>
      </w:r>
      <w:r>
        <w:rPr>
          <w:rFonts w:hint="eastAsia" w:eastAsia="仿宋_GB2312" w:cs="仿宋_GB2312"/>
          <w:sz w:val="32"/>
          <w:szCs w:val="32"/>
        </w:rPr>
        <w:t>）</w:t>
      </w:r>
      <w:r>
        <w:rPr>
          <w:rFonts w:hint="eastAsia" w:eastAsia="仿宋_GB2312" w:cs="仿宋_GB2312"/>
          <w:sz w:val="32"/>
          <w:szCs w:val="32"/>
          <w:lang w:eastAsia="zh-CN"/>
        </w:rPr>
        <w:t>及市</w:t>
      </w:r>
      <w:r>
        <w:rPr>
          <w:rFonts w:hint="eastAsia" w:eastAsia="仿宋_GB2312" w:cs="仿宋_GB2312"/>
          <w:sz w:val="32"/>
          <w:szCs w:val="32"/>
        </w:rPr>
        <w:t>自然资源执法大队划转至我</w:t>
      </w:r>
      <w:r>
        <w:rPr>
          <w:rFonts w:hint="eastAsia" w:eastAsia="仿宋_GB2312" w:cs="仿宋_GB2312"/>
          <w:sz w:val="32"/>
          <w:szCs w:val="32"/>
          <w:lang w:eastAsia="zh-CN"/>
        </w:rPr>
        <w:t>部门</w:t>
      </w:r>
      <w:r>
        <w:rPr>
          <w:rFonts w:hint="eastAsia" w:eastAsia="仿宋_GB2312" w:cs="仿宋_GB2312"/>
          <w:sz w:val="32"/>
          <w:szCs w:val="32"/>
        </w:rPr>
        <w:t>，人员、项目</w:t>
      </w:r>
      <w:r>
        <w:rPr>
          <w:rFonts w:hint="eastAsia" w:eastAsia="仿宋_GB2312" w:cs="仿宋_GB2312"/>
          <w:sz w:val="32"/>
          <w:szCs w:val="32"/>
          <w:lang w:eastAsia="zh-CN"/>
        </w:rPr>
        <w:t>大幅增加</w:t>
      </w:r>
      <w:r>
        <w:rPr>
          <w:rFonts w:hint="eastAsia" w:eastAsia="仿宋_GB2312" w:cs="仿宋_GB2312"/>
          <w:sz w:val="32"/>
          <w:szCs w:val="32"/>
        </w:rPr>
        <w:t>，导致我</w:t>
      </w:r>
      <w:r>
        <w:rPr>
          <w:rFonts w:hint="eastAsia" w:eastAsia="仿宋_GB2312" w:cs="仿宋_GB2312"/>
          <w:sz w:val="32"/>
          <w:szCs w:val="32"/>
          <w:lang w:eastAsia="zh-CN"/>
        </w:rPr>
        <w:t>部门</w:t>
      </w:r>
      <w:r>
        <w:rPr>
          <w:rFonts w:hint="eastAsia" w:eastAsia="仿宋_GB2312" w:cs="仿宋_GB2312"/>
          <w:sz w:val="32"/>
          <w:szCs w:val="32"/>
        </w:rPr>
        <w:t>本年与上年相比</w:t>
      </w:r>
      <w:r>
        <w:rPr>
          <w:rFonts w:hint="eastAsia" w:eastAsia="仿宋_GB2312" w:cs="仿宋_GB2312"/>
          <w:sz w:val="32"/>
          <w:szCs w:val="32"/>
          <w:lang w:eastAsia="zh-CN"/>
        </w:rPr>
        <w:t>收支总计数</w:t>
      </w:r>
      <w:r>
        <w:rPr>
          <w:rFonts w:hint="eastAsia" w:eastAsia="仿宋_GB2312" w:cs="仿宋_GB2312"/>
          <w:sz w:val="32"/>
          <w:szCs w:val="32"/>
        </w:rPr>
        <w:t>急剧上升。</w:t>
      </w:r>
    </w:p>
    <w:p>
      <w:pPr>
        <w:spacing w:line="600" w:lineRule="exact"/>
        <w:ind w:firstLine="640"/>
        <w:rPr>
          <w:rFonts w:eastAsia="仿宋_GB2312" w:cs="仿宋_GB2312"/>
          <w:sz w:val="32"/>
          <w:szCs w:val="32"/>
        </w:rPr>
      </w:pPr>
    </w:p>
    <w:p>
      <w:pPr>
        <w:jc w:val="center"/>
        <w:rPr>
          <w:rFonts w:eastAsia="仿宋_GB2312" w:cs="仿宋_GB2312"/>
          <w:sz w:val="32"/>
          <w:szCs w:val="32"/>
        </w:rPr>
      </w:pPr>
      <w:r>
        <w:drawing>
          <wp:inline distT="0" distB="0" distL="114300" distR="114300">
            <wp:extent cx="3763645" cy="2171065"/>
            <wp:effectExtent l="38735" t="18415" r="45720" b="5842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ind w:firstLine="640" w:firstLineChars="200"/>
        <w:jc w:val="center"/>
        <w:rPr>
          <w:rFonts w:eastAsia="仿宋_GB2312" w:cs="仿宋_GB2312"/>
          <w:sz w:val="32"/>
          <w:szCs w:val="32"/>
        </w:rPr>
      </w:pPr>
      <w:r>
        <w:rPr>
          <w:rFonts w:hint="eastAsia" w:eastAsia="仿宋_GB2312" w:cs="仿宋_GB2312"/>
          <w:sz w:val="32"/>
          <w:szCs w:val="32"/>
        </w:rPr>
        <w:t>图5：一般公共预算财政拨款支出决算变动情况</w:t>
      </w:r>
    </w:p>
    <w:p>
      <w:pPr>
        <w:spacing w:line="600" w:lineRule="exact"/>
        <w:ind w:firstLine="643" w:firstLineChars="200"/>
        <w:outlineLvl w:val="2"/>
        <w:rPr>
          <w:rFonts w:eastAsia="楷体_GB2312" w:cs="楷体_GB2312"/>
          <w:b/>
          <w:sz w:val="32"/>
          <w:szCs w:val="32"/>
        </w:rPr>
      </w:pPr>
      <w:bookmarkStart w:id="48" w:name="_Toc15377211"/>
      <w:r>
        <w:rPr>
          <w:rFonts w:hint="eastAsia" w:eastAsia="楷体_GB2312" w:cs="楷体_GB2312"/>
          <w:b/>
          <w:sz w:val="32"/>
          <w:szCs w:val="32"/>
        </w:rPr>
        <w:t>（二）一般公共预算财政拨款支出决算结构情况</w:t>
      </w:r>
      <w:bookmarkEnd w:id="48"/>
    </w:p>
    <w:p>
      <w:pPr>
        <w:pStyle w:val="27"/>
        <w:spacing w:line="600" w:lineRule="exact"/>
        <w:ind w:firstLine="640"/>
        <w:jc w:val="left"/>
        <w:rPr>
          <w:rFonts w:eastAsia="仿宋_GB2312" w:cs="仿宋_GB2312"/>
          <w:b/>
          <w:bCs/>
          <w:sz w:val="32"/>
          <w:szCs w:val="32"/>
          <w:highlight w:val="yellow"/>
        </w:rPr>
      </w:pPr>
      <w:r>
        <w:rPr>
          <w:rFonts w:hint="eastAsia" w:eastAsia="仿宋_GB2312" w:cs="仿宋_GB2312"/>
          <w:sz w:val="32"/>
          <w:szCs w:val="32"/>
        </w:rPr>
        <w:t>2024年度一般公共预算财政拨款支出5142.03</w:t>
      </w:r>
      <w:r>
        <w:rPr>
          <w:rFonts w:hint="eastAsia" w:ascii="仿宋_GB2312" w:hAnsi="仿宋_GB2312" w:eastAsia="仿宋_GB2312" w:cs="仿宋_GB2312"/>
          <w:sz w:val="32"/>
          <w:szCs w:val="32"/>
        </w:rPr>
        <w:t>万元</w:t>
      </w:r>
      <w:r>
        <w:rPr>
          <w:rFonts w:hint="eastAsia" w:eastAsia="仿宋_GB2312" w:cs="仿宋_GB2312"/>
          <w:sz w:val="32"/>
          <w:szCs w:val="32"/>
        </w:rPr>
        <w:t>，主要用于以下方面：社会保障和就业支出516.13万元，占10.04%；卫生健康支出97.99万元，占1.91%；城乡社区支出4250.45万元，占82.66%；住房保障支出277.46万元，占5.4%。</w:t>
      </w:r>
    </w:p>
    <w:p>
      <w:pPr>
        <w:jc w:val="center"/>
        <w:rPr>
          <w:rFonts w:eastAsia="仿宋_GB2312" w:cs="仿宋_GB2312"/>
          <w:sz w:val="32"/>
          <w:szCs w:val="32"/>
        </w:rPr>
      </w:pPr>
      <w:r>
        <w:drawing>
          <wp:inline distT="0" distB="0" distL="114300" distR="114300">
            <wp:extent cx="3803650" cy="2200910"/>
            <wp:effectExtent l="38735" t="18415" r="43815" b="66675"/>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jc w:val="center"/>
        <w:rPr>
          <w:rFonts w:eastAsia="仿宋_GB2312" w:cs="仿宋_GB2312"/>
          <w:sz w:val="32"/>
          <w:szCs w:val="32"/>
        </w:rPr>
      </w:pPr>
      <w:r>
        <w:rPr>
          <w:rFonts w:hint="eastAsia" w:eastAsia="仿宋_GB2312" w:cs="仿宋_GB2312"/>
          <w:sz w:val="32"/>
          <w:szCs w:val="32"/>
        </w:rPr>
        <w:t>图6：一般公共预算财政拨款支出决算结构</w:t>
      </w:r>
    </w:p>
    <w:p>
      <w:pPr>
        <w:spacing w:line="600" w:lineRule="exact"/>
        <w:ind w:firstLine="643" w:firstLineChars="200"/>
        <w:outlineLvl w:val="2"/>
        <w:rPr>
          <w:rFonts w:eastAsia="楷体_GB2312" w:cs="楷体_GB2312"/>
          <w:b/>
          <w:sz w:val="32"/>
          <w:szCs w:val="32"/>
        </w:rPr>
      </w:pPr>
      <w:bookmarkStart w:id="49" w:name="_Toc15377212"/>
      <w:r>
        <w:rPr>
          <w:rFonts w:hint="eastAsia" w:eastAsia="楷体_GB2312" w:cs="楷体_GB2312"/>
          <w:b/>
          <w:sz w:val="32"/>
          <w:szCs w:val="32"/>
        </w:rPr>
        <w:t>（三）一般公共预算财政拨款支出决算具体情况</w:t>
      </w:r>
      <w:bookmarkEnd w:id="49"/>
    </w:p>
    <w:p>
      <w:pPr>
        <w:spacing w:line="600" w:lineRule="exact"/>
        <w:ind w:firstLine="640"/>
        <w:rPr>
          <w:rFonts w:eastAsia="仿宋_GB2312" w:cs="仿宋_GB2312"/>
          <w:sz w:val="32"/>
          <w:szCs w:val="32"/>
        </w:rPr>
      </w:pPr>
      <w:bookmarkStart w:id="50" w:name="_Toc15377213"/>
      <w:bookmarkStart w:id="51" w:name="_Toc15377444"/>
      <w:bookmarkStart w:id="52" w:name="_Toc15378460"/>
      <w:r>
        <w:rPr>
          <w:rFonts w:hint="eastAsia" w:eastAsia="仿宋_GB2312" w:cs="仿宋_GB2312"/>
          <w:sz w:val="32"/>
          <w:szCs w:val="32"/>
        </w:rPr>
        <w:t>2024年度一般公共预算财政拨款支出决算数为5142.03万元</w:t>
      </w:r>
      <w:r>
        <w:rPr>
          <w:rFonts w:hint="eastAsia" w:ascii="仿宋_GB2312" w:hAnsi="仿宋_GB2312" w:eastAsia="仿宋_GB2312" w:cs="仿宋_GB2312"/>
          <w:sz w:val="32"/>
          <w:szCs w:val="32"/>
        </w:rPr>
        <w:t>，</w:t>
      </w:r>
      <w:r>
        <w:rPr>
          <w:rFonts w:hint="eastAsia" w:eastAsia="仿宋_GB2312" w:cs="仿宋_GB2312"/>
          <w:sz w:val="32"/>
          <w:szCs w:val="32"/>
        </w:rPr>
        <w:t>完成预算99.56%。其中：</w:t>
      </w:r>
      <w:bookmarkEnd w:id="50"/>
      <w:bookmarkEnd w:id="51"/>
      <w:bookmarkEnd w:id="52"/>
    </w:p>
    <w:p>
      <w:pPr>
        <w:numPr>
          <w:ilvl w:val="0"/>
          <w:numId w:val="2"/>
        </w:numPr>
        <w:spacing w:line="600" w:lineRule="exact"/>
        <w:ind w:firstLine="643" w:firstLineChars="200"/>
        <w:rPr>
          <w:rFonts w:ascii="仿宋" w:hAnsi="仿宋" w:eastAsia="仿宋"/>
          <w:b/>
          <w:sz w:val="32"/>
          <w:szCs w:val="32"/>
        </w:rPr>
      </w:pPr>
      <w:r>
        <w:rPr>
          <w:rStyle w:val="18"/>
          <w:rFonts w:hint="eastAsia" w:ascii="仿宋" w:hAnsi="仿宋" w:eastAsia="仿宋"/>
          <w:bCs/>
          <w:sz w:val="32"/>
          <w:szCs w:val="32"/>
        </w:rPr>
        <w:t>社会保障和就业（类）行政事业单位养老支出（款）机关事业单位基本养老保险缴费支出（项）：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支出决算为325.22万元，完成预算 9</w:t>
      </w:r>
      <w:r>
        <w:rPr>
          <w:rStyle w:val="18"/>
          <w:rFonts w:hint="eastAsia" w:ascii="仿宋" w:hAnsi="仿宋" w:eastAsia="仿宋"/>
          <w:b w:val="0"/>
          <w:bCs/>
          <w:sz w:val="32"/>
          <w:szCs w:val="32"/>
          <w:lang w:val="en-US" w:eastAsia="zh-CN"/>
        </w:rPr>
        <w:t>9.6</w:t>
      </w:r>
      <w:r>
        <w:rPr>
          <w:rStyle w:val="18"/>
          <w:rFonts w:hint="eastAsia" w:ascii="仿宋" w:hAnsi="仿宋" w:eastAsia="仿宋"/>
          <w:b w:val="0"/>
          <w:bCs/>
          <w:sz w:val="32"/>
          <w:szCs w:val="32"/>
        </w:rPr>
        <w:t>2%。决算数小于预算数的主要原因是根据当年实际情况</w:t>
      </w:r>
      <w:r>
        <w:rPr>
          <w:rStyle w:val="18"/>
          <w:rFonts w:hint="eastAsia" w:ascii="仿宋" w:hAnsi="仿宋" w:eastAsia="仿宋"/>
          <w:b w:val="0"/>
          <w:bCs/>
          <w:sz w:val="32"/>
          <w:szCs w:val="32"/>
          <w:lang w:eastAsia="zh-CN"/>
        </w:rPr>
        <w:t>发生的</w:t>
      </w:r>
      <w:r>
        <w:rPr>
          <w:rStyle w:val="18"/>
          <w:rFonts w:hint="eastAsia" w:ascii="仿宋" w:hAnsi="仿宋" w:eastAsia="仿宋"/>
          <w:b w:val="0"/>
          <w:bCs/>
          <w:sz w:val="32"/>
          <w:szCs w:val="32"/>
        </w:rPr>
        <w:t>支出</w:t>
      </w:r>
      <w:r>
        <w:rPr>
          <w:rStyle w:val="18"/>
          <w:rFonts w:hint="eastAsia" w:ascii="仿宋" w:hAnsi="仿宋" w:eastAsia="仿宋"/>
          <w:b w:val="0"/>
          <w:bCs/>
          <w:sz w:val="32"/>
          <w:szCs w:val="32"/>
          <w:lang w:eastAsia="zh-CN"/>
        </w:rPr>
        <w:t>缴费</w:t>
      </w:r>
      <w:r>
        <w:rPr>
          <w:rStyle w:val="18"/>
          <w:rFonts w:hint="eastAsia" w:ascii="仿宋" w:hAnsi="仿宋" w:eastAsia="仿宋"/>
          <w:b w:val="0"/>
          <w:bCs/>
          <w:sz w:val="32"/>
          <w:szCs w:val="32"/>
        </w:rPr>
        <w:t>。</w:t>
      </w:r>
    </w:p>
    <w:p>
      <w:pPr>
        <w:numPr>
          <w:ilvl w:val="0"/>
          <w:numId w:val="2"/>
        </w:numPr>
        <w:spacing w:line="600" w:lineRule="exact"/>
        <w:ind w:firstLine="643" w:firstLineChars="200"/>
        <w:rPr>
          <w:rFonts w:ascii="仿宋" w:hAnsi="仿宋" w:eastAsia="仿宋"/>
          <w:b/>
          <w:sz w:val="32"/>
          <w:szCs w:val="32"/>
        </w:rPr>
      </w:pPr>
      <w:r>
        <w:rPr>
          <w:rStyle w:val="18"/>
          <w:rFonts w:hint="eastAsia" w:ascii="仿宋" w:hAnsi="仿宋" w:eastAsia="仿宋"/>
          <w:bCs/>
          <w:sz w:val="32"/>
          <w:szCs w:val="32"/>
        </w:rPr>
        <w:t>社会保障和就业（类）行政事业单位养老支出（款）机关事业单位职业年金缴费支出（项）：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支出决算为163.04万元，完成预算 9</w:t>
      </w:r>
      <w:r>
        <w:rPr>
          <w:rStyle w:val="18"/>
          <w:rFonts w:hint="eastAsia" w:ascii="仿宋" w:hAnsi="仿宋" w:eastAsia="仿宋"/>
          <w:b w:val="0"/>
          <w:bCs/>
          <w:sz w:val="32"/>
          <w:szCs w:val="32"/>
          <w:lang w:val="en-US" w:eastAsia="zh-CN"/>
        </w:rPr>
        <w:t>9.6</w:t>
      </w:r>
      <w:r>
        <w:rPr>
          <w:rStyle w:val="18"/>
          <w:rFonts w:hint="eastAsia" w:ascii="仿宋" w:hAnsi="仿宋" w:eastAsia="仿宋"/>
          <w:b w:val="0"/>
          <w:bCs/>
          <w:sz w:val="32"/>
          <w:szCs w:val="32"/>
        </w:rPr>
        <w:t>%。决算数小于预算数的主要原因是根据当年实际情况发生的支出缴费。</w:t>
      </w:r>
    </w:p>
    <w:p>
      <w:pPr>
        <w:numPr>
          <w:ilvl w:val="0"/>
          <w:numId w:val="2"/>
        </w:numPr>
        <w:spacing w:line="600" w:lineRule="exact"/>
        <w:ind w:firstLine="643" w:firstLineChars="200"/>
        <w:rPr>
          <w:rFonts w:ascii="仿宋" w:hAnsi="仿宋" w:eastAsia="仿宋"/>
          <w:b/>
          <w:sz w:val="32"/>
          <w:szCs w:val="32"/>
        </w:rPr>
      </w:pPr>
      <w:r>
        <w:rPr>
          <w:rStyle w:val="18"/>
          <w:rFonts w:hint="eastAsia" w:ascii="仿宋" w:hAnsi="仿宋" w:eastAsia="仿宋"/>
          <w:bCs/>
          <w:sz w:val="32"/>
          <w:szCs w:val="32"/>
        </w:rPr>
        <w:t>社会保障和就业（类）行政事业单位养老支出（款）其他行政事业单位养老支出（项）：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支出决算为4.35万元，完成预算100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，决算数等于预算数。</w:t>
      </w:r>
    </w:p>
    <w:p>
      <w:pPr>
        <w:numPr>
          <w:ilvl w:val="0"/>
          <w:numId w:val="2"/>
        </w:numPr>
        <w:spacing w:line="600" w:lineRule="exact"/>
        <w:ind w:firstLine="643" w:firstLineChars="200"/>
        <w:rPr>
          <w:rFonts w:ascii="仿宋" w:hAnsi="仿宋" w:eastAsia="仿宋"/>
          <w:b/>
          <w:sz w:val="32"/>
          <w:szCs w:val="32"/>
        </w:rPr>
      </w:pPr>
      <w:r>
        <w:rPr>
          <w:rStyle w:val="18"/>
          <w:rFonts w:hint="eastAsia" w:ascii="仿宋" w:hAnsi="仿宋" w:eastAsia="仿宋"/>
          <w:bCs/>
          <w:sz w:val="32"/>
          <w:szCs w:val="32"/>
        </w:rPr>
        <w:t>社会保障和就业（类）抚恤（款）死亡抚恤（项）：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支出决算为14.84万元，完成预算100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，决算数等于预算数。</w:t>
      </w:r>
    </w:p>
    <w:p>
      <w:pPr>
        <w:numPr>
          <w:ilvl w:val="0"/>
          <w:numId w:val="2"/>
        </w:numPr>
        <w:spacing w:line="600" w:lineRule="exact"/>
        <w:ind w:firstLine="643" w:firstLineChars="200"/>
        <w:rPr>
          <w:rStyle w:val="18"/>
          <w:rFonts w:ascii="仿宋" w:hAnsi="仿宋" w:eastAsia="仿宋"/>
          <w:b w:val="0"/>
          <w:bCs/>
          <w:sz w:val="32"/>
          <w:szCs w:val="32"/>
        </w:rPr>
      </w:pPr>
      <w:r>
        <w:rPr>
          <w:rStyle w:val="18"/>
          <w:rFonts w:hint="eastAsia" w:ascii="仿宋" w:hAnsi="仿宋" w:eastAsia="仿宋"/>
          <w:bCs/>
          <w:sz w:val="32"/>
          <w:szCs w:val="32"/>
        </w:rPr>
        <w:t>社会保障和就业（类）其他社会保障和就业支出（款）其他社会保障和就业支出（项）：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支出决算为8.67万元，完成预算 9</w:t>
      </w:r>
      <w:r>
        <w:rPr>
          <w:rStyle w:val="18"/>
          <w:rFonts w:hint="eastAsia" w:ascii="仿宋" w:hAnsi="仿宋" w:eastAsia="仿宋"/>
          <w:b w:val="0"/>
          <w:bCs/>
          <w:sz w:val="32"/>
          <w:szCs w:val="32"/>
          <w:lang w:val="en-US" w:eastAsia="zh-CN"/>
        </w:rPr>
        <w:t>7.53</w:t>
      </w:r>
      <w:r>
        <w:rPr>
          <w:rStyle w:val="18"/>
          <w:rFonts w:hint="eastAsia" w:ascii="仿宋" w:hAnsi="仿宋" w:eastAsia="仿宋"/>
          <w:b w:val="0"/>
          <w:bCs/>
          <w:sz w:val="32"/>
          <w:szCs w:val="32"/>
        </w:rPr>
        <w:t>%。决算数小于预算数的主要原因是根据当年实际情况发生的支出缴费。</w:t>
      </w:r>
    </w:p>
    <w:p>
      <w:pPr>
        <w:numPr>
          <w:ilvl w:val="0"/>
          <w:numId w:val="2"/>
        </w:numPr>
        <w:spacing w:line="600" w:lineRule="exact"/>
        <w:ind w:firstLine="643" w:firstLineChars="200"/>
        <w:rPr>
          <w:rStyle w:val="18"/>
          <w:rFonts w:ascii="仿宋" w:hAnsi="仿宋" w:eastAsia="仿宋"/>
          <w:b w:val="0"/>
          <w:bCs/>
          <w:sz w:val="32"/>
          <w:szCs w:val="32"/>
        </w:rPr>
      </w:pPr>
      <w:r>
        <w:rPr>
          <w:rFonts w:hint="eastAsia" w:ascii="仿宋" w:hAnsi="仿宋" w:eastAsia="仿宋"/>
          <w:b/>
          <w:bCs/>
          <w:sz w:val="32"/>
          <w:szCs w:val="32"/>
        </w:rPr>
        <w:t>卫生健康</w:t>
      </w:r>
      <w:r>
        <w:rPr>
          <w:rStyle w:val="18"/>
          <w:rFonts w:hint="eastAsia" w:ascii="仿宋" w:hAnsi="仿宋" w:eastAsia="仿宋"/>
          <w:bCs/>
          <w:sz w:val="32"/>
          <w:szCs w:val="32"/>
        </w:rPr>
        <w:t>（类）行政事业单位医疗（款）行政单位医疗（项）：</w:t>
      </w:r>
      <w:r>
        <w:rPr>
          <w:rStyle w:val="18"/>
          <w:rFonts w:hint="eastAsia" w:ascii="仿宋" w:hAnsi="仿宋" w:eastAsia="仿宋"/>
          <w:b w:val="0"/>
          <w:bCs/>
          <w:sz w:val="32"/>
          <w:szCs w:val="32"/>
        </w:rPr>
        <w:t>支出决算为68.72万元，完成预算100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w:t>
      </w:r>
    </w:p>
    <w:p>
      <w:pPr>
        <w:numPr>
          <w:ilvl w:val="0"/>
          <w:numId w:val="2"/>
        </w:numPr>
        <w:spacing w:line="600" w:lineRule="exact"/>
        <w:ind w:firstLine="643" w:firstLineChars="200"/>
        <w:rPr>
          <w:rStyle w:val="18"/>
          <w:rFonts w:ascii="仿宋" w:hAnsi="仿宋" w:eastAsia="仿宋"/>
          <w:b w:val="0"/>
          <w:bCs/>
          <w:sz w:val="32"/>
          <w:szCs w:val="32"/>
        </w:rPr>
      </w:pPr>
      <w:r>
        <w:rPr>
          <w:rFonts w:hint="eastAsia" w:ascii="仿宋" w:hAnsi="仿宋" w:eastAsia="仿宋"/>
          <w:b/>
          <w:bCs/>
          <w:sz w:val="32"/>
          <w:szCs w:val="32"/>
        </w:rPr>
        <w:t>卫生健康</w:t>
      </w:r>
      <w:r>
        <w:rPr>
          <w:rStyle w:val="18"/>
          <w:rFonts w:hint="eastAsia" w:ascii="仿宋" w:hAnsi="仿宋" w:eastAsia="仿宋"/>
          <w:bCs/>
          <w:sz w:val="32"/>
          <w:szCs w:val="32"/>
        </w:rPr>
        <w:t>（类）行政事业单位医疗（款）事业单位医疗（项）：</w:t>
      </w:r>
      <w:r>
        <w:rPr>
          <w:rStyle w:val="18"/>
          <w:rFonts w:hint="eastAsia" w:ascii="仿宋" w:hAnsi="仿宋" w:eastAsia="仿宋"/>
          <w:b w:val="0"/>
          <w:bCs/>
          <w:sz w:val="32"/>
          <w:szCs w:val="32"/>
        </w:rPr>
        <w:t>支出决算为26.42万元，完成预算9</w:t>
      </w:r>
      <w:r>
        <w:rPr>
          <w:rStyle w:val="18"/>
          <w:rFonts w:hint="eastAsia" w:ascii="仿宋" w:hAnsi="仿宋" w:eastAsia="仿宋"/>
          <w:b w:val="0"/>
          <w:bCs/>
          <w:sz w:val="32"/>
          <w:szCs w:val="32"/>
          <w:lang w:val="en-US" w:eastAsia="zh-CN"/>
        </w:rPr>
        <w:t>9.59</w:t>
      </w:r>
      <w:r>
        <w:rPr>
          <w:rStyle w:val="18"/>
          <w:rFonts w:ascii="仿宋" w:hAnsi="仿宋" w:eastAsia="仿宋"/>
          <w:b w:val="0"/>
          <w:bCs/>
          <w:sz w:val="32"/>
          <w:szCs w:val="32"/>
        </w:rPr>
        <w:t>%</w:t>
      </w:r>
      <w:r>
        <w:rPr>
          <w:rStyle w:val="18"/>
          <w:rFonts w:hint="eastAsia" w:ascii="仿宋" w:hAnsi="仿宋" w:eastAsia="仿宋"/>
          <w:b w:val="0"/>
          <w:bCs/>
          <w:sz w:val="32"/>
          <w:szCs w:val="32"/>
        </w:rPr>
        <w:t>，决算数小于预算数的主要原因是根据当年实际情况发生的支出缴费。</w:t>
      </w:r>
    </w:p>
    <w:p>
      <w:pPr>
        <w:numPr>
          <w:ilvl w:val="0"/>
          <w:numId w:val="2"/>
        </w:numPr>
        <w:spacing w:line="600" w:lineRule="exact"/>
        <w:ind w:firstLine="643" w:firstLineChars="200"/>
        <w:rPr>
          <w:rStyle w:val="18"/>
          <w:rFonts w:ascii="仿宋" w:hAnsi="仿宋" w:eastAsia="仿宋"/>
          <w:b w:val="0"/>
          <w:bCs/>
          <w:sz w:val="32"/>
          <w:szCs w:val="32"/>
        </w:rPr>
      </w:pPr>
      <w:r>
        <w:rPr>
          <w:rFonts w:hint="eastAsia" w:ascii="仿宋" w:hAnsi="仿宋" w:eastAsia="仿宋"/>
          <w:b/>
          <w:bCs/>
          <w:sz w:val="32"/>
          <w:szCs w:val="32"/>
        </w:rPr>
        <w:t>卫生健康</w:t>
      </w:r>
      <w:r>
        <w:rPr>
          <w:rStyle w:val="18"/>
          <w:rFonts w:hint="eastAsia" w:ascii="仿宋" w:hAnsi="仿宋" w:eastAsia="仿宋"/>
          <w:bCs/>
          <w:sz w:val="32"/>
          <w:szCs w:val="32"/>
        </w:rPr>
        <w:t>（类）行政事业单位医疗（款）公务员医疗补助（项）：</w:t>
      </w:r>
      <w:r>
        <w:rPr>
          <w:rStyle w:val="18"/>
          <w:rFonts w:hint="eastAsia" w:ascii="仿宋" w:hAnsi="仿宋" w:eastAsia="仿宋"/>
          <w:b w:val="0"/>
          <w:bCs/>
          <w:sz w:val="32"/>
          <w:szCs w:val="32"/>
        </w:rPr>
        <w:t>支出决算为2.85万元，完成预算100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，决算数等于预算数。</w:t>
      </w:r>
    </w:p>
    <w:p>
      <w:pPr>
        <w:numPr>
          <w:ilvl w:val="0"/>
          <w:numId w:val="2"/>
        </w:numPr>
        <w:spacing w:line="600" w:lineRule="exact"/>
        <w:ind w:firstLine="643" w:firstLineChars="200"/>
        <w:rPr>
          <w:rStyle w:val="18"/>
          <w:rFonts w:ascii="仿宋" w:hAnsi="仿宋" w:eastAsia="仿宋"/>
          <w:b w:val="0"/>
          <w:bCs/>
          <w:sz w:val="32"/>
          <w:szCs w:val="32"/>
        </w:rPr>
      </w:pPr>
      <w:r>
        <w:rPr>
          <w:rStyle w:val="18"/>
          <w:rFonts w:hint="eastAsia" w:ascii="仿宋" w:hAnsi="仿宋" w:eastAsia="仿宋"/>
          <w:bCs/>
          <w:sz w:val="32"/>
          <w:szCs w:val="32"/>
        </w:rPr>
        <w:t>城乡社区（类）城乡社区管理事务（款）行政运行（项）：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支出决算为2151.06万元，完成预算100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，决算数等于预算数。</w:t>
      </w:r>
    </w:p>
    <w:p>
      <w:pPr>
        <w:numPr>
          <w:ilvl w:val="0"/>
          <w:numId w:val="2"/>
        </w:numPr>
        <w:spacing w:line="600" w:lineRule="exact"/>
        <w:ind w:firstLine="643" w:firstLineChars="200"/>
        <w:rPr>
          <w:rFonts w:ascii="仿宋" w:hAnsi="仿宋" w:eastAsia="仿宋"/>
          <w:b/>
          <w:sz w:val="32"/>
          <w:szCs w:val="32"/>
        </w:rPr>
      </w:pPr>
      <w:r>
        <w:rPr>
          <w:rStyle w:val="18"/>
          <w:rFonts w:hint="eastAsia" w:ascii="仿宋" w:hAnsi="仿宋" w:eastAsia="仿宋"/>
          <w:bCs/>
          <w:sz w:val="32"/>
          <w:szCs w:val="32"/>
        </w:rPr>
        <w:t>城乡社区（类）城乡社区管理事务（款）一般行政管理事务（项）：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支出决算为1128.52万元，完成预算100</w:t>
      </w:r>
      <w:r>
        <w:rPr>
          <w:rStyle w:val="18"/>
          <w:rFonts w:ascii="仿宋" w:hAnsi="仿宋" w:eastAsia="仿宋"/>
          <w:b w:val="0"/>
          <w:bCs/>
          <w:sz w:val="32"/>
          <w:szCs w:val="32"/>
        </w:rPr>
        <w:t>%</w:t>
      </w:r>
      <w:r>
        <w:rPr>
          <w:rStyle w:val="18"/>
          <w:rFonts w:hint="eastAsia" w:ascii="仿宋" w:hAnsi="仿宋" w:eastAsia="仿宋"/>
          <w:b w:val="0"/>
          <w:bCs/>
          <w:sz w:val="32"/>
          <w:szCs w:val="32"/>
        </w:rPr>
        <w:t>，决算数等于预算数。</w:t>
      </w:r>
    </w:p>
    <w:p>
      <w:pPr>
        <w:numPr>
          <w:ilvl w:val="0"/>
          <w:numId w:val="2"/>
        </w:numPr>
        <w:spacing w:line="600" w:lineRule="exact"/>
        <w:ind w:firstLine="643" w:firstLineChars="200"/>
        <w:rPr>
          <w:rStyle w:val="18"/>
          <w:rFonts w:ascii="仿宋" w:hAnsi="仿宋" w:eastAsia="仿宋"/>
          <w:b w:val="0"/>
          <w:bCs/>
          <w:sz w:val="32"/>
          <w:szCs w:val="32"/>
        </w:rPr>
      </w:pPr>
      <w:r>
        <w:rPr>
          <w:rStyle w:val="18"/>
          <w:rFonts w:hint="eastAsia" w:ascii="仿宋" w:hAnsi="仿宋" w:eastAsia="仿宋"/>
          <w:bCs/>
          <w:sz w:val="32"/>
          <w:szCs w:val="32"/>
        </w:rPr>
        <w:t>城乡社区（类）城乡社区管理事务（款）其他城乡社区管理事务支出（项）：</w:t>
      </w:r>
      <w:r>
        <w:rPr>
          <w:rStyle w:val="18"/>
          <w:rFonts w:ascii="仿宋" w:hAnsi="仿宋" w:eastAsia="仿宋"/>
          <w:b w:val="0"/>
          <w:bCs/>
          <w:sz w:val="32"/>
          <w:szCs w:val="32"/>
        </w:rPr>
        <w:t xml:space="preserve"> </w:t>
      </w:r>
      <w:r>
        <w:rPr>
          <w:rStyle w:val="18"/>
          <w:rFonts w:hint="eastAsia" w:ascii="仿宋" w:hAnsi="仿宋" w:eastAsia="仿宋"/>
          <w:b w:val="0"/>
          <w:bCs/>
          <w:sz w:val="32"/>
          <w:szCs w:val="32"/>
        </w:rPr>
        <w:t>支出决算为970.88万元，完成预算9</w:t>
      </w:r>
      <w:r>
        <w:rPr>
          <w:rStyle w:val="18"/>
          <w:rFonts w:hint="eastAsia" w:ascii="仿宋" w:hAnsi="仿宋" w:eastAsia="仿宋"/>
          <w:b w:val="0"/>
          <w:bCs/>
          <w:sz w:val="32"/>
          <w:szCs w:val="32"/>
          <w:lang w:val="en-US" w:eastAsia="zh-CN"/>
        </w:rPr>
        <w:t>7.77</w:t>
      </w:r>
      <w:r>
        <w:rPr>
          <w:rStyle w:val="18"/>
          <w:rFonts w:ascii="仿宋" w:hAnsi="仿宋" w:eastAsia="仿宋"/>
          <w:b w:val="0"/>
          <w:bCs/>
          <w:sz w:val="32"/>
          <w:szCs w:val="32"/>
        </w:rPr>
        <w:t>%</w:t>
      </w:r>
      <w:r>
        <w:rPr>
          <w:rStyle w:val="18"/>
          <w:rFonts w:hint="eastAsia" w:ascii="仿宋" w:hAnsi="仿宋" w:eastAsia="仿宋"/>
          <w:b w:val="0"/>
          <w:bCs/>
          <w:sz w:val="32"/>
          <w:szCs w:val="32"/>
        </w:rPr>
        <w:t>，决算数小于预算数的主要原因是贯彻落实厉行节约的要求，加强单位日常经费管理。</w:t>
      </w:r>
    </w:p>
    <w:p>
      <w:pPr>
        <w:numPr>
          <w:ilvl w:val="0"/>
          <w:numId w:val="2"/>
        </w:numPr>
        <w:spacing w:line="600" w:lineRule="exact"/>
        <w:ind w:firstLine="643" w:firstLineChars="200"/>
        <w:rPr>
          <w:rStyle w:val="18"/>
          <w:rFonts w:ascii="仿宋" w:hAnsi="仿宋" w:eastAsia="仿宋"/>
          <w:b w:val="0"/>
          <w:bCs/>
          <w:sz w:val="32"/>
          <w:szCs w:val="32"/>
        </w:rPr>
      </w:pPr>
      <w:r>
        <w:rPr>
          <w:rFonts w:hint="eastAsia" w:ascii="仿宋" w:hAnsi="仿宋" w:eastAsia="仿宋"/>
          <w:b/>
          <w:bCs/>
          <w:sz w:val="32"/>
          <w:szCs w:val="32"/>
        </w:rPr>
        <w:t>住房保障</w:t>
      </w:r>
      <w:r>
        <w:rPr>
          <w:rStyle w:val="18"/>
          <w:rFonts w:hint="eastAsia" w:ascii="仿宋" w:hAnsi="仿宋" w:eastAsia="仿宋"/>
          <w:bCs/>
          <w:sz w:val="32"/>
          <w:szCs w:val="32"/>
        </w:rPr>
        <w:t>（类）住房改革支出（款）住房公积金（项）：</w:t>
      </w:r>
      <w:r>
        <w:rPr>
          <w:rStyle w:val="18"/>
          <w:rFonts w:hint="eastAsia" w:ascii="仿宋" w:hAnsi="仿宋" w:eastAsia="仿宋"/>
          <w:b w:val="0"/>
          <w:bCs/>
          <w:sz w:val="32"/>
          <w:szCs w:val="32"/>
        </w:rPr>
        <w:t>支出决算为277.46万元，完成预算9</w:t>
      </w:r>
      <w:r>
        <w:rPr>
          <w:rStyle w:val="18"/>
          <w:rFonts w:hint="eastAsia" w:ascii="仿宋" w:hAnsi="仿宋" w:eastAsia="仿宋"/>
          <w:b w:val="0"/>
          <w:bCs/>
          <w:sz w:val="32"/>
          <w:szCs w:val="32"/>
          <w:lang w:val="en-US" w:eastAsia="zh-CN"/>
        </w:rPr>
        <w:t>9.75</w:t>
      </w:r>
      <w:r>
        <w:rPr>
          <w:rStyle w:val="18"/>
          <w:rFonts w:ascii="仿宋" w:hAnsi="仿宋" w:eastAsia="仿宋"/>
          <w:b w:val="0"/>
          <w:bCs/>
          <w:sz w:val="32"/>
          <w:szCs w:val="32"/>
        </w:rPr>
        <w:t>%</w:t>
      </w:r>
      <w:r>
        <w:rPr>
          <w:rStyle w:val="18"/>
          <w:rFonts w:hint="eastAsia" w:ascii="仿宋" w:hAnsi="仿宋" w:eastAsia="仿宋"/>
          <w:b w:val="0"/>
          <w:bCs/>
          <w:sz w:val="32"/>
          <w:szCs w:val="32"/>
        </w:rPr>
        <w:t>，决算数小于预算数的主要原因是根据当年实际情况发生的支出缴费。</w:t>
      </w:r>
    </w:p>
    <w:p>
      <w:pPr>
        <w:tabs>
          <w:tab w:val="right" w:pos="8306"/>
        </w:tabs>
        <w:spacing w:line="600" w:lineRule="exact"/>
        <w:ind w:firstLine="640"/>
        <w:outlineLvl w:val="1"/>
        <w:rPr>
          <w:rStyle w:val="29"/>
          <w:rFonts w:ascii="Times New Roman" w:hAnsi="Times New Roman"/>
        </w:rPr>
      </w:pPr>
      <w:bookmarkStart w:id="53" w:name="_Toc17235"/>
      <w:bookmarkStart w:id="54" w:name="_Toc15377214"/>
      <w:bookmarkStart w:id="55" w:name="_Toc15396608"/>
      <w:r>
        <w:rPr>
          <w:rFonts w:hint="eastAsia" w:eastAsia="黑体"/>
          <w:sz w:val="32"/>
          <w:szCs w:val="32"/>
        </w:rPr>
        <w:t>六</w:t>
      </w:r>
      <w:r>
        <w:rPr>
          <w:rFonts w:hint="eastAsia" w:eastAsia="黑体"/>
          <w:b/>
          <w:sz w:val="32"/>
          <w:szCs w:val="32"/>
        </w:rPr>
        <w:t>、一</w:t>
      </w:r>
      <w:r>
        <w:rPr>
          <w:rStyle w:val="29"/>
          <w:rFonts w:hint="eastAsia" w:ascii="Times New Roman" w:hAnsi="Times New Roman" w:eastAsia="黑体"/>
          <w:b w:val="0"/>
        </w:rPr>
        <w:t>般公共预算财政拨款基本支出决算情况说明</w:t>
      </w:r>
      <w:bookmarkEnd w:id="53"/>
      <w:bookmarkEnd w:id="54"/>
      <w:bookmarkEnd w:id="55"/>
      <w:r>
        <w:rPr>
          <w:rStyle w:val="29"/>
          <w:rFonts w:ascii="Times New Roman" w:hAnsi="Times New Roman" w:eastAsia="黑体"/>
          <w:b w:val="0"/>
        </w:rPr>
        <w:tab/>
      </w:r>
    </w:p>
    <w:p>
      <w:pPr>
        <w:spacing w:line="600" w:lineRule="exact"/>
        <w:ind w:firstLine="640"/>
        <w:rPr>
          <w:rFonts w:eastAsia="仿宋_GB2312" w:cs="仿宋_GB2312"/>
          <w:sz w:val="32"/>
          <w:szCs w:val="32"/>
        </w:rPr>
      </w:pPr>
      <w:r>
        <w:rPr>
          <w:rFonts w:hint="eastAsia" w:eastAsia="仿宋_GB2312" w:cs="仿宋_GB2312"/>
          <w:sz w:val="32"/>
          <w:szCs w:val="32"/>
        </w:rPr>
        <w:t>2024年度一般公共预算财政拨款基本支出3767.98</w:t>
      </w:r>
      <w:r>
        <w:rPr>
          <w:rFonts w:hint="eastAsia" w:ascii="仿宋_GB2312" w:hAnsi="仿宋_GB2312" w:eastAsia="仿宋_GB2312" w:cs="仿宋_GB2312"/>
          <w:sz w:val="32"/>
          <w:szCs w:val="32"/>
        </w:rPr>
        <w:t>万</w:t>
      </w:r>
      <w:r>
        <w:rPr>
          <w:rFonts w:hint="eastAsia" w:eastAsia="仿宋_GB2312" w:cs="仿宋_GB2312"/>
          <w:sz w:val="32"/>
          <w:szCs w:val="32"/>
        </w:rPr>
        <w:t>元，其中：</w:t>
      </w:r>
    </w:p>
    <w:p>
      <w:pPr>
        <w:spacing w:line="600" w:lineRule="exact"/>
        <w:ind w:firstLine="640"/>
      </w:pPr>
      <w:r>
        <w:rPr>
          <w:rFonts w:hint="eastAsia" w:eastAsia="仿宋_GB2312" w:cs="仿宋_GB2312"/>
          <w:sz w:val="32"/>
          <w:szCs w:val="32"/>
        </w:rPr>
        <w:t>人员经费3356.16</w:t>
      </w:r>
      <w:r>
        <w:rPr>
          <w:rFonts w:hint="eastAsia" w:ascii="仿宋_GB2312" w:hAnsi="仿宋_GB2312" w:eastAsia="仿宋_GB2312" w:cs="仿宋_GB2312"/>
          <w:sz w:val="32"/>
          <w:szCs w:val="32"/>
        </w:rPr>
        <w:t>万</w:t>
      </w:r>
      <w:r>
        <w:rPr>
          <w:rFonts w:hint="eastAsia" w:eastAsia="仿宋_GB2312" w:cs="仿宋_GB2312"/>
          <w:sz w:val="32"/>
          <w:szCs w:val="32"/>
        </w:rPr>
        <w:t>元，主要包括：</w:t>
      </w:r>
      <w:r>
        <w:rPr>
          <w:rFonts w:hint="eastAsia" w:ascii="仿宋" w:hAnsi="仿宋" w:eastAsia="仿宋"/>
          <w:sz w:val="32"/>
          <w:szCs w:val="32"/>
        </w:rPr>
        <w:t>基本工资、津贴补贴、奖金、伙食补助费、绩效工资、机关事业单位基本养老保险缴费、职业年金缴费、职工基本医疗保险缴费、公务员医疗补助缴费、其他社会保障缴费、住房公积金、抚恤金、奖励金、其他对个人和家庭的补助支出等。</w:t>
      </w:r>
      <w:r>
        <w:rPr>
          <w:rFonts w:ascii="仿宋" w:hAnsi="仿宋" w:eastAsia="仿宋"/>
          <w:sz w:val="32"/>
          <w:szCs w:val="32"/>
        </w:rPr>
        <w:br w:type="textWrapping"/>
      </w:r>
      <w:r>
        <w:rPr>
          <w:rFonts w:hint="eastAsia" w:eastAsia="仿宋_GB2312" w:cs="仿宋_GB2312"/>
          <w:sz w:val="32"/>
          <w:szCs w:val="32"/>
        </w:rPr>
        <w:t>　　公用经费411.82</w:t>
      </w:r>
      <w:r>
        <w:rPr>
          <w:rFonts w:hint="eastAsia" w:ascii="仿宋_GB2312" w:hAnsi="仿宋_GB2312" w:eastAsia="仿宋_GB2312" w:cs="仿宋_GB2312"/>
          <w:sz w:val="32"/>
          <w:szCs w:val="32"/>
        </w:rPr>
        <w:t>万</w:t>
      </w:r>
      <w:r>
        <w:rPr>
          <w:rFonts w:hint="eastAsia" w:eastAsia="仿宋_GB2312" w:cs="仿宋_GB2312"/>
          <w:sz w:val="32"/>
          <w:szCs w:val="32"/>
        </w:rPr>
        <w:t>元，主要包括：办公费、印刷费、水费、电费、邮电费、物业管理费、差旅费、维修（护）费、培训费、劳务费、委托业务费、工会经费、福利费、公务用车运行维护费、其他交通费用、其他商品和服务支出。</w:t>
      </w:r>
    </w:p>
    <w:p>
      <w:pPr>
        <w:spacing w:line="600" w:lineRule="exact"/>
        <w:ind w:firstLine="640"/>
        <w:outlineLvl w:val="1"/>
        <w:rPr>
          <w:rStyle w:val="29"/>
          <w:rFonts w:ascii="Times New Roman" w:hAnsi="Times New Roman" w:eastAsia="黑体"/>
          <w:b w:val="0"/>
        </w:rPr>
      </w:pPr>
      <w:bookmarkStart w:id="56" w:name="_Toc15377215"/>
      <w:bookmarkStart w:id="57" w:name="_Toc15396609"/>
      <w:bookmarkStart w:id="58" w:name="_Toc29905"/>
      <w:r>
        <w:rPr>
          <w:rFonts w:hint="eastAsia" w:eastAsia="黑体"/>
          <w:sz w:val="32"/>
          <w:szCs w:val="32"/>
        </w:rPr>
        <w:t>七、</w:t>
      </w:r>
      <w:r>
        <w:rPr>
          <w:rStyle w:val="29"/>
          <w:rFonts w:hint="eastAsia" w:ascii="Times New Roman" w:hAnsi="Times New Roman" w:eastAsia="黑体"/>
          <w:b w:val="0"/>
        </w:rPr>
        <w:t>财政拨款</w:t>
      </w:r>
      <w:r>
        <w:rPr>
          <w:rStyle w:val="29"/>
          <w:rFonts w:hint="eastAsia" w:ascii="Times New Roman" w:hAnsi="Times New Roman" w:eastAsia="黑体"/>
        </w:rPr>
        <w:t>“</w:t>
      </w:r>
      <w:r>
        <w:rPr>
          <w:rStyle w:val="29"/>
          <w:rFonts w:hint="eastAsia" w:ascii="Times New Roman" w:hAnsi="Times New Roman" w:eastAsia="黑体"/>
          <w:b w:val="0"/>
        </w:rPr>
        <w:t>三公”经费支出决算情况说明</w:t>
      </w:r>
      <w:bookmarkEnd w:id="56"/>
      <w:bookmarkEnd w:id="57"/>
      <w:bookmarkEnd w:id="58"/>
    </w:p>
    <w:p>
      <w:pPr>
        <w:spacing w:line="600" w:lineRule="exact"/>
        <w:ind w:firstLine="643" w:firstLineChars="200"/>
        <w:outlineLvl w:val="2"/>
        <w:rPr>
          <w:rFonts w:eastAsia="楷体_GB2312" w:cs="楷体_GB2312"/>
          <w:b/>
          <w:sz w:val="32"/>
          <w:szCs w:val="32"/>
        </w:rPr>
      </w:pPr>
      <w:bookmarkStart w:id="59" w:name="_Toc15377216"/>
      <w:r>
        <w:rPr>
          <w:rFonts w:hint="eastAsia" w:eastAsia="楷体_GB2312" w:cs="楷体_GB2312"/>
          <w:b/>
          <w:sz w:val="32"/>
          <w:szCs w:val="32"/>
        </w:rPr>
        <w:t>（一）“三公”经费财政拨款支出决算总体情况说明</w:t>
      </w:r>
      <w:bookmarkEnd w:id="59"/>
    </w:p>
    <w:p>
      <w:pPr>
        <w:spacing w:line="600" w:lineRule="exact"/>
        <w:ind w:firstLine="640"/>
        <w:rPr>
          <w:rFonts w:eastAsia="仿宋_GB2312" w:cs="仿宋_GB2312"/>
          <w:sz w:val="32"/>
          <w:szCs w:val="32"/>
        </w:rPr>
      </w:pPr>
      <w:r>
        <w:rPr>
          <w:rFonts w:hint="eastAsia" w:eastAsia="仿宋_GB2312" w:cs="仿宋_GB2312"/>
          <w:sz w:val="32"/>
          <w:szCs w:val="32"/>
        </w:rPr>
        <w:t>2024年度“三公”经费财政拨款支出决算为74.6</w:t>
      </w:r>
      <w:r>
        <w:rPr>
          <w:rFonts w:hint="eastAsia" w:ascii="仿宋_GB2312" w:hAnsi="仿宋_GB2312" w:eastAsia="仿宋_GB2312" w:cs="仿宋_GB2312"/>
          <w:sz w:val="32"/>
          <w:szCs w:val="32"/>
        </w:rPr>
        <w:t>万元，完成预算92.06%，</w:t>
      </w:r>
      <w:r>
        <w:rPr>
          <w:rFonts w:hint="eastAsia" w:eastAsia="仿宋_GB2312" w:cs="仿宋_GB2312"/>
          <w:sz w:val="32"/>
          <w:szCs w:val="32"/>
        </w:rPr>
        <w:t>较上年度增加74.6万元，增长100%。决算数小于预算数的主要原因是</w:t>
      </w:r>
      <w:r>
        <w:rPr>
          <w:rFonts w:hint="eastAsia" w:ascii="仿宋" w:hAnsi="仿宋" w:eastAsia="仿宋"/>
          <w:sz w:val="32"/>
          <w:szCs w:val="32"/>
        </w:rPr>
        <w:t>厉行节约。</w:t>
      </w:r>
    </w:p>
    <w:p>
      <w:pPr>
        <w:spacing w:line="600" w:lineRule="exact"/>
        <w:ind w:firstLine="643" w:firstLineChars="200"/>
        <w:outlineLvl w:val="2"/>
        <w:rPr>
          <w:rFonts w:eastAsia="楷体_GB2312" w:cs="楷体_GB2312"/>
          <w:b/>
          <w:sz w:val="32"/>
          <w:szCs w:val="32"/>
        </w:rPr>
      </w:pPr>
      <w:bookmarkStart w:id="60" w:name="_Toc15377217"/>
      <w:r>
        <w:rPr>
          <w:rFonts w:hint="eastAsia" w:eastAsia="楷体_GB2312" w:cs="楷体_GB2312"/>
          <w:b/>
          <w:sz w:val="32"/>
          <w:szCs w:val="32"/>
        </w:rPr>
        <w:t>（二）“三公”经费财政拨款支出决算具体情况说明</w:t>
      </w:r>
      <w:bookmarkEnd w:id="60"/>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；公务用车购置及运行维护费支出决算74.6万元，占100</w:t>
      </w:r>
      <w:r>
        <w:rPr>
          <w:rFonts w:ascii="仿宋" w:hAnsi="仿宋" w:eastAsia="仿宋"/>
          <w:sz w:val="32"/>
          <w:szCs w:val="32"/>
        </w:rPr>
        <w:t>%</w:t>
      </w:r>
      <w:r>
        <w:rPr>
          <w:rFonts w:hint="eastAsia" w:ascii="仿宋" w:hAnsi="仿宋" w:eastAsia="仿宋"/>
          <w:sz w:val="32"/>
          <w:szCs w:val="32"/>
        </w:rPr>
        <w:t>；公务接待费支出决算0万元，占0</w:t>
      </w:r>
      <w:r>
        <w:rPr>
          <w:rFonts w:ascii="仿宋" w:hAnsi="仿宋" w:eastAsia="仿宋"/>
          <w:sz w:val="32"/>
          <w:szCs w:val="32"/>
        </w:rPr>
        <w:t>%</w:t>
      </w:r>
      <w:r>
        <w:rPr>
          <w:rFonts w:hint="eastAsia" w:ascii="仿宋" w:hAnsi="仿宋" w:eastAsia="仿宋"/>
          <w:sz w:val="32"/>
          <w:szCs w:val="32"/>
        </w:rPr>
        <w:t>。具体情况如下：</w:t>
      </w:r>
    </w:p>
    <w:p>
      <w:pPr>
        <w:jc w:val="center"/>
        <w:rPr>
          <w:rFonts w:ascii="仿宋_GB2312" w:hAnsi="仿宋_GB2312" w:eastAsia="仿宋_GB2312" w:cs="仿宋_GB2312"/>
          <w:sz w:val="32"/>
          <w:szCs w:val="32"/>
        </w:rPr>
      </w:pPr>
      <w:r>
        <w:drawing>
          <wp:inline distT="0" distB="0" distL="114300" distR="114300">
            <wp:extent cx="3771900" cy="2114550"/>
            <wp:effectExtent l="38735" t="18415" r="56515" b="76835"/>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jc w:val="center"/>
        <w:rPr>
          <w:rFonts w:eastAsia="仿宋_GB2312" w:cs="仿宋_GB2312"/>
          <w:sz w:val="32"/>
          <w:szCs w:val="32"/>
        </w:rPr>
      </w:pPr>
      <w:r>
        <w:rPr>
          <w:rFonts w:hint="eastAsia" w:eastAsia="仿宋_GB2312" w:cs="仿宋_GB2312"/>
          <w:sz w:val="32"/>
          <w:szCs w:val="32"/>
        </w:rPr>
        <w:t>图7：“三公”经费财政拨款支出结构</w:t>
      </w:r>
    </w:p>
    <w:p>
      <w:pPr>
        <w:spacing w:line="600" w:lineRule="exact"/>
        <w:ind w:firstLine="643" w:firstLineChars="200"/>
        <w:rPr>
          <w:rFonts w:ascii="仿宋_GB2312" w:eastAsia="仿宋_GB2312"/>
          <w:sz w:val="32"/>
          <w:szCs w:val="32"/>
        </w:rPr>
      </w:pPr>
      <w:r>
        <w:rPr>
          <w:rFonts w:ascii="仿宋_GB2312" w:eastAsia="仿宋_GB2312"/>
          <w:b/>
          <w:sz w:val="32"/>
          <w:szCs w:val="32"/>
        </w:rPr>
        <w:t>1.</w:t>
      </w:r>
      <w:r>
        <w:rPr>
          <w:rFonts w:hint="eastAsia" w:ascii="仿宋_GB2312" w:eastAsia="仿宋_GB2312"/>
          <w:b/>
          <w:bCs/>
          <w:sz w:val="32"/>
          <w:szCs w:val="32"/>
        </w:rPr>
        <w:t>因公出国（境）经费支出</w:t>
      </w:r>
      <w:r>
        <w:rPr>
          <w:rFonts w:hint="eastAsia" w:ascii="仿宋_GB2312" w:eastAsia="仿宋_GB2312"/>
          <w:sz w:val="32"/>
          <w:szCs w:val="32"/>
        </w:rPr>
        <w:t>0万元，完成预算0</w:t>
      </w:r>
      <w:r>
        <w:rPr>
          <w:rFonts w:ascii="仿宋_GB2312" w:eastAsia="仿宋_GB2312"/>
          <w:sz w:val="32"/>
          <w:szCs w:val="32"/>
        </w:rPr>
        <w:t>%</w:t>
      </w:r>
      <w:r>
        <w:rPr>
          <w:rFonts w:hint="eastAsia" w:ascii="仿宋_GB2312" w:eastAsia="仿宋_GB2312"/>
          <w:sz w:val="32"/>
          <w:szCs w:val="32"/>
        </w:rPr>
        <w:t>。全年安排因公出国（境）团组0次，出国（境）0人。因公出国（境）支出决算与2023年持平。主要原因是2024年本单位无因公出国（境）经费支出。</w:t>
      </w:r>
    </w:p>
    <w:p>
      <w:pPr>
        <w:spacing w:line="600"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74.6万元，</w:t>
      </w:r>
      <w:r>
        <w:rPr>
          <w:rStyle w:val="18"/>
          <w:rFonts w:hint="eastAsia" w:ascii="仿宋" w:hAnsi="仿宋" w:eastAsia="仿宋"/>
          <w:b w:val="0"/>
          <w:bCs/>
          <w:sz w:val="32"/>
          <w:szCs w:val="32"/>
        </w:rPr>
        <w:t>完成预算92.06</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公务用车购置及运行维护费支出决算比2023年度增加74.6万元，增长100</w:t>
      </w:r>
      <w:r>
        <w:rPr>
          <w:rFonts w:ascii="仿宋_GB2312" w:eastAsia="仿宋_GB2312"/>
          <w:sz w:val="32"/>
          <w:szCs w:val="32"/>
        </w:rPr>
        <w:t>%</w:t>
      </w:r>
      <w:r>
        <w:rPr>
          <w:rFonts w:hint="eastAsia" w:ascii="仿宋_GB2312" w:eastAsia="仿宋_GB2312"/>
          <w:sz w:val="32"/>
          <w:szCs w:val="32"/>
        </w:rPr>
        <w:t>。主要原因是市城管系统（包含城市管理执法队、市容管理大队、数字化中心），以及自然资源执法大队划转至我单位，所以车辆运行维护费增加。</w:t>
      </w:r>
    </w:p>
    <w:p>
      <w:pPr>
        <w:spacing w:line="600" w:lineRule="exact"/>
        <w:ind w:firstLine="640" w:firstLineChars="200"/>
        <w:rPr>
          <w:rFonts w:ascii="宋体" w:hAnsi="宋体" w:cs="宋体"/>
          <w:sz w:val="32"/>
          <w:szCs w:val="32"/>
        </w:rPr>
      </w:pPr>
      <w:r>
        <w:rPr>
          <w:rFonts w:hint="eastAsia" w:ascii="仿宋_GB2312" w:eastAsia="仿宋_GB2312"/>
          <w:sz w:val="32"/>
          <w:szCs w:val="32"/>
        </w:rPr>
        <w:t>其中：</w:t>
      </w:r>
      <w:r>
        <w:rPr>
          <w:rFonts w:hint="eastAsia" w:ascii="仿宋_GB2312" w:eastAsia="仿宋_GB2312"/>
          <w:b/>
          <w:bCs/>
          <w:sz w:val="32"/>
          <w:szCs w:val="32"/>
        </w:rPr>
        <w:t>公务用车购置支出</w:t>
      </w:r>
      <w:r>
        <w:rPr>
          <w:rFonts w:hint="eastAsia" w:ascii="仿宋_GB2312" w:eastAsia="仿宋_GB2312"/>
          <w:sz w:val="32"/>
          <w:szCs w:val="32"/>
        </w:rPr>
        <w:t>0万元。全年按规定更新购置公务用车0辆，其中：轿车0辆、金额0万元，越野车0辆、金额0万元，载客汽车0辆、金额0万元。截至2024年</w:t>
      </w:r>
      <w:r>
        <w:rPr>
          <w:rFonts w:ascii="仿宋_GB2312" w:eastAsia="仿宋_GB2312"/>
          <w:sz w:val="32"/>
          <w:szCs w:val="32"/>
        </w:rPr>
        <w:t>12</w:t>
      </w:r>
      <w:r>
        <w:rPr>
          <w:rFonts w:hint="eastAsia" w:ascii="仿宋_GB2312" w:eastAsia="仿宋_GB2312"/>
          <w:sz w:val="32"/>
          <w:szCs w:val="32"/>
        </w:rPr>
        <w:t>月31日，单位共有公务用车53辆，其中：</w:t>
      </w:r>
      <w:r>
        <w:rPr>
          <w:rFonts w:hint="eastAsia" w:ascii="宋体" w:hAnsi="宋体" w:cs="宋体"/>
          <w:sz w:val="32"/>
          <w:szCs w:val="32"/>
        </w:rPr>
        <w:t>皮卡车</w:t>
      </w:r>
      <w:r>
        <w:rPr>
          <w:rFonts w:hint="eastAsia" w:ascii="仿宋_GB2312" w:eastAsia="仿宋_GB2312"/>
          <w:sz w:val="32"/>
          <w:szCs w:val="32"/>
        </w:rPr>
        <w:t>26辆，面包车22辆、商务车2辆、越野车2辆，新</w:t>
      </w:r>
      <w:r>
        <w:rPr>
          <w:rFonts w:hint="eastAsia" w:ascii="宋体" w:hAnsi="宋体" w:cs="宋体"/>
          <w:sz w:val="32"/>
          <w:szCs w:val="32"/>
        </w:rPr>
        <w:t>能</w:t>
      </w:r>
      <w:r>
        <w:rPr>
          <w:rFonts w:hint="eastAsia" w:ascii="仿宋_GB2312" w:eastAsia="仿宋_GB2312"/>
          <w:sz w:val="32"/>
          <w:szCs w:val="32"/>
        </w:rPr>
        <w:t>源轿车1辆。</w:t>
      </w:r>
    </w:p>
    <w:p>
      <w:pPr>
        <w:spacing w:line="600" w:lineRule="exact"/>
        <w:ind w:firstLine="643" w:firstLineChars="200"/>
        <w:rPr>
          <w:rFonts w:ascii="仿宋_GB2312" w:eastAsia="仿宋_GB2312"/>
          <w:sz w:val="32"/>
          <w:szCs w:val="32"/>
          <w:highlight w:val="yellow"/>
        </w:rPr>
      </w:pPr>
      <w:r>
        <w:rPr>
          <w:rFonts w:hint="eastAsia" w:ascii="仿宋_GB2312" w:eastAsia="仿宋_GB2312"/>
          <w:b/>
          <w:sz w:val="32"/>
          <w:szCs w:val="32"/>
        </w:rPr>
        <w:t>公务用车运行维护费支出</w:t>
      </w:r>
      <w:r>
        <w:rPr>
          <w:rFonts w:hint="eastAsia" w:ascii="仿宋_GB2312" w:eastAsia="仿宋_GB2312"/>
          <w:sz w:val="32"/>
          <w:szCs w:val="32"/>
        </w:rPr>
        <w:t>74.6万元。主要用于</w:t>
      </w:r>
      <w:r>
        <w:rPr>
          <w:rFonts w:hint="eastAsia" w:eastAsia="仿宋_GB2312"/>
          <w:sz w:val="32"/>
          <w:szCs w:val="32"/>
        </w:rPr>
        <w:t>53辆公务用车燃油、维修、保险等方面支出，主要保障行政执法、城市管理等工作开展。</w:t>
      </w:r>
    </w:p>
    <w:p>
      <w:pPr>
        <w:spacing w:line="600" w:lineRule="exact"/>
        <w:ind w:firstLine="643" w:firstLineChars="200"/>
        <w:rPr>
          <w:rFonts w:ascii="仿宋_GB2312" w:eastAsia="仿宋_GB2312"/>
          <w:sz w:val="32"/>
          <w:szCs w:val="32"/>
        </w:rPr>
      </w:pPr>
      <w:r>
        <w:rPr>
          <w:rFonts w:ascii="仿宋_GB2312" w:eastAsia="仿宋_GB2312"/>
          <w:b/>
          <w:sz w:val="32"/>
          <w:szCs w:val="32"/>
        </w:rPr>
        <w:t>3.</w:t>
      </w:r>
      <w:r>
        <w:rPr>
          <w:rFonts w:hint="eastAsia" w:ascii="仿宋_GB2312" w:eastAsia="仿宋_GB2312"/>
          <w:b/>
          <w:bCs/>
          <w:sz w:val="32"/>
          <w:szCs w:val="32"/>
        </w:rPr>
        <w:t>公务接待费支出</w:t>
      </w:r>
      <w:r>
        <w:rPr>
          <w:rFonts w:hint="eastAsia" w:ascii="仿宋_GB2312" w:eastAsia="仿宋_GB2312"/>
          <w:sz w:val="32"/>
          <w:szCs w:val="32"/>
        </w:rPr>
        <w:t>0万元，完成预算0</w:t>
      </w:r>
      <w:r>
        <w:rPr>
          <w:rFonts w:ascii="仿宋_GB2312" w:eastAsia="仿宋_GB2312"/>
          <w:sz w:val="32"/>
          <w:szCs w:val="32"/>
        </w:rPr>
        <w:t>%</w:t>
      </w:r>
      <w:r>
        <w:rPr>
          <w:rFonts w:hint="eastAsia" w:ascii="仿宋_GB2312" w:eastAsia="仿宋_GB2312"/>
          <w:sz w:val="32"/>
          <w:szCs w:val="32"/>
        </w:rPr>
        <w:t>。公务接待费支出决算与2023年度持平。主要原因是2024年本单位无公务接待费支出。其中：</w:t>
      </w: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国内公务接待支出</w:t>
      </w:r>
      <w:r>
        <w:rPr>
          <w:rFonts w:hint="eastAsia" w:ascii="仿宋_GB2312" w:eastAsia="仿宋_GB2312"/>
          <w:sz w:val="32"/>
          <w:szCs w:val="32"/>
        </w:rPr>
        <w:t>0万元</w:t>
      </w:r>
      <w:r>
        <w:rPr>
          <w:rFonts w:hint="eastAsia" w:ascii="仿宋_GB2312" w:eastAsia="仿宋_GB2312"/>
          <w:b/>
          <w:bCs/>
          <w:sz w:val="32"/>
          <w:szCs w:val="32"/>
        </w:rPr>
        <w:t>。</w:t>
      </w:r>
    </w:p>
    <w:p>
      <w:pPr>
        <w:spacing w:line="600" w:lineRule="exact"/>
        <w:ind w:firstLine="643" w:firstLineChars="200"/>
        <w:rPr>
          <w:rFonts w:eastAsia="仿宋_GB2312" w:cs="仿宋_GB2312"/>
          <w:sz w:val="32"/>
          <w:szCs w:val="32"/>
        </w:rPr>
      </w:pPr>
      <w:r>
        <w:rPr>
          <w:rFonts w:hint="eastAsia" w:ascii="仿宋_GB2312" w:eastAsia="仿宋_GB2312"/>
          <w:b/>
          <w:bCs/>
          <w:sz w:val="32"/>
          <w:szCs w:val="32"/>
        </w:rPr>
        <w:t>外事接待支出</w:t>
      </w:r>
      <w:r>
        <w:rPr>
          <w:rFonts w:hint="eastAsia" w:ascii="仿宋_GB2312" w:eastAsia="仿宋_GB2312"/>
          <w:sz w:val="32"/>
          <w:szCs w:val="32"/>
        </w:rPr>
        <w:t>0万元。</w:t>
      </w:r>
      <w:bookmarkStart w:id="61" w:name="_Toc15396610"/>
      <w:bookmarkStart w:id="62" w:name="_Toc15377218"/>
    </w:p>
    <w:p>
      <w:pPr>
        <w:spacing w:line="600" w:lineRule="exact"/>
        <w:ind w:firstLine="640"/>
        <w:outlineLvl w:val="1"/>
        <w:rPr>
          <w:rStyle w:val="29"/>
          <w:rFonts w:ascii="Times New Roman" w:hAnsi="Times New Roman" w:eastAsia="黑体"/>
        </w:rPr>
      </w:pPr>
      <w:bookmarkStart w:id="63" w:name="_Toc20567"/>
      <w:r>
        <w:rPr>
          <w:rFonts w:hint="eastAsia" w:eastAsia="黑体"/>
          <w:sz w:val="32"/>
          <w:szCs w:val="32"/>
        </w:rPr>
        <w:t>八、</w:t>
      </w:r>
      <w:r>
        <w:rPr>
          <w:rStyle w:val="29"/>
          <w:rFonts w:hint="eastAsia" w:ascii="Times New Roman" w:hAnsi="Times New Roman" w:eastAsia="黑体"/>
          <w:b w:val="0"/>
        </w:rPr>
        <w:t>政府性基金预算支出决算情况说明</w:t>
      </w:r>
      <w:bookmarkEnd w:id="61"/>
      <w:bookmarkEnd w:id="62"/>
      <w:bookmarkEnd w:id="63"/>
    </w:p>
    <w:p>
      <w:pPr>
        <w:spacing w:line="600" w:lineRule="exact"/>
        <w:ind w:firstLine="640"/>
        <w:rPr>
          <w:rFonts w:eastAsia="仿宋_GB2312" w:cs="仿宋_GB2312"/>
          <w:sz w:val="32"/>
          <w:szCs w:val="32"/>
        </w:rPr>
      </w:pPr>
      <w:r>
        <w:rPr>
          <w:rFonts w:hint="eastAsia" w:ascii="仿宋_GB2312" w:hAnsi="仿宋_GB2312" w:eastAsia="仿宋_GB2312" w:cs="仿宋_GB2312"/>
          <w:sz w:val="32"/>
          <w:szCs w:val="32"/>
        </w:rPr>
        <w:t>2024年度政府性基金预算财政拨款支出0万元，占本年支出合计的0%</w:t>
      </w:r>
      <w:r>
        <w:rPr>
          <w:rFonts w:hint="eastAsia" w:eastAsia="仿宋_GB2312" w:cs="仿宋_GB2312"/>
          <w:sz w:val="32"/>
          <w:szCs w:val="32"/>
        </w:rPr>
        <w:t>。与2023年度相比一致。</w:t>
      </w:r>
    </w:p>
    <w:p>
      <w:pPr>
        <w:spacing w:line="600" w:lineRule="exact"/>
        <w:ind w:left="630"/>
        <w:outlineLvl w:val="1"/>
        <w:rPr>
          <w:rStyle w:val="29"/>
          <w:rFonts w:ascii="Times New Roman" w:hAnsi="Times New Roman" w:eastAsia="黑体"/>
          <w:b w:val="0"/>
        </w:rPr>
      </w:pPr>
      <w:bookmarkStart w:id="64" w:name="_Toc15377219"/>
      <w:bookmarkStart w:id="65" w:name="_Toc15396611"/>
      <w:bookmarkStart w:id="66" w:name="_Toc10094"/>
      <w:r>
        <w:rPr>
          <w:rStyle w:val="29"/>
          <w:rFonts w:hint="eastAsia" w:ascii="Times New Roman" w:hAnsi="Times New Roman" w:eastAsia="黑体"/>
          <w:b w:val="0"/>
        </w:rPr>
        <w:t>九、国有资本经营预算支出决算情况说明</w:t>
      </w:r>
      <w:bookmarkEnd w:id="64"/>
      <w:bookmarkEnd w:id="65"/>
      <w:bookmarkEnd w:id="66"/>
    </w:p>
    <w:p>
      <w:pPr>
        <w:spacing w:line="600" w:lineRule="exact"/>
        <w:ind w:firstLine="640"/>
        <w:rPr>
          <w:rFonts w:eastAsia="仿宋_GB2312" w:cs="仿宋_GB2312"/>
          <w:sz w:val="32"/>
          <w:szCs w:val="32"/>
        </w:rPr>
      </w:pPr>
      <w:r>
        <w:rPr>
          <w:rFonts w:hint="eastAsia" w:eastAsia="仿宋_GB2312" w:cs="仿宋_GB2312"/>
          <w:sz w:val="32"/>
          <w:szCs w:val="32"/>
        </w:rPr>
        <w:t>2024年度国有资本经营预算财政拨款支出0</w:t>
      </w:r>
      <w:r>
        <w:rPr>
          <w:rFonts w:hint="eastAsia" w:ascii="仿宋_GB2312" w:hAnsi="仿宋_GB2312" w:eastAsia="仿宋_GB2312" w:cs="仿宋_GB2312"/>
          <w:sz w:val="32"/>
          <w:szCs w:val="32"/>
        </w:rPr>
        <w:t>万元，占本年支出合计的</w:t>
      </w:r>
      <w:r>
        <w:rPr>
          <w:rFonts w:hint="eastAsia" w:eastAsia="仿宋_GB2312" w:cs="仿宋_GB2312"/>
          <w:sz w:val="32"/>
          <w:szCs w:val="32"/>
        </w:rPr>
        <w:t>0</w:t>
      </w:r>
      <w:r>
        <w:rPr>
          <w:rFonts w:hint="eastAsia" w:ascii="仿宋_GB2312" w:hAnsi="仿宋_GB2312" w:eastAsia="仿宋_GB2312" w:cs="仿宋_GB2312"/>
          <w:sz w:val="32"/>
          <w:szCs w:val="32"/>
        </w:rPr>
        <w:t>%</w:t>
      </w:r>
      <w:r>
        <w:rPr>
          <w:rFonts w:hint="eastAsia" w:eastAsia="仿宋_GB2312" w:cs="仿宋_GB2312"/>
          <w:sz w:val="32"/>
          <w:szCs w:val="32"/>
        </w:rPr>
        <w:t>。与2023年度相比一致。</w:t>
      </w:r>
    </w:p>
    <w:p>
      <w:pPr>
        <w:spacing w:line="600" w:lineRule="exact"/>
        <w:ind w:left="630"/>
        <w:outlineLvl w:val="1"/>
        <w:rPr>
          <w:rStyle w:val="29"/>
          <w:rFonts w:ascii="Times New Roman" w:hAnsi="Times New Roman" w:eastAsia="黑体"/>
          <w:b w:val="0"/>
        </w:rPr>
      </w:pPr>
      <w:bookmarkStart w:id="67" w:name="_Toc15377221"/>
      <w:bookmarkStart w:id="68" w:name="_Toc30755"/>
      <w:bookmarkStart w:id="69" w:name="_Toc15396612"/>
      <w:r>
        <w:rPr>
          <w:rStyle w:val="29"/>
          <w:rFonts w:hint="eastAsia" w:ascii="Times New Roman" w:hAnsi="Times New Roman" w:eastAsia="黑体"/>
          <w:b w:val="0"/>
        </w:rPr>
        <w:t>十、其他重要事项的情况说明</w:t>
      </w:r>
      <w:bookmarkEnd w:id="67"/>
      <w:bookmarkEnd w:id="68"/>
      <w:bookmarkEnd w:id="69"/>
    </w:p>
    <w:p>
      <w:pPr>
        <w:spacing w:line="600" w:lineRule="exact"/>
        <w:ind w:firstLine="643" w:firstLineChars="200"/>
        <w:outlineLvl w:val="2"/>
        <w:rPr>
          <w:rFonts w:eastAsia="楷体_GB2312" w:cs="楷体_GB2312"/>
          <w:b/>
          <w:sz w:val="32"/>
          <w:szCs w:val="32"/>
        </w:rPr>
      </w:pPr>
      <w:bookmarkStart w:id="70" w:name="_Toc15377222"/>
      <w:r>
        <w:rPr>
          <w:rFonts w:hint="eastAsia" w:eastAsia="楷体_GB2312" w:cs="楷体_GB2312"/>
          <w:b/>
          <w:sz w:val="32"/>
          <w:szCs w:val="32"/>
        </w:rPr>
        <w:t>（一）机关运行经费支出情况</w:t>
      </w:r>
      <w:bookmarkEnd w:id="70"/>
    </w:p>
    <w:p>
      <w:pPr>
        <w:spacing w:line="600" w:lineRule="exact"/>
        <w:ind w:firstLine="640"/>
        <w:rPr>
          <w:rFonts w:eastAsia="仿宋_GB2312" w:cs="仿宋_GB2312"/>
          <w:sz w:val="32"/>
          <w:szCs w:val="32"/>
        </w:rPr>
      </w:pPr>
      <w:r>
        <w:rPr>
          <w:rFonts w:hint="eastAsia" w:ascii="仿宋_GB2312" w:eastAsia="仿宋_GB2312"/>
          <w:sz w:val="32"/>
          <w:szCs w:val="32"/>
        </w:rPr>
        <w:t>2024年度，乐山市市中区综合行政执法局部门机关运行经费支出400.67万元，比2023年度增加359.55万元，增长874.41</w:t>
      </w:r>
      <w:r>
        <w:rPr>
          <w:rFonts w:ascii="仿宋_GB2312" w:eastAsia="仿宋_GB2312"/>
          <w:sz w:val="32"/>
          <w:szCs w:val="32"/>
        </w:rPr>
        <w:t>%</w:t>
      </w:r>
      <w:r>
        <w:rPr>
          <w:rFonts w:hint="eastAsia" w:ascii="仿宋_GB2312" w:eastAsia="仿宋_GB2312"/>
          <w:sz w:val="32"/>
          <w:szCs w:val="32"/>
        </w:rPr>
        <w:t>。主要原因是市城管系统（包含城市管理执法队、市容管理大队、数字化中心），以及自然资源执法大队划转至我</w:t>
      </w:r>
      <w:r>
        <w:rPr>
          <w:rFonts w:hint="eastAsia" w:ascii="仿宋_GB2312" w:eastAsia="仿宋_GB2312"/>
          <w:sz w:val="32"/>
          <w:szCs w:val="32"/>
          <w:lang w:eastAsia="zh-CN"/>
        </w:rPr>
        <w:t>部门</w:t>
      </w:r>
      <w:r>
        <w:rPr>
          <w:rFonts w:hint="eastAsia" w:ascii="仿宋_GB2312" w:eastAsia="仿宋_GB2312"/>
          <w:sz w:val="32"/>
          <w:szCs w:val="32"/>
        </w:rPr>
        <w:t>，所以车辆运行维护费增加。</w:t>
      </w:r>
    </w:p>
    <w:p>
      <w:pPr>
        <w:spacing w:line="600" w:lineRule="exact"/>
        <w:ind w:firstLine="643" w:firstLineChars="200"/>
        <w:outlineLvl w:val="2"/>
        <w:rPr>
          <w:rFonts w:eastAsia="楷体_GB2312" w:cs="楷体_GB2312"/>
          <w:b/>
          <w:sz w:val="32"/>
          <w:szCs w:val="32"/>
        </w:rPr>
      </w:pPr>
      <w:bookmarkStart w:id="71" w:name="_Toc15377223"/>
      <w:r>
        <w:rPr>
          <w:rFonts w:hint="eastAsia" w:eastAsia="楷体_GB2312" w:cs="楷体_GB2312"/>
          <w:b/>
          <w:sz w:val="32"/>
          <w:szCs w:val="32"/>
        </w:rPr>
        <w:t>（二）政府采购支出情况</w:t>
      </w:r>
      <w:bookmarkEnd w:id="71"/>
    </w:p>
    <w:p>
      <w:pPr>
        <w:spacing w:line="600" w:lineRule="exact"/>
        <w:ind w:firstLine="640" w:firstLineChars="200"/>
        <w:rPr>
          <w:rFonts w:eastAsia="仿宋_GB2312" w:cs="仿宋_GB2312"/>
          <w:sz w:val="32"/>
          <w:szCs w:val="32"/>
        </w:rPr>
      </w:pPr>
      <w:r>
        <w:rPr>
          <w:rFonts w:hint="eastAsia" w:ascii="仿宋_GB2312" w:hAnsi="仿宋_GB2312" w:eastAsia="仿宋_GB2312" w:cs="仿宋_GB2312"/>
          <w:sz w:val="32"/>
          <w:szCs w:val="32"/>
        </w:rPr>
        <w:t>2024年度，</w:t>
      </w:r>
      <w:r>
        <w:rPr>
          <w:rFonts w:hint="eastAsia" w:ascii="仿宋_GB2312" w:eastAsia="仿宋_GB2312"/>
          <w:sz w:val="32"/>
          <w:szCs w:val="32"/>
        </w:rPr>
        <w:t>乐山市市中区综合行政执法局部门</w:t>
      </w:r>
      <w:r>
        <w:rPr>
          <w:rFonts w:hint="eastAsia" w:ascii="仿宋_GB2312" w:hAnsi="仿宋_GB2312" w:eastAsia="仿宋_GB2312" w:cs="仿宋_GB2312"/>
          <w:sz w:val="32"/>
          <w:szCs w:val="32"/>
        </w:rPr>
        <w:t>政府</w:t>
      </w:r>
      <w:r>
        <w:rPr>
          <w:rFonts w:hint="eastAsia" w:ascii="仿宋_GB2312" w:eastAsia="仿宋_GB2312"/>
          <w:sz w:val="32"/>
          <w:szCs w:val="32"/>
        </w:rPr>
        <w:t>采购支出总额70.67万元，其中：政府采购货物支出5万元、政府采购工程支出0万元、政府采购服务支出65.67万元。主要用于</w:t>
      </w:r>
      <w:r>
        <w:rPr>
          <w:rFonts w:hint="eastAsia" w:eastAsia="仿宋_GB2312"/>
          <w:sz w:val="32"/>
          <w:szCs w:val="32"/>
        </w:rPr>
        <w:t>53辆公务用车燃油、维修、保险等方面支出，主要保障行政执法、城市管理等工作开展。</w:t>
      </w:r>
      <w:r>
        <w:rPr>
          <w:rFonts w:hint="eastAsia" w:ascii="仿宋_GB2312" w:eastAsia="仿宋_GB2312"/>
          <w:sz w:val="32"/>
          <w:szCs w:val="32"/>
        </w:rPr>
        <w:t>授予中小企业合同金额0万元，占政府采购支出总额的0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pPr>
        <w:spacing w:line="600" w:lineRule="exact"/>
        <w:ind w:firstLine="643" w:firstLineChars="200"/>
        <w:outlineLvl w:val="2"/>
        <w:rPr>
          <w:rFonts w:eastAsia="楷体_GB2312" w:cs="楷体_GB2312"/>
          <w:b/>
          <w:sz w:val="32"/>
          <w:szCs w:val="32"/>
        </w:rPr>
      </w:pPr>
      <w:bookmarkStart w:id="72" w:name="_Toc15377224"/>
      <w:r>
        <w:rPr>
          <w:rFonts w:hint="eastAsia" w:eastAsia="楷体_GB2312" w:cs="楷体_GB2312"/>
          <w:b/>
          <w:sz w:val="32"/>
          <w:szCs w:val="32"/>
        </w:rPr>
        <w:t>（三）国有资产占有使用情况</w:t>
      </w:r>
      <w:bookmarkEnd w:id="72"/>
    </w:p>
    <w:p>
      <w:pPr>
        <w:spacing w:line="600" w:lineRule="exact"/>
        <w:ind w:firstLine="640"/>
        <w:rPr>
          <w:rFonts w:eastAsia="仿宋_GB2312" w:cs="仿宋_GB2312"/>
          <w:sz w:val="32"/>
          <w:szCs w:val="32"/>
        </w:rPr>
      </w:pPr>
      <w:r>
        <w:rPr>
          <w:rFonts w:hint="eastAsia" w:ascii="仿宋_GB2312" w:eastAsia="仿宋_GB2312"/>
          <w:sz w:val="32"/>
          <w:szCs w:val="32"/>
        </w:rPr>
        <w:t>截至2024年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日，乐山市市中区综合行政执法局部门共有车辆53辆，其中：主要领导干部用车0辆、机要通信用车0辆、应急保障用车0辆、执法执勤用车0辆、特种专业技术用车53辆、离退休干部服务用车0辆、其他用车0辆。单价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万元以上专用设备（不含车辆）0台（套）。</w:t>
      </w:r>
    </w:p>
    <w:p>
      <w:pPr>
        <w:spacing w:line="600" w:lineRule="exact"/>
        <w:ind w:firstLine="643" w:firstLineChars="200"/>
        <w:outlineLvl w:val="2"/>
        <w:rPr>
          <w:rFonts w:eastAsia="楷体_GB2312" w:cs="楷体_GB2312"/>
          <w:b/>
          <w:sz w:val="32"/>
          <w:szCs w:val="32"/>
        </w:rPr>
      </w:pPr>
      <w:r>
        <w:rPr>
          <w:rFonts w:hint="eastAsia" w:eastAsia="楷体_GB2312" w:cs="楷体_GB2312"/>
          <w:b/>
          <w:sz w:val="32"/>
          <w:szCs w:val="32"/>
        </w:rPr>
        <w:t>（四）预算绩效管理情况</w:t>
      </w:r>
    </w:p>
    <w:p>
      <w:pPr>
        <w:spacing w:line="600" w:lineRule="exact"/>
        <w:ind w:firstLine="640"/>
        <w:rPr>
          <w:rFonts w:eastAsia="仿宋_GB2312" w:cs="仿宋_GB2312"/>
          <w:sz w:val="32"/>
          <w:szCs w:val="32"/>
        </w:rPr>
      </w:pPr>
      <w:r>
        <w:rPr>
          <w:rFonts w:hint="eastAsia" w:eastAsia="仿宋_GB2312" w:cs="仿宋_GB2312"/>
          <w:sz w:val="32"/>
          <w:szCs w:val="32"/>
        </w:rPr>
        <w:t>根据预算绩效管理要求，乐山市市中区综合行政执法局部门在2024年度预算编制阶段，“组织对2024年公益性岗位补贴资金（原城管局划转）”“2024年基本运转经费”“2024年综合行政执法制式服装和标志购置项目”“2024年创文巩卫城市管理缓堵保畅工作经费”“2024年城市管理协管员工资”“2023年砂石资源专项整治工作经费”“广场编外人员经费”“广场维修维护费”“市广场管理处偿还借款资金”等9个项目开展了预算事前绩效评估，对9个项目编制了绩效目标，在预算执行过程中，选取9个项目开展绩效监控。</w:t>
      </w:r>
    </w:p>
    <w:p>
      <w:pPr>
        <w:spacing w:line="600" w:lineRule="exact"/>
        <w:ind w:firstLine="640"/>
        <w:rPr>
          <w:rFonts w:eastAsia="仿宋_GB2312" w:cs="仿宋_GB2312"/>
          <w:sz w:val="32"/>
          <w:szCs w:val="32"/>
        </w:rPr>
      </w:pPr>
      <w:r>
        <w:rPr>
          <w:rFonts w:hint="eastAsia" w:eastAsia="仿宋_GB2312" w:cs="仿宋_GB2312"/>
          <w:sz w:val="32"/>
          <w:szCs w:val="32"/>
        </w:rPr>
        <w:t>组织对2024年度一般公共预算、政府性基金预算、国有资本经营预算、社会保险基金预算以及资本资产、债券资金等全面开展绩效自评，形成乐山市市中区综合行政执法局部门整体（含部门预算项目）绩效自评报告，其中，乐山市市中区综合行政执法局部门整体（含部门预算项目）绩效自评得分为96分，绩效自评综述2024年，区综合执法局以市中区“1245”现代化建设思路为指引，持续加强执法监督，规范执法行为，精耕细作强化管理，促进市中区城市品质提升。奋力推进“重大产业项目攻坚年”任务落实，坚持创新驱动引领高质量发展，加快推进城市管理现代化建设，城市基层治理更加科学高效，市民生活环境更加美丽宜居，各项工作取得新的突破。全局绩效目标全面完成，取得了良好经济和社会效益。</w:t>
      </w:r>
    </w:p>
    <w:p>
      <w:pPr>
        <w:spacing w:line="600" w:lineRule="exact"/>
        <w:ind w:firstLine="640"/>
        <w:rPr>
          <w:rFonts w:eastAsia="仿宋_GB2312" w:cs="仿宋_GB2312"/>
          <w:b/>
          <w:bCs/>
          <w:sz w:val="32"/>
          <w:szCs w:val="32"/>
        </w:rPr>
      </w:pPr>
      <w:r>
        <w:rPr>
          <w:rFonts w:hint="eastAsia" w:eastAsia="仿宋_GB2312" w:cs="仿宋_GB2312"/>
          <w:sz w:val="32"/>
          <w:szCs w:val="32"/>
        </w:rPr>
        <w:t>全局绩效目标全面完成，取得了良好经济和社会效益。财务管理更加规范，部门收入和支出严格按照相关财经制度有序执行，全年无不良记录及违法违规行为。2024年我局整体支出绩效评价等级为“优秀”。我部门不涉及专项预算项目绩效自评报告。</w:t>
      </w:r>
    </w:p>
    <w:p>
      <w:pPr>
        <w:spacing w:line="600" w:lineRule="exact"/>
        <w:ind w:firstLine="640"/>
        <w:rPr>
          <w:rFonts w:eastAsia="仿宋_GB2312" w:cs="仿宋_GB2312"/>
          <w:sz w:val="32"/>
          <w:szCs w:val="32"/>
        </w:rPr>
      </w:pPr>
    </w:p>
    <w:p>
      <w:pPr>
        <w:spacing w:line="600" w:lineRule="exact"/>
        <w:ind w:firstLine="640"/>
        <w:rPr>
          <w:rFonts w:eastAsia="仿宋_GB2312" w:cs="仿宋_GB2312"/>
          <w:sz w:val="32"/>
          <w:szCs w:val="32"/>
        </w:rPr>
      </w:pPr>
    </w:p>
    <w:p>
      <w:pPr>
        <w:spacing w:line="600" w:lineRule="exact"/>
        <w:jc w:val="center"/>
        <w:outlineLvl w:val="0"/>
        <w:rPr>
          <w:rFonts w:hint="eastAsia" w:eastAsia="黑体"/>
          <w:sz w:val="44"/>
          <w:szCs w:val="44"/>
        </w:rPr>
      </w:pPr>
      <w:bookmarkStart w:id="73" w:name="_Toc2890"/>
      <w:bookmarkStart w:id="74" w:name="_Toc15377225"/>
      <w:bookmarkStart w:id="75" w:name="_Toc15396613"/>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hint="eastAsia" w:eastAsia="黑体"/>
          <w:sz w:val="44"/>
          <w:szCs w:val="44"/>
        </w:rPr>
      </w:pPr>
    </w:p>
    <w:p>
      <w:pPr>
        <w:spacing w:line="600" w:lineRule="exact"/>
        <w:jc w:val="center"/>
        <w:outlineLvl w:val="0"/>
        <w:rPr>
          <w:rFonts w:eastAsia="黑体"/>
          <w:sz w:val="44"/>
          <w:szCs w:val="44"/>
        </w:rPr>
      </w:pPr>
      <w:r>
        <w:rPr>
          <w:rFonts w:hint="eastAsia" w:eastAsia="黑体"/>
          <w:sz w:val="44"/>
          <w:szCs w:val="44"/>
        </w:rPr>
        <w:t>第三部分  名词解释</w:t>
      </w:r>
      <w:bookmarkEnd w:id="73"/>
      <w:bookmarkEnd w:id="74"/>
      <w:bookmarkEnd w:id="75"/>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财政拨款收入：指单位从同级财政部门取得的财政预算资金。</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事业收入：指事业单位开展专业业务活动及辅助活动取得的收入。</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经营收入：指事业单位在专业业务活动及其辅助活动之外开展非独立核算经营活动取得的收入。</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其他收入：指单位取得的除上述收入以外的各项收入。</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：指事业单位使用以前年度积累的非财政拨款结余弥补当年收支差额的金额。</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年末结转和结余：指单位按有关规定结转到下年或以后年度继续使用的资金。</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社会保障和就业（类）行政事业单位养老支出（款）机关事业单位基本养老保险缴费支出（项）：指机关事业单位实施养老保险制度由单位缴纳的基本养老保险费支出。</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社会保障和就业（类）行政事业单位养老支出（款）机关事业单位职业年金缴费支出（项）：指机关事业单位实施养老保险制度由单位实际缴纳的职业年金支出（含职业年金补记支出）。</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社会保障和就业（类）行政事业单位养老支出（款）其他行政事业单位养老支出（项）： 指其他用于行政事业单位养老方面的支出。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社会保障和就业（类）抚恤（款）死亡抚恤（项）： 指按规定用于烈士和牺牲、病故人员家属的一次性和定期抚恤金、丧葬补助费以及烈士褒扬金。</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社会保障和就业（类）其他社会保障和就业支出（款）其他社会保障和就业支出（项）：指按规定用于其他社会保障和就业等方面的支出。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行政单位医疗（项）：指财政部门安排的行政单位（包括实行公务员管理的事业单位，下同）基本医疗保险缴费经费，未参加医疗保险的行政单位的公费医疗经费，按国家规定享受离休人员、红军老战士待遇人员的医疗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卫生健康（类）行政事业单位医疗（款）事业单位医疗（项）：指财政部门安排的事业单位基本医疗保险缴费经费，未参加医疗保险的事业单位的公费医疗经费，按国家规定享受离休人员待遇的医疗经费。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卫生健康（类）行政事业单位医疗（款）公务员医疗补助（项）：指财政部门安排的公务员医疗补助经费。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城乡社区（类）城乡社区管理事务（款）行政运行（项）： 指行政单位（包括实行公务员管理的事业单位）的基本支出。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城乡社区（类）城乡社区管理事务（款）一般行政管理事务（项）：指行政单位（包括实行公务员管理的事业单位）未单独设置项级科目的其他项目支出。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城乡社区（类）城乡社区管理事务（款）其他城乡社区管理事务支出（项）：指其他用于城乡社区管理事务方面的支出。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住房保障（类）住房改革支出（款）住房公积金（项）：指行政事业单位按人力资源和社会保障部、财政部规定的基本工资和津贴补贴以及规定比例为职工缴纳的住房公积金。</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基本支出：指为保障机构正常运转、完成日常工作任务而发生的人员支出和公用支出。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经营支出：指事业单位在专业业务活动及其辅助活动之外开展非独立核算经营活动发生的支出。</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rPr>
          <w:rFonts w:ascii="Arial Unicode MS" w:hAnsi="宋体" w:eastAsia="Arial Unicode MS"/>
          <w:sz w:val="32"/>
          <w:szCs w:val="32"/>
          <w:highlight w:val="yellow"/>
        </w:rPr>
      </w:pPr>
      <w:bookmarkStart w:id="76" w:name="_Toc15377226"/>
      <w:r>
        <w:rPr>
          <w:rFonts w:hint="eastAsia" w:eastAsia="仿宋_GB2312" w:cs="仿宋_GB2312"/>
          <w:sz w:val="32"/>
          <w:szCs w:val="32"/>
        </w:rPr>
        <w:br w:type="page"/>
      </w:r>
      <w:bookmarkStart w:id="77" w:name="_Toc15396614"/>
    </w:p>
    <w:p>
      <w:pPr>
        <w:spacing w:line="600" w:lineRule="exact"/>
        <w:jc w:val="center"/>
        <w:rPr>
          <w:rFonts w:eastAsia="仿宋_GB2312" w:cs="仿宋_GB2312"/>
          <w:sz w:val="32"/>
          <w:szCs w:val="32"/>
        </w:rPr>
      </w:pPr>
    </w:p>
    <w:p>
      <w:pPr>
        <w:spacing w:line="600" w:lineRule="exact"/>
        <w:jc w:val="center"/>
        <w:outlineLvl w:val="0"/>
        <w:rPr>
          <w:rStyle w:val="28"/>
          <w:rFonts w:eastAsia="黑体"/>
          <w:b w:val="0"/>
        </w:rPr>
      </w:pPr>
      <w:bookmarkStart w:id="78" w:name="_Toc27757"/>
      <w:r>
        <w:rPr>
          <w:rFonts w:hint="eastAsia" w:eastAsia="黑体"/>
          <w:sz w:val="44"/>
          <w:szCs w:val="44"/>
        </w:rPr>
        <w:t>第四部分  附件</w:t>
      </w:r>
      <w:bookmarkEnd w:id="77"/>
      <w:bookmarkEnd w:id="78"/>
    </w:p>
    <w:p>
      <w:pPr>
        <w:spacing w:line="572" w:lineRule="exact"/>
        <w:jc w:val="left"/>
        <w:rPr>
          <w:rFonts w:eastAsia="黑体" w:cs="黑体"/>
          <w:color w:val="FF0000"/>
          <w:sz w:val="32"/>
          <w:szCs w:val="32"/>
        </w:rPr>
      </w:pPr>
    </w:p>
    <w:p>
      <w:pPr>
        <w:spacing w:line="572" w:lineRule="exact"/>
        <w:jc w:val="left"/>
        <w:rPr>
          <w:rFonts w:eastAsia="黑体" w:cs="Arial Unicode MS"/>
          <w:sz w:val="44"/>
          <w:szCs w:val="44"/>
        </w:rPr>
      </w:pPr>
      <w:r>
        <w:rPr>
          <w:rFonts w:hint="eastAsia" w:eastAsia="黑体" w:cs="黑体"/>
          <w:sz w:val="32"/>
          <w:szCs w:val="32"/>
        </w:rPr>
        <w:t>附件1</w:t>
      </w:r>
    </w:p>
    <w:p>
      <w:pPr>
        <w:widowControl/>
        <w:spacing w:line="578" w:lineRule="exact"/>
        <w:contextualSpacing/>
        <w:rPr>
          <w:rFonts w:eastAsia="仿宋_GB2312"/>
          <w:sz w:val="32"/>
          <w:szCs w:val="32"/>
          <w:shd w:val="clear" w:color="auto" w:fill="FFFFFF"/>
        </w:rPr>
      </w:pPr>
    </w:p>
    <w:p>
      <w:pPr>
        <w:widowControl/>
        <w:adjustRightInd w:val="0"/>
        <w:snapToGrid w:val="0"/>
        <w:spacing w:line="578" w:lineRule="exact"/>
        <w:ind w:firstLine="480" w:firstLineChars="200"/>
        <w:contextualSpacing/>
        <w:jc w:val="left"/>
        <w:rPr>
          <w:rFonts w:eastAsia="黑体"/>
          <w:color w:val="000000"/>
          <w:kern w:val="0"/>
          <w:sz w:val="24"/>
          <w:szCs w:val="32"/>
          <w:shd w:val="clear" w:color="auto" w:fill="FFFFFF"/>
        </w:rPr>
      </w:pPr>
    </w:p>
    <w:p>
      <w:pPr>
        <w:pStyle w:val="35"/>
        <w:spacing w:line="360" w:lineRule="auto"/>
        <w:rPr>
          <w:b/>
          <w:bCs/>
          <w:color w:val="000000"/>
          <w:szCs w:val="44"/>
          <w:shd w:val="clear" w:color="auto" w:fill="FFFFFF"/>
        </w:rPr>
      </w:pPr>
      <w:r>
        <w:rPr>
          <w:rFonts w:hint="eastAsia"/>
          <w:b/>
          <w:bCs/>
          <w:color w:val="000000"/>
          <w:szCs w:val="44"/>
          <w:shd w:val="clear" w:color="auto" w:fill="FFFFFF"/>
        </w:rPr>
        <w:t>乐山市市中区综合行政执法局</w:t>
      </w:r>
    </w:p>
    <w:p>
      <w:pPr>
        <w:pStyle w:val="35"/>
        <w:spacing w:line="360" w:lineRule="auto"/>
        <w:rPr>
          <w:b/>
          <w:bCs/>
          <w:color w:val="000000"/>
          <w:szCs w:val="44"/>
          <w:shd w:val="clear" w:color="auto" w:fill="FFFFFF"/>
        </w:rPr>
      </w:pPr>
      <w:r>
        <w:rPr>
          <w:rFonts w:hint="eastAsia"/>
          <w:b/>
          <w:bCs/>
          <w:color w:val="000000"/>
          <w:szCs w:val="44"/>
          <w:shd w:val="clear" w:color="auto" w:fill="FFFFFF"/>
        </w:rPr>
        <w:t>2024年部门整体支出自评报告</w:t>
      </w:r>
    </w:p>
    <w:p>
      <w:pPr>
        <w:widowControl/>
        <w:adjustRightInd w:val="0"/>
        <w:snapToGrid w:val="0"/>
        <w:spacing w:line="580" w:lineRule="exact"/>
        <w:ind w:firstLine="660" w:firstLineChars="200"/>
        <w:contextualSpacing/>
        <w:jc w:val="left"/>
        <w:rPr>
          <w:rFonts w:ascii="方正仿宋_GBK" w:hAnsi="宋体" w:eastAsia="方正仿宋_GBK" w:cs="宋体"/>
          <w:color w:val="000000"/>
          <w:kern w:val="0"/>
          <w:sz w:val="33"/>
          <w:szCs w:val="33"/>
          <w:shd w:val="clear" w:color="auto" w:fill="FFFFFF"/>
        </w:rPr>
      </w:pP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rPr>
        <w:t>一、</w:t>
      </w:r>
      <w:r>
        <w:rPr>
          <w:rFonts w:eastAsia="黑体"/>
          <w:color w:val="000000"/>
          <w:kern w:val="0"/>
          <w:sz w:val="33"/>
          <w:szCs w:val="33"/>
          <w:shd w:val="clear" w:color="auto" w:fill="FFFFFF"/>
          <w:lang w:val="zh-CN"/>
        </w:rPr>
        <w:t>部门（单位）基本情况</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（一）机构组成。</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乐山市市中区综合行政执法局（简称“区综合执法局”）2024年度部门预算由局机关和3个下属单位组成，局机关内设局办公室等6个股室、17个执法队。</w:t>
      </w:r>
      <w:r>
        <w:rPr>
          <w:rFonts w:hint="eastAsia" w:eastAsia="仿宋_GB2312" w:cs="仿宋_GB2312"/>
          <w:sz w:val="32"/>
        </w:rPr>
        <w:t>区综合执法局下属二级预算单位4个，其中行政单位1个，参照公务员法管理的事业单位1个，其他事业单位2个。其中3个下属单位未独立核算，下属事业单位乐山市市中区广场管理处独立核算。</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rPr>
        <w:t>（二）</w:t>
      </w:r>
      <w:r>
        <w:rPr>
          <w:rFonts w:hint="eastAsia" w:ascii="仿宋_GB2312" w:hAnsi="仿宋" w:eastAsia="仿宋_GB2312"/>
          <w:b/>
          <w:bCs/>
          <w:sz w:val="32"/>
          <w:szCs w:val="32"/>
          <w:lang w:val="zh-CN"/>
        </w:rPr>
        <w:t>机构职能。</w:t>
      </w:r>
    </w:p>
    <w:p>
      <w:pPr>
        <w:snapToGrid w:val="0"/>
        <w:spacing w:line="560" w:lineRule="exact"/>
        <w:ind w:firstLine="640" w:firstLineChars="200"/>
        <w:rPr>
          <w:rFonts w:ascii="仿宋_GB2312" w:hAnsi="仿宋" w:eastAsia="仿宋_GB2312"/>
          <w:sz w:val="32"/>
          <w:szCs w:val="32"/>
        </w:rPr>
      </w:pPr>
      <w:bookmarkStart w:id="79" w:name="OLE_LINK1"/>
      <w:r>
        <w:rPr>
          <w:rFonts w:hint="eastAsia" w:ascii="仿宋_GB2312" w:hAnsi="仿宋" w:eastAsia="仿宋_GB2312"/>
          <w:sz w:val="32"/>
          <w:szCs w:val="32"/>
        </w:rPr>
        <w:t xml:space="preserve">1.贯彻执行中央和省委、省政府，市委、市政府以及区委、区政府的法律法规、规章。拟订全区城市管理和综合行政执法工作的发展规划、年度计划并组织实施。依法制定综合行政执法、城市管理工作制度和规范并组织实施。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2.负责行使市中区管理范围内划入区综合执法局的城市管理和自然资源（不含林草）、住房城乡建设、发展改革、经济信息化、商务、水务、民政 7 个领域（以下简称有关领域）行政处罚权及与之相关的行政检查权、行政强制权。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3.负责对涉及城市管理的各项工作进行综合协调。负责督查指导所属广场的维护和管理工作，负责对城市管理信息的采集、分类和办理等工作。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4.负责行使划入市中区的城市管理综合执法职责（原市城管局管辖区域）。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5.负责受理职责范围内行政违法的举报、投诉或部门移送的案件线索。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6.负责组织有关行政处罚案件的会审、听证工作，办理有关案件的行政复议相关工作和行政应诉工作。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7.负责有关行政执法与刑事司法的衔接工作，按相关规定和程序向司法机关移送涉嫌犯罪的案件线索。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8.负责职责范围内的安全生产、职业健康、生态环境保护、便民服务等工作。 </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9.完成区委、区政府交办的其他任务。</w:t>
      </w:r>
    </w:p>
    <w:p>
      <w:pPr>
        <w:snapToGrid w:val="0"/>
        <w:spacing w:line="560" w:lineRule="exact"/>
        <w:ind w:firstLine="643" w:firstLineChars="200"/>
        <w:rPr>
          <w:rFonts w:ascii="仿宋_GB2312" w:hAnsi="仿宋" w:eastAsia="仿宋_GB2312"/>
          <w:b/>
          <w:bCs/>
          <w:sz w:val="32"/>
          <w:szCs w:val="32"/>
        </w:rPr>
      </w:pPr>
      <w:r>
        <w:rPr>
          <w:rFonts w:ascii="仿宋_GB2312" w:hAnsi="仿宋" w:eastAsia="仿宋_GB2312"/>
          <w:b/>
          <w:bCs/>
          <w:sz w:val="32"/>
          <w:szCs w:val="32"/>
          <w:lang w:val="zh-CN"/>
        </w:rPr>
        <w:t>（</w:t>
      </w:r>
      <w:r>
        <w:rPr>
          <w:rFonts w:hint="eastAsia" w:ascii="仿宋_GB2312" w:hAnsi="仿宋" w:eastAsia="仿宋_GB2312"/>
          <w:b/>
          <w:bCs/>
          <w:sz w:val="32"/>
          <w:szCs w:val="32"/>
          <w:lang w:val="zh-CN"/>
        </w:rPr>
        <w:t>三</w:t>
      </w:r>
      <w:r>
        <w:rPr>
          <w:rFonts w:ascii="仿宋_GB2312" w:hAnsi="仿宋" w:eastAsia="仿宋_GB2312"/>
          <w:b/>
          <w:bCs/>
          <w:sz w:val="32"/>
          <w:szCs w:val="32"/>
          <w:lang w:val="zh-CN"/>
        </w:rPr>
        <w:t>）人员概况</w:t>
      </w:r>
      <w:r>
        <w:rPr>
          <w:rFonts w:hint="eastAsia" w:ascii="仿宋_GB2312" w:hAnsi="仿宋" w:eastAsia="仿宋_GB2312"/>
          <w:b/>
          <w:bCs/>
          <w:sz w:val="32"/>
          <w:szCs w:val="32"/>
          <w:lang w:val="zh-CN"/>
        </w:rPr>
        <w:t>。</w:t>
      </w:r>
    </w:p>
    <w:bookmarkEnd w:id="79"/>
    <w:p>
      <w:pPr>
        <w:snapToGrid w:val="0"/>
        <w:spacing w:line="560" w:lineRule="exact"/>
        <w:ind w:firstLine="640" w:firstLineChars="200"/>
        <w:rPr>
          <w:rFonts w:ascii="仿宋_GB2312" w:hAnsi="仿宋" w:eastAsia="仿宋_GB2312"/>
          <w:sz w:val="32"/>
          <w:szCs w:val="32"/>
          <w:u w:val="single"/>
        </w:rPr>
      </w:pPr>
      <w:r>
        <w:rPr>
          <w:rFonts w:hint="eastAsia" w:ascii="仿宋_GB2312" w:hAnsi="仿宋" w:eastAsia="仿宋_GB2312"/>
          <w:sz w:val="32"/>
          <w:szCs w:val="32"/>
        </w:rPr>
        <w:t>全局编制总数327人，其中：局机关（局机关数据均含市容管理大队和数字化管理中心，下同）308人，下属独立核算单位19人。2024年末在编在职人员290人，其中：局机关275人，下属独立核算单位15人；其他人员282人。</w:t>
      </w:r>
    </w:p>
    <w:p>
      <w:pPr>
        <w:snapToGrid w:val="0"/>
        <w:spacing w:line="560" w:lineRule="exact"/>
        <w:ind w:firstLine="643" w:firstLineChars="200"/>
        <w:rPr>
          <w:rFonts w:ascii="仿宋_GB2312" w:hAnsi="仿宋" w:eastAsia="仿宋_GB2312"/>
          <w:b/>
          <w:bCs/>
          <w:sz w:val="32"/>
          <w:szCs w:val="32"/>
        </w:rPr>
      </w:pPr>
      <w:r>
        <w:rPr>
          <w:rFonts w:hint="eastAsia" w:ascii="仿宋_GB2312" w:hAnsi="仿宋" w:eastAsia="仿宋_GB2312"/>
          <w:b/>
          <w:bCs/>
          <w:sz w:val="32"/>
          <w:szCs w:val="32"/>
        </w:rPr>
        <w:t>二、部门财政资金收支情况</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（一）部门财政资金收入情况</w:t>
      </w:r>
    </w:p>
    <w:p>
      <w:pPr>
        <w:snapToGrid w:val="0"/>
        <w:spacing w:line="560" w:lineRule="exact"/>
        <w:ind w:firstLine="640" w:firstLineChars="200"/>
        <w:rPr>
          <w:rFonts w:ascii="仿宋_GB2312" w:hAnsi="仿宋" w:eastAsia="仿宋_GB2312"/>
          <w:sz w:val="32"/>
          <w:szCs w:val="32"/>
          <w:lang w:val="zh-CN"/>
        </w:rPr>
      </w:pPr>
      <w:r>
        <w:rPr>
          <w:rFonts w:hint="eastAsia" w:ascii="仿宋_GB2312" w:hAnsi="仿宋" w:eastAsia="仿宋_GB2312"/>
          <w:sz w:val="32"/>
          <w:szCs w:val="32"/>
        </w:rPr>
        <w:t>2024年区综合执法局部门收入预算总额为7,936.61</w:t>
      </w:r>
      <w:r>
        <w:rPr>
          <w:rFonts w:hint="eastAsia" w:eastAsia="仿宋_GB2312"/>
          <w:sz w:val="32"/>
          <w:szCs w:val="32"/>
        </w:rPr>
        <w:t>万元，其中：一般公共预算财政拨款收入</w:t>
      </w:r>
      <w:r>
        <w:rPr>
          <w:rFonts w:hint="eastAsia" w:ascii="仿宋_GB2312" w:hAnsi="仿宋" w:eastAsia="仿宋_GB2312"/>
          <w:sz w:val="32"/>
          <w:szCs w:val="32"/>
        </w:rPr>
        <w:t>7,675.76</w:t>
      </w:r>
      <w:r>
        <w:rPr>
          <w:rFonts w:hint="eastAsia" w:eastAsia="仿宋_GB2312"/>
          <w:sz w:val="32"/>
          <w:szCs w:val="32"/>
        </w:rPr>
        <w:t>万元；其他收入</w:t>
      </w:r>
      <w:r>
        <w:rPr>
          <w:rFonts w:hint="eastAsia" w:ascii="仿宋_GB2312" w:hAnsi="仿宋" w:eastAsia="仿宋_GB2312"/>
          <w:sz w:val="32"/>
          <w:szCs w:val="32"/>
        </w:rPr>
        <w:t>260.85</w:t>
      </w:r>
      <w:r>
        <w:rPr>
          <w:rFonts w:hint="eastAsia" w:eastAsia="仿宋_GB2312"/>
          <w:sz w:val="32"/>
          <w:szCs w:val="32"/>
        </w:rPr>
        <w:t>万元，无政府性基金预算拨款收入、</w:t>
      </w:r>
      <w:r>
        <w:rPr>
          <w:rFonts w:hint="eastAsia" w:ascii="仿宋_GB2312" w:hAnsi="仿宋" w:eastAsia="仿宋_GB2312"/>
          <w:sz w:val="32"/>
          <w:szCs w:val="32"/>
        </w:rPr>
        <w:t>事业收入、事业单位经营收入等。</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（二）部门财政资金支出情况</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lang w:val="zh-CN"/>
        </w:rPr>
        <w:t>2024年区综合执法局支出合计</w:t>
      </w:r>
      <w:r>
        <w:rPr>
          <w:rFonts w:hint="eastAsia" w:ascii="仿宋_GB2312" w:hAnsi="仿宋" w:eastAsia="仿宋_GB2312"/>
          <w:sz w:val="32"/>
          <w:szCs w:val="32"/>
        </w:rPr>
        <w:t>8,119.60万元，其中：基本支出6,505.17万元，项目支出1,614.43万元。</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rPr>
        <w:t>（三）</w:t>
      </w:r>
      <w:r>
        <w:rPr>
          <w:rFonts w:hint="eastAsia" w:ascii="仿宋_GB2312" w:hAnsi="仿宋" w:eastAsia="仿宋_GB2312"/>
          <w:b/>
          <w:bCs/>
          <w:sz w:val="32"/>
          <w:szCs w:val="32"/>
          <w:lang w:val="zh-CN"/>
        </w:rPr>
        <w:t>部门财政资金结转结余情况</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2024年年初结转结余204.96万元，其中：基本支出0万元，项目支出204.96万元。</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2024年年末结转结余0万元，其中：基本支出0万元，项目支出0万元。</w:t>
      </w:r>
    </w:p>
    <w:p>
      <w:pPr>
        <w:snapToGrid w:val="0"/>
        <w:spacing w:line="560" w:lineRule="exact"/>
        <w:ind w:firstLine="420" w:firstLineChars="200"/>
        <w:rPr>
          <w:rFonts w:ascii="楷体_GB2312" w:hAnsi="宋体" w:eastAsia="楷体_GB2312" w:cs="宋体"/>
          <w:color w:val="000000"/>
          <w:kern w:val="0"/>
          <w:szCs w:val="32"/>
          <w:shd w:val="clear" w:color="auto" w:fill="FFFFFF"/>
        </w:rPr>
      </w:pPr>
      <w:r>
        <w:rPr>
          <w:rFonts w:hint="eastAsia" w:ascii="楷体_GB2312" w:hAnsi="宋体" w:eastAsia="楷体_GB2312" w:cs="宋体"/>
          <w:color w:val="000000"/>
          <w:kern w:val="0"/>
          <w:szCs w:val="32"/>
          <w:shd w:val="clear" w:color="auto" w:fill="FFFFFF"/>
        </w:rPr>
        <w:t xml:space="preserve">    </w:t>
      </w:r>
    </w:p>
    <w:p>
      <w:pPr>
        <w:snapToGrid w:val="0"/>
        <w:spacing w:line="560" w:lineRule="exact"/>
        <w:ind w:firstLine="643" w:firstLineChars="200"/>
        <w:rPr>
          <w:rFonts w:ascii="仿宋_GB2312" w:hAnsi="仿宋" w:eastAsia="仿宋_GB2312"/>
          <w:b/>
          <w:bCs/>
          <w:sz w:val="32"/>
          <w:szCs w:val="32"/>
        </w:rPr>
      </w:pPr>
      <w:r>
        <w:rPr>
          <w:rFonts w:hint="eastAsia" w:ascii="仿宋_GB2312" w:hAnsi="仿宋" w:eastAsia="仿宋_GB2312"/>
          <w:b/>
          <w:bCs/>
          <w:sz w:val="32"/>
          <w:szCs w:val="32"/>
        </w:rPr>
        <w:t>三、</w:t>
      </w:r>
      <w:r>
        <w:rPr>
          <w:rFonts w:eastAsia="黑体"/>
          <w:color w:val="000000"/>
          <w:kern w:val="0"/>
          <w:sz w:val="33"/>
          <w:szCs w:val="33"/>
          <w:shd w:val="clear" w:color="auto" w:fill="FFFFFF"/>
        </w:rPr>
        <w:t>部门预算绩效分析</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（一）部门整体履职绩效分析</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1.落实精细治理，</w:t>
      </w:r>
      <w:r>
        <w:rPr>
          <w:rFonts w:hint="eastAsia" w:ascii="楷体_GB2312" w:hAnsi="楷体_GB2312" w:eastAsia="楷体_GB2312" w:cs="楷体_GB2312"/>
          <w:color w:val="000000"/>
          <w:sz w:val="32"/>
          <w:szCs w:val="32"/>
        </w:rPr>
        <w:t>精耕细作</w:t>
      </w:r>
      <w:r>
        <w:rPr>
          <w:rFonts w:hint="eastAsia" w:ascii="楷体_GB2312" w:hAnsi="楷体_GB2312" w:eastAsia="楷体_GB2312" w:cs="楷体_GB2312"/>
          <w:sz w:val="32"/>
          <w:szCs w:val="32"/>
        </w:rPr>
        <w:t>城市品质。</w:t>
      </w:r>
      <w:r>
        <w:rPr>
          <w:rFonts w:hint="eastAsia" w:ascii="仿宋_GB2312" w:hAnsi="仿宋_GB2312" w:eastAsia="仿宋_GB2312" w:cs="仿宋_GB2312"/>
          <w:b/>
          <w:bCs/>
          <w:sz w:val="32"/>
          <w:szCs w:val="32"/>
        </w:rPr>
        <w:t>一是市容管理更规范。</w:t>
      </w:r>
      <w:r>
        <w:rPr>
          <w:rFonts w:hint="eastAsia" w:ascii="仿宋_GB2312" w:hAnsi="仿宋_GB2312" w:eastAsia="仿宋_GB2312" w:cs="仿宋_GB2312"/>
          <w:sz w:val="32"/>
          <w:szCs w:val="32"/>
        </w:rPr>
        <w:t>锚定“建成闻者向往、来者依恋、居者自豪的幸福美丽嘉州城”目标，全面开展违规占道专项整治行动。累计出动人员10万余人（次）、车辆2万余台（次），规范商家骑门经营4万余家，清理占道游摊9万余个。“门前三包”“院内四自”责任书签订基本实现“应签尽签”，</w:t>
      </w:r>
      <w:r>
        <w:rPr>
          <w:rFonts w:hint="eastAsia" w:ascii="仿宋_GB2312" w:eastAsia="仿宋_GB2312"/>
          <w:sz w:val="32"/>
          <w:szCs w:val="32"/>
        </w:rPr>
        <w:t>签订责任书1.9万余份，并开展常态化监督检查</w:t>
      </w:r>
      <w:r>
        <w:rPr>
          <w:rFonts w:hint="eastAsia" w:ascii="仿宋_GB2312" w:hAnsi="仿宋_GB2312" w:eastAsia="仿宋_GB2312" w:cs="仿宋_GB2312"/>
          <w:sz w:val="32"/>
          <w:szCs w:val="32"/>
        </w:rPr>
        <w:t>。强化城市建筑立面整饰，拆除大型户外广告51处，破损店招店牌54个，清理“牛皮癣”小广告1.6万余张，拆除乱牵乱挂广告横幅3万余条。</w:t>
      </w:r>
      <w:r>
        <w:rPr>
          <w:rFonts w:hint="eastAsia" w:ascii="仿宋_GB2312" w:hAnsi="仿宋_GB2312" w:eastAsia="仿宋_GB2312" w:cs="仿宋_GB2312"/>
          <w:color w:val="000000" w:themeColor="text1"/>
          <w:sz w:val="32"/>
          <w:szCs w:val="32"/>
        </w:rPr>
        <w:t>联合相关部门成功取缔</w:t>
      </w:r>
      <w:r>
        <w:rPr>
          <w:rFonts w:hint="eastAsia" w:ascii="仿宋_GB2312" w:hAnsi="仿宋_GB2312" w:eastAsia="仿宋_GB2312" w:cs="仿宋_GB2312"/>
          <w:sz w:val="32"/>
          <w:szCs w:val="32"/>
        </w:rPr>
        <w:t>慧园街、王浩儿、演武街等中心城区常年以路为市占道经营的马路市场，累计出动执法人员2000余人（次），坚持柔性管理与引导并重的原则，协助650余户摊贩入场经营，切实为居民营造良好的生活和出行环境。</w:t>
      </w:r>
      <w:r>
        <w:rPr>
          <w:rFonts w:hint="eastAsia" w:ascii="仿宋_GB2312" w:hAnsi="仿宋_GB2312" w:eastAsia="仿宋_GB2312" w:cs="仿宋_GB2312"/>
          <w:b/>
          <w:bCs/>
          <w:sz w:val="32"/>
          <w:szCs w:val="32"/>
        </w:rPr>
        <w:t>二是创文工作更高效。</w:t>
      </w:r>
      <w:r>
        <w:rPr>
          <w:rFonts w:hint="eastAsia" w:ascii="仿宋_GB2312" w:hAnsi="仿宋_GB2312" w:eastAsia="仿宋_GB2312" w:cs="仿宋_GB2312"/>
          <w:sz w:val="32"/>
          <w:szCs w:val="32"/>
        </w:rPr>
        <w:t>积极推进全国文明城市创建工作，制发《深化文明城市创建实地考察工作实施方案》，组织召开工作推进会议5次；组建创文工作督查小组，定期对直管广场对标打造，主次干道、商业大街等重要点位进行督查督办，确保高质量迎检态势。今年以来，完成网上资料申报2项，完成4个直管广场对标建设，累计更新公益广告86个，设置文明养犬、垃圾分类等提示牌153个。三是交通秩序更加有序。全面助力中心城区“缓堵保畅”，组织划定1305个停车点位，规范乱停乱放非机动车辆1.5万余辆。</w:t>
      </w:r>
      <w:r>
        <w:rPr>
          <w:rFonts w:hint="eastAsia" w:ascii="仿宋_GB2312" w:eastAsia="仿宋_GB2312"/>
          <w:sz w:val="32"/>
          <w:szCs w:val="32"/>
        </w:rPr>
        <w:t>采取劝导、处罚、拖移等措施对停车乱象、“僵尸车”进行全面摸排、集中清理，累计</w:t>
      </w:r>
      <w:r>
        <w:rPr>
          <w:rFonts w:hint="eastAsia" w:ascii="仿宋_GB2312" w:hAnsi="仿宋_GB2312" w:eastAsia="仿宋_GB2312" w:cs="仿宋_GB2312"/>
          <w:kern w:val="0"/>
          <w:sz w:val="32"/>
          <w:szCs w:val="32"/>
        </w:rPr>
        <w:t>清理占道“僵尸车”40余辆。联合相关部门盘活城市闲置资源，利用零星闲置地块和满足停车的路段增设停车泊位，</w:t>
      </w:r>
      <w:bookmarkStart w:id="80" w:name="OLE_LINK3"/>
      <w:r>
        <w:rPr>
          <w:rFonts w:hint="eastAsia" w:ascii="仿宋_GB2312" w:hAnsi="仿宋_GB2312" w:eastAsia="仿宋_GB2312" w:cs="仿宋_GB2312"/>
          <w:kern w:val="0"/>
          <w:sz w:val="32"/>
          <w:szCs w:val="32"/>
        </w:rPr>
        <w:t>累计新增停车位906个，取缔341个，翻新709个，调整12条车行道原倾斜式车位1123个改为顺向停车位867个，增设无人值守停车场4个</w:t>
      </w:r>
      <w:bookmarkEnd w:id="80"/>
      <w:r>
        <w:rPr>
          <w:rFonts w:hint="eastAsia" w:ascii="仿宋_GB2312" w:hAnsi="仿宋_GB2312" w:eastAsia="仿宋_GB2312" w:cs="仿宋_GB2312"/>
          <w:kern w:val="0"/>
          <w:sz w:val="32"/>
          <w:szCs w:val="32"/>
        </w:rPr>
        <w:t>。</w:t>
      </w:r>
    </w:p>
    <w:p>
      <w:pPr>
        <w:spacing w:line="60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2.聚焦污染防治，营造良好生活环境。</w:t>
      </w:r>
      <w:r>
        <w:rPr>
          <w:rFonts w:hint="eastAsia" w:ascii="仿宋_GB2312" w:hAnsi="仿宋_GB2312" w:eastAsia="仿宋_GB2312" w:cs="仿宋_GB2312"/>
          <w:sz w:val="32"/>
          <w:szCs w:val="32"/>
        </w:rPr>
        <w:t>实行城管执法队常态巡察、督导专班重点排查、领导小组定期督查的扬尘“三级管控”机制，通过“定点设卡”与“机动巡查”结合方式，严查在建工地扬尘和道路“抛洒滴漏”行为，今年以来，累计巡查在建工地600余次，检查运输车辆400余辆，对18家运输企业的渣土运输车辆进行全面监管。实行“白+黑”“5+2”工作制，“即见即处”各类社会生活噪声污染问题，共办结噪声类投诉6900余件，高效处置残疾人团队演出噪声、中高考“禁噪保考”等工作。持续开展餐饮油烟污染防治，累计检查餐饮商家6000余家，处理油烟扰民问题380余个，中心城区基本实现所有产生油烟经营项目的餐饮服务单位均安装油烟净化设置，露天烧烤全面禁止。迅速响应重污染天气预警，落实有力举措，严格开展重污染天气货车限行绕行管控工作，并派出3名执法人员参与全区面源应急减排管控帮扶指导工作。聚焦综合执法领域生态环境保护工作，坚持问题导向，认真迎接第三轮中央及省级生态环境保护督察，累计办理“央督”群众来电来信举报16件（其中主办11件）、“省督”群众来电来信举报31件，均已按期完成整改。</w:t>
      </w:r>
    </w:p>
    <w:p>
      <w:pPr>
        <w:spacing w:line="600" w:lineRule="exact"/>
        <w:ind w:firstLine="640"/>
        <w:rPr>
          <w:rFonts w:ascii="仿宋_GB2312" w:hAnsi="仿宋_GB2312" w:eastAsia="仿宋_GB2312" w:cs="仿宋_GB2312"/>
          <w:sz w:val="32"/>
          <w:szCs w:val="32"/>
          <w:shd w:val="clear" w:color="auto" w:fill="FFFFFF"/>
        </w:rPr>
      </w:pPr>
      <w:r>
        <w:rPr>
          <w:rFonts w:hint="eastAsia" w:ascii="楷体_GB2312" w:hAnsi="楷体_GB2312" w:eastAsia="楷体_GB2312" w:cs="楷体_GB2312"/>
          <w:sz w:val="32"/>
          <w:szCs w:val="32"/>
        </w:rPr>
        <w:t>3.强化法治建设，规范提升办案水平。</w:t>
      </w:r>
      <w:r>
        <w:rPr>
          <w:rFonts w:hint="eastAsia" w:ascii="仿宋_GB2312" w:hAnsi="仿宋_GB2312" w:eastAsia="仿宋_GB2312" w:cs="仿宋_GB2312"/>
          <w:sz w:val="32"/>
          <w:szCs w:val="32"/>
        </w:rPr>
        <w:t>按照机构体制改革要求，全面清理和优化权责清单并动态调整公布。</w:t>
      </w:r>
      <w:r>
        <w:rPr>
          <w:rFonts w:hint="eastAsia" w:ascii="仿宋_GB2312" w:hAnsi="仿宋_GB2312" w:eastAsia="仿宋_GB2312" w:cs="仿宋_GB2312"/>
          <w:sz w:val="32"/>
          <w:szCs w:val="32"/>
          <w:lang w:val="en"/>
        </w:rPr>
        <w:t>截至目前，我局行政权力事项总计</w:t>
      </w:r>
      <w:r>
        <w:rPr>
          <w:rFonts w:hint="eastAsia" w:ascii="仿宋_GB2312" w:hAnsi="仿宋_GB2312" w:eastAsia="仿宋_GB2312" w:cs="仿宋_GB2312"/>
          <w:sz w:val="32"/>
          <w:szCs w:val="32"/>
        </w:rPr>
        <w:t>636</w:t>
      </w:r>
      <w:r>
        <w:rPr>
          <w:rFonts w:hint="eastAsia" w:ascii="仿宋_GB2312" w:hAnsi="仿宋_GB2312" w:eastAsia="仿宋_GB2312" w:cs="仿宋_GB2312"/>
          <w:sz w:val="32"/>
          <w:szCs w:val="32"/>
          <w:lang w:val="en"/>
        </w:rPr>
        <w:t>项，其中行政处罚</w:t>
      </w:r>
      <w:r>
        <w:rPr>
          <w:rFonts w:hint="eastAsia" w:ascii="仿宋_GB2312" w:hAnsi="仿宋_GB2312" w:eastAsia="仿宋_GB2312" w:cs="仿宋_GB2312"/>
          <w:sz w:val="32"/>
          <w:szCs w:val="32"/>
        </w:rPr>
        <w:t>619</w:t>
      </w:r>
      <w:r>
        <w:rPr>
          <w:rFonts w:hint="eastAsia" w:ascii="仿宋_GB2312" w:hAnsi="仿宋_GB2312" w:eastAsia="仿宋_GB2312" w:cs="仿宋_GB2312"/>
          <w:sz w:val="32"/>
          <w:szCs w:val="32"/>
          <w:lang w:val="en"/>
        </w:rPr>
        <w:t>项，行政强制17项，每项行政权力对应相应执法责任。</w:t>
      </w:r>
      <w:r>
        <w:rPr>
          <w:rFonts w:hint="eastAsia" w:ascii="仿宋_GB2312" w:hAnsi="仿宋_GB2312" w:eastAsia="仿宋_GB2312" w:cs="仿宋_GB2312"/>
          <w:sz w:val="32"/>
          <w:szCs w:val="32"/>
        </w:rPr>
        <w:t>强化行政决策机制，全面落实行政执法“三项制度”，今年以来共组织召开案审会14次，集中研究讨论行政执法案件53件，进一步强化行政执法勤务建设、执法保障、督察检查和工作考核，为城市精细化管理奠定法治基础。建立住建、发改、水务、自然资源等部门</w:t>
      </w:r>
      <w:bookmarkStart w:id="81" w:name="OLE_LINK2"/>
      <w:r>
        <w:rPr>
          <w:rFonts w:hint="eastAsia" w:ascii="仿宋_GB2312" w:hAnsi="仿宋_GB2312" w:eastAsia="仿宋_GB2312" w:cs="仿宋_GB2312"/>
          <w:sz w:val="32"/>
          <w:szCs w:val="32"/>
        </w:rPr>
        <w:t>“行业监管+线索移送+行政执法”</w:t>
      </w:r>
      <w:bookmarkEnd w:id="81"/>
      <w:r>
        <w:rPr>
          <w:rFonts w:hint="eastAsia" w:ascii="仿宋_GB2312" w:hAnsi="仿宋_GB2312" w:eastAsia="仿宋_GB2312" w:cs="仿宋_GB2312"/>
          <w:sz w:val="32"/>
          <w:szCs w:val="32"/>
        </w:rPr>
        <w:t>衔接协作机制，依法办理上级和区级有关部门移交线索行政处罚案件68件。</w:t>
      </w:r>
      <w:r>
        <w:rPr>
          <w:rFonts w:ascii="仿宋_GB2312" w:hAnsi="仿宋_GB2312" w:eastAsia="仿宋_GB2312" w:cs="仿宋_GB2312"/>
          <w:sz w:val="32"/>
          <w:szCs w:val="32"/>
        </w:rPr>
        <w:t>推动“两法衔接”整体工作质效提升，</w:t>
      </w:r>
      <w:r>
        <w:rPr>
          <w:rFonts w:hint="eastAsia" w:ascii="仿宋_GB2312" w:hAnsi="仿宋_GB2312" w:eastAsia="仿宋_GB2312" w:cs="仿宋_GB2312"/>
          <w:sz w:val="32"/>
          <w:szCs w:val="32"/>
        </w:rPr>
        <w:t>向</w:t>
      </w:r>
      <w:r>
        <w:rPr>
          <w:rFonts w:ascii="仿宋_GB2312" w:hAnsi="仿宋_GB2312" w:eastAsia="仿宋_GB2312" w:cs="仿宋_GB2312"/>
          <w:sz w:val="32"/>
          <w:szCs w:val="32"/>
        </w:rPr>
        <w:t>移送公安机关</w:t>
      </w:r>
      <w:r>
        <w:rPr>
          <w:rFonts w:hint="eastAsia" w:ascii="仿宋_GB2312" w:hAnsi="仿宋_GB2312" w:eastAsia="仿宋_GB2312" w:cs="仿宋_GB2312"/>
          <w:sz w:val="32"/>
          <w:szCs w:val="32"/>
        </w:rPr>
        <w:t>移送</w:t>
      </w:r>
      <w:r>
        <w:rPr>
          <w:rFonts w:ascii="仿宋_GB2312" w:hAnsi="仿宋_GB2312" w:eastAsia="仿宋_GB2312" w:cs="仿宋_GB2312"/>
          <w:sz w:val="32"/>
          <w:szCs w:val="32"/>
        </w:rPr>
        <w:t>涉嫌犯罪案件3件，公安机关移送涉嫌行政违法案件1件。</w:t>
      </w:r>
      <w:r>
        <w:rPr>
          <w:rFonts w:hint="eastAsia" w:ascii="仿宋_GB2312" w:hAnsi="仿宋_GB2312" w:eastAsia="仿宋_GB2312" w:cs="仿宋_GB2312"/>
          <w:sz w:val="32"/>
          <w:szCs w:val="32"/>
        </w:rPr>
        <w:t>有序开展自然资源执法工作，积极核查违法线索13起，整改完成4起，恢复土地原状面积5338818平方米。积极配合行业部门开展法制宣传以及卫片图斑的整改工作，依法依规查处违法占地行为。今年以来，我局（含市城管局及市自然资源局未办结案件）共依法办结346件行政处罚案件，其中一般程序76件，作出行政处罚决定涉及金额480.04万元，今年已执行到位357.12万；简易程序270件，作出行政处罚决定涉及金额5.4万，已全部执行到位；行政机关负责人出庭应诉12次、出庭应诉率100%。</w:t>
      </w:r>
    </w:p>
    <w:p>
      <w:pPr>
        <w:spacing w:line="600" w:lineRule="exact"/>
        <w:ind w:firstLine="640"/>
        <w:rPr>
          <w:rFonts w:ascii="仿宋_GB2312" w:hAnsi="仿宋_GB2312" w:eastAsia="仿宋_GB2312" w:cs="仿宋_GB2312"/>
          <w:sz w:val="32"/>
          <w:szCs w:val="32"/>
          <w:shd w:val="clear" w:color="auto" w:fill="FFFFFF"/>
        </w:rPr>
      </w:pPr>
      <w:r>
        <w:rPr>
          <w:rFonts w:hint="eastAsia" w:ascii="楷体_GB2312" w:hAnsi="楷体_GB2312" w:eastAsia="楷体_GB2312" w:cs="楷体_GB2312"/>
          <w:sz w:val="32"/>
          <w:szCs w:val="32"/>
        </w:rPr>
        <w:t>4.依法拆临控违，强化规划执法力度。</w:t>
      </w:r>
      <w:r>
        <w:rPr>
          <w:rFonts w:hint="eastAsia" w:ascii="仿宋_GB2312" w:hAnsi="仿宋_GB2312" w:eastAsia="仿宋_GB2312" w:cs="仿宋_GB2312"/>
          <w:sz w:val="32"/>
          <w:szCs w:val="32"/>
          <w:shd w:val="clear" w:color="auto" w:fill="FFFFFF"/>
        </w:rPr>
        <w:t>坚持拆临控违“零容忍”和“以拆为主，应拆尽拆”原则，始终对违法建设保持高压态势。借助信息化科技手段，运用无人机设备解决高层建筑楼顶违建监管难、发现难、取证难等问题，设定主城区建筑群100余路固定巡航线路。依法依规查处</w:t>
      </w:r>
      <w:r>
        <w:rPr>
          <w:rFonts w:hint="eastAsia" w:ascii="仿宋_GB2312" w:hAnsi="仿宋_GB2312" w:eastAsia="仿宋_GB2312" w:cs="仿宋_GB2312"/>
          <w:sz w:val="32"/>
          <w:szCs w:val="32"/>
        </w:rPr>
        <w:t>规划建设类投诉</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50余件，</w:t>
      </w:r>
      <w:r>
        <w:rPr>
          <w:rFonts w:hint="eastAsia" w:ascii="仿宋_GB2312" w:hAnsi="仿宋_GB2312" w:eastAsia="仿宋_GB2312" w:cs="仿宋_GB2312"/>
          <w:sz w:val="32"/>
          <w:szCs w:val="32"/>
          <w:shd w:val="clear" w:color="auto" w:fill="FFFFFF"/>
        </w:rPr>
        <w:t>依法拆除各类违法建设约12980平方米。严格执行建设工程项目验线、规划核实制度，积极配合市自然资源规划局做好在建工程项目的事中、事后监管工作，参加建设工程项目验线15次，竣工规划核实23次。</w:t>
      </w:r>
    </w:p>
    <w:p>
      <w:pPr>
        <w:spacing w:line="600" w:lineRule="exact"/>
        <w:ind w:firstLine="640"/>
        <w:rPr>
          <w:rFonts w:ascii="仿宋_GB2312" w:eastAsia="仿宋_GB2312"/>
          <w:color w:val="0C0C0C" w:themeColor="text1" w:themeTint="F2"/>
          <w:sz w:val="32"/>
          <w:szCs w:val="32"/>
        </w:rPr>
      </w:pPr>
      <w:r>
        <w:rPr>
          <w:rFonts w:hint="eastAsia" w:ascii="楷体_GB2312" w:hAnsi="楷体_GB2312" w:eastAsia="楷体_GB2312" w:cs="楷体_GB2312"/>
          <w:sz w:val="32"/>
          <w:szCs w:val="32"/>
        </w:rPr>
        <w:t>5.优化营商环境，积极维护市场秩序。</w:t>
      </w:r>
      <w:r>
        <w:rPr>
          <w:rFonts w:hint="eastAsia" w:ascii="仿宋_GB2312" w:hAnsi="仿宋_GB2312" w:eastAsia="仿宋_GB2312" w:cs="仿宋_GB2312"/>
          <w:color w:val="0C0C0C" w:themeColor="text1" w:themeTint="F2"/>
          <w:sz w:val="32"/>
          <w:szCs w:val="32"/>
          <w:shd w:val="clear" w:color="auto" w:fill="FFFFFF"/>
        </w:rPr>
        <w:t>依法查处招投标领域案件1件，罚款</w:t>
      </w:r>
      <w:r>
        <w:rPr>
          <w:rFonts w:hint="eastAsia" w:ascii="仿宋_GB2312" w:hAnsi="仿宋_GB2312" w:eastAsia="仿宋_GB2312" w:cs="仿宋_GB2312"/>
          <w:sz w:val="32"/>
          <w:szCs w:val="32"/>
        </w:rPr>
        <w:t>396861.8</w:t>
      </w:r>
      <w:r>
        <w:rPr>
          <w:rFonts w:hint="eastAsia" w:ascii="仿宋_GB2312" w:hAnsi="仿宋_GB2312" w:eastAsia="仿宋_GB2312" w:cs="仿宋_GB2312"/>
          <w:color w:val="0C0C0C" w:themeColor="text1" w:themeTint="F2"/>
          <w:sz w:val="32"/>
          <w:szCs w:val="32"/>
          <w:shd w:val="clear" w:color="auto" w:fill="FFFFFF"/>
        </w:rPr>
        <w:t>元，强力整治招投标行业乱象，维护公平竞争交易秩序。对</w:t>
      </w:r>
      <w:r>
        <w:rPr>
          <w:rFonts w:hint="eastAsia" w:ascii="仿宋_GB2312" w:hAnsi="仿宋_GB2312" w:eastAsia="仿宋_GB2312" w:cs="仿宋_GB2312"/>
          <w:sz w:val="32"/>
          <w:szCs w:val="32"/>
        </w:rPr>
        <w:t>乐山金隆利置业有限公司“送法上门”，变“末端处罚”为“前端服务”，当事人主动缴纳瓷龙广场（一期）水土保持补偿费4万余元。</w:t>
      </w:r>
      <w:r>
        <w:rPr>
          <w:rFonts w:hint="eastAsia" w:ascii="仿宋_GB2312" w:hAnsi="仿宋_GB2312" w:eastAsia="仿宋_GB2312" w:cs="仿宋_GB2312"/>
          <w:color w:val="0C0C0C" w:themeColor="text1" w:themeTint="F2"/>
          <w:sz w:val="32"/>
          <w:szCs w:val="32"/>
        </w:rPr>
        <w:t>协调处理民宿投诉250余</w:t>
      </w:r>
      <w:r>
        <w:rPr>
          <w:rFonts w:hint="eastAsia" w:ascii="仿宋_GB2312" w:eastAsia="仿宋_GB2312"/>
          <w:color w:val="0C0C0C" w:themeColor="text1" w:themeTint="F2"/>
          <w:sz w:val="32"/>
          <w:szCs w:val="32"/>
        </w:rPr>
        <w:t>件，按期办结率和满意率均为100%，维护了良好的旅游市场环境。</w:t>
      </w:r>
    </w:p>
    <w:p>
      <w:pPr>
        <w:spacing w:line="60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6.厚植为民情怀，及时回应群众关切。</w:t>
      </w:r>
      <w:r>
        <w:rPr>
          <w:rFonts w:hint="eastAsia" w:ascii="仿宋_GB2312" w:eastAsia="仿宋_GB2312"/>
          <w:sz w:val="32"/>
          <w:szCs w:val="32"/>
        </w:rPr>
        <w:t>坚持和发展新时代“枫桥经验”“浦江经验”，做好群众信访诉求问题化解。建立“心连心”服务热线“</w:t>
      </w:r>
      <w:r>
        <w:rPr>
          <w:rFonts w:ascii="仿宋_GB2312" w:eastAsia="仿宋_GB2312"/>
          <w:sz w:val="32"/>
          <w:szCs w:val="32"/>
        </w:rPr>
        <w:t>即接即办</w:t>
      </w:r>
      <w:r>
        <w:rPr>
          <w:rFonts w:hint="eastAsia" w:ascii="仿宋_GB2312" w:eastAsia="仿宋_GB2312"/>
          <w:sz w:val="32"/>
          <w:szCs w:val="32"/>
        </w:rPr>
        <w:t>”</w:t>
      </w:r>
      <w:r>
        <w:rPr>
          <w:rFonts w:ascii="仿宋_GB2312" w:eastAsia="仿宋_GB2312"/>
          <w:sz w:val="32"/>
          <w:szCs w:val="32"/>
        </w:rPr>
        <w:t>快速处置机制</w:t>
      </w:r>
      <w:r>
        <w:rPr>
          <w:rFonts w:hint="eastAsia" w:ascii="仿宋_GB2312" w:eastAsia="仿宋_GB2312"/>
          <w:sz w:val="32"/>
          <w:szCs w:val="32"/>
        </w:rPr>
        <w:t>，</w:t>
      </w:r>
      <w:r>
        <w:rPr>
          <w:rFonts w:hint="eastAsia" w:ascii="仿宋_GB2312" w:hAnsi="仿宋_GB2312" w:eastAsia="仿宋_GB2312" w:cs="仿宋_GB2312"/>
          <w:sz w:val="32"/>
          <w:szCs w:val="32"/>
        </w:rPr>
        <w:t>累计受理心连心诉求热线</w:t>
      </w:r>
      <w:r>
        <w:rPr>
          <w:rFonts w:ascii="仿宋_GB2312" w:hAnsi="仿宋_GB2312" w:eastAsia="仿宋_GB2312" w:cs="仿宋_GB2312"/>
          <w:sz w:val="32"/>
          <w:szCs w:val="32"/>
        </w:rPr>
        <w:t>14615</w:t>
      </w:r>
      <w:r>
        <w:rPr>
          <w:rFonts w:hint="eastAsia" w:ascii="仿宋_GB2312" w:hAnsi="仿宋_GB2312" w:eastAsia="仿宋_GB2312" w:cs="仿宋_GB2312"/>
          <w:sz w:val="32"/>
          <w:szCs w:val="32"/>
        </w:rPr>
        <w:t>件，处置率100%，群众满意率99.</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%；受理问政四川、海棠社区等</w:t>
      </w:r>
      <w:r>
        <w:rPr>
          <w:rFonts w:ascii="仿宋_GB2312" w:hAnsi="仿宋_GB2312" w:eastAsia="仿宋_GB2312" w:cs="仿宋_GB2312"/>
          <w:sz w:val="32"/>
          <w:szCs w:val="32"/>
        </w:rPr>
        <w:t>网络舆情案件共2</w:t>
      </w:r>
      <w:r>
        <w:rPr>
          <w:rFonts w:hint="eastAsia" w:ascii="仿宋_GB2312" w:hAnsi="仿宋_GB2312" w:eastAsia="仿宋_GB2312" w:cs="仿宋_GB2312"/>
          <w:sz w:val="32"/>
          <w:szCs w:val="32"/>
        </w:rPr>
        <w:t>91</w:t>
      </w:r>
      <w:r>
        <w:rPr>
          <w:rFonts w:ascii="仿宋_GB2312" w:hAnsi="仿宋_GB2312" w:eastAsia="仿宋_GB2312" w:cs="仿宋_GB2312"/>
          <w:sz w:val="32"/>
          <w:szCs w:val="32"/>
        </w:rPr>
        <w:t>件，回复</w:t>
      </w:r>
      <w:r>
        <w:rPr>
          <w:rFonts w:hint="eastAsia" w:ascii="仿宋_GB2312" w:hAnsi="仿宋_GB2312" w:eastAsia="仿宋_GB2312" w:cs="仿宋_GB2312"/>
          <w:sz w:val="32"/>
          <w:szCs w:val="32"/>
        </w:rPr>
        <w:t>率达99%；</w:t>
      </w:r>
      <w:r>
        <w:rPr>
          <w:rFonts w:hint="eastAsia" w:ascii="仿宋_GB2312" w:eastAsia="仿宋_GB2312"/>
          <w:sz w:val="32"/>
          <w:szCs w:val="32"/>
        </w:rPr>
        <w:t>办结“书记信访”“市长信访”等各类群众来信来访122件；办结2024年人大代表建议、政协委员提案10件，按时办结率、满意率均为100%。</w:t>
      </w:r>
      <w:r>
        <w:rPr>
          <w:rFonts w:hint="eastAsia" w:ascii="仿宋_GB2312" w:hAnsi="仿宋_GB2312" w:eastAsia="仿宋_GB2312" w:cs="仿宋_GB2312"/>
          <w:color w:val="000000" w:themeColor="text1"/>
          <w:sz w:val="32"/>
          <w:szCs w:val="32"/>
        </w:rPr>
        <w:t>在乐山广场改造3间爱心母婴室、阅览室，阅览室藏书400余册，累计服务群众达5000余人次，进一步完善便民设施。在假日及重要活动期间，充分发挥一线执法优势，组建综合执法导游志愿者队伍30支，</w:t>
      </w:r>
      <w:r>
        <w:rPr>
          <w:rFonts w:hint="eastAsia" w:ascii="仿宋_GB2312" w:hAnsi="仿宋_GB2312" w:eastAsia="仿宋_GB2312" w:cs="仿宋_GB2312"/>
          <w:color w:val="000000" w:themeColor="text1"/>
          <w:kern w:val="0"/>
          <w:sz w:val="32"/>
          <w:szCs w:val="32"/>
        </w:rPr>
        <w:t>累计服务来乐游客26万余人次。</w:t>
      </w:r>
      <w:bookmarkStart w:id="82" w:name="OLE_LINK4"/>
    </w:p>
    <w:bookmarkEnd w:id="82"/>
    <w:p>
      <w:pPr>
        <w:spacing w:line="520" w:lineRule="exact"/>
        <w:ind w:firstLine="660" w:firstLineChars="200"/>
        <w:jc w:val="left"/>
        <w:rPr>
          <w:rFonts w:ascii="仿宋_GB2312" w:eastAsia="仿宋_GB2312"/>
          <w:sz w:val="32"/>
          <w:szCs w:val="32"/>
          <w:lang w:val="zh-CN"/>
        </w:rPr>
      </w:pPr>
      <w:r>
        <w:rPr>
          <w:rFonts w:hint="eastAsia" w:eastAsia="楷体_GB2312" w:cs="楷体_GB2312"/>
          <w:color w:val="000000"/>
          <w:kern w:val="0"/>
          <w:sz w:val="33"/>
          <w:szCs w:val="33"/>
          <w:shd w:val="clear" w:color="auto" w:fill="FFFFFF"/>
        </w:rPr>
        <w:t>7.</w:t>
      </w:r>
      <w:r>
        <w:rPr>
          <w:rFonts w:eastAsia="楷体_GB2312" w:cs="楷体_GB2312"/>
          <w:color w:val="000000"/>
          <w:kern w:val="0"/>
          <w:sz w:val="33"/>
          <w:szCs w:val="33"/>
          <w:shd w:val="clear" w:color="auto" w:fill="FFFFFF"/>
          <w:lang w:val="zh-CN"/>
        </w:rPr>
        <w:t>预算管理</w:t>
      </w:r>
      <w:r>
        <w:rPr>
          <w:rFonts w:hint="eastAsia" w:eastAsia="楷体_GB2312" w:cs="楷体_GB2312"/>
          <w:color w:val="000000"/>
          <w:kern w:val="0"/>
          <w:sz w:val="33"/>
          <w:szCs w:val="33"/>
          <w:shd w:val="clear" w:color="auto" w:fill="FFFFFF"/>
          <w:lang w:val="zh-CN"/>
        </w:rPr>
        <w:t>。</w:t>
      </w:r>
      <w:r>
        <w:rPr>
          <w:rFonts w:hint="eastAsia" w:ascii="仿宋_GB2312" w:eastAsia="仿宋_GB2312"/>
          <w:b/>
          <w:bCs/>
          <w:sz w:val="32"/>
          <w:szCs w:val="32"/>
        </w:rPr>
        <w:t>一是</w:t>
      </w:r>
      <w:r>
        <w:rPr>
          <w:rFonts w:hint="eastAsia" w:ascii="仿宋_GB2312" w:eastAsia="仿宋_GB2312"/>
          <w:sz w:val="32"/>
          <w:szCs w:val="32"/>
        </w:rPr>
        <w:t>加强预算编制绩效管理。强化项目绩效目标。年初对预算项目进行全面梳理、加强审核、合理保障，所有项目必须有明细的资金测算，对无具体内容、无明细支出测算的，或支出测算不够细化的项目，一律不予申报。 同时对所有预算项目制定绩效目标，由相关股室在申请项目时提报详细绩效信息，包括项目内容和目标、实施周期、投入总额、已投入金额等，作为项目审核的依据。</w:t>
      </w:r>
      <w:r>
        <w:rPr>
          <w:rFonts w:hint="eastAsia" w:ascii="仿宋_GB2312" w:eastAsia="仿宋_GB2312"/>
          <w:b/>
          <w:bCs/>
          <w:sz w:val="32"/>
          <w:szCs w:val="32"/>
        </w:rPr>
        <w:t>二是</w:t>
      </w:r>
      <w:r>
        <w:rPr>
          <w:rFonts w:hint="eastAsia" w:ascii="仿宋_GB2312" w:eastAsia="仿宋_GB2312"/>
          <w:sz w:val="32"/>
          <w:szCs w:val="32"/>
        </w:rPr>
        <w:t>完善项目绩效管理责任。在财政部门批复下达年度预算基础后，立即批复下属单位，并通过规范格式同步下达绩效目标，明确各股室、下属单位是预算执行主体，负责实现项目绩效目标。对未能如期实现绩效目标或绩效评价结果较差的，或在编制下年度预算时适当调减项目资金额度。</w:t>
      </w:r>
    </w:p>
    <w:p>
      <w:pPr>
        <w:spacing w:line="520" w:lineRule="exact"/>
        <w:ind w:firstLine="660" w:firstLineChars="200"/>
        <w:jc w:val="left"/>
        <w:rPr>
          <w:rFonts w:ascii="仿宋_GB2312" w:hAnsi="仿宋_GB2312" w:eastAsia="仿宋_GB2312" w:cs="仿宋_GB2312"/>
          <w:color w:val="000000"/>
          <w:sz w:val="32"/>
          <w:szCs w:val="32"/>
        </w:rPr>
      </w:pPr>
      <w:r>
        <w:rPr>
          <w:rFonts w:hint="eastAsia" w:eastAsia="楷体_GB2312" w:cs="楷体_GB2312"/>
          <w:color w:val="000000"/>
          <w:kern w:val="0"/>
          <w:sz w:val="33"/>
          <w:szCs w:val="33"/>
          <w:shd w:val="clear" w:color="auto" w:fill="FFFFFF"/>
        </w:rPr>
        <w:t>8.</w:t>
      </w:r>
      <w:r>
        <w:rPr>
          <w:rFonts w:eastAsia="楷体_GB2312" w:cs="楷体_GB2312"/>
          <w:color w:val="000000"/>
          <w:kern w:val="0"/>
          <w:sz w:val="33"/>
          <w:szCs w:val="33"/>
          <w:shd w:val="clear" w:color="auto" w:fill="FFFFFF"/>
          <w:lang w:val="zh-CN"/>
        </w:rPr>
        <w:t>财务管理</w:t>
      </w:r>
      <w:r>
        <w:rPr>
          <w:rFonts w:hint="eastAsia" w:eastAsia="楷体_GB2312" w:cs="楷体_GB2312"/>
          <w:color w:val="000000"/>
          <w:kern w:val="0"/>
          <w:sz w:val="33"/>
          <w:szCs w:val="33"/>
          <w:shd w:val="clear" w:color="auto" w:fill="FFFFFF"/>
          <w:lang w:val="zh-CN"/>
        </w:rPr>
        <w:t>。</w:t>
      </w:r>
      <w:r>
        <w:rPr>
          <w:rFonts w:hint="eastAsia" w:ascii="仿宋_GB2312" w:hAnsi="仿宋_GB2312" w:eastAsia="仿宋_GB2312" w:cs="仿宋_GB2312"/>
          <w:b/>
          <w:bCs/>
          <w:color w:val="000000"/>
          <w:sz w:val="32"/>
          <w:szCs w:val="32"/>
        </w:rPr>
        <w:t>一是</w:t>
      </w:r>
      <w:r>
        <w:rPr>
          <w:rFonts w:hint="eastAsia" w:ascii="仿宋_GB2312" w:hAnsi="仿宋_GB2312" w:eastAsia="仿宋_GB2312" w:cs="仿宋_GB2312"/>
          <w:color w:val="000000"/>
          <w:sz w:val="32"/>
          <w:szCs w:val="32"/>
        </w:rPr>
        <w:t>我局合理设置财务工作岗位，明确职责权限，并严格实行不相容岗位分离。</w:t>
      </w:r>
      <w:r>
        <w:rPr>
          <w:rFonts w:hint="eastAsia" w:ascii="仿宋_GB2312" w:hAnsi="仿宋_GB2312" w:eastAsia="仿宋_GB2312" w:cs="仿宋_GB2312"/>
          <w:b/>
          <w:bCs/>
          <w:color w:val="000000"/>
          <w:sz w:val="32"/>
          <w:szCs w:val="32"/>
        </w:rPr>
        <w:t>二是强化</w:t>
      </w:r>
      <w:r>
        <w:rPr>
          <w:rFonts w:hint="eastAsia" w:ascii="仿宋_GB2312" w:hAnsi="仿宋_GB2312" w:eastAsia="仿宋_GB2312" w:cs="仿宋_GB2312"/>
          <w:color w:val="000000"/>
          <w:sz w:val="32"/>
          <w:szCs w:val="32"/>
        </w:rPr>
        <w:t>责任意识。通过设定明确可衡量的绩效目标，股室和各下属单位更清楚地了解财政支出所要取得的社会和经济效益，其职能和目标得到进一步明确 通过绩效评价，考核各股室绩效目标实际完成情况和取得的成效，并与下年度预算安排挂钩，用财要问效，无效要问贵，在一定程度上强化了部门整体和各股室、下属单位的自我约束意识和责任意识。</w:t>
      </w:r>
      <w:r>
        <w:rPr>
          <w:rFonts w:hint="eastAsia" w:ascii="仿宋_GB2312" w:hAnsi="仿宋_GB2312" w:eastAsia="仿宋_GB2312" w:cs="仿宋_GB2312"/>
          <w:b/>
          <w:bCs/>
          <w:color w:val="000000"/>
          <w:sz w:val="32"/>
          <w:szCs w:val="32"/>
        </w:rPr>
        <w:t>三是</w:t>
      </w:r>
      <w:r>
        <w:rPr>
          <w:rFonts w:hint="eastAsia" w:ascii="仿宋_GB2312" w:hAnsi="仿宋_GB2312" w:eastAsia="仿宋_GB2312" w:cs="仿宋_GB2312"/>
          <w:color w:val="000000"/>
          <w:sz w:val="32"/>
          <w:szCs w:val="32"/>
        </w:rPr>
        <w:t>增强了财政资金管理和决策的科学性。对财政资金支出的科学性、效益性和管理水平的评价，对绩效评价结果的应用，有力地促进了我部门不断完善内部管理，自觉加强资金的管理和监督，不断提高理财水平，增强财政资金分配、管理的科学性。</w:t>
      </w:r>
      <w:r>
        <w:rPr>
          <w:rFonts w:hint="eastAsia" w:ascii="仿宋_GB2312" w:hAnsi="仿宋_GB2312" w:eastAsia="仿宋_GB2312" w:cs="仿宋_GB2312"/>
          <w:b/>
          <w:bCs/>
          <w:color w:val="000000"/>
          <w:sz w:val="32"/>
          <w:szCs w:val="32"/>
        </w:rPr>
        <w:t>四是</w:t>
      </w:r>
      <w:r>
        <w:rPr>
          <w:rFonts w:hint="eastAsia" w:ascii="仿宋_GB2312" w:hAnsi="仿宋_GB2312" w:eastAsia="仿宋_GB2312" w:cs="仿宋_GB2312"/>
          <w:color w:val="000000"/>
          <w:sz w:val="32"/>
          <w:szCs w:val="32"/>
        </w:rPr>
        <w:t>提高了财政资金的使用效益。将各处室的发展规划和年度工作计划有机结合起来，并进行跟踪问效，有利于整合财政资源，优化财政支出结构，减少财政支出的随意性和盲目性，最大限度地将有限资源配置到效益最佳的部门并发挥最大效益。</w:t>
      </w:r>
    </w:p>
    <w:p>
      <w:pPr>
        <w:spacing w:line="520" w:lineRule="exact"/>
        <w:ind w:firstLine="660" w:firstLineChars="200"/>
        <w:rPr>
          <w:rFonts w:eastAsia="仿宋_GB2312" w:cs="楷体_GB2312"/>
          <w:color w:val="000000"/>
          <w:kern w:val="0"/>
          <w:sz w:val="33"/>
          <w:szCs w:val="33"/>
          <w:shd w:val="clear" w:color="auto" w:fill="FFFFFF"/>
        </w:rPr>
      </w:pPr>
      <w:r>
        <w:rPr>
          <w:rFonts w:hint="eastAsia" w:eastAsia="楷体_GB2312" w:cs="楷体_GB2312"/>
          <w:color w:val="000000"/>
          <w:kern w:val="0"/>
          <w:sz w:val="33"/>
          <w:szCs w:val="33"/>
          <w:shd w:val="clear" w:color="auto" w:fill="FFFFFF"/>
        </w:rPr>
        <w:t>9.</w:t>
      </w:r>
      <w:r>
        <w:rPr>
          <w:rFonts w:eastAsia="楷体_GB2312" w:cs="楷体_GB2312"/>
          <w:color w:val="000000"/>
          <w:kern w:val="0"/>
          <w:sz w:val="33"/>
          <w:szCs w:val="33"/>
          <w:shd w:val="clear" w:color="auto" w:fill="FFFFFF"/>
          <w:lang w:val="zh-CN"/>
        </w:rPr>
        <w:t>资产管理</w:t>
      </w:r>
      <w:r>
        <w:rPr>
          <w:rFonts w:hint="eastAsia" w:eastAsia="楷体_GB2312" w:cs="楷体_GB2312"/>
          <w:color w:val="000000"/>
          <w:kern w:val="0"/>
          <w:sz w:val="33"/>
          <w:szCs w:val="33"/>
          <w:shd w:val="clear" w:color="auto" w:fill="FFFFFF"/>
          <w:lang w:val="zh-CN"/>
        </w:rPr>
        <w:t>。</w:t>
      </w:r>
      <w:r>
        <w:rPr>
          <w:rFonts w:hint="eastAsia" w:ascii="仿宋_GB2312" w:eastAsia="仿宋_GB2312"/>
          <w:b/>
          <w:bCs/>
          <w:sz w:val="32"/>
          <w:szCs w:val="32"/>
        </w:rPr>
        <w:t>一是</w:t>
      </w:r>
      <w:r>
        <w:rPr>
          <w:rFonts w:hint="eastAsia" w:ascii="仿宋_GB2312" w:eastAsia="仿宋_GB2312"/>
          <w:sz w:val="32"/>
          <w:szCs w:val="32"/>
        </w:rPr>
        <w:t>及时完成单位资产月报和年报并要求上报、通过聘请第三方财务公司指导，确保数据的准确性、完整性</w:t>
      </w:r>
      <w:r>
        <w:rPr>
          <w:rFonts w:hint="eastAsia" w:ascii="Calibri" w:hAnsi="Calibri" w:eastAsia="仿宋_GB2312" w:cs="Calibri"/>
          <w:sz w:val="32"/>
          <w:szCs w:val="32"/>
        </w:rPr>
        <w:t>。</w:t>
      </w:r>
      <w:r>
        <w:rPr>
          <w:rFonts w:hint="eastAsia" w:ascii="Calibri" w:hAnsi="Calibri" w:eastAsia="仿宋_GB2312" w:cs="Calibri"/>
          <w:b/>
          <w:bCs/>
          <w:sz w:val="32"/>
          <w:szCs w:val="32"/>
        </w:rPr>
        <w:t>二是</w:t>
      </w:r>
      <w:r>
        <w:rPr>
          <w:rFonts w:hint="eastAsia" w:ascii="Calibri" w:hAnsi="Calibri" w:eastAsia="仿宋_GB2312" w:cs="Calibri"/>
          <w:sz w:val="32"/>
          <w:szCs w:val="32"/>
        </w:rPr>
        <w:t>财务账中的《资产负债表》与资产年报中的《资产负债表》一致性</w:t>
      </w:r>
      <w:r>
        <w:rPr>
          <w:rFonts w:hint="eastAsia" w:ascii="仿宋_GB2312" w:eastAsia="仿宋_GB2312"/>
          <w:sz w:val="32"/>
          <w:szCs w:val="32"/>
        </w:rPr>
        <w:t>。</w:t>
      </w:r>
      <w:r>
        <w:rPr>
          <w:rFonts w:hint="eastAsia" w:ascii="仿宋_GB2312" w:eastAsia="仿宋_GB2312"/>
          <w:b/>
          <w:bCs/>
          <w:sz w:val="32"/>
          <w:szCs w:val="32"/>
        </w:rPr>
        <w:t>三是</w:t>
      </w:r>
      <w:r>
        <w:rPr>
          <w:rFonts w:hint="eastAsia" w:ascii="仿宋_GB2312" w:eastAsia="仿宋_GB2312"/>
          <w:sz w:val="32"/>
          <w:szCs w:val="32"/>
        </w:rPr>
        <w:t>按照市中区行政事业性国有资产配置和预算管理规定合理配置资产。</w:t>
      </w:r>
    </w:p>
    <w:p>
      <w:pPr>
        <w:spacing w:line="590" w:lineRule="exact"/>
        <w:ind w:firstLine="660" w:firstLineChars="200"/>
        <w:contextualSpacing/>
        <w:rPr>
          <w:rFonts w:ascii="仿宋_GB2312" w:eastAsia="仿宋_GB2312"/>
          <w:sz w:val="32"/>
          <w:szCs w:val="32"/>
        </w:rPr>
      </w:pPr>
      <w:r>
        <w:rPr>
          <w:rFonts w:hint="eastAsia" w:eastAsia="楷体_GB2312" w:cs="楷体_GB2312"/>
          <w:color w:val="000000"/>
          <w:kern w:val="0"/>
          <w:sz w:val="33"/>
          <w:szCs w:val="33"/>
          <w:shd w:val="clear" w:color="auto" w:fill="FFFFFF"/>
        </w:rPr>
        <w:t>10.</w:t>
      </w:r>
      <w:r>
        <w:rPr>
          <w:rFonts w:eastAsia="楷体_GB2312" w:cs="楷体_GB2312"/>
          <w:color w:val="000000"/>
          <w:kern w:val="0"/>
          <w:sz w:val="33"/>
          <w:szCs w:val="33"/>
          <w:shd w:val="clear" w:color="auto" w:fill="FFFFFF"/>
          <w:lang w:val="zh-CN"/>
        </w:rPr>
        <w:t>采购管理</w:t>
      </w:r>
      <w:r>
        <w:rPr>
          <w:rFonts w:hint="eastAsia" w:eastAsia="楷体_GB2312" w:cs="楷体_GB2312"/>
          <w:color w:val="000000"/>
          <w:kern w:val="0"/>
          <w:sz w:val="33"/>
          <w:szCs w:val="33"/>
          <w:shd w:val="clear" w:color="auto" w:fill="FFFFFF"/>
          <w:lang w:val="zh-CN"/>
        </w:rPr>
        <w:t>。</w:t>
      </w:r>
      <w:r>
        <w:rPr>
          <w:rFonts w:hint="eastAsia" w:eastAsia="楷体_GB2312" w:cs="楷体_GB2312"/>
          <w:color w:val="000000"/>
          <w:kern w:val="0"/>
          <w:sz w:val="33"/>
          <w:szCs w:val="33"/>
          <w:shd w:val="clear" w:color="auto" w:fill="FFFFFF"/>
        </w:rPr>
        <w:t>一是</w:t>
      </w:r>
      <w:r>
        <w:rPr>
          <w:rFonts w:hint="eastAsia" w:ascii="仿宋_GB2312" w:eastAsia="仿宋_GB2312"/>
          <w:sz w:val="32"/>
          <w:szCs w:val="32"/>
        </w:rPr>
        <w:t>2024年我局严格执行财政部门关于采购管理的相关规定，做到了应采尽采，采购执行率100%。</w:t>
      </w:r>
      <w:r>
        <w:rPr>
          <w:rFonts w:hint="eastAsia" w:ascii="仿宋_GB2312" w:eastAsia="仿宋_GB2312"/>
          <w:b/>
          <w:bCs/>
          <w:sz w:val="32"/>
          <w:szCs w:val="32"/>
        </w:rPr>
        <w:t>二是</w:t>
      </w:r>
      <w:r>
        <w:rPr>
          <w:rFonts w:hint="eastAsia" w:ascii="仿宋_GB2312" w:eastAsia="仿宋_GB2312"/>
          <w:sz w:val="32"/>
          <w:szCs w:val="32"/>
        </w:rPr>
        <w:t>对适宜由中小企业提供的采购项目和采购包，预留采购份额专门面向中小企业采购，并在采购预算中单独列示。</w:t>
      </w:r>
    </w:p>
    <w:p>
      <w:pPr>
        <w:snapToGrid w:val="0"/>
        <w:spacing w:line="560" w:lineRule="exact"/>
        <w:ind w:firstLine="663" w:firstLineChars="200"/>
        <w:rPr>
          <w:rFonts w:ascii="仿宋_GB2312" w:hAnsi="仿宋" w:eastAsia="仿宋_GB2312"/>
          <w:b/>
          <w:bCs/>
          <w:sz w:val="32"/>
          <w:szCs w:val="32"/>
          <w:lang w:val="zh-CN"/>
        </w:rPr>
      </w:pPr>
      <w:r>
        <w:rPr>
          <w:rFonts w:eastAsia="楷体_GB2312"/>
          <w:b/>
          <w:bCs/>
          <w:color w:val="000000"/>
          <w:kern w:val="0"/>
          <w:sz w:val="33"/>
          <w:szCs w:val="33"/>
          <w:shd w:val="clear" w:color="auto" w:fill="FFFFFF"/>
          <w:lang w:val="zh-CN"/>
        </w:rPr>
        <w:t>（二）部门预算项目绩效分析。</w:t>
      </w:r>
    </w:p>
    <w:p>
      <w:pPr>
        <w:spacing w:line="600" w:lineRule="exact"/>
        <w:ind w:firstLine="640" w:firstLineChars="200"/>
        <w:outlineLvl w:val="2"/>
        <w:rPr>
          <w:rFonts w:ascii="仿宋_GB2312" w:eastAsia="仿宋_GB2312"/>
          <w:sz w:val="32"/>
          <w:szCs w:val="32"/>
          <w:lang w:val="zh-CN"/>
        </w:rPr>
      </w:pPr>
      <w:r>
        <w:rPr>
          <w:rFonts w:ascii="仿宋_GB2312" w:eastAsia="仿宋_GB2312"/>
          <w:sz w:val="32"/>
          <w:szCs w:val="32"/>
        </w:rPr>
        <w:t>常年项目绩效分析。</w:t>
      </w:r>
      <w:r>
        <w:rPr>
          <w:rFonts w:ascii="仿宋_GB2312" w:eastAsia="仿宋_GB2312"/>
          <w:sz w:val="32"/>
          <w:szCs w:val="32"/>
          <w:lang w:val="zh-CN"/>
        </w:rPr>
        <w:t>该类项目总数</w:t>
      </w:r>
      <w:r>
        <w:rPr>
          <w:rFonts w:hint="eastAsia" w:ascii="仿宋_GB2312" w:eastAsia="仿宋_GB2312"/>
          <w:sz w:val="32"/>
          <w:szCs w:val="32"/>
        </w:rPr>
        <w:t>5</w:t>
      </w:r>
      <w:r>
        <w:rPr>
          <w:rFonts w:ascii="仿宋_GB2312" w:eastAsia="仿宋_GB2312"/>
          <w:sz w:val="32"/>
          <w:szCs w:val="32"/>
          <w:lang w:val="zh-CN"/>
        </w:rPr>
        <w:t>个，涉及预算总金额</w:t>
      </w:r>
      <w:r>
        <w:rPr>
          <w:rFonts w:hint="eastAsia" w:ascii="仿宋_GB2312" w:eastAsia="仿宋_GB2312"/>
          <w:sz w:val="32"/>
          <w:szCs w:val="32"/>
        </w:rPr>
        <w:t>384.35</w:t>
      </w:r>
      <w:r>
        <w:rPr>
          <w:rFonts w:ascii="仿宋_GB2312" w:eastAsia="仿宋_GB2312"/>
          <w:sz w:val="32"/>
          <w:szCs w:val="32"/>
          <w:lang w:val="zh-CN"/>
        </w:rPr>
        <w:t>万元，其中：预算结余率大于</w:t>
      </w:r>
      <w:r>
        <w:rPr>
          <w:rFonts w:ascii="仿宋_GB2312" w:eastAsia="仿宋_GB2312"/>
          <w:sz w:val="32"/>
          <w:szCs w:val="32"/>
        </w:rPr>
        <w:t>10%</w:t>
      </w:r>
      <w:r>
        <w:rPr>
          <w:rFonts w:ascii="仿宋_GB2312" w:eastAsia="仿宋_GB2312"/>
          <w:sz w:val="32"/>
          <w:szCs w:val="32"/>
          <w:lang w:val="zh-CN"/>
        </w:rPr>
        <w:t>的项目共计</w:t>
      </w:r>
      <w:r>
        <w:rPr>
          <w:rFonts w:hint="eastAsia" w:ascii="仿宋_GB2312" w:eastAsia="仿宋_GB2312"/>
          <w:sz w:val="32"/>
          <w:szCs w:val="32"/>
        </w:rPr>
        <w:t>0</w:t>
      </w:r>
      <w:r>
        <w:rPr>
          <w:rFonts w:ascii="仿宋_GB2312" w:eastAsia="仿宋_GB2312"/>
          <w:sz w:val="32"/>
          <w:szCs w:val="32"/>
          <w:lang w:val="zh-CN"/>
        </w:rPr>
        <w:t>个。</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2024年，区综合执法局按照财政资金使用用途和目的，健全了资金管理制度，款项支付规范，最大限度地发挥了财政资金的使用效率，认真执行年初预算资金计划，账务核算及时规范，保障了机关正常运转，促进了项目建设全面完成，较好地完成了年度工作目标任务。</w:t>
      </w:r>
    </w:p>
    <w:p>
      <w:pPr>
        <w:widowControl/>
        <w:spacing w:line="590" w:lineRule="exact"/>
        <w:ind w:firstLine="663" w:firstLineChars="200"/>
        <w:contextualSpacing/>
        <w:rPr>
          <w:color w:val="000000"/>
          <w:kern w:val="0"/>
          <w:sz w:val="33"/>
          <w:szCs w:val="33"/>
          <w:shd w:val="clear" w:color="auto" w:fill="FFFFFF"/>
        </w:rPr>
      </w:pPr>
      <w:r>
        <w:rPr>
          <w:rFonts w:eastAsia="楷体_GB2312"/>
          <w:b/>
          <w:bCs/>
          <w:color w:val="000000"/>
          <w:kern w:val="0"/>
          <w:sz w:val="33"/>
          <w:szCs w:val="33"/>
          <w:shd w:val="clear" w:color="auto" w:fill="FFFFFF"/>
          <w:lang w:val="zh-CN"/>
        </w:rPr>
        <w:t>（</w:t>
      </w:r>
      <w:r>
        <w:rPr>
          <w:rFonts w:hint="eastAsia" w:eastAsia="楷体_GB2312"/>
          <w:b/>
          <w:bCs/>
          <w:color w:val="000000"/>
          <w:kern w:val="0"/>
          <w:sz w:val="33"/>
          <w:szCs w:val="33"/>
          <w:shd w:val="clear" w:color="auto" w:fill="FFFFFF"/>
          <w:lang w:val="zh-CN"/>
        </w:rPr>
        <w:t>三</w:t>
      </w:r>
      <w:r>
        <w:rPr>
          <w:rFonts w:eastAsia="楷体_GB2312"/>
          <w:b/>
          <w:bCs/>
          <w:color w:val="000000"/>
          <w:kern w:val="0"/>
          <w:sz w:val="33"/>
          <w:szCs w:val="33"/>
          <w:shd w:val="clear" w:color="auto" w:fill="FFFFFF"/>
          <w:lang w:val="zh-CN"/>
        </w:rPr>
        <w:t>）重点领域绩效分析。</w:t>
      </w:r>
      <w:r>
        <w:rPr>
          <w:rFonts w:hint="eastAsia" w:eastAsia="仿宋_GB2312"/>
          <w:sz w:val="33"/>
          <w:szCs w:val="33"/>
        </w:rPr>
        <w:t>我局202</w:t>
      </w:r>
      <w:r>
        <w:rPr>
          <w:rFonts w:hint="eastAsia"/>
          <w:sz w:val="33"/>
          <w:szCs w:val="33"/>
        </w:rPr>
        <w:t>4</w:t>
      </w:r>
      <w:r>
        <w:rPr>
          <w:rFonts w:hint="eastAsia" w:eastAsia="仿宋_GB2312"/>
          <w:sz w:val="33"/>
          <w:szCs w:val="33"/>
        </w:rPr>
        <w:t>年度无</w:t>
      </w:r>
      <w:r>
        <w:rPr>
          <w:rFonts w:eastAsia="仿宋_GB2312"/>
          <w:sz w:val="33"/>
          <w:szCs w:val="33"/>
        </w:rPr>
        <w:t>涉及国有资本、行政事业性国有资产、债券资金、政府采购和政府购买服务等重点领域的</w:t>
      </w:r>
      <w:r>
        <w:rPr>
          <w:rFonts w:hint="eastAsia" w:eastAsia="仿宋_GB2312"/>
          <w:sz w:val="33"/>
          <w:szCs w:val="33"/>
        </w:rPr>
        <w:t>项目</w:t>
      </w:r>
      <w:r>
        <w:rPr>
          <w:rFonts w:hint="eastAsia"/>
          <w:sz w:val="33"/>
          <w:szCs w:val="33"/>
          <w:lang w:bidi="ar"/>
        </w:rPr>
        <w:t>。</w:t>
      </w:r>
    </w:p>
    <w:p>
      <w:pPr>
        <w:snapToGrid w:val="0"/>
        <w:spacing w:line="560" w:lineRule="exact"/>
        <w:ind w:firstLine="663" w:firstLineChars="200"/>
        <w:rPr>
          <w:rFonts w:ascii="仿宋_GB2312" w:hAnsi="仿宋" w:eastAsia="仿宋_GB2312"/>
          <w:b/>
          <w:bCs/>
          <w:sz w:val="32"/>
          <w:szCs w:val="32"/>
          <w:lang w:val="zh-CN"/>
        </w:rPr>
      </w:pPr>
      <w:r>
        <w:rPr>
          <w:rFonts w:eastAsia="楷体_GB2312"/>
          <w:b/>
          <w:bCs/>
          <w:sz w:val="33"/>
          <w:szCs w:val="33"/>
          <w:lang w:val="zh-CN"/>
        </w:rPr>
        <w:t>（四）绩效结果应用情况</w:t>
      </w:r>
      <w:r>
        <w:rPr>
          <w:rFonts w:hint="eastAsia" w:eastAsia="楷体_GB2312"/>
          <w:b/>
          <w:bCs/>
          <w:sz w:val="33"/>
          <w:szCs w:val="33"/>
          <w:lang w:val="zh-CN"/>
        </w:rPr>
        <w:t>。</w:t>
      </w:r>
    </w:p>
    <w:p>
      <w:pPr>
        <w:snapToGrid w:val="0"/>
        <w:spacing w:line="560" w:lineRule="exact"/>
        <w:ind w:firstLine="640" w:firstLineChars="200"/>
        <w:rPr>
          <w:lang w:val="zh-CN"/>
        </w:rPr>
      </w:pPr>
      <w:r>
        <w:rPr>
          <w:rFonts w:hint="eastAsia" w:ascii="仿宋_GB2312" w:hAnsi="仿宋" w:eastAsia="仿宋_GB2312"/>
          <w:sz w:val="32"/>
          <w:szCs w:val="32"/>
          <w:lang w:val="zh-CN"/>
        </w:rPr>
        <w:t>一是及时完成绩效自评公开工作。二是针对绩效评价提出的问题和整改建议，相关科室积极落实措施调整预算、改进管理、不断予以自我规范。</w:t>
      </w:r>
    </w:p>
    <w:p>
      <w:pPr>
        <w:snapToGrid w:val="0"/>
        <w:spacing w:line="560" w:lineRule="exact"/>
        <w:ind w:firstLine="643" w:firstLineChars="200"/>
        <w:rPr>
          <w:rFonts w:ascii="仿宋_GB2312" w:hAnsi="仿宋" w:eastAsia="仿宋_GB2312"/>
          <w:b/>
          <w:bCs/>
          <w:sz w:val="32"/>
          <w:szCs w:val="32"/>
        </w:rPr>
      </w:pPr>
      <w:r>
        <w:rPr>
          <w:rFonts w:hint="eastAsia" w:ascii="仿宋_GB2312" w:hAnsi="仿宋" w:eastAsia="仿宋_GB2312"/>
          <w:b/>
          <w:bCs/>
          <w:sz w:val="32"/>
          <w:szCs w:val="32"/>
        </w:rPr>
        <w:t>四、评价结论及建议</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（一）评价结论</w:t>
      </w:r>
    </w:p>
    <w:p>
      <w:pPr>
        <w:snapToGrid w:val="0"/>
        <w:spacing w:line="560" w:lineRule="exact"/>
        <w:ind w:firstLine="640" w:firstLineChars="200"/>
        <w:rPr>
          <w:rFonts w:ascii="仿宋_GB2312" w:hAnsi="仿宋" w:eastAsia="仿宋_GB2312"/>
          <w:sz w:val="32"/>
          <w:szCs w:val="32"/>
        </w:rPr>
      </w:pPr>
      <w:r>
        <w:rPr>
          <w:rFonts w:hint="eastAsia" w:ascii="仿宋_GB2312" w:hAnsi="仿宋_GB2312" w:eastAsia="仿宋_GB2312" w:cs="仿宋_GB2312"/>
          <w:sz w:val="32"/>
          <w:szCs w:val="32"/>
        </w:rPr>
        <w:t>2024年，区综合执法局以市中区“1245”现代化建设思路为指引，持续加强执法监督，规范执法行为，精耕细作强化管理，促进市中区城市品质提升。</w:t>
      </w:r>
      <w:r>
        <w:rPr>
          <w:rFonts w:hint="eastAsia" w:ascii="仿宋_GB2312" w:eastAsia="仿宋_GB2312"/>
          <w:sz w:val="32"/>
          <w:szCs w:val="32"/>
        </w:rPr>
        <w:t>奋力推进“重大产业项目攻坚年”任务落实</w:t>
      </w:r>
      <w:r>
        <w:rPr>
          <w:rFonts w:hint="eastAsia" w:ascii="仿宋_GB2312" w:hAnsi="仿宋" w:eastAsia="仿宋_GB2312"/>
          <w:sz w:val="32"/>
          <w:szCs w:val="32"/>
        </w:rPr>
        <w:t>，坚持创新驱动引领高质量发展，加快推进城市管理现代化建设，城市基层治理更加科学高效，市民生活环境更加美丽宜居，各项工作取得新的突破。全局绩效目标全面完成，取得了良好经济和社会效益。</w:t>
      </w:r>
    </w:p>
    <w:p>
      <w:pPr>
        <w:snapToGrid w:val="0"/>
        <w:spacing w:line="560" w:lineRule="exact"/>
        <w:ind w:firstLine="640" w:firstLineChars="200"/>
        <w:rPr>
          <w:rFonts w:ascii="仿宋_GB2312" w:hAnsi="仿宋" w:eastAsia="仿宋_GB2312"/>
          <w:sz w:val="32"/>
          <w:szCs w:val="32"/>
          <w:lang w:val="zh-CN"/>
        </w:rPr>
      </w:pPr>
      <w:r>
        <w:rPr>
          <w:rFonts w:hint="eastAsia" w:ascii="仿宋_GB2312" w:hAnsi="仿宋" w:eastAsia="仿宋_GB2312"/>
          <w:sz w:val="32"/>
          <w:szCs w:val="32"/>
        </w:rPr>
        <w:t>全局绩效目标全面完成，取得了良好经济和社会效益。财务管理更加规范，部门收入和支出严格按照相关财经制度有序执行，全年无不良记录及违法违规行为。2024年我局整体支出绩效评价等级为“优秀”。</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（二）存在问题</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总的来看，我局预算绩效管理工作虽然取得了一些成绩，但也存在一些问题需要解决，还有一些不足之处需要完善，其中既有面上普遍存在的，也有实际工作中遇到的个性问题。</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一是预算绩效管理的范围有待进一步深入。一是虽然绩效评价工作已经开展，但评价项目资金比重还有进一步提高的空间。二是区财政局文件虽然对预算绩效管理提出明确工作要求，但在局内部各股室开展实施时还存在很多客观问题。</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二是评价指标体系需要进一步完善。</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财政支出评价对象涉及行业多，项目之间差异性大，目前虽然上级已经发布共性指标，但真正能体现项目效果的个性指标，由于设置难度较大，还不能满足目前工作开展需要。</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三是人员素质有待进一步提高。</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由于预算绩效管理工作开展时间较短，加上缺乏系统的培训，各股室负责预算绩效管理工作的人员对预算绩效管理认识不到位、理解不充分，对预算绩效管理业务不了解、不熟悉，对工作重点把握不到位。</w:t>
      </w:r>
    </w:p>
    <w:p>
      <w:pPr>
        <w:snapToGrid w:val="0"/>
        <w:spacing w:line="560" w:lineRule="exact"/>
        <w:ind w:firstLine="643" w:firstLineChars="200"/>
        <w:rPr>
          <w:rFonts w:ascii="仿宋_GB2312" w:hAnsi="仿宋" w:eastAsia="仿宋_GB2312"/>
          <w:b/>
          <w:bCs/>
          <w:sz w:val="32"/>
          <w:szCs w:val="32"/>
          <w:lang w:val="zh-CN"/>
        </w:rPr>
      </w:pPr>
      <w:r>
        <w:rPr>
          <w:rFonts w:hint="eastAsia" w:ascii="仿宋_GB2312" w:hAnsi="仿宋" w:eastAsia="仿宋_GB2312"/>
          <w:b/>
          <w:bCs/>
          <w:sz w:val="32"/>
          <w:szCs w:val="32"/>
          <w:lang w:val="zh-CN"/>
        </w:rPr>
        <w:t>（三）改进建议</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1.加强评价指标体系建设</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一是汇总梳理以前年度制定的指标，将符合当前预算绩效管理要求和行业管理特点的个性指标汇编成库；二是组织人员搜集整理先进单位制定出台的指标，进一步充实完善个性指标库：三是建立指标更新机制，将以后年度新制定的指标及时纳入指标库，做到随时更新、完善。</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2.积极运用绩效评价结果</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建立绩效评价结果的反馈与整改、激励与问责制度，将绩效评价纳入年终对股室和下属单位的考评当中。进一步完善绩效评价结果的反馈和运用机制，及时将绩效结果向社会公布，进一步增强单位的责任感和紧迫感。将评价结果作为安排以后年度预算的重要依据，切实发挥绩效评价工作应有的作用。</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3.加强培训和指导</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采取集中学习、讲座、专题会议等方式，加大对我局绩效评价管理工作参与人员的培训力度，进一步统一认识， 充实业务知识。</w:t>
      </w:r>
    </w:p>
    <w:p>
      <w:pPr>
        <w:snapToGrid w:val="0"/>
        <w:spacing w:line="560" w:lineRule="exact"/>
        <w:ind w:firstLine="640" w:firstLineChars="200"/>
        <w:rPr>
          <w:rFonts w:ascii="仿宋_GB2312" w:hAnsi="仿宋" w:eastAsia="仿宋_GB2312"/>
          <w:sz w:val="32"/>
          <w:szCs w:val="32"/>
        </w:rPr>
      </w:pPr>
    </w:p>
    <w:p>
      <w:pPr>
        <w:snapToGrid w:val="0"/>
        <w:spacing w:line="560" w:lineRule="exact"/>
        <w:ind w:firstLine="640" w:firstLineChars="200"/>
        <w:rPr>
          <w:rFonts w:ascii="仿宋_GB2312" w:hAnsi="仿宋" w:eastAsia="仿宋_GB2312"/>
          <w:sz w:val="32"/>
          <w:szCs w:val="32"/>
        </w:rPr>
      </w:pPr>
    </w:p>
    <w:p>
      <w:pPr>
        <w:snapToGrid w:val="0"/>
        <w:spacing w:line="560" w:lineRule="exact"/>
        <w:ind w:firstLine="640" w:firstLineChars="200"/>
        <w:rPr>
          <w:rFonts w:ascii="仿宋_GB2312" w:hAnsi="仿宋" w:eastAsia="仿宋_GB2312"/>
          <w:sz w:val="32"/>
          <w:szCs w:val="32"/>
        </w:rPr>
      </w:pP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附表：</w:t>
      </w:r>
      <w:r>
        <w:rPr>
          <w:rFonts w:ascii="仿宋_GB2312" w:hAnsi="仿宋" w:eastAsia="仿宋_GB2312"/>
          <w:sz w:val="32"/>
          <w:szCs w:val="32"/>
        </w:rPr>
        <w:t>部门整体支出绩效目标完成情况自评表</w:t>
      </w:r>
    </w:p>
    <w:p>
      <w:pPr>
        <w:pStyle w:val="2"/>
      </w:pPr>
    </w:p>
    <w:tbl>
      <w:tblPr>
        <w:tblStyle w:val="16"/>
        <w:tblpPr w:leftFromText="180" w:rightFromText="180" w:vertAnchor="text" w:horzAnchor="page" w:tblpX="742" w:tblpY="-105"/>
        <w:tblOverlap w:val="never"/>
        <w:tblW w:w="10560" w:type="dxa"/>
        <w:tblInd w:w="0" w:type="dxa"/>
        <w:tblLayout w:type="fixed"/>
        <w:tblCellMar>
          <w:top w:w="15" w:type="dxa"/>
          <w:left w:w="15" w:type="dxa"/>
          <w:bottom w:w="15" w:type="dxa"/>
          <w:right w:w="15" w:type="dxa"/>
        </w:tblCellMar>
      </w:tblPr>
      <w:tblGrid>
        <w:gridCol w:w="929"/>
        <w:gridCol w:w="1080"/>
        <w:gridCol w:w="1125"/>
        <w:gridCol w:w="1894"/>
        <w:gridCol w:w="1145"/>
        <w:gridCol w:w="1289"/>
        <w:gridCol w:w="1058"/>
        <w:gridCol w:w="926"/>
        <w:gridCol w:w="1114"/>
      </w:tblGrid>
      <w:tr>
        <w:tblPrEx>
          <w:tblCellMar>
            <w:top w:w="15" w:type="dxa"/>
            <w:left w:w="15" w:type="dxa"/>
            <w:bottom w:w="15" w:type="dxa"/>
            <w:right w:w="15" w:type="dxa"/>
          </w:tblCellMar>
        </w:tblPrEx>
        <w:trPr>
          <w:trHeight w:val="762" w:hRule="exact"/>
        </w:trPr>
        <w:tc>
          <w:tcPr>
            <w:tcW w:w="10560" w:type="dxa"/>
            <w:gridSpan w:val="9"/>
            <w:shd w:val="clear" w:color="auto" w:fill="auto"/>
            <w:vAlign w:val="center"/>
          </w:tcPr>
          <w:p>
            <w:pPr>
              <w:widowControl/>
              <w:spacing w:line="600" w:lineRule="exact"/>
              <w:jc w:val="center"/>
              <w:textAlignment w:val="center"/>
              <w:rPr>
                <w:rFonts w:eastAsia="黑体"/>
                <w:color w:val="000000"/>
                <w:sz w:val="28"/>
                <w:szCs w:val="28"/>
              </w:rPr>
            </w:pPr>
            <w:r>
              <w:rPr>
                <w:rFonts w:eastAsia="Arial Unicode MS"/>
                <w:color w:val="000000"/>
                <w:kern w:val="0"/>
                <w:sz w:val="44"/>
                <w:szCs w:val="44"/>
                <w:lang w:bidi="ar"/>
              </w:rPr>
              <w:t>部门整体支出绩效目标完成情况自评表</w:t>
            </w:r>
          </w:p>
        </w:tc>
      </w:tr>
      <w:tr>
        <w:tblPrEx>
          <w:tblCellMar>
            <w:top w:w="15" w:type="dxa"/>
            <w:left w:w="15" w:type="dxa"/>
            <w:bottom w:w="15" w:type="dxa"/>
            <w:right w:w="15" w:type="dxa"/>
          </w:tblCellMar>
        </w:tblPrEx>
        <w:trPr>
          <w:trHeight w:val="23" w:hRule="atLeast"/>
        </w:trPr>
        <w:tc>
          <w:tcPr>
            <w:tcW w:w="10560" w:type="dxa"/>
            <w:gridSpan w:val="9"/>
            <w:shd w:val="clear" w:color="auto" w:fill="auto"/>
            <w:vAlign w:val="center"/>
          </w:tcPr>
          <w:p>
            <w:pPr>
              <w:widowControl/>
              <w:spacing w:line="300" w:lineRule="exact"/>
              <w:jc w:val="center"/>
              <w:textAlignment w:val="center"/>
              <w:rPr>
                <w:color w:val="000000"/>
                <w:sz w:val="28"/>
                <w:szCs w:val="28"/>
              </w:rPr>
            </w:pPr>
            <w:r>
              <w:rPr>
                <w:color w:val="000000"/>
                <w:kern w:val="0"/>
                <w:sz w:val="28"/>
                <w:szCs w:val="28"/>
                <w:lang w:bidi="ar"/>
              </w:rPr>
              <w:t>（202</w:t>
            </w:r>
            <w:r>
              <w:rPr>
                <w:rFonts w:hint="eastAsia"/>
                <w:color w:val="000000"/>
                <w:kern w:val="0"/>
                <w:sz w:val="28"/>
                <w:szCs w:val="28"/>
                <w:lang w:bidi="ar"/>
              </w:rPr>
              <w:t>4</w:t>
            </w:r>
            <w:r>
              <w:rPr>
                <w:color w:val="000000"/>
                <w:kern w:val="0"/>
                <w:sz w:val="28"/>
                <w:szCs w:val="28"/>
                <w:lang w:bidi="ar"/>
              </w:rPr>
              <w:t>年度）</w:t>
            </w:r>
          </w:p>
        </w:tc>
      </w:tr>
      <w:tr>
        <w:tblPrEx>
          <w:tblCellMar>
            <w:top w:w="15" w:type="dxa"/>
            <w:left w:w="15" w:type="dxa"/>
            <w:bottom w:w="15" w:type="dxa"/>
            <w:right w:w="15" w:type="dxa"/>
          </w:tblCellMar>
        </w:tblPrEx>
        <w:trPr>
          <w:trHeight w:val="23" w:hRule="atLeast"/>
        </w:trPr>
        <w:tc>
          <w:tcPr>
            <w:tcW w:w="10560" w:type="dxa"/>
            <w:gridSpan w:val="9"/>
            <w:tcBorders>
              <w:bottom w:val="single" w:color="000000" w:sz="4" w:space="0"/>
            </w:tcBorders>
            <w:shd w:val="clear" w:color="auto" w:fill="auto"/>
            <w:vAlign w:val="center"/>
          </w:tcPr>
          <w:p>
            <w:pPr>
              <w:widowControl/>
              <w:spacing w:line="300" w:lineRule="exact"/>
              <w:jc w:val="right"/>
              <w:textAlignment w:val="center"/>
              <w:rPr>
                <w:color w:val="000000"/>
                <w:szCs w:val="21"/>
              </w:rPr>
            </w:pPr>
            <w:r>
              <w:rPr>
                <w:color w:val="000000"/>
                <w:kern w:val="0"/>
                <w:szCs w:val="21"/>
                <w:lang w:bidi="ar"/>
              </w:rPr>
              <w:t>单位：万元</w:t>
            </w:r>
          </w:p>
        </w:tc>
      </w:tr>
      <w:tr>
        <w:tblPrEx>
          <w:tblCellMar>
            <w:top w:w="15" w:type="dxa"/>
            <w:left w:w="15" w:type="dxa"/>
            <w:bottom w:w="15" w:type="dxa"/>
            <w:right w:w="15" w:type="dxa"/>
          </w:tblCellMar>
        </w:tblPrEx>
        <w:trPr>
          <w:trHeight w:val="23" w:hRule="atLeast"/>
        </w:trPr>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部门名称</w:t>
            </w:r>
          </w:p>
        </w:tc>
        <w:tc>
          <w:tcPr>
            <w:tcW w:w="742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sz w:val="16"/>
                <w:szCs w:val="16"/>
              </w:rPr>
              <w:t>328－乐山市市中区综合行政执法局部门</w:t>
            </w:r>
          </w:p>
        </w:tc>
      </w:tr>
      <w:tr>
        <w:tblPrEx>
          <w:tblCellMar>
            <w:top w:w="15" w:type="dxa"/>
            <w:left w:w="15" w:type="dxa"/>
            <w:bottom w:w="15" w:type="dxa"/>
            <w:right w:w="15" w:type="dxa"/>
          </w:tblCellMar>
        </w:tblPrEx>
        <w:trPr>
          <w:trHeight w:val="23"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年度部门整体支出预算</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资金总额</w:t>
            </w:r>
          </w:p>
        </w:tc>
        <w:tc>
          <w:tcPr>
            <w:tcW w:w="3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财政拨款</w:t>
            </w:r>
          </w:p>
        </w:tc>
        <w:tc>
          <w:tcPr>
            <w:tcW w:w="43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其他资金</w:t>
            </w:r>
          </w:p>
        </w:tc>
      </w:tr>
      <w:tr>
        <w:tblPrEx>
          <w:tblCellMar>
            <w:top w:w="15" w:type="dxa"/>
            <w:left w:w="15" w:type="dxa"/>
            <w:bottom w:w="15" w:type="dxa"/>
            <w:right w:w="15" w:type="dxa"/>
          </w:tblCellMar>
        </w:tblPrEx>
        <w:trPr>
          <w:trHeight w:val="23"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sz w:val="16"/>
                <w:szCs w:val="16"/>
              </w:rPr>
              <w:t>7,936.61</w:t>
            </w:r>
          </w:p>
        </w:tc>
        <w:tc>
          <w:tcPr>
            <w:tcW w:w="3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sz w:val="16"/>
                <w:szCs w:val="16"/>
              </w:rPr>
              <w:t>7,675.76</w:t>
            </w:r>
          </w:p>
        </w:tc>
        <w:tc>
          <w:tcPr>
            <w:tcW w:w="43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sz w:val="16"/>
                <w:szCs w:val="16"/>
              </w:rPr>
              <w:t>260.85</w:t>
            </w:r>
          </w:p>
        </w:tc>
      </w:tr>
      <w:tr>
        <w:tblPrEx>
          <w:tblCellMar>
            <w:top w:w="15" w:type="dxa"/>
            <w:left w:w="15" w:type="dxa"/>
            <w:bottom w:w="15" w:type="dxa"/>
            <w:right w:w="15" w:type="dxa"/>
          </w:tblCellMar>
        </w:tblPrEx>
        <w:trPr>
          <w:trHeight w:val="23"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年度总体</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目标</w:t>
            </w:r>
          </w:p>
        </w:tc>
        <w:tc>
          <w:tcPr>
            <w:tcW w:w="963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贯彻执行国家省市关于综合执法法律法规规章，拟定全区综合行政执法工作规划并组织实施，对城市管理、发改、住建、水务、商务、民政、经信7个领域的案件进行查处。完成区委、区政府交办的其他工作。</w:t>
            </w:r>
          </w:p>
        </w:tc>
      </w:tr>
      <w:tr>
        <w:tblPrEx>
          <w:tblCellMar>
            <w:top w:w="15" w:type="dxa"/>
            <w:left w:w="15" w:type="dxa"/>
            <w:bottom w:w="15" w:type="dxa"/>
            <w:right w:w="15" w:type="dxa"/>
          </w:tblCellMar>
        </w:tblPrEx>
        <w:trPr>
          <w:trHeight w:val="23" w:hRule="atLeast"/>
        </w:trPr>
        <w:tc>
          <w:tcPr>
            <w:tcW w:w="930"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年度主要</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任务</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任务名称</w:t>
            </w:r>
          </w:p>
        </w:tc>
        <w:tc>
          <w:tcPr>
            <w:tcW w:w="742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主要内容</w:t>
            </w:r>
          </w:p>
        </w:tc>
      </w:tr>
      <w:tr>
        <w:tblPrEx>
          <w:tblCellMar>
            <w:top w:w="15" w:type="dxa"/>
            <w:left w:w="15" w:type="dxa"/>
            <w:bottom w:w="15" w:type="dxa"/>
            <w:right w:w="15" w:type="dxa"/>
          </w:tblCellMar>
        </w:tblPrEx>
        <w:trPr>
          <w:trHeight w:val="23" w:hRule="atLeast"/>
        </w:trPr>
        <w:tc>
          <w:tcPr>
            <w:tcW w:w="93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案件的查处</w:t>
            </w:r>
          </w:p>
        </w:tc>
        <w:tc>
          <w:tcPr>
            <w:tcW w:w="742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对城管、发改、住建、水务、商务、民政、经信7个领域的案件进行查处</w:t>
            </w:r>
          </w:p>
        </w:tc>
      </w:tr>
      <w:tr>
        <w:tblPrEx>
          <w:tblCellMar>
            <w:top w:w="15" w:type="dxa"/>
            <w:left w:w="15" w:type="dxa"/>
            <w:bottom w:w="15" w:type="dxa"/>
            <w:right w:w="15" w:type="dxa"/>
          </w:tblCellMar>
        </w:tblPrEx>
        <w:trPr>
          <w:trHeight w:val="23" w:hRule="atLeast"/>
        </w:trPr>
        <w:tc>
          <w:tcPr>
            <w:tcW w:w="93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全区综合执法调度工作</w:t>
            </w:r>
          </w:p>
        </w:tc>
        <w:tc>
          <w:tcPr>
            <w:tcW w:w="742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依托1+5+X平台，合理整合各行政执法部门资源，对全区行政执法进行综合调度。</w:t>
            </w:r>
          </w:p>
        </w:tc>
      </w:tr>
      <w:tr>
        <w:tblPrEx>
          <w:tblCellMar>
            <w:top w:w="15" w:type="dxa"/>
            <w:left w:w="15" w:type="dxa"/>
            <w:bottom w:w="15" w:type="dxa"/>
            <w:right w:w="15" w:type="dxa"/>
          </w:tblCellMar>
        </w:tblPrEx>
        <w:trPr>
          <w:trHeight w:val="23" w:hRule="atLeast"/>
        </w:trPr>
        <w:tc>
          <w:tcPr>
            <w:tcW w:w="930" w:type="dxa"/>
            <w:vMerge w:val="continue"/>
            <w:tcBorders>
              <w:left w:val="single" w:color="000000" w:sz="4" w:space="0"/>
              <w:bottom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220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保障部门正常运转</w:t>
            </w:r>
          </w:p>
        </w:tc>
        <w:tc>
          <w:tcPr>
            <w:tcW w:w="7425"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完成区委、区政府交办的其他各项工作任务</w:t>
            </w:r>
          </w:p>
        </w:tc>
      </w:tr>
      <w:tr>
        <w:tblPrEx>
          <w:tblCellMar>
            <w:top w:w="15" w:type="dxa"/>
            <w:left w:w="15" w:type="dxa"/>
            <w:bottom w:w="15" w:type="dxa"/>
            <w:right w:w="15" w:type="dxa"/>
          </w:tblCellMar>
        </w:tblPrEx>
        <w:trPr>
          <w:trHeight w:val="23" w:hRule="atLeast"/>
        </w:trPr>
        <w:tc>
          <w:tcPr>
            <w:tcW w:w="930" w:type="dxa"/>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年度绩效</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指标</w:t>
            </w:r>
          </w:p>
        </w:tc>
        <w:tc>
          <w:tcPr>
            <w:tcW w:w="108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一级指标</w:t>
            </w:r>
          </w:p>
        </w:tc>
        <w:tc>
          <w:tcPr>
            <w:tcW w:w="112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二级指标</w:t>
            </w:r>
          </w:p>
        </w:tc>
        <w:tc>
          <w:tcPr>
            <w:tcW w:w="1894"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三级指标</w:t>
            </w:r>
          </w:p>
        </w:tc>
        <w:tc>
          <w:tcPr>
            <w:tcW w:w="114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绩效指标</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性质</w:t>
            </w:r>
          </w:p>
        </w:tc>
        <w:tc>
          <w:tcPr>
            <w:tcW w:w="128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绩效指标值</w:t>
            </w:r>
          </w:p>
        </w:tc>
        <w:tc>
          <w:tcPr>
            <w:tcW w:w="1058"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绩效度量单位</w:t>
            </w:r>
          </w:p>
        </w:tc>
        <w:tc>
          <w:tcPr>
            <w:tcW w:w="926" w:type="dxa"/>
            <w:tcBorders>
              <w:top w:val="single" w:color="auto" w:sz="4" w:space="0"/>
              <w:left w:val="single" w:color="000000" w:sz="4" w:space="0"/>
              <w:bottom w:val="single" w:color="auto"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权重</w:t>
            </w:r>
          </w:p>
        </w:tc>
        <w:tc>
          <w:tcPr>
            <w:tcW w:w="111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实际完成</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指标值</w:t>
            </w:r>
          </w:p>
        </w:tc>
      </w:tr>
      <w:tr>
        <w:tblPrEx>
          <w:tblCellMar>
            <w:top w:w="15" w:type="dxa"/>
            <w:left w:w="15" w:type="dxa"/>
            <w:bottom w:w="15" w:type="dxa"/>
            <w:right w:w="15" w:type="dxa"/>
          </w:tblCellMar>
        </w:tblPrEx>
        <w:trPr>
          <w:trHeight w:val="23" w:hRule="atLeast"/>
        </w:trPr>
        <w:tc>
          <w:tcPr>
            <w:tcW w:w="930" w:type="dxa"/>
            <w:vMerge w:val="continue"/>
            <w:tcBorders>
              <w:top w:val="single" w:color="auto" w:sz="4" w:space="0"/>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restart"/>
            <w:tcBorders>
              <w:top w:val="single" w:color="auto" w:sz="4" w:space="0"/>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产出指标</w:t>
            </w:r>
          </w:p>
        </w:tc>
        <w:tc>
          <w:tcPr>
            <w:tcW w:w="112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数量指标</w:t>
            </w:r>
          </w:p>
        </w:tc>
        <w:tc>
          <w:tcPr>
            <w:tcW w:w="189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办公用品、耗材购买批次</w:t>
            </w:r>
          </w:p>
        </w:tc>
        <w:tc>
          <w:tcPr>
            <w:tcW w:w="114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c>
          <w:tcPr>
            <w:tcW w:w="105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次/年</w:t>
            </w:r>
          </w:p>
        </w:tc>
        <w:tc>
          <w:tcPr>
            <w:tcW w:w="92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5</w:t>
            </w:r>
          </w:p>
        </w:tc>
        <w:tc>
          <w:tcPr>
            <w:tcW w:w="111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保障用电用水</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各项工资福利待遇发放</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维修办公用品次数</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支部活动开展次数</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12</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质量指标</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办公用品合格率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办公用品维修及时率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各项福利待遇发放准确率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100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100</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饮用水合格率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时效指标</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办公用品投入使用率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水电支付及时率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维修的及时率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支部活动费支付及时率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12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财政监督管理制度建设情况</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优良差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优</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效益指标</w:t>
            </w:r>
          </w:p>
        </w:tc>
        <w:tc>
          <w:tcPr>
            <w:tcW w:w="1125" w:type="dxa"/>
            <w:tcBorders>
              <w:top w:val="single" w:color="000000" w:sz="4" w:space="0"/>
              <w:left w:val="single" w:color="000000"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社会效益</w:t>
            </w:r>
          </w:p>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指标</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职工满意度</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10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95</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满意度指标</w:t>
            </w:r>
          </w:p>
        </w:tc>
        <w:tc>
          <w:tcPr>
            <w:tcW w:w="112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满意度指标</w:t>
            </w:r>
          </w:p>
        </w:tc>
        <w:tc>
          <w:tcPr>
            <w:tcW w:w="189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办公用品成本</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300000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元/年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180000</w:t>
            </w:r>
          </w:p>
        </w:tc>
      </w:tr>
      <w:tr>
        <w:tblPrEx>
          <w:tblCellMar>
            <w:top w:w="15" w:type="dxa"/>
            <w:left w:w="15" w:type="dxa"/>
            <w:bottom w:w="15" w:type="dxa"/>
            <w:right w:w="15" w:type="dxa"/>
          </w:tblCellMar>
        </w:tblPrEx>
        <w:trPr>
          <w:trHeight w:val="23" w:hRule="atLeast"/>
        </w:trPr>
        <w:tc>
          <w:tcPr>
            <w:tcW w:w="930" w:type="dxa"/>
            <w:vMerge w:val="continue"/>
            <w:tcBorders>
              <w:left w:val="single" w:color="auto" w:sz="4" w:space="0"/>
              <w:right w:val="single" w:color="auto" w:sz="4" w:space="0"/>
            </w:tcBorders>
            <w:shd w:val="clear" w:color="auto" w:fill="auto"/>
            <w:vAlign w:val="center"/>
          </w:tcPr>
          <w:p>
            <w:pPr>
              <w:widowControl/>
              <w:spacing w:line="300" w:lineRule="exact"/>
              <w:jc w:val="center"/>
              <w:rPr>
                <w:rFonts w:ascii="宋体" w:hAnsi="宋体" w:cs="宋体"/>
                <w:color w:val="000000"/>
                <w:sz w:val="16"/>
                <w:szCs w:val="16"/>
              </w:rPr>
            </w:pPr>
          </w:p>
        </w:tc>
        <w:tc>
          <w:tcPr>
            <w:tcW w:w="1080"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300" w:lineRule="exact"/>
              <w:jc w:val="center"/>
              <w:rPr>
                <w:rFonts w:ascii="宋体" w:hAnsi="宋体" w:cs="宋体"/>
                <w:color w:val="000000"/>
                <w:sz w:val="16"/>
                <w:szCs w:val="16"/>
              </w:rPr>
            </w:pPr>
            <w:r>
              <w:rPr>
                <w:rFonts w:hint="eastAsia" w:ascii="宋体" w:hAnsi="宋体" w:cs="宋体"/>
                <w:color w:val="000000"/>
                <w:sz w:val="16"/>
                <w:szCs w:val="16"/>
              </w:rPr>
              <w:t>成本指标</w:t>
            </w:r>
          </w:p>
        </w:tc>
        <w:tc>
          <w:tcPr>
            <w:tcW w:w="112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经济成本指标</w:t>
            </w:r>
          </w:p>
        </w:tc>
        <w:tc>
          <w:tcPr>
            <w:tcW w:w="1894"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维修成本</w:t>
            </w:r>
          </w:p>
        </w:tc>
        <w:tc>
          <w:tcPr>
            <w:tcW w:w="1145"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50000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元/年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22"/>
                <w:szCs w:val="22"/>
                <w:lang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rPr>
                <w:rFonts w:ascii="宋体" w:hAnsi="宋体" w:cs="宋体"/>
                <w:color w:val="000000"/>
                <w:sz w:val="16"/>
                <w:szCs w:val="16"/>
              </w:rPr>
            </w:pPr>
            <w:r>
              <w:rPr>
                <w:rFonts w:hint="eastAsia" w:ascii="宋体" w:hAnsi="宋体" w:cs="宋体"/>
                <w:color w:val="000000"/>
                <w:sz w:val="16"/>
                <w:szCs w:val="16"/>
              </w:rPr>
              <w:t>40000</w:t>
            </w:r>
          </w:p>
        </w:tc>
      </w:tr>
    </w:tbl>
    <w:p>
      <w:pPr>
        <w:rPr>
          <w:rFonts w:ascii="仿宋_GB2312" w:hAnsi="仿宋" w:eastAsia="仿宋_GB2312"/>
          <w:sz w:val="32"/>
          <w:szCs w:val="32"/>
        </w:rPr>
      </w:pPr>
    </w:p>
    <w:p>
      <w:pPr>
        <w:pStyle w:val="8"/>
        <w:spacing w:line="560" w:lineRule="exact"/>
        <w:ind w:left="0" w:leftChars="0" w:firstLine="640"/>
        <w:rPr>
          <w:rFonts w:ascii="Times New Roman" w:eastAsia="仿宋_GB2312"/>
          <w:sz w:val="32"/>
          <w:lang w:val="zh-CN"/>
        </w:rPr>
      </w:pPr>
      <w:r>
        <w:rPr>
          <w:rFonts w:hint="eastAsia" w:ascii="Times New Roman" w:eastAsia="仿宋_GB2312"/>
          <w:sz w:val="32"/>
          <w:lang w:val="zh-CN"/>
        </w:rPr>
        <w:t>附表：</w:t>
      </w:r>
      <w:r>
        <w:rPr>
          <w:rFonts w:hint="eastAsia" w:ascii="Times New Roman" w:eastAsia="仿宋_GB2312"/>
          <w:sz w:val="32"/>
        </w:rPr>
        <w:t>部门预算项目支出绩效自评表（2024年度）</w:t>
      </w:r>
    </w:p>
    <w:p>
      <w:pPr>
        <w:pStyle w:val="8"/>
        <w:spacing w:line="560" w:lineRule="exact"/>
        <w:ind w:left="0" w:leftChars="0" w:firstLine="0" w:firstLineChars="0"/>
        <w:rPr>
          <w:rFonts w:ascii="Times New Roman"/>
          <w:sz w:val="32"/>
          <w:highlight w:val="yellow"/>
          <w:lang w:val="zh-CN"/>
        </w:rPr>
      </w:pPr>
    </w:p>
    <w:p>
      <w:pPr>
        <w:pStyle w:val="6"/>
        <w:spacing w:before="93"/>
        <w:rPr>
          <w:rFonts w:ascii="Times New Roman" w:cs="宋体"/>
          <w:color w:val="FF0000"/>
          <w:sz w:val="32"/>
          <w:szCs w:val="32"/>
          <w:highlight w:val="yellow"/>
          <w:shd w:val="clear" w:color="auto" w:fill="FFFFFF"/>
          <w:lang w:val="zh-CN"/>
        </w:rPr>
      </w:pPr>
      <w:r>
        <w:rPr>
          <w:rFonts w:ascii="Times New Roman" w:cs="宋体"/>
          <w:color w:val="FF0000"/>
          <w:sz w:val="32"/>
          <w:szCs w:val="32"/>
          <w:shd w:val="clear" w:color="auto" w:fill="FFFFFF"/>
        </w:rPr>
        <w:drawing>
          <wp:inline distT="0" distB="0" distL="114300" distR="114300">
            <wp:extent cx="5272405" cy="5210175"/>
            <wp:effectExtent l="0" t="0" r="4445" b="9525"/>
            <wp:docPr id="15" name="图片 15" descr="区综合行政执法局部门预算项目支出绩效自评表_自评表 (公益性岗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区综合行政执法局部门预算项目支出绩效自评表_自评表 (公益性岗位)"/>
                    <pic:cNvPicPr>
                      <a:picLocks noChangeAspect="1"/>
                    </pic:cNvPicPr>
                  </pic:nvPicPr>
                  <pic:blipFill>
                    <a:blip r:embed="rId13"/>
                    <a:stretch>
                      <a:fillRect/>
                    </a:stretch>
                  </pic:blipFill>
                  <pic:spPr>
                    <a:xfrm>
                      <a:off x="0" y="0"/>
                      <a:ext cx="5272405" cy="5210175"/>
                    </a:xfrm>
                    <a:prstGeom prst="rect">
                      <a:avLst/>
                    </a:prstGeom>
                  </pic:spPr>
                </pic:pic>
              </a:graphicData>
            </a:graphic>
          </wp:inline>
        </w:drawing>
      </w:r>
      <w:r>
        <w:rPr>
          <w:rFonts w:ascii="Times New Roman" w:cs="宋体"/>
          <w:color w:val="FF0000"/>
          <w:sz w:val="32"/>
          <w:szCs w:val="32"/>
          <w:shd w:val="clear" w:color="auto" w:fill="FFFFFF"/>
        </w:rPr>
        <w:drawing>
          <wp:inline distT="0" distB="0" distL="114300" distR="114300">
            <wp:extent cx="5272405" cy="5210175"/>
            <wp:effectExtent l="0" t="0" r="4445" b="9525"/>
            <wp:docPr id="14" name="图片 14" descr="区综合行政执法局部门预算项目支出绩效自评表_自评表 (缓堵保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区综合行政执法局部门预算项目支出绩效自评表_自评表 (缓堵保畅)"/>
                    <pic:cNvPicPr>
                      <a:picLocks noChangeAspect="1"/>
                    </pic:cNvPicPr>
                  </pic:nvPicPr>
                  <pic:blipFill>
                    <a:blip r:embed="rId14"/>
                    <a:stretch>
                      <a:fillRect/>
                    </a:stretch>
                  </pic:blipFill>
                  <pic:spPr>
                    <a:xfrm>
                      <a:off x="0" y="0"/>
                      <a:ext cx="5272405" cy="5210175"/>
                    </a:xfrm>
                    <a:prstGeom prst="rect">
                      <a:avLst/>
                    </a:prstGeom>
                  </pic:spPr>
                </pic:pic>
              </a:graphicData>
            </a:graphic>
          </wp:inline>
        </w:drawing>
      </w:r>
      <w:r>
        <w:rPr>
          <w:rFonts w:ascii="Times New Roman" w:cs="宋体"/>
          <w:color w:val="FF0000"/>
          <w:sz w:val="32"/>
          <w:szCs w:val="32"/>
          <w:shd w:val="clear" w:color="auto" w:fill="FFFFFF"/>
        </w:rPr>
        <w:drawing>
          <wp:inline distT="0" distB="0" distL="114300" distR="114300">
            <wp:extent cx="5273040" cy="5815330"/>
            <wp:effectExtent l="0" t="0" r="3810" b="13970"/>
            <wp:docPr id="13" name="图片 13" descr="区综合行政执法局部门预算项目支出绩效自评表_自评表 (基本运转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区综合行政执法局部门预算项目支出绩效自评表_自评表 (基本运转经费)"/>
                    <pic:cNvPicPr>
                      <a:picLocks noChangeAspect="1"/>
                    </pic:cNvPicPr>
                  </pic:nvPicPr>
                  <pic:blipFill>
                    <a:blip r:embed="rId15"/>
                    <a:stretch>
                      <a:fillRect/>
                    </a:stretch>
                  </pic:blipFill>
                  <pic:spPr>
                    <a:xfrm>
                      <a:off x="0" y="0"/>
                      <a:ext cx="5273040" cy="5815330"/>
                    </a:xfrm>
                    <a:prstGeom prst="rect">
                      <a:avLst/>
                    </a:prstGeom>
                  </pic:spPr>
                </pic:pic>
              </a:graphicData>
            </a:graphic>
          </wp:inline>
        </w:drawing>
      </w:r>
      <w:r>
        <w:rPr>
          <w:rFonts w:ascii="Times New Roman" w:cs="宋体"/>
          <w:color w:val="FF0000"/>
          <w:sz w:val="32"/>
          <w:szCs w:val="32"/>
          <w:shd w:val="clear" w:color="auto" w:fill="FFFFFF"/>
        </w:rPr>
        <w:drawing>
          <wp:inline distT="0" distB="0" distL="114300" distR="114300">
            <wp:extent cx="5272405" cy="6824980"/>
            <wp:effectExtent l="0" t="0" r="4445" b="13970"/>
            <wp:docPr id="12" name="图片 12" descr="区综合行政执法局部门预算项目支出绩效自评表_自评表 (砂石整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区综合行政执法局部门预算项目支出绩效自评表_自评表 (砂石整治)"/>
                    <pic:cNvPicPr>
                      <a:picLocks noChangeAspect="1"/>
                    </pic:cNvPicPr>
                  </pic:nvPicPr>
                  <pic:blipFill>
                    <a:blip r:embed="rId16"/>
                    <a:stretch>
                      <a:fillRect/>
                    </a:stretch>
                  </pic:blipFill>
                  <pic:spPr>
                    <a:xfrm>
                      <a:off x="0" y="0"/>
                      <a:ext cx="5272405" cy="6824980"/>
                    </a:xfrm>
                    <a:prstGeom prst="rect">
                      <a:avLst/>
                    </a:prstGeom>
                  </pic:spPr>
                </pic:pic>
              </a:graphicData>
            </a:graphic>
          </wp:inline>
        </w:drawing>
      </w:r>
      <w:r>
        <w:rPr>
          <w:rFonts w:ascii="Times New Roman" w:cs="宋体"/>
          <w:color w:val="FF0000"/>
          <w:sz w:val="32"/>
          <w:szCs w:val="32"/>
          <w:shd w:val="clear" w:color="auto" w:fill="FFFFFF"/>
        </w:rPr>
        <w:drawing>
          <wp:inline distT="0" distB="0" distL="114300" distR="114300">
            <wp:extent cx="5272405" cy="5769610"/>
            <wp:effectExtent l="0" t="0" r="4445" b="2540"/>
            <wp:docPr id="11" name="图片 11" descr="区综合行政执法局部门预算项目支出绩效自评表_自评表 (协管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区综合行政执法局部门预算项目支出绩效自评表_自评表 (协管员)"/>
                    <pic:cNvPicPr>
                      <a:picLocks noChangeAspect="1"/>
                    </pic:cNvPicPr>
                  </pic:nvPicPr>
                  <pic:blipFill>
                    <a:blip r:embed="rId17"/>
                    <a:stretch>
                      <a:fillRect/>
                    </a:stretch>
                  </pic:blipFill>
                  <pic:spPr>
                    <a:xfrm>
                      <a:off x="0" y="0"/>
                      <a:ext cx="5272405" cy="5769610"/>
                    </a:xfrm>
                    <a:prstGeom prst="rect">
                      <a:avLst/>
                    </a:prstGeom>
                  </pic:spPr>
                </pic:pic>
              </a:graphicData>
            </a:graphic>
          </wp:inline>
        </w:drawing>
      </w:r>
      <w:r>
        <w:rPr>
          <w:rFonts w:ascii="Times New Roman" w:cs="宋体"/>
          <w:color w:val="FF0000"/>
          <w:sz w:val="32"/>
          <w:szCs w:val="32"/>
          <w:shd w:val="clear" w:color="auto" w:fill="FFFFFF"/>
        </w:rPr>
        <w:drawing>
          <wp:inline distT="0" distB="0" distL="114300" distR="114300">
            <wp:extent cx="5272405" cy="5328285"/>
            <wp:effectExtent l="0" t="0" r="4445" b="5715"/>
            <wp:docPr id="10" name="图片 10" descr="区综合行政执法局部门预算项目支出绩效自评表_自评表（服装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区综合行政执法局部门预算项目支出绩效自评表_自评表（服装采购）"/>
                    <pic:cNvPicPr>
                      <a:picLocks noChangeAspect="1"/>
                    </pic:cNvPicPr>
                  </pic:nvPicPr>
                  <pic:blipFill>
                    <a:blip r:embed="rId18"/>
                    <a:stretch>
                      <a:fillRect/>
                    </a:stretch>
                  </pic:blipFill>
                  <pic:spPr>
                    <a:xfrm>
                      <a:off x="0" y="0"/>
                      <a:ext cx="5272405" cy="5328285"/>
                    </a:xfrm>
                    <a:prstGeom prst="rect">
                      <a:avLst/>
                    </a:prstGeom>
                  </pic:spPr>
                </pic:pic>
              </a:graphicData>
            </a:graphic>
          </wp:inline>
        </w:drawing>
      </w:r>
    </w:p>
    <w:p>
      <w:pPr>
        <w:rPr>
          <w:rFonts w:eastAsia="黑体" w:cs="黑体"/>
          <w:kern w:val="0"/>
          <w:sz w:val="32"/>
          <w:szCs w:val="32"/>
          <w:shd w:val="clear" w:color="auto" w:fill="FFFFFF"/>
          <w:lang w:val="zh-CN"/>
        </w:rPr>
      </w:pPr>
      <w:r>
        <w:drawing>
          <wp:inline distT="0" distB="0" distL="114300" distR="114300">
            <wp:extent cx="5271135" cy="4495165"/>
            <wp:effectExtent l="0" t="0" r="571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71135" cy="4495165"/>
                    </a:xfrm>
                    <a:prstGeom prst="rect">
                      <a:avLst/>
                    </a:prstGeom>
                    <a:noFill/>
                    <a:ln>
                      <a:noFill/>
                    </a:ln>
                  </pic:spPr>
                </pic:pic>
              </a:graphicData>
            </a:graphic>
          </wp:inline>
        </w:drawing>
      </w:r>
      <w:r>
        <w:drawing>
          <wp:inline distT="0" distB="0" distL="114300" distR="114300">
            <wp:extent cx="5268595" cy="4625340"/>
            <wp:effectExtent l="0" t="0" r="8255"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5268595" cy="4625340"/>
                    </a:xfrm>
                    <a:prstGeom prst="rect">
                      <a:avLst/>
                    </a:prstGeom>
                    <a:noFill/>
                    <a:ln>
                      <a:noFill/>
                    </a:ln>
                  </pic:spPr>
                </pic:pic>
              </a:graphicData>
            </a:graphic>
          </wp:inline>
        </w:drawing>
      </w:r>
      <w:r>
        <w:drawing>
          <wp:inline distT="0" distB="0" distL="114300" distR="114300">
            <wp:extent cx="5273040" cy="5077460"/>
            <wp:effectExtent l="0" t="0" r="381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273040" cy="5077460"/>
                    </a:xfrm>
                    <a:prstGeom prst="rect">
                      <a:avLst/>
                    </a:prstGeom>
                    <a:noFill/>
                    <a:ln>
                      <a:noFill/>
                    </a:ln>
                  </pic:spPr>
                </pic:pic>
              </a:graphicData>
            </a:graphic>
          </wp:inline>
        </w:drawing>
      </w:r>
      <w:r>
        <w:rPr>
          <w:rFonts w:hint="eastAsia" w:eastAsia="黑体" w:cs="黑体"/>
          <w:kern w:val="0"/>
          <w:sz w:val="32"/>
          <w:szCs w:val="32"/>
          <w:shd w:val="clear" w:color="auto" w:fill="FFFFFF"/>
          <w:lang w:val="zh-CN"/>
        </w:rPr>
        <w:br w:type="page"/>
      </w:r>
    </w:p>
    <w:p>
      <w:pPr>
        <w:pStyle w:val="6"/>
        <w:spacing w:before="93"/>
        <w:rPr>
          <w:rFonts w:ascii="Times New Roman" w:eastAsia="黑体" w:cs="黑体"/>
          <w:sz w:val="32"/>
          <w:szCs w:val="32"/>
        </w:rPr>
      </w:pPr>
      <w:r>
        <w:rPr>
          <w:rFonts w:hint="eastAsia" w:ascii="Times New Roman" w:eastAsia="黑体" w:cs="黑体"/>
          <w:sz w:val="32"/>
          <w:szCs w:val="32"/>
          <w:shd w:val="clear" w:color="auto" w:fill="FFFFFF"/>
          <w:lang w:val="zh-CN"/>
        </w:rPr>
        <w:t>附件</w:t>
      </w:r>
      <w:r>
        <w:rPr>
          <w:rFonts w:hint="eastAsia" w:ascii="Times New Roman" w:eastAsia="黑体" w:cs="黑体"/>
          <w:sz w:val="32"/>
          <w:szCs w:val="32"/>
          <w:shd w:val="clear" w:color="auto" w:fill="FFFFFF"/>
        </w:rPr>
        <w:t>2</w:t>
      </w:r>
    </w:p>
    <w:p>
      <w:pPr>
        <w:pStyle w:val="34"/>
        <w:spacing w:line="578" w:lineRule="exact"/>
        <w:jc w:val="center"/>
        <w:rPr>
          <w:rFonts w:ascii="Times New Roman" w:hAnsi="Times New Roman" w:eastAsia="Arial Unicode MS" w:cs="Arial Unicode MS"/>
          <w:color w:val="auto"/>
          <w:kern w:val="2"/>
          <w:sz w:val="44"/>
          <w:szCs w:val="44"/>
          <w:lang w:val="en-US"/>
        </w:rPr>
      </w:pPr>
    </w:p>
    <w:p>
      <w:pPr>
        <w:pStyle w:val="34"/>
        <w:spacing w:line="578" w:lineRule="exact"/>
        <w:jc w:val="center"/>
        <w:rPr>
          <w:rFonts w:ascii="Times New Roman" w:hAnsi="Times New Roman" w:eastAsia="Arial Unicode MS" w:cs="Arial Unicode MS"/>
          <w:color w:val="auto"/>
          <w:kern w:val="2"/>
          <w:sz w:val="44"/>
          <w:szCs w:val="44"/>
          <w:lang w:val="en-US"/>
        </w:rPr>
      </w:pPr>
      <w:r>
        <w:rPr>
          <w:rFonts w:hint="eastAsia" w:ascii="Times New Roman" w:hAnsi="Times New Roman" w:eastAsia="Arial Unicode MS" w:cs="Arial Unicode MS"/>
          <w:color w:val="auto"/>
          <w:kern w:val="2"/>
          <w:sz w:val="44"/>
          <w:szCs w:val="44"/>
          <w:lang w:val="en-US"/>
        </w:rPr>
        <w:t>专项预算项目绩效评价报告范本</w:t>
      </w:r>
    </w:p>
    <w:p>
      <w:pPr>
        <w:pStyle w:val="34"/>
        <w:spacing w:line="578" w:lineRule="exact"/>
        <w:jc w:val="center"/>
        <w:rPr>
          <w:rFonts w:ascii="Times New Roman" w:hAnsi="Times New Roman" w:eastAsia="Arial Unicode MS" w:cs="Arial Unicode MS"/>
          <w:color w:val="auto"/>
          <w:kern w:val="2"/>
          <w:sz w:val="44"/>
          <w:szCs w:val="44"/>
          <w:lang w:val="en-US"/>
        </w:rPr>
      </w:pPr>
      <w:r>
        <w:rPr>
          <w:rFonts w:hint="eastAsia" w:ascii="Times New Roman" w:hAnsi="Times New Roman" w:eastAsia="Arial Unicode MS" w:cs="Arial Unicode MS"/>
          <w:color w:val="auto"/>
          <w:kern w:val="2"/>
          <w:sz w:val="44"/>
          <w:szCs w:val="44"/>
          <w:lang w:val="en-US"/>
        </w:rPr>
        <w:t>（无）</w:t>
      </w:r>
    </w:p>
    <w:p>
      <w:pPr>
        <w:pStyle w:val="34"/>
        <w:spacing w:line="578" w:lineRule="exact"/>
        <w:ind w:firstLine="640"/>
        <w:jc w:val="center"/>
        <w:rPr>
          <w:rFonts w:ascii="Times New Roman" w:hAnsi="Times New Roman"/>
          <w:color w:val="auto"/>
          <w:kern w:val="2"/>
          <w:sz w:val="32"/>
          <w:szCs w:val="32"/>
        </w:rPr>
      </w:pPr>
    </w:p>
    <w:p>
      <w:pPr>
        <w:adjustRightInd w:val="0"/>
        <w:snapToGrid w:val="0"/>
        <w:spacing w:line="578" w:lineRule="exact"/>
        <w:ind w:firstLine="640" w:firstLineChars="200"/>
        <w:rPr>
          <w:rFonts w:eastAsia="黑体"/>
          <w:sz w:val="32"/>
          <w:szCs w:val="32"/>
          <w:lang w:val="zh-CN"/>
        </w:rPr>
      </w:pPr>
      <w:r>
        <w:rPr>
          <w:rFonts w:hint="eastAsia" w:eastAsia="黑体"/>
          <w:sz w:val="32"/>
          <w:szCs w:val="32"/>
        </w:rPr>
        <w:t>一、</w:t>
      </w:r>
      <w:r>
        <w:rPr>
          <w:rFonts w:hint="eastAsia" w:eastAsia="黑体"/>
          <w:sz w:val="32"/>
          <w:szCs w:val="32"/>
          <w:lang w:val="zh-CN"/>
        </w:rPr>
        <w:t>项目概况</w:t>
      </w:r>
    </w:p>
    <w:p>
      <w:pPr>
        <w:widowControl/>
        <w:adjustRightInd w:val="0"/>
        <w:snapToGrid w:val="0"/>
        <w:spacing w:line="578" w:lineRule="exact"/>
        <w:ind w:firstLine="643" w:firstLineChars="200"/>
        <w:contextualSpacing/>
        <w:jc w:val="left"/>
        <w:rPr>
          <w:rFonts w:eastAsia="仿宋_GB2312" w:cs="仿宋_GB2312"/>
          <w:kern w:val="0"/>
          <w:sz w:val="32"/>
          <w:szCs w:val="32"/>
          <w:shd w:val="clear" w:color="auto" w:fill="FFFFFF"/>
          <w:lang w:val="zh-CN"/>
        </w:rPr>
      </w:pPr>
      <w:r>
        <w:rPr>
          <w:rFonts w:hint="eastAsia" w:eastAsia="楷体_GB2312"/>
          <w:b/>
          <w:sz w:val="32"/>
          <w:szCs w:val="32"/>
          <w:lang w:val="zh-CN"/>
        </w:rPr>
        <w:t>（一）设立背景及基本情况。</w:t>
      </w:r>
      <w:r>
        <w:rPr>
          <w:rFonts w:hint="eastAsia" w:eastAsia="仿宋_GB2312" w:cs="仿宋_GB2312"/>
          <w:kern w:val="0"/>
          <w:sz w:val="32"/>
          <w:szCs w:val="32"/>
        </w:rPr>
        <w:t>项目设立原因及背景，</w:t>
      </w:r>
      <w:r>
        <w:rPr>
          <w:rFonts w:hint="eastAsia" w:eastAsia="仿宋_GB2312" w:cs="仿宋_GB2312"/>
          <w:kern w:val="0"/>
          <w:sz w:val="32"/>
          <w:szCs w:val="32"/>
          <w:lang w:val="zh-CN"/>
        </w:rPr>
        <w:t>项目立项、资金申报的依据，项目主要内容</w:t>
      </w:r>
      <w:r>
        <w:rPr>
          <w:rFonts w:hint="eastAsia" w:eastAsia="仿宋_GB2312" w:cs="仿宋_GB2312"/>
          <w:kern w:val="0"/>
          <w:sz w:val="32"/>
          <w:szCs w:val="32"/>
        </w:rPr>
        <w:t>。</w:t>
      </w:r>
      <w:r>
        <w:rPr>
          <w:rFonts w:hint="eastAsia" w:eastAsia="仿宋_GB2312" w:cs="仿宋_GB2312"/>
          <w:kern w:val="0"/>
          <w:sz w:val="32"/>
          <w:szCs w:val="32"/>
          <w:lang w:val="zh-CN"/>
        </w:rPr>
        <w:t>主管部门职能</w:t>
      </w:r>
      <w:r>
        <w:rPr>
          <w:rFonts w:hint="eastAsia" w:eastAsia="仿宋_GB2312" w:cs="仿宋_GB2312"/>
          <w:kern w:val="0"/>
          <w:sz w:val="32"/>
          <w:szCs w:val="32"/>
          <w:shd w:val="clear" w:color="auto" w:fill="FFFFFF"/>
          <w:lang w:val="zh-CN"/>
        </w:rPr>
        <w:t>。</w:t>
      </w:r>
    </w:p>
    <w:p>
      <w:pPr>
        <w:adjustRightInd w:val="0"/>
        <w:snapToGrid w:val="0"/>
        <w:spacing w:line="578" w:lineRule="exact"/>
        <w:ind w:firstLine="643" w:firstLineChars="200"/>
        <w:rPr>
          <w:rFonts w:eastAsia="仿宋_GB2312" w:cs="仿宋_GB2312"/>
          <w:kern w:val="0"/>
          <w:sz w:val="32"/>
          <w:szCs w:val="32"/>
          <w:lang w:val="zh-CN"/>
        </w:rPr>
      </w:pPr>
      <w:r>
        <w:rPr>
          <w:rFonts w:hint="eastAsia" w:eastAsia="楷体_GB2312"/>
          <w:b/>
          <w:sz w:val="32"/>
          <w:szCs w:val="32"/>
          <w:lang w:val="zh-CN"/>
        </w:rPr>
        <w:t>（二）</w:t>
      </w:r>
      <w:r>
        <w:rPr>
          <w:rFonts w:eastAsia="楷体_GB2312"/>
          <w:b/>
          <w:sz w:val="32"/>
          <w:szCs w:val="32"/>
        </w:rPr>
        <w:t>实施目的及支持方向</w:t>
      </w:r>
      <w:r>
        <w:rPr>
          <w:rFonts w:hint="eastAsia" w:eastAsia="楷体_GB2312"/>
          <w:b/>
          <w:sz w:val="32"/>
          <w:szCs w:val="32"/>
        </w:rPr>
        <w:t>。</w:t>
      </w:r>
      <w:r>
        <w:rPr>
          <w:rFonts w:hint="eastAsia" w:eastAsia="仿宋_GB2312" w:cs="仿宋_GB2312"/>
          <w:kern w:val="0"/>
          <w:sz w:val="32"/>
          <w:szCs w:val="32"/>
        </w:rPr>
        <w:t>项目资金</w:t>
      </w:r>
      <w:r>
        <w:rPr>
          <w:rFonts w:hint="eastAsia" w:eastAsia="仿宋_GB2312" w:cs="仿宋_GB2312"/>
          <w:kern w:val="0"/>
          <w:sz w:val="32"/>
          <w:szCs w:val="32"/>
          <w:lang w:val="zh-CN"/>
        </w:rPr>
        <w:t>管理办法制定情况，项目实施目的和主要工作任务，项目支持方向。</w:t>
      </w:r>
    </w:p>
    <w:p>
      <w:pPr>
        <w:widowControl/>
        <w:adjustRightInd w:val="0"/>
        <w:snapToGrid w:val="0"/>
        <w:spacing w:line="578" w:lineRule="exact"/>
        <w:ind w:firstLine="643" w:firstLineChars="200"/>
        <w:contextualSpacing/>
        <w:jc w:val="left"/>
        <w:rPr>
          <w:rFonts w:eastAsia="仿宋_GB2312" w:cs="仿宋_GB2312"/>
          <w:kern w:val="0"/>
          <w:sz w:val="32"/>
          <w:szCs w:val="32"/>
          <w:lang w:val="zh-CN"/>
        </w:rPr>
      </w:pPr>
      <w:r>
        <w:rPr>
          <w:rFonts w:hint="eastAsia" w:eastAsia="楷体_GB2312"/>
          <w:b/>
          <w:sz w:val="32"/>
          <w:szCs w:val="32"/>
          <w:lang w:val="zh-CN"/>
        </w:rPr>
        <w:t>（三）</w:t>
      </w:r>
      <w:r>
        <w:rPr>
          <w:rFonts w:eastAsia="楷体_GB2312"/>
          <w:b/>
          <w:sz w:val="32"/>
          <w:szCs w:val="32"/>
        </w:rPr>
        <w:t>预算安排及分配管理</w:t>
      </w:r>
      <w:r>
        <w:rPr>
          <w:rFonts w:hint="eastAsia" w:eastAsia="楷体_GB2312"/>
          <w:b/>
          <w:sz w:val="32"/>
          <w:szCs w:val="32"/>
          <w:lang w:val="zh-CN"/>
        </w:rPr>
        <w:t>。</w:t>
      </w:r>
      <w:r>
        <w:rPr>
          <w:rFonts w:hint="eastAsia" w:eastAsia="仿宋_GB2312" w:cs="仿宋_GB2312"/>
          <w:kern w:val="0"/>
          <w:sz w:val="32"/>
          <w:szCs w:val="32"/>
          <w:lang w:val="zh-CN"/>
        </w:rPr>
        <w:t>项目预算安排情况，项目资金分配原则及考虑因素，项目资金分配情况。</w:t>
      </w:r>
    </w:p>
    <w:p>
      <w:pPr>
        <w:adjustRightInd w:val="0"/>
        <w:snapToGrid w:val="0"/>
        <w:spacing w:line="578" w:lineRule="exact"/>
        <w:ind w:firstLine="643" w:firstLineChars="200"/>
        <w:rPr>
          <w:rFonts w:eastAsia="仿宋_GB2312" w:cs="仿宋_GB2312"/>
          <w:kern w:val="0"/>
          <w:sz w:val="32"/>
          <w:szCs w:val="32"/>
          <w:lang w:val="zh-CN"/>
        </w:rPr>
      </w:pPr>
      <w:r>
        <w:rPr>
          <w:rFonts w:hint="eastAsia" w:eastAsia="楷体_GB2312"/>
          <w:b/>
          <w:sz w:val="32"/>
          <w:szCs w:val="32"/>
          <w:lang w:val="zh-CN"/>
        </w:rPr>
        <w:t>（四）项目绩效目标设置。</w:t>
      </w:r>
      <w:r>
        <w:rPr>
          <w:rFonts w:hint="eastAsia" w:eastAsia="仿宋_GB2312" w:cs="仿宋_GB2312"/>
          <w:kern w:val="0"/>
          <w:sz w:val="32"/>
          <w:szCs w:val="32"/>
          <w:lang w:val="zh-CN"/>
        </w:rPr>
        <w:t>项目整体、区域和具体绩效目标设置情况，项目自评工作开展情况。</w:t>
      </w:r>
    </w:p>
    <w:p>
      <w:pPr>
        <w:adjustRightInd w:val="0"/>
        <w:snapToGrid w:val="0"/>
        <w:spacing w:line="578" w:lineRule="exact"/>
        <w:ind w:firstLine="640" w:firstLineChars="200"/>
        <w:rPr>
          <w:rFonts w:eastAsia="黑体"/>
          <w:sz w:val="32"/>
          <w:szCs w:val="32"/>
        </w:rPr>
      </w:pPr>
      <w:r>
        <w:rPr>
          <w:rFonts w:hint="eastAsia" w:eastAsia="黑体"/>
          <w:sz w:val="32"/>
          <w:szCs w:val="32"/>
        </w:rPr>
        <w:t>二、评价实施</w:t>
      </w:r>
    </w:p>
    <w:p>
      <w:pPr>
        <w:spacing w:line="578" w:lineRule="exact"/>
        <w:ind w:firstLine="640"/>
        <w:rPr>
          <w:rFonts w:eastAsia="仿宋_GB2312" w:cs="仿宋_GB2312"/>
          <w:kern w:val="0"/>
          <w:sz w:val="32"/>
          <w:szCs w:val="32"/>
          <w:lang w:val="zh-CN"/>
        </w:rPr>
      </w:pPr>
      <w:r>
        <w:rPr>
          <w:rFonts w:hint="eastAsia" w:eastAsia="楷体_GB2312"/>
          <w:b/>
          <w:sz w:val="32"/>
          <w:szCs w:val="32"/>
          <w:lang w:val="zh-CN"/>
        </w:rPr>
        <w:t>（一）评价目的。</w:t>
      </w:r>
      <w:r>
        <w:rPr>
          <w:rFonts w:hint="eastAsia" w:eastAsia="仿宋_GB2312" w:cs="仿宋_GB2312"/>
          <w:kern w:val="0"/>
          <w:sz w:val="32"/>
          <w:szCs w:val="32"/>
          <w:lang w:val="zh-CN"/>
        </w:rPr>
        <w:t>通过项目绩效自评要实现的目的。</w:t>
      </w:r>
    </w:p>
    <w:p>
      <w:pPr>
        <w:adjustRightInd w:val="0"/>
        <w:snapToGrid w:val="0"/>
        <w:spacing w:line="578" w:lineRule="exact"/>
        <w:ind w:firstLine="643" w:firstLineChars="200"/>
        <w:rPr>
          <w:rFonts w:eastAsia="仿宋_GB2312" w:cs="仿宋_GB2312"/>
          <w:kern w:val="0"/>
          <w:sz w:val="32"/>
          <w:szCs w:val="32"/>
          <w:lang w:val="zh-CN"/>
        </w:rPr>
      </w:pPr>
      <w:r>
        <w:rPr>
          <w:rFonts w:hint="eastAsia" w:eastAsia="楷体_GB2312"/>
          <w:b/>
          <w:sz w:val="32"/>
          <w:szCs w:val="32"/>
          <w:lang w:val="zh-CN"/>
        </w:rPr>
        <w:t>（二）预设问题及评价重点。</w:t>
      </w:r>
      <w:r>
        <w:rPr>
          <w:rFonts w:hint="eastAsia" w:eastAsia="仿宋_GB2312" w:cs="仿宋_GB2312"/>
          <w:kern w:val="0"/>
          <w:sz w:val="32"/>
          <w:szCs w:val="32"/>
          <w:lang w:val="zh-CN"/>
        </w:rPr>
        <w:t>按照绩效评价指标体系，对资金支出使用全过程及其实施效果进行综合评价和判断。</w:t>
      </w:r>
    </w:p>
    <w:p>
      <w:pPr>
        <w:spacing w:line="578" w:lineRule="exact"/>
        <w:ind w:firstLine="640"/>
        <w:rPr>
          <w:rFonts w:eastAsia="楷体_GB2312"/>
          <w:b/>
          <w:sz w:val="32"/>
          <w:szCs w:val="32"/>
          <w:lang w:val="zh-CN"/>
        </w:rPr>
      </w:pPr>
      <w:r>
        <w:rPr>
          <w:rFonts w:hint="eastAsia" w:eastAsia="楷体_GB2312"/>
          <w:b/>
          <w:sz w:val="32"/>
          <w:szCs w:val="32"/>
          <w:lang w:val="zh-CN"/>
        </w:rPr>
        <w:t>（三）评价选点。</w:t>
      </w:r>
      <w:r>
        <w:rPr>
          <w:rFonts w:hint="eastAsia" w:eastAsia="仿宋_GB2312" w:cs="仿宋_GB2312"/>
          <w:kern w:val="0"/>
          <w:sz w:val="32"/>
          <w:szCs w:val="32"/>
          <w:lang w:val="zh-CN"/>
        </w:rPr>
        <w:t>项目绩效自评所抽样点位情况。每个专项预算项目应选取专项资金分配涉及市县总数的2%、总计不超过20个的市县点位进行实地踏勘，且点位清单应作为自评附表。</w:t>
      </w:r>
    </w:p>
    <w:p>
      <w:pPr>
        <w:spacing w:line="578" w:lineRule="exact"/>
        <w:ind w:firstLine="640"/>
        <w:rPr>
          <w:rFonts w:eastAsia="仿宋_GB2312" w:cs="仿宋_GB2312"/>
          <w:kern w:val="0"/>
          <w:sz w:val="32"/>
          <w:szCs w:val="32"/>
          <w:lang w:val="zh-CN"/>
        </w:rPr>
      </w:pPr>
      <w:r>
        <w:rPr>
          <w:rFonts w:hint="eastAsia" w:eastAsia="楷体_GB2312"/>
          <w:b/>
          <w:sz w:val="32"/>
          <w:szCs w:val="32"/>
          <w:lang w:val="zh-CN"/>
        </w:rPr>
        <w:t>（四）评价方法。</w:t>
      </w:r>
      <w:r>
        <w:rPr>
          <w:rFonts w:hint="eastAsia" w:eastAsia="仿宋_GB2312" w:cs="仿宋_GB2312"/>
          <w:kern w:val="0"/>
          <w:sz w:val="32"/>
          <w:szCs w:val="32"/>
          <w:lang w:val="zh-CN"/>
        </w:rPr>
        <w:t>根据项目情况和评价重点，用来收集相关材料和开展具体评价的方法。包括：采用成本效益分析法、标杆管理法、案卷研究法、单位自评法、实地勘察法、问卷调查法、座谈调研法等多种方法。</w:t>
      </w:r>
    </w:p>
    <w:p>
      <w:pPr>
        <w:spacing w:line="578" w:lineRule="exact"/>
        <w:ind w:firstLine="640"/>
        <w:rPr>
          <w:rFonts w:eastAsia="仿宋_GB2312"/>
          <w:bCs/>
        </w:rPr>
      </w:pPr>
      <w:r>
        <w:rPr>
          <w:rFonts w:hint="eastAsia" w:eastAsia="楷体_GB2312"/>
          <w:b/>
          <w:sz w:val="32"/>
          <w:szCs w:val="32"/>
          <w:lang w:val="zh-CN"/>
        </w:rPr>
        <w:t>（五）评价组织。</w:t>
      </w:r>
      <w:r>
        <w:rPr>
          <w:rFonts w:hint="eastAsia" w:eastAsia="仿宋_GB2312" w:cs="仿宋_GB2312"/>
          <w:kern w:val="0"/>
          <w:sz w:val="32"/>
          <w:szCs w:val="32"/>
          <w:lang w:val="zh-CN"/>
        </w:rPr>
        <w:t>评价组人员构成和职责分工。</w:t>
      </w:r>
    </w:p>
    <w:p>
      <w:pPr>
        <w:adjustRightInd w:val="0"/>
        <w:snapToGrid w:val="0"/>
        <w:spacing w:line="578" w:lineRule="exact"/>
        <w:ind w:firstLine="640" w:firstLineChars="200"/>
        <w:rPr>
          <w:sz w:val="32"/>
          <w:szCs w:val="32"/>
          <w:lang w:val="zh-CN"/>
        </w:rPr>
      </w:pPr>
      <w:r>
        <w:rPr>
          <w:rFonts w:hint="eastAsia" w:eastAsia="黑体"/>
          <w:sz w:val="32"/>
          <w:szCs w:val="32"/>
        </w:rPr>
        <w:t>三、绩效分析</w:t>
      </w:r>
      <w:r>
        <w:rPr>
          <w:rFonts w:hint="eastAsia"/>
          <w:sz w:val="32"/>
          <w:szCs w:val="32"/>
          <w:lang w:val="zh-CN"/>
        </w:rPr>
        <w:tab/>
      </w:r>
    </w:p>
    <w:p>
      <w:pPr>
        <w:spacing w:line="578" w:lineRule="exact"/>
        <w:ind w:firstLine="640"/>
        <w:rPr>
          <w:rFonts w:eastAsia="仿宋_GB2312" w:cs="仿宋_GB2312"/>
          <w:kern w:val="0"/>
          <w:sz w:val="32"/>
          <w:szCs w:val="32"/>
        </w:rPr>
      </w:pPr>
      <w:r>
        <w:rPr>
          <w:rFonts w:eastAsia="仿宋_GB2312" w:cs="仿宋_GB2312"/>
          <w:kern w:val="0"/>
          <w:sz w:val="32"/>
          <w:szCs w:val="32"/>
          <w:lang w:val="zh-CN"/>
        </w:rPr>
        <w:t>根据</w:t>
      </w:r>
      <w:r>
        <w:rPr>
          <w:rFonts w:hint="eastAsia" w:eastAsia="仿宋_GB2312" w:cs="仿宋_GB2312"/>
          <w:kern w:val="0"/>
          <w:sz w:val="32"/>
          <w:szCs w:val="32"/>
          <w:lang w:val="zh-CN"/>
        </w:rPr>
        <w:t>项目</w:t>
      </w:r>
      <w:r>
        <w:rPr>
          <w:rFonts w:eastAsia="仿宋_GB2312" w:cs="仿宋_GB2312"/>
          <w:kern w:val="0"/>
          <w:sz w:val="32"/>
          <w:szCs w:val="32"/>
          <w:lang w:val="zh-CN"/>
        </w:rPr>
        <w:t>预算绩效评价指标体系</w:t>
      </w:r>
      <w:r>
        <w:rPr>
          <w:rFonts w:hint="eastAsia" w:eastAsia="仿宋_GB2312" w:cs="仿宋_GB2312"/>
          <w:kern w:val="0"/>
          <w:sz w:val="32"/>
          <w:szCs w:val="32"/>
          <w:lang w:val="zh-CN"/>
        </w:rPr>
        <w:t>通用指标、专用指标、个性指标</w:t>
      </w:r>
      <w:r>
        <w:rPr>
          <w:rFonts w:eastAsia="仿宋_GB2312" w:cs="仿宋_GB2312"/>
          <w:kern w:val="0"/>
          <w:sz w:val="32"/>
          <w:szCs w:val="32"/>
          <w:lang w:val="zh-CN"/>
        </w:rPr>
        <w:t>涉及</w:t>
      </w:r>
      <w:r>
        <w:rPr>
          <w:rFonts w:hint="eastAsia" w:eastAsia="仿宋_GB2312" w:cs="仿宋_GB2312"/>
          <w:kern w:val="0"/>
          <w:sz w:val="32"/>
          <w:szCs w:val="32"/>
          <w:lang w:val="zh-CN"/>
        </w:rPr>
        <w:t>二、三级</w:t>
      </w:r>
      <w:r>
        <w:rPr>
          <w:rFonts w:eastAsia="仿宋_GB2312" w:cs="仿宋_GB2312"/>
          <w:kern w:val="0"/>
          <w:sz w:val="32"/>
          <w:szCs w:val="32"/>
          <w:lang w:val="zh-CN"/>
        </w:rPr>
        <w:t>指标进行</w:t>
      </w:r>
      <w:r>
        <w:rPr>
          <w:rFonts w:hint="eastAsia" w:eastAsia="仿宋_GB2312" w:cs="仿宋_GB2312"/>
          <w:kern w:val="0"/>
          <w:sz w:val="32"/>
          <w:szCs w:val="32"/>
          <w:lang w:val="zh-CN"/>
        </w:rPr>
        <w:t>逐项</w:t>
      </w:r>
      <w:r>
        <w:rPr>
          <w:rFonts w:eastAsia="仿宋_GB2312" w:cs="仿宋_GB2312"/>
          <w:kern w:val="0"/>
          <w:sz w:val="32"/>
          <w:szCs w:val="32"/>
          <w:lang w:val="zh-CN"/>
        </w:rPr>
        <w:t>绩效分析</w:t>
      </w:r>
      <w:r>
        <w:rPr>
          <w:rFonts w:hint="eastAsia" w:eastAsia="仿宋_GB2312" w:cs="仿宋_GB2312"/>
          <w:kern w:val="0"/>
          <w:sz w:val="32"/>
          <w:szCs w:val="32"/>
          <w:lang w:val="zh-CN"/>
        </w:rPr>
        <w:t>并评分</w:t>
      </w:r>
      <w:r>
        <w:rPr>
          <w:rFonts w:hint="eastAsia" w:eastAsia="仿宋_GB2312" w:cs="仿宋_GB2312"/>
          <w:kern w:val="0"/>
          <w:sz w:val="32"/>
          <w:szCs w:val="32"/>
        </w:rPr>
        <w:t>。</w:t>
      </w:r>
    </w:p>
    <w:p>
      <w:pPr>
        <w:spacing w:line="578" w:lineRule="exact"/>
        <w:ind w:firstLine="640"/>
        <w:rPr>
          <w:rFonts w:eastAsia="楷体_GB2312"/>
          <w:b/>
          <w:sz w:val="32"/>
          <w:szCs w:val="32"/>
        </w:rPr>
      </w:pPr>
      <w:r>
        <w:rPr>
          <w:rFonts w:hint="eastAsia" w:eastAsia="楷体_GB2312"/>
          <w:b/>
          <w:sz w:val="32"/>
          <w:szCs w:val="32"/>
          <w:lang w:val="zh-CN"/>
        </w:rPr>
        <w:t>（一）</w:t>
      </w:r>
      <w:r>
        <w:rPr>
          <w:rFonts w:hint="eastAsia" w:eastAsia="楷体_GB2312"/>
          <w:b/>
          <w:sz w:val="32"/>
          <w:szCs w:val="32"/>
        </w:rPr>
        <w:t>通用指标</w:t>
      </w:r>
      <w:r>
        <w:rPr>
          <w:rFonts w:eastAsia="楷体_GB2312"/>
          <w:b/>
          <w:bCs/>
          <w:color w:val="000000"/>
          <w:kern w:val="0"/>
          <w:sz w:val="32"/>
          <w:szCs w:val="32"/>
          <w:shd w:val="clear" w:color="auto" w:fill="FFFFFF"/>
          <w:lang w:val="zh-CN"/>
        </w:rPr>
        <w:t>绩效分析。</w:t>
      </w:r>
    </w:p>
    <w:p>
      <w:pPr>
        <w:spacing w:line="578" w:lineRule="exact"/>
        <w:ind w:firstLine="640"/>
        <w:rPr>
          <w:rFonts w:eastAsia="仿宋_GB2312" w:cs="仿宋_GB2312"/>
          <w:kern w:val="0"/>
          <w:sz w:val="32"/>
          <w:szCs w:val="32"/>
          <w:lang w:val="zh-CN"/>
        </w:rPr>
      </w:pPr>
      <w:r>
        <w:rPr>
          <w:rFonts w:hint="eastAsia" w:eastAsia="仿宋_GB2312" w:cs="仿宋_GB2312"/>
          <w:kern w:val="0"/>
          <w:sz w:val="32"/>
          <w:szCs w:val="32"/>
        </w:rPr>
        <w:t>1.</w:t>
      </w:r>
      <w:r>
        <w:rPr>
          <w:rFonts w:hint="eastAsia" w:eastAsia="仿宋_GB2312" w:cs="仿宋_GB2312"/>
          <w:kern w:val="0"/>
          <w:sz w:val="32"/>
          <w:szCs w:val="32"/>
          <w:lang w:val="zh-CN"/>
        </w:rPr>
        <w:t>项目决策。围绕决策程序、规划论证、资金投向进行绩效分析。</w:t>
      </w:r>
    </w:p>
    <w:p>
      <w:pPr>
        <w:spacing w:line="578" w:lineRule="exact"/>
        <w:ind w:firstLine="640"/>
        <w:rPr>
          <w:rFonts w:eastAsia="仿宋_GB2312" w:cs="仿宋_GB2312"/>
          <w:kern w:val="0"/>
          <w:sz w:val="32"/>
          <w:szCs w:val="32"/>
          <w:lang w:val="zh-CN"/>
        </w:rPr>
      </w:pPr>
      <w:r>
        <w:rPr>
          <w:rFonts w:hint="eastAsia" w:eastAsia="仿宋_GB2312" w:cs="仿宋_GB2312"/>
          <w:kern w:val="0"/>
          <w:sz w:val="32"/>
          <w:szCs w:val="32"/>
        </w:rPr>
        <w:t>2.</w:t>
      </w:r>
      <w:r>
        <w:rPr>
          <w:rFonts w:hint="eastAsia" w:eastAsia="仿宋_GB2312" w:cs="仿宋_GB2312"/>
          <w:kern w:val="0"/>
          <w:sz w:val="32"/>
          <w:szCs w:val="32"/>
          <w:lang w:val="zh-CN"/>
        </w:rPr>
        <w:t>项目管理。围绕制度办法、分配管理、绩效监管进行绩效分析。</w:t>
      </w:r>
    </w:p>
    <w:p>
      <w:pPr>
        <w:spacing w:line="578" w:lineRule="exact"/>
        <w:ind w:firstLine="640"/>
        <w:rPr>
          <w:rFonts w:eastAsia="仿宋_GB2312" w:cs="仿宋_GB2312"/>
          <w:kern w:val="0"/>
          <w:sz w:val="32"/>
          <w:szCs w:val="32"/>
          <w:lang w:val="zh-CN"/>
        </w:rPr>
      </w:pPr>
      <w:r>
        <w:rPr>
          <w:rFonts w:hint="eastAsia" w:eastAsia="仿宋_GB2312" w:cs="仿宋_GB2312"/>
          <w:kern w:val="0"/>
          <w:sz w:val="32"/>
          <w:szCs w:val="32"/>
        </w:rPr>
        <w:t>3.项目实施。</w:t>
      </w:r>
      <w:r>
        <w:rPr>
          <w:rFonts w:hint="eastAsia" w:eastAsia="仿宋_GB2312" w:cs="仿宋_GB2312"/>
          <w:kern w:val="0"/>
          <w:sz w:val="32"/>
          <w:szCs w:val="32"/>
          <w:lang w:val="zh-CN"/>
        </w:rPr>
        <w:t>围绕预算执行、资金使用进行绩效分析。</w:t>
      </w:r>
    </w:p>
    <w:p>
      <w:pPr>
        <w:spacing w:line="578" w:lineRule="exact"/>
        <w:ind w:firstLine="640"/>
        <w:rPr>
          <w:rFonts w:eastAsia="仿宋_GB2312" w:cs="仿宋_GB2312"/>
          <w:kern w:val="0"/>
          <w:sz w:val="32"/>
          <w:szCs w:val="32"/>
          <w:lang w:val="zh-CN"/>
        </w:rPr>
      </w:pPr>
      <w:r>
        <w:rPr>
          <w:rFonts w:hint="eastAsia" w:eastAsia="仿宋_GB2312" w:cs="仿宋_GB2312"/>
          <w:kern w:val="0"/>
          <w:sz w:val="32"/>
          <w:szCs w:val="32"/>
        </w:rPr>
        <w:t>4.项目结果。围绕</w:t>
      </w:r>
      <w:r>
        <w:rPr>
          <w:rFonts w:hint="eastAsia" w:eastAsia="仿宋_GB2312" w:cs="仿宋_GB2312"/>
          <w:kern w:val="0"/>
          <w:sz w:val="32"/>
          <w:szCs w:val="32"/>
          <w:lang w:val="zh-CN"/>
        </w:rPr>
        <w:t>目标完成、完成时效进行绩效分析。</w:t>
      </w:r>
    </w:p>
    <w:p>
      <w:pPr>
        <w:spacing w:line="578" w:lineRule="exact"/>
        <w:ind w:firstLine="640"/>
        <w:rPr>
          <w:rFonts w:eastAsia="仿宋_GB2312" w:cs="仿宋_GB2312"/>
          <w:kern w:val="0"/>
          <w:sz w:val="32"/>
          <w:szCs w:val="32"/>
          <w:lang w:val="zh-CN"/>
        </w:rPr>
      </w:pPr>
      <w:r>
        <w:rPr>
          <w:rFonts w:hint="eastAsia" w:eastAsia="楷体_GB2312"/>
          <w:b/>
          <w:sz w:val="32"/>
          <w:szCs w:val="32"/>
          <w:lang w:val="zh-CN"/>
        </w:rPr>
        <w:t>（二）</w:t>
      </w:r>
      <w:r>
        <w:rPr>
          <w:rFonts w:hint="eastAsia" w:eastAsia="楷体_GB2312"/>
          <w:b/>
          <w:sz w:val="32"/>
          <w:szCs w:val="32"/>
        </w:rPr>
        <w:t>专用指标</w:t>
      </w:r>
      <w:r>
        <w:rPr>
          <w:rFonts w:eastAsia="楷体_GB2312"/>
          <w:b/>
          <w:bCs/>
          <w:color w:val="000000"/>
          <w:kern w:val="0"/>
          <w:sz w:val="32"/>
          <w:szCs w:val="32"/>
          <w:shd w:val="clear" w:color="auto" w:fill="FFFFFF"/>
          <w:lang w:val="zh-CN"/>
        </w:rPr>
        <w:t>绩效分析。</w:t>
      </w:r>
      <w:r>
        <w:rPr>
          <w:rFonts w:hint="eastAsia" w:eastAsia="仿宋_GB2312" w:cs="仿宋_GB2312"/>
          <w:kern w:val="0"/>
          <w:sz w:val="32"/>
          <w:szCs w:val="32"/>
          <w:lang w:val="zh-CN"/>
        </w:rPr>
        <w:t>根据</w:t>
      </w:r>
      <w:r>
        <w:rPr>
          <w:rFonts w:hint="eastAsia" w:eastAsia="仿宋_GB2312" w:cs="仿宋_GB2312"/>
          <w:kern w:val="0"/>
          <w:sz w:val="32"/>
          <w:szCs w:val="32"/>
        </w:rPr>
        <w:t>专项预算项目资金支持对象选择所属指标进行绩效分析。支持对象</w:t>
      </w:r>
      <w:r>
        <w:rPr>
          <w:rFonts w:hint="eastAsia" w:eastAsia="仿宋_GB2312" w:cs="仿宋_GB2312"/>
          <w:kern w:val="0"/>
          <w:sz w:val="32"/>
          <w:szCs w:val="32"/>
          <w:lang w:val="zh-CN"/>
        </w:rPr>
        <w:t>包括产业发展、民生保障、基础设施、行政运转等方面。</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1.产业发展。围绕符合性、成长性、经济性进行绩效分析。</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2.</w:t>
      </w:r>
      <w:r>
        <w:rPr>
          <w:rFonts w:hint="eastAsia" w:eastAsia="仿宋_GB2312" w:cs="仿宋_GB2312"/>
          <w:kern w:val="0"/>
          <w:sz w:val="32"/>
          <w:szCs w:val="32"/>
          <w:lang w:val="zh-CN"/>
        </w:rPr>
        <w:t>民生保障。</w:t>
      </w:r>
      <w:r>
        <w:rPr>
          <w:rFonts w:hint="eastAsia" w:eastAsia="仿宋_GB2312" w:cs="仿宋_GB2312"/>
          <w:kern w:val="0"/>
          <w:sz w:val="32"/>
          <w:szCs w:val="32"/>
        </w:rPr>
        <w:t>围绕区域均衡性、对象精准性、标准合理性、群众满意度进行绩效分析。</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3.基础设施。在建项目围绕工程进度和资金拨付进行绩效分析；建成项目围绕项目验收、功能实现、后续管护进行</w:t>
      </w:r>
      <w:r>
        <w:rPr>
          <w:rFonts w:hint="eastAsia" w:eastAsia="仿宋_GB2312" w:cs="仿宋_GB2312"/>
          <w:kern w:val="0"/>
          <w:sz w:val="32"/>
          <w:szCs w:val="32"/>
          <w:lang w:val="zh-CN"/>
        </w:rPr>
        <w:t>绩效分析。</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4.</w:t>
      </w:r>
      <w:r>
        <w:rPr>
          <w:rFonts w:hint="eastAsia" w:eastAsia="仿宋_GB2312" w:cs="仿宋_GB2312"/>
          <w:kern w:val="0"/>
          <w:sz w:val="32"/>
          <w:szCs w:val="32"/>
          <w:lang w:val="zh-CN"/>
        </w:rPr>
        <w:t>行政运转。围绕用途合规性、程序合规性、标准合规性进行绩效分析。</w:t>
      </w:r>
    </w:p>
    <w:p>
      <w:pPr>
        <w:spacing w:line="578" w:lineRule="exact"/>
        <w:ind w:firstLine="640"/>
        <w:rPr>
          <w:rFonts w:eastAsia="仿宋_GB2312" w:cs="仿宋_GB2312"/>
          <w:kern w:val="0"/>
          <w:sz w:val="32"/>
          <w:szCs w:val="32"/>
        </w:rPr>
      </w:pPr>
      <w:r>
        <w:rPr>
          <w:rFonts w:hint="eastAsia" w:eastAsia="楷体_GB2312"/>
          <w:b/>
          <w:sz w:val="32"/>
          <w:szCs w:val="32"/>
          <w:lang w:val="zh-CN"/>
        </w:rPr>
        <w:t>（三）</w:t>
      </w:r>
      <w:r>
        <w:rPr>
          <w:rFonts w:hint="eastAsia" w:eastAsia="楷体_GB2312"/>
          <w:b/>
          <w:sz w:val="32"/>
          <w:szCs w:val="32"/>
        </w:rPr>
        <w:t>个性指标</w:t>
      </w:r>
      <w:r>
        <w:rPr>
          <w:rFonts w:eastAsia="楷体_GB2312"/>
          <w:b/>
          <w:bCs/>
          <w:color w:val="000000"/>
          <w:kern w:val="0"/>
          <w:sz w:val="32"/>
          <w:szCs w:val="32"/>
          <w:shd w:val="clear" w:color="auto" w:fill="FFFFFF"/>
          <w:lang w:val="zh-CN"/>
        </w:rPr>
        <w:t>绩效分析。</w:t>
      </w:r>
      <w:r>
        <w:rPr>
          <w:rFonts w:hint="eastAsia" w:eastAsia="仿宋_GB2312" w:cs="仿宋_GB2312"/>
          <w:kern w:val="0"/>
          <w:sz w:val="32"/>
          <w:szCs w:val="32"/>
          <w:lang w:val="zh-CN"/>
        </w:rPr>
        <w:t>根据项目个性自行设定部分指标，反映该项指标执行完成情况。</w:t>
      </w:r>
    </w:p>
    <w:p>
      <w:pPr>
        <w:spacing w:line="578" w:lineRule="exact"/>
        <w:ind w:firstLine="640"/>
        <w:rPr>
          <w:rFonts w:ascii="黑体" w:hAnsi="黑体" w:eastAsia="黑体" w:cs="黑体"/>
          <w:kern w:val="0"/>
          <w:sz w:val="32"/>
          <w:szCs w:val="32"/>
        </w:rPr>
      </w:pPr>
      <w:r>
        <w:rPr>
          <w:rFonts w:hint="eastAsia" w:ascii="黑体" w:hAnsi="黑体" w:eastAsia="黑体" w:cs="黑体"/>
          <w:kern w:val="0"/>
          <w:sz w:val="32"/>
          <w:szCs w:val="32"/>
        </w:rPr>
        <w:t>四、评价结论</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简要阐述专项预算项目绩效自评总体结论，包含评价总分、</w:t>
      </w:r>
      <w:r>
        <w:rPr>
          <w:rFonts w:hint="eastAsia" w:eastAsia="仿宋_GB2312" w:cs="仿宋_GB2312"/>
          <w:kern w:val="0"/>
          <w:sz w:val="32"/>
          <w:szCs w:val="32"/>
          <w:lang w:val="zh-CN"/>
        </w:rPr>
        <w:t>项目实施情况。</w:t>
      </w:r>
    </w:p>
    <w:p>
      <w:pPr>
        <w:spacing w:line="578" w:lineRule="exact"/>
        <w:ind w:firstLine="640"/>
        <w:rPr>
          <w:rFonts w:ascii="黑体" w:hAnsi="黑体" w:eastAsia="黑体" w:cs="黑体"/>
          <w:kern w:val="0"/>
          <w:sz w:val="32"/>
          <w:szCs w:val="32"/>
        </w:rPr>
      </w:pPr>
      <w:r>
        <w:rPr>
          <w:rFonts w:hint="eastAsia" w:ascii="黑体" w:hAnsi="黑体" w:eastAsia="黑体" w:cs="黑体"/>
          <w:kern w:val="0"/>
          <w:sz w:val="32"/>
          <w:szCs w:val="32"/>
        </w:rPr>
        <w:t>五、存在主要问题</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简要阐述专项预算项目绩效自评发现的主要问题。</w:t>
      </w:r>
    </w:p>
    <w:p>
      <w:pPr>
        <w:spacing w:line="578" w:lineRule="exact"/>
        <w:ind w:firstLine="640"/>
        <w:rPr>
          <w:rFonts w:ascii="黑体" w:hAnsi="黑体" w:eastAsia="黑体" w:cs="黑体"/>
          <w:kern w:val="0"/>
          <w:sz w:val="32"/>
          <w:szCs w:val="32"/>
          <w:lang w:val="zh-CN"/>
        </w:rPr>
      </w:pPr>
      <w:r>
        <w:rPr>
          <w:rFonts w:hint="eastAsia" w:ascii="黑体" w:hAnsi="黑体" w:eastAsia="黑体" w:cs="黑体"/>
          <w:kern w:val="0"/>
          <w:sz w:val="32"/>
          <w:szCs w:val="32"/>
          <w:lang w:val="zh-CN"/>
        </w:rPr>
        <w:t>六、改进建议</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简要阐述专项预算项目在预算安排、完善政策、改进管理等方面的措施建议，其中必须对评价发现的主要问题一一提出措施建议。</w:t>
      </w:r>
    </w:p>
    <w:p>
      <w:pPr>
        <w:spacing w:line="578" w:lineRule="exact"/>
        <w:ind w:firstLine="640"/>
        <w:rPr>
          <w:rFonts w:eastAsia="仿宋_GB2312" w:cs="仿宋_GB2312"/>
          <w:kern w:val="0"/>
          <w:sz w:val="32"/>
          <w:szCs w:val="32"/>
        </w:rPr>
      </w:pPr>
      <w:r>
        <w:rPr>
          <w:rFonts w:hint="eastAsia" w:eastAsia="仿宋_GB2312" w:cs="仿宋_GB2312"/>
          <w:kern w:val="0"/>
          <w:sz w:val="32"/>
          <w:szCs w:val="32"/>
        </w:rPr>
        <w:t>（注：以上绩效自评报告，除涉密敏感内容外，原则上都应予以公开）</w:t>
      </w:r>
    </w:p>
    <w:p>
      <w:pPr>
        <w:spacing w:line="578" w:lineRule="exact"/>
        <w:ind w:firstLine="640"/>
        <w:rPr>
          <w:rFonts w:eastAsia="仿宋_GB2312" w:cs="仿宋_GB2312"/>
          <w:kern w:val="0"/>
          <w:sz w:val="32"/>
          <w:szCs w:val="32"/>
        </w:rPr>
      </w:pPr>
    </w:p>
    <w:p>
      <w:pPr>
        <w:spacing w:line="578" w:lineRule="exact"/>
        <w:ind w:firstLine="640"/>
        <w:rPr>
          <w:rFonts w:eastAsia="仿宋_GB2312" w:cs="仿宋_GB2312"/>
          <w:kern w:val="0"/>
          <w:sz w:val="32"/>
          <w:szCs w:val="32"/>
        </w:rPr>
      </w:pPr>
    </w:p>
    <w:p>
      <w:pPr>
        <w:spacing w:line="578" w:lineRule="exact"/>
        <w:ind w:firstLine="640"/>
        <w:rPr>
          <w:rFonts w:eastAsia="仿宋_GB2312" w:cs="仿宋_GB2312"/>
          <w:kern w:val="0"/>
          <w:sz w:val="32"/>
          <w:szCs w:val="32"/>
        </w:rPr>
      </w:pPr>
      <w:bookmarkStart w:id="83" w:name="_Toc15396618"/>
      <w:r>
        <w:rPr>
          <w:rFonts w:hint="eastAsia" w:eastAsia="仿宋_GB2312" w:cs="仿宋_GB2312"/>
          <w:kern w:val="0"/>
          <w:sz w:val="32"/>
          <w:szCs w:val="32"/>
        </w:rPr>
        <w:br w:type="page"/>
      </w:r>
    </w:p>
    <w:p>
      <w:pPr>
        <w:widowControl/>
        <w:jc w:val="center"/>
        <w:outlineLvl w:val="0"/>
        <w:rPr>
          <w:rFonts w:eastAsia="仿宋"/>
        </w:rPr>
      </w:pPr>
      <w:bookmarkStart w:id="84" w:name="_Toc14827"/>
      <w:r>
        <w:rPr>
          <w:rFonts w:hint="eastAsia" w:eastAsia="黑体"/>
          <w:sz w:val="44"/>
          <w:szCs w:val="44"/>
        </w:rPr>
        <w:t>第</w:t>
      </w:r>
      <w:r>
        <w:rPr>
          <w:rStyle w:val="28"/>
          <w:rFonts w:hint="eastAsia" w:eastAsia="黑体"/>
          <w:b w:val="0"/>
        </w:rPr>
        <w:t>五部分 附表</w:t>
      </w:r>
      <w:bookmarkEnd w:id="76"/>
      <w:bookmarkEnd w:id="83"/>
      <w:bookmarkEnd w:id="84"/>
      <w:bookmarkStart w:id="85" w:name="_Toc15396619"/>
    </w:p>
    <w:p>
      <w:pPr>
        <w:pStyle w:val="15"/>
        <w:adjustRightInd w:val="0"/>
        <w:snapToGrid w:val="0"/>
        <w:spacing w:line="560" w:lineRule="exact"/>
        <w:jc w:val="left"/>
        <w:outlineLvl w:val="1"/>
        <w:rPr>
          <w:rFonts w:ascii="黑体" w:hAnsi="黑体" w:eastAsia="黑体" w:cs="黑体"/>
          <w:sz w:val="32"/>
          <w:szCs w:val="32"/>
        </w:rPr>
      </w:pPr>
      <w:bookmarkStart w:id="86" w:name="_Toc31919"/>
      <w:r>
        <w:rPr>
          <w:rFonts w:hint="eastAsia" w:ascii="黑体" w:hAnsi="黑体" w:eastAsia="黑体" w:cs="黑体"/>
          <w:sz w:val="32"/>
          <w:szCs w:val="32"/>
        </w:rPr>
        <w:t>一、收入支出决算总表</w:t>
      </w:r>
      <w:bookmarkEnd w:id="85"/>
      <w:bookmarkEnd w:id="86"/>
    </w:p>
    <w:p>
      <w:pPr>
        <w:pStyle w:val="15"/>
        <w:adjustRightInd w:val="0"/>
        <w:snapToGrid w:val="0"/>
        <w:spacing w:line="560" w:lineRule="exact"/>
        <w:jc w:val="left"/>
        <w:outlineLvl w:val="1"/>
        <w:rPr>
          <w:rFonts w:ascii="黑体" w:hAnsi="黑体" w:eastAsia="黑体" w:cs="黑体"/>
          <w:sz w:val="32"/>
          <w:szCs w:val="32"/>
        </w:rPr>
      </w:pPr>
      <w:bookmarkStart w:id="87" w:name="_Toc30942"/>
      <w:bookmarkStart w:id="88" w:name="_Toc15396620"/>
      <w:r>
        <w:rPr>
          <w:rFonts w:hint="eastAsia" w:ascii="黑体" w:hAnsi="黑体" w:eastAsia="黑体" w:cs="黑体"/>
          <w:sz w:val="32"/>
          <w:szCs w:val="32"/>
        </w:rPr>
        <w:t>二、收入决算表</w:t>
      </w:r>
      <w:bookmarkEnd w:id="87"/>
      <w:bookmarkEnd w:id="88"/>
    </w:p>
    <w:p>
      <w:pPr>
        <w:pStyle w:val="15"/>
        <w:adjustRightInd w:val="0"/>
        <w:snapToGrid w:val="0"/>
        <w:spacing w:line="560" w:lineRule="exact"/>
        <w:jc w:val="left"/>
        <w:outlineLvl w:val="1"/>
        <w:rPr>
          <w:rFonts w:ascii="黑体" w:hAnsi="黑体" w:eastAsia="黑体" w:cs="黑体"/>
          <w:sz w:val="32"/>
          <w:szCs w:val="32"/>
        </w:rPr>
      </w:pPr>
      <w:bookmarkStart w:id="89" w:name="_Toc9290"/>
      <w:bookmarkStart w:id="90" w:name="_Toc15396621"/>
      <w:r>
        <w:rPr>
          <w:rFonts w:hint="eastAsia" w:ascii="黑体" w:hAnsi="黑体" w:eastAsia="黑体" w:cs="黑体"/>
          <w:sz w:val="32"/>
          <w:szCs w:val="32"/>
        </w:rPr>
        <w:t>三、支出决算表</w:t>
      </w:r>
      <w:bookmarkEnd w:id="89"/>
      <w:bookmarkEnd w:id="90"/>
    </w:p>
    <w:p>
      <w:pPr>
        <w:pStyle w:val="15"/>
        <w:adjustRightInd w:val="0"/>
        <w:snapToGrid w:val="0"/>
        <w:spacing w:line="560" w:lineRule="exact"/>
        <w:jc w:val="left"/>
        <w:outlineLvl w:val="1"/>
        <w:rPr>
          <w:rFonts w:ascii="黑体" w:hAnsi="黑体" w:eastAsia="黑体" w:cs="黑体"/>
          <w:sz w:val="32"/>
          <w:szCs w:val="32"/>
        </w:rPr>
      </w:pPr>
      <w:bookmarkStart w:id="91" w:name="_Toc14793"/>
      <w:bookmarkStart w:id="92" w:name="_Toc15396622"/>
      <w:r>
        <w:rPr>
          <w:rFonts w:hint="eastAsia" w:ascii="黑体" w:hAnsi="黑体" w:eastAsia="黑体" w:cs="黑体"/>
          <w:sz w:val="32"/>
          <w:szCs w:val="32"/>
        </w:rPr>
        <w:t>四、财政拨款收入支出决算总表</w:t>
      </w:r>
      <w:bookmarkEnd w:id="91"/>
      <w:bookmarkEnd w:id="92"/>
    </w:p>
    <w:p>
      <w:pPr>
        <w:pStyle w:val="15"/>
        <w:adjustRightInd w:val="0"/>
        <w:snapToGrid w:val="0"/>
        <w:spacing w:line="560" w:lineRule="exact"/>
        <w:jc w:val="left"/>
        <w:outlineLvl w:val="1"/>
        <w:rPr>
          <w:rFonts w:ascii="黑体" w:hAnsi="黑体" w:eastAsia="黑体" w:cs="黑体"/>
          <w:sz w:val="32"/>
          <w:szCs w:val="32"/>
        </w:rPr>
      </w:pPr>
      <w:bookmarkStart w:id="93" w:name="_Toc2809"/>
      <w:bookmarkStart w:id="94" w:name="_Toc15396623"/>
      <w:r>
        <w:rPr>
          <w:rFonts w:hint="eastAsia" w:ascii="黑体" w:hAnsi="黑体" w:eastAsia="黑体" w:cs="黑体"/>
          <w:sz w:val="32"/>
          <w:szCs w:val="32"/>
        </w:rPr>
        <w:t>五、财政拨款支出决算明细表</w:t>
      </w:r>
      <w:bookmarkEnd w:id="93"/>
      <w:bookmarkEnd w:id="94"/>
      <w:bookmarkStart w:id="95" w:name="_Toc15396624"/>
    </w:p>
    <w:p>
      <w:pPr>
        <w:pStyle w:val="15"/>
        <w:adjustRightInd w:val="0"/>
        <w:snapToGrid w:val="0"/>
        <w:spacing w:line="560" w:lineRule="exact"/>
        <w:jc w:val="left"/>
        <w:outlineLvl w:val="1"/>
        <w:rPr>
          <w:rFonts w:ascii="黑体" w:hAnsi="黑体" w:eastAsia="黑体" w:cs="黑体"/>
          <w:sz w:val="32"/>
          <w:szCs w:val="32"/>
        </w:rPr>
      </w:pPr>
      <w:bookmarkStart w:id="96" w:name="_Toc6038"/>
      <w:r>
        <w:rPr>
          <w:rFonts w:hint="eastAsia" w:ascii="黑体" w:hAnsi="黑体" w:eastAsia="黑体" w:cs="黑体"/>
          <w:sz w:val="32"/>
          <w:szCs w:val="32"/>
        </w:rPr>
        <w:t>六、一般公共预算财政拨款支出决算表</w:t>
      </w:r>
      <w:bookmarkEnd w:id="95"/>
      <w:bookmarkEnd w:id="96"/>
    </w:p>
    <w:p>
      <w:pPr>
        <w:pStyle w:val="15"/>
        <w:adjustRightInd w:val="0"/>
        <w:snapToGrid w:val="0"/>
        <w:spacing w:line="560" w:lineRule="exact"/>
        <w:jc w:val="left"/>
        <w:outlineLvl w:val="1"/>
        <w:rPr>
          <w:rFonts w:ascii="黑体" w:hAnsi="黑体" w:eastAsia="黑体" w:cs="黑体"/>
          <w:sz w:val="32"/>
          <w:szCs w:val="32"/>
        </w:rPr>
      </w:pPr>
      <w:bookmarkStart w:id="97" w:name="_Toc15396625"/>
      <w:bookmarkStart w:id="98" w:name="_Toc4518"/>
      <w:r>
        <w:rPr>
          <w:rFonts w:hint="eastAsia" w:ascii="黑体" w:hAnsi="黑体" w:eastAsia="黑体" w:cs="黑体"/>
          <w:sz w:val="32"/>
          <w:szCs w:val="32"/>
        </w:rPr>
        <w:t>七、一般公共预算财政拨款支出决算明细表</w:t>
      </w:r>
      <w:bookmarkEnd w:id="97"/>
      <w:bookmarkEnd w:id="98"/>
    </w:p>
    <w:p>
      <w:pPr>
        <w:pStyle w:val="15"/>
        <w:adjustRightInd w:val="0"/>
        <w:snapToGrid w:val="0"/>
        <w:spacing w:line="560" w:lineRule="exact"/>
        <w:jc w:val="left"/>
        <w:outlineLvl w:val="1"/>
        <w:rPr>
          <w:rFonts w:ascii="黑体" w:hAnsi="黑体" w:eastAsia="黑体" w:cs="黑体"/>
          <w:sz w:val="32"/>
          <w:szCs w:val="32"/>
        </w:rPr>
      </w:pPr>
      <w:bookmarkStart w:id="99" w:name="_Toc8813"/>
      <w:bookmarkStart w:id="100" w:name="_Toc15396626"/>
      <w:r>
        <w:rPr>
          <w:rFonts w:hint="eastAsia" w:ascii="黑体" w:hAnsi="黑体" w:eastAsia="黑体" w:cs="黑体"/>
          <w:sz w:val="32"/>
          <w:szCs w:val="32"/>
        </w:rPr>
        <w:t>八、一般公共预算财政拨款基本支出决算表</w:t>
      </w:r>
      <w:bookmarkEnd w:id="99"/>
      <w:bookmarkEnd w:id="100"/>
    </w:p>
    <w:p>
      <w:pPr>
        <w:pStyle w:val="15"/>
        <w:adjustRightInd w:val="0"/>
        <w:snapToGrid w:val="0"/>
        <w:spacing w:line="560" w:lineRule="exact"/>
        <w:jc w:val="left"/>
        <w:outlineLvl w:val="1"/>
        <w:rPr>
          <w:rFonts w:ascii="黑体" w:hAnsi="黑体" w:eastAsia="黑体" w:cs="黑体"/>
          <w:sz w:val="32"/>
          <w:szCs w:val="32"/>
        </w:rPr>
      </w:pPr>
      <w:bookmarkStart w:id="101" w:name="_Toc15396627"/>
      <w:bookmarkStart w:id="102" w:name="_Toc5920"/>
      <w:r>
        <w:rPr>
          <w:rFonts w:hint="eastAsia" w:ascii="黑体" w:hAnsi="黑体" w:eastAsia="黑体" w:cs="黑体"/>
          <w:sz w:val="32"/>
          <w:szCs w:val="32"/>
        </w:rPr>
        <w:t>九、一般公共预算财政拨款项目支出决算表</w:t>
      </w:r>
      <w:bookmarkEnd w:id="101"/>
      <w:bookmarkEnd w:id="102"/>
    </w:p>
    <w:p>
      <w:pPr>
        <w:pStyle w:val="15"/>
        <w:adjustRightInd w:val="0"/>
        <w:snapToGrid w:val="0"/>
        <w:spacing w:line="560" w:lineRule="exact"/>
        <w:jc w:val="left"/>
        <w:outlineLvl w:val="1"/>
        <w:rPr>
          <w:rFonts w:ascii="黑体" w:hAnsi="黑体" w:eastAsia="黑体" w:cs="黑体"/>
          <w:sz w:val="32"/>
          <w:szCs w:val="32"/>
        </w:rPr>
      </w:pPr>
      <w:bookmarkStart w:id="103" w:name="_Toc15396628"/>
      <w:bookmarkStart w:id="104" w:name="_Toc6176"/>
      <w:r>
        <w:rPr>
          <w:rFonts w:hint="eastAsia" w:ascii="黑体" w:hAnsi="黑体" w:eastAsia="黑体" w:cs="黑体"/>
          <w:sz w:val="32"/>
          <w:szCs w:val="32"/>
        </w:rPr>
        <w:t>十、</w:t>
      </w:r>
      <w:bookmarkEnd w:id="103"/>
      <w:r>
        <w:rPr>
          <w:rFonts w:hint="eastAsia" w:ascii="黑体" w:hAnsi="黑体" w:eastAsia="黑体" w:cs="黑体"/>
          <w:sz w:val="32"/>
          <w:szCs w:val="32"/>
        </w:rPr>
        <w:t>政府性基金预算财政拨款收入支出决算表</w:t>
      </w:r>
      <w:bookmarkEnd w:id="104"/>
    </w:p>
    <w:p>
      <w:pPr>
        <w:pStyle w:val="15"/>
        <w:adjustRightInd w:val="0"/>
        <w:snapToGrid w:val="0"/>
        <w:spacing w:line="560" w:lineRule="exact"/>
        <w:jc w:val="left"/>
        <w:outlineLvl w:val="1"/>
        <w:rPr>
          <w:rFonts w:ascii="黑体" w:hAnsi="黑体" w:eastAsia="黑体" w:cs="黑体"/>
          <w:sz w:val="32"/>
          <w:szCs w:val="32"/>
        </w:rPr>
      </w:pPr>
      <w:bookmarkStart w:id="105" w:name="_Toc15396629"/>
      <w:bookmarkStart w:id="106" w:name="_Toc15170"/>
      <w:r>
        <w:rPr>
          <w:rFonts w:hint="eastAsia" w:ascii="黑体" w:hAnsi="黑体" w:eastAsia="黑体" w:cs="黑体"/>
          <w:sz w:val="32"/>
          <w:szCs w:val="32"/>
        </w:rPr>
        <w:t>十一、</w:t>
      </w:r>
      <w:bookmarkEnd w:id="105"/>
      <w:r>
        <w:rPr>
          <w:rFonts w:hint="eastAsia" w:ascii="黑体" w:hAnsi="黑体" w:eastAsia="黑体" w:cs="黑体"/>
          <w:sz w:val="32"/>
          <w:szCs w:val="32"/>
        </w:rPr>
        <w:t>国有资本经营预算财政拨款收入支出决算表</w:t>
      </w:r>
      <w:bookmarkEnd w:id="106"/>
    </w:p>
    <w:p>
      <w:pPr>
        <w:pStyle w:val="15"/>
        <w:adjustRightInd w:val="0"/>
        <w:snapToGrid w:val="0"/>
        <w:spacing w:line="560" w:lineRule="exact"/>
        <w:jc w:val="left"/>
        <w:outlineLvl w:val="1"/>
        <w:rPr>
          <w:rFonts w:ascii="黑体" w:hAnsi="黑体" w:eastAsia="黑体" w:cs="黑体"/>
          <w:sz w:val="32"/>
          <w:szCs w:val="32"/>
        </w:rPr>
      </w:pPr>
      <w:bookmarkStart w:id="107" w:name="_Toc15396630"/>
      <w:bookmarkStart w:id="108" w:name="_Toc21799"/>
      <w:r>
        <w:rPr>
          <w:rFonts w:hint="eastAsia" w:ascii="黑体" w:hAnsi="黑体" w:eastAsia="黑体" w:cs="黑体"/>
          <w:sz w:val="32"/>
          <w:szCs w:val="32"/>
        </w:rPr>
        <w:t>十二、</w:t>
      </w:r>
      <w:bookmarkEnd w:id="107"/>
      <w:r>
        <w:rPr>
          <w:rFonts w:hint="eastAsia" w:ascii="黑体" w:hAnsi="黑体" w:eastAsia="黑体" w:cs="黑体"/>
          <w:sz w:val="32"/>
          <w:szCs w:val="32"/>
        </w:rPr>
        <w:t>国有资本经营预算财政拨款支出决算表</w:t>
      </w:r>
      <w:bookmarkEnd w:id="108"/>
    </w:p>
    <w:p>
      <w:pPr>
        <w:pStyle w:val="15"/>
        <w:adjustRightInd w:val="0"/>
        <w:snapToGrid w:val="0"/>
        <w:spacing w:line="560" w:lineRule="exact"/>
        <w:jc w:val="left"/>
        <w:outlineLvl w:val="1"/>
        <w:rPr>
          <w:rFonts w:ascii="黑体" w:hAnsi="黑体" w:eastAsia="黑体" w:cs="黑体"/>
          <w:sz w:val="32"/>
          <w:szCs w:val="32"/>
        </w:rPr>
      </w:pPr>
      <w:bookmarkStart w:id="109" w:name="_Toc15396631"/>
      <w:bookmarkStart w:id="110" w:name="_Toc23687"/>
      <w:r>
        <w:rPr>
          <w:rFonts w:hint="eastAsia" w:ascii="黑体" w:hAnsi="黑体" w:eastAsia="黑体" w:cs="黑体"/>
          <w:sz w:val="32"/>
          <w:szCs w:val="32"/>
        </w:rPr>
        <w:t>十三、</w:t>
      </w:r>
      <w:bookmarkEnd w:id="109"/>
      <w:r>
        <w:rPr>
          <w:rFonts w:hint="eastAsia" w:ascii="黑体" w:hAnsi="黑体" w:eastAsia="黑体" w:cs="黑体"/>
          <w:sz w:val="32"/>
          <w:szCs w:val="32"/>
        </w:rPr>
        <w:t>财政拨款“三公”经费支出决算表</w:t>
      </w:r>
      <w:bookmarkEnd w:id="110"/>
    </w:p>
    <w:p/>
    <w:sectPr>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AD84AB-3AAB-4F6C-9D07-CE79ACE203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B38D56-DA3B-428E-B8C4-0933A76CDD6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3FF3D479-6716-4DD7-85E2-6C989A46F60F}"/>
  </w:font>
  <w:font w:name="仿宋">
    <w:panose1 w:val="02010609060101010101"/>
    <w:charset w:val="86"/>
    <w:family w:val="modern"/>
    <w:pitch w:val="default"/>
    <w:sig w:usb0="800002BF" w:usb1="38CF7CFA" w:usb2="00000016" w:usb3="00000000" w:csb0="00040001" w:csb1="00000000"/>
    <w:embedRegular r:id="rId4" w:fontKey="{549AAF53-515F-4748-8DE1-713547B0C048}"/>
  </w:font>
  <w:font w:name="??">
    <w:altName w:val="Segoe Print"/>
    <w:panose1 w:val="00000000000000000000"/>
    <w:charset w:val="00"/>
    <w:family w:val="roma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C687A56A-8960-4459-B5FE-715042879B63}"/>
  </w:font>
  <w:font w:name="华文中宋">
    <w:panose1 w:val="02010600040101010101"/>
    <w:charset w:val="86"/>
    <w:family w:val="auto"/>
    <w:pitch w:val="default"/>
    <w:sig w:usb0="00000287" w:usb1="080F0000" w:usb2="00000000" w:usb3="00000000" w:csb0="0004009F" w:csb1="DFD70000"/>
    <w:embedRegular r:id="rId6" w:fontKey="{6E238FEA-34D2-4FFF-A6F5-19AFD75D0088}"/>
  </w:font>
  <w:font w:name="方正仿宋_GBK">
    <w:altName w:val="Arial Unicode MS"/>
    <w:panose1 w:val="00000000000000000000"/>
    <w:charset w:val="86"/>
    <w:family w:val="script"/>
    <w:pitch w:val="default"/>
    <w:sig w:usb0="00000000" w:usb1="00000000" w:usb2="00082016" w:usb3="00000000" w:csb0="00040001" w:csb1="00000000"/>
    <w:embedRegular r:id="rId7" w:fontKey="{46D8E7CA-43B4-4BC9-A603-5939AFC523E7}"/>
  </w:font>
  <w:font w:name="Arial Unicode MS">
    <w:panose1 w:val="020B0604020202020204"/>
    <w:charset w:val="86"/>
    <w:family w:val="auto"/>
    <w:pitch w:val="default"/>
    <w:sig w:usb0="FFFFFFFF" w:usb1="E9FFFFFF" w:usb2="0000003F" w:usb3="00000000" w:csb0="603F01FF" w:csb1="FFFF0000"/>
    <w:embedRegular r:id="rId8" w:fontKey="{D97D5CC1-B5DE-4AB4-A579-0B4366E1FE05}"/>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52A425"/>
    <w:multiLevelType w:val="singleLevel"/>
    <w:tmpl w:val="3D52A425"/>
    <w:lvl w:ilvl="0" w:tentative="0">
      <w:start w:val="1"/>
      <w:numFmt w:val="decimal"/>
      <w:suff w:val="nothing"/>
      <w:lvlText w:val="%1．"/>
      <w:lvlJc w:val="left"/>
      <w:pPr>
        <w:ind w:left="0" w:firstLine="400"/>
      </w:pPr>
      <w:rPr>
        <w:rFonts w:hint="default"/>
      </w:rPr>
    </w:lvl>
  </w:abstractNum>
  <w:abstractNum w:abstractNumId="1">
    <w:nsid w:val="4095C4B0"/>
    <w:multiLevelType w:val="singleLevel"/>
    <w:tmpl w:val="4095C4B0"/>
    <w:lvl w:ilvl="0" w:tentative="0">
      <w:start w:val="1"/>
      <w:numFmt w:val="decimal"/>
      <w:suff w:val="nothing"/>
      <w:lvlText w:val="%1．"/>
      <w:lvlJc w:val="left"/>
      <w:pPr>
        <w:ind w:left="0" w:firstLine="400"/>
      </w:pPr>
      <w:rPr>
        <w:rFonts w:hint="default"/>
        <w:b w:val="0"/>
        <w:bCs w:val="0"/>
      </w:rPr>
    </w:lvl>
  </w:abstractNum>
  <w:abstractNum w:abstractNumId="2">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YzM2MTlkZjVjMWE2MDg0Njc3NWJjMjFhNDhmZjNkYmY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C5FD3"/>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3514"/>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2477D"/>
    <w:rsid w:val="007416B6"/>
    <w:rsid w:val="00746F48"/>
    <w:rsid w:val="0075404D"/>
    <w:rsid w:val="0076182A"/>
    <w:rsid w:val="00767B7E"/>
    <w:rsid w:val="007770C3"/>
    <w:rsid w:val="00784D24"/>
    <w:rsid w:val="00785FBA"/>
    <w:rsid w:val="00786E4A"/>
    <w:rsid w:val="007875EB"/>
    <w:rsid w:val="0079426B"/>
    <w:rsid w:val="007D1682"/>
    <w:rsid w:val="007D22B7"/>
    <w:rsid w:val="007D312A"/>
    <w:rsid w:val="007D3F19"/>
    <w:rsid w:val="007D56B5"/>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1E80"/>
    <w:rsid w:val="00885AF4"/>
    <w:rsid w:val="008939CD"/>
    <w:rsid w:val="008B768C"/>
    <w:rsid w:val="008C2543"/>
    <w:rsid w:val="008C2FBF"/>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2ED7"/>
    <w:rsid w:val="00954C49"/>
    <w:rsid w:val="00955E37"/>
    <w:rsid w:val="0097099F"/>
    <w:rsid w:val="00971997"/>
    <w:rsid w:val="00971FFC"/>
    <w:rsid w:val="0098660A"/>
    <w:rsid w:val="009931C3"/>
    <w:rsid w:val="009B2C43"/>
    <w:rsid w:val="009B4EAE"/>
    <w:rsid w:val="009B7573"/>
    <w:rsid w:val="009C22F4"/>
    <w:rsid w:val="009C2A4B"/>
    <w:rsid w:val="009C2E98"/>
    <w:rsid w:val="009D3171"/>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6081"/>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A3F85"/>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4CD6"/>
    <w:rsid w:val="00C87FD8"/>
    <w:rsid w:val="00C91381"/>
    <w:rsid w:val="00C91CBB"/>
    <w:rsid w:val="00C92FEF"/>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5853"/>
    <w:rsid w:val="00EF77C6"/>
    <w:rsid w:val="00F05438"/>
    <w:rsid w:val="00F1361C"/>
    <w:rsid w:val="00F156F0"/>
    <w:rsid w:val="00F160C7"/>
    <w:rsid w:val="00F2408F"/>
    <w:rsid w:val="00F240E9"/>
    <w:rsid w:val="00F312F0"/>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1C26E13"/>
    <w:rsid w:val="025832D3"/>
    <w:rsid w:val="02704AC1"/>
    <w:rsid w:val="02FEBE30"/>
    <w:rsid w:val="03E52A05"/>
    <w:rsid w:val="04916F1E"/>
    <w:rsid w:val="04B05649"/>
    <w:rsid w:val="04C47112"/>
    <w:rsid w:val="05B36E31"/>
    <w:rsid w:val="061E35DE"/>
    <w:rsid w:val="066E0107"/>
    <w:rsid w:val="07903FE5"/>
    <w:rsid w:val="07996F6E"/>
    <w:rsid w:val="07DFD8BA"/>
    <w:rsid w:val="08FA1720"/>
    <w:rsid w:val="0939146E"/>
    <w:rsid w:val="09565DE8"/>
    <w:rsid w:val="09867E8F"/>
    <w:rsid w:val="0A2032A3"/>
    <w:rsid w:val="0AC21C32"/>
    <w:rsid w:val="0BBB244D"/>
    <w:rsid w:val="0CA8290A"/>
    <w:rsid w:val="0CF0217F"/>
    <w:rsid w:val="0D35B1ED"/>
    <w:rsid w:val="0E254B6B"/>
    <w:rsid w:val="0EB256CB"/>
    <w:rsid w:val="0F98263C"/>
    <w:rsid w:val="101860EC"/>
    <w:rsid w:val="101F47CC"/>
    <w:rsid w:val="104357D5"/>
    <w:rsid w:val="10C055FF"/>
    <w:rsid w:val="11694EBD"/>
    <w:rsid w:val="11772AA4"/>
    <w:rsid w:val="118107EC"/>
    <w:rsid w:val="123F4FE3"/>
    <w:rsid w:val="12E24EE2"/>
    <w:rsid w:val="12F47048"/>
    <w:rsid w:val="132D4308"/>
    <w:rsid w:val="13D50BC4"/>
    <w:rsid w:val="14B17F78"/>
    <w:rsid w:val="14E54E9B"/>
    <w:rsid w:val="15E33EE6"/>
    <w:rsid w:val="165E0673"/>
    <w:rsid w:val="16B831D5"/>
    <w:rsid w:val="16BB723D"/>
    <w:rsid w:val="16D43419"/>
    <w:rsid w:val="17E50567"/>
    <w:rsid w:val="186504BB"/>
    <w:rsid w:val="197652E2"/>
    <w:rsid w:val="19A445FC"/>
    <w:rsid w:val="1AFA0F74"/>
    <w:rsid w:val="1BE8440E"/>
    <w:rsid w:val="1D155CEE"/>
    <w:rsid w:val="1D1638FE"/>
    <w:rsid w:val="1E312DEB"/>
    <w:rsid w:val="1E740ACF"/>
    <w:rsid w:val="1EE75CB3"/>
    <w:rsid w:val="1FB57C82"/>
    <w:rsid w:val="1FF35744"/>
    <w:rsid w:val="1FF6BC77"/>
    <w:rsid w:val="2186353C"/>
    <w:rsid w:val="22707CDF"/>
    <w:rsid w:val="23860B96"/>
    <w:rsid w:val="240371BF"/>
    <w:rsid w:val="244F3473"/>
    <w:rsid w:val="24C97D99"/>
    <w:rsid w:val="25A718F0"/>
    <w:rsid w:val="25BB59F6"/>
    <w:rsid w:val="260F557C"/>
    <w:rsid w:val="26970054"/>
    <w:rsid w:val="275D2FB6"/>
    <w:rsid w:val="281408E2"/>
    <w:rsid w:val="29FD04D3"/>
    <w:rsid w:val="2AE31A25"/>
    <w:rsid w:val="2BE97B86"/>
    <w:rsid w:val="2BFF7BC6"/>
    <w:rsid w:val="2C8A61B5"/>
    <w:rsid w:val="2D1519FD"/>
    <w:rsid w:val="2DC773DC"/>
    <w:rsid w:val="2DF04E50"/>
    <w:rsid w:val="2E586DFA"/>
    <w:rsid w:val="2F040D46"/>
    <w:rsid w:val="2F6B035B"/>
    <w:rsid w:val="2F7215C9"/>
    <w:rsid w:val="2FAE5751"/>
    <w:rsid w:val="2FB1A395"/>
    <w:rsid w:val="2FD9A7D8"/>
    <w:rsid w:val="2FDBF714"/>
    <w:rsid w:val="30260A8E"/>
    <w:rsid w:val="303F6A4D"/>
    <w:rsid w:val="30466EAF"/>
    <w:rsid w:val="30AB6865"/>
    <w:rsid w:val="31750675"/>
    <w:rsid w:val="31761F52"/>
    <w:rsid w:val="319F7F4E"/>
    <w:rsid w:val="32BD1EF1"/>
    <w:rsid w:val="3304709D"/>
    <w:rsid w:val="33A773CB"/>
    <w:rsid w:val="349D6851"/>
    <w:rsid w:val="35D278D7"/>
    <w:rsid w:val="36AA5135"/>
    <w:rsid w:val="36BE0DA7"/>
    <w:rsid w:val="376B6AA6"/>
    <w:rsid w:val="376D39B2"/>
    <w:rsid w:val="37E16F03"/>
    <w:rsid w:val="37F53A3B"/>
    <w:rsid w:val="389B6C89"/>
    <w:rsid w:val="38D469F0"/>
    <w:rsid w:val="39627CCD"/>
    <w:rsid w:val="397BAF1F"/>
    <w:rsid w:val="3A02255D"/>
    <w:rsid w:val="3AB79AF3"/>
    <w:rsid w:val="3AE834C0"/>
    <w:rsid w:val="3B014769"/>
    <w:rsid w:val="3B7EF35A"/>
    <w:rsid w:val="3B9FDB6C"/>
    <w:rsid w:val="3BF5BC2F"/>
    <w:rsid w:val="3CEBA265"/>
    <w:rsid w:val="3D98207C"/>
    <w:rsid w:val="3DDC1999"/>
    <w:rsid w:val="3DEE7CF3"/>
    <w:rsid w:val="3E6643B8"/>
    <w:rsid w:val="3E740A63"/>
    <w:rsid w:val="3E78745D"/>
    <w:rsid w:val="3EE17838"/>
    <w:rsid w:val="3F55381A"/>
    <w:rsid w:val="3F5900B0"/>
    <w:rsid w:val="3F7F7599"/>
    <w:rsid w:val="3FA0088A"/>
    <w:rsid w:val="3FF4CAE0"/>
    <w:rsid w:val="3FF7B227"/>
    <w:rsid w:val="405A7C3B"/>
    <w:rsid w:val="40BA710F"/>
    <w:rsid w:val="40CB28E7"/>
    <w:rsid w:val="40E409F4"/>
    <w:rsid w:val="417C62A4"/>
    <w:rsid w:val="41D37E48"/>
    <w:rsid w:val="42ED123B"/>
    <w:rsid w:val="43615785"/>
    <w:rsid w:val="43D974B7"/>
    <w:rsid w:val="44E268DA"/>
    <w:rsid w:val="450D13D7"/>
    <w:rsid w:val="45506656"/>
    <w:rsid w:val="45660E30"/>
    <w:rsid w:val="46510FB5"/>
    <w:rsid w:val="471272CE"/>
    <w:rsid w:val="47217705"/>
    <w:rsid w:val="486A6C7A"/>
    <w:rsid w:val="4A627F82"/>
    <w:rsid w:val="4A816572"/>
    <w:rsid w:val="4ADC65FD"/>
    <w:rsid w:val="4B0E749A"/>
    <w:rsid w:val="4B2477C4"/>
    <w:rsid w:val="4B4F25DA"/>
    <w:rsid w:val="4B563993"/>
    <w:rsid w:val="4BE068DB"/>
    <w:rsid w:val="4CCF6C59"/>
    <w:rsid w:val="4D577224"/>
    <w:rsid w:val="4DBF1CEB"/>
    <w:rsid w:val="4DF0007C"/>
    <w:rsid w:val="4EAB630A"/>
    <w:rsid w:val="4EB1567F"/>
    <w:rsid w:val="4ECE2238"/>
    <w:rsid w:val="4F833267"/>
    <w:rsid w:val="4FE9BD67"/>
    <w:rsid w:val="4FFB052F"/>
    <w:rsid w:val="51142088"/>
    <w:rsid w:val="531E5780"/>
    <w:rsid w:val="537E6D0A"/>
    <w:rsid w:val="53F74C96"/>
    <w:rsid w:val="55170BA8"/>
    <w:rsid w:val="553218C9"/>
    <w:rsid w:val="567E1AA5"/>
    <w:rsid w:val="56E47B74"/>
    <w:rsid w:val="57175D52"/>
    <w:rsid w:val="57BD3DD4"/>
    <w:rsid w:val="58BF6D7E"/>
    <w:rsid w:val="5A1B4488"/>
    <w:rsid w:val="5AF92295"/>
    <w:rsid w:val="5B250254"/>
    <w:rsid w:val="5BC14BBB"/>
    <w:rsid w:val="5BDD79E6"/>
    <w:rsid w:val="5BDF588E"/>
    <w:rsid w:val="5BF561CA"/>
    <w:rsid w:val="5BFF5DFC"/>
    <w:rsid w:val="5C946059"/>
    <w:rsid w:val="5CD71FC4"/>
    <w:rsid w:val="5D1F11B5"/>
    <w:rsid w:val="5D695134"/>
    <w:rsid w:val="5DAE1B18"/>
    <w:rsid w:val="5DE7D9E5"/>
    <w:rsid w:val="5E450B9E"/>
    <w:rsid w:val="5E9F5687"/>
    <w:rsid w:val="5EA902B4"/>
    <w:rsid w:val="5ECEC941"/>
    <w:rsid w:val="5F8A317E"/>
    <w:rsid w:val="5FBE1B3D"/>
    <w:rsid w:val="5FBF9FF3"/>
    <w:rsid w:val="5FCD4E2C"/>
    <w:rsid w:val="5FEF394A"/>
    <w:rsid w:val="5FF67715"/>
    <w:rsid w:val="61446B4C"/>
    <w:rsid w:val="615800BD"/>
    <w:rsid w:val="62BF3928"/>
    <w:rsid w:val="63B3701E"/>
    <w:rsid w:val="647F5392"/>
    <w:rsid w:val="656C455D"/>
    <w:rsid w:val="65E66580"/>
    <w:rsid w:val="664B1D71"/>
    <w:rsid w:val="664B4E8E"/>
    <w:rsid w:val="67277B67"/>
    <w:rsid w:val="67AA3209"/>
    <w:rsid w:val="691C5FE2"/>
    <w:rsid w:val="6956727B"/>
    <w:rsid w:val="698D0931"/>
    <w:rsid w:val="6A7FE5F3"/>
    <w:rsid w:val="6B053271"/>
    <w:rsid w:val="6BDD78B3"/>
    <w:rsid w:val="6C4A05C8"/>
    <w:rsid w:val="6C8742B8"/>
    <w:rsid w:val="6DBF5E93"/>
    <w:rsid w:val="6DFF077E"/>
    <w:rsid w:val="6E714EF0"/>
    <w:rsid w:val="6E7E3605"/>
    <w:rsid w:val="6E7FDCC7"/>
    <w:rsid w:val="6ED6A62E"/>
    <w:rsid w:val="6EE00B15"/>
    <w:rsid w:val="6F215C44"/>
    <w:rsid w:val="6F590396"/>
    <w:rsid w:val="6F6FB3EB"/>
    <w:rsid w:val="6F8106FD"/>
    <w:rsid w:val="6F8731EA"/>
    <w:rsid w:val="6FCE6052"/>
    <w:rsid w:val="6FD57C00"/>
    <w:rsid w:val="6FEFFFD8"/>
    <w:rsid w:val="6FF5CC65"/>
    <w:rsid w:val="6FFB47EC"/>
    <w:rsid w:val="6FFF034A"/>
    <w:rsid w:val="701B08E6"/>
    <w:rsid w:val="70484440"/>
    <w:rsid w:val="705138DD"/>
    <w:rsid w:val="70F80C27"/>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767E7A"/>
    <w:rsid w:val="76E3355F"/>
    <w:rsid w:val="76FF5125"/>
    <w:rsid w:val="77212C85"/>
    <w:rsid w:val="776F6FFA"/>
    <w:rsid w:val="778769C8"/>
    <w:rsid w:val="778C5026"/>
    <w:rsid w:val="77A75DCA"/>
    <w:rsid w:val="77DC22F5"/>
    <w:rsid w:val="783B7D77"/>
    <w:rsid w:val="783E271A"/>
    <w:rsid w:val="78616DE9"/>
    <w:rsid w:val="78924152"/>
    <w:rsid w:val="78E875D7"/>
    <w:rsid w:val="78F50EA9"/>
    <w:rsid w:val="79086DAD"/>
    <w:rsid w:val="797F1EE5"/>
    <w:rsid w:val="79C87A4B"/>
    <w:rsid w:val="79D7FD79"/>
    <w:rsid w:val="79EE5BA4"/>
    <w:rsid w:val="7A65344B"/>
    <w:rsid w:val="7A894339"/>
    <w:rsid w:val="7A8F398F"/>
    <w:rsid w:val="7AA23514"/>
    <w:rsid w:val="7AD284E8"/>
    <w:rsid w:val="7AFF7572"/>
    <w:rsid w:val="7B6C7DFB"/>
    <w:rsid w:val="7BBFBED0"/>
    <w:rsid w:val="7BC3E394"/>
    <w:rsid w:val="7BFF1D15"/>
    <w:rsid w:val="7C1F3737"/>
    <w:rsid w:val="7CBFC87B"/>
    <w:rsid w:val="7CFE0F48"/>
    <w:rsid w:val="7D272ABC"/>
    <w:rsid w:val="7D7EC23E"/>
    <w:rsid w:val="7D8978C5"/>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5"/>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next w:val="1"/>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rPr>
  </w:style>
  <w:style w:type="character" w:customStyle="1" w:styleId="20">
    <w:name w:val="Header Char"/>
    <w:basedOn w:val="17"/>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7"/>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7"/>
    <w:semiHidden/>
    <w:qFormat/>
    <w:uiPriority w:val="99"/>
    <w:rPr>
      <w:rFonts w:ascii="Times New Roman" w:hAnsi="Times New Roman"/>
      <w:szCs w:val="24"/>
    </w:rPr>
  </w:style>
  <w:style w:type="character" w:customStyle="1" w:styleId="25">
    <w:name w:val="正文文本 Char"/>
    <w:link w:val="6"/>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7"/>
    <w:link w:val="3"/>
    <w:qFormat/>
    <w:uiPriority w:val="9"/>
    <w:rPr>
      <w:rFonts w:ascii="Times New Roman" w:hAnsi="Times New Roman"/>
      <w:b/>
      <w:bCs/>
      <w:kern w:val="44"/>
      <w:sz w:val="44"/>
      <w:szCs w:val="44"/>
    </w:rPr>
  </w:style>
  <w:style w:type="character" w:customStyle="1" w:styleId="29">
    <w:name w:val="标题 2 Char"/>
    <w:basedOn w:val="17"/>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批注框文本 Char"/>
    <w:basedOn w:val="17"/>
    <w:link w:val="10"/>
    <w:semiHidden/>
    <w:qFormat/>
    <w:uiPriority w:val="99"/>
    <w:rPr>
      <w:rFonts w:ascii="Times New Roman" w:hAnsi="Times New Roman"/>
      <w:kern w:val="2"/>
      <w:sz w:val="18"/>
      <w:szCs w:val="18"/>
    </w:rPr>
  </w:style>
  <w:style w:type="character" w:customStyle="1" w:styleId="32">
    <w:name w:val="标题 3 Char"/>
    <w:basedOn w:val="17"/>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 w:type="paragraph" w:customStyle="1" w:styleId="35">
    <w:name w:val="〖A08〗公文标题"/>
    <w:next w:val="1"/>
    <w:qFormat/>
    <w:uiPriority w:val="0"/>
    <w:pPr>
      <w:widowControl w:val="0"/>
      <w:topLinePunct/>
      <w:spacing w:line="700" w:lineRule="exact"/>
      <w:jc w:val="center"/>
    </w:pPr>
    <w:rPr>
      <w:rFonts w:ascii="Arial Unicode MS" w:hAnsi="Arial Unicode MS" w:eastAsia="Arial Unicode MS" w:cs="Times New Roman"/>
      <w:kern w:val="2"/>
      <w:sz w:val="4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ltLang="zh-CN"/>
              <a:t>2024</a:t>
            </a:r>
            <a:r>
              <a:rPr lang="zh-CN" altLang="en-US"/>
              <a:t>年收、支决算总计变动情况图</a:t>
            </a:r>
            <a:endParaRPr lang="zh-CN" altLang="en-US"/>
          </a:p>
        </c:rich>
      </c:tx>
      <c:layout>
        <c:manualLayout>
          <c:xMode val="edge"/>
          <c:yMode val="edge"/>
          <c:x val="0.106940388249442"/>
          <c:y val="0.0181818181818182"/>
        </c:manualLayout>
      </c:layout>
      <c:overlay val="0"/>
    </c:title>
    <c:autoTitleDeleted val="0"/>
    <c:plotArea>
      <c:layout>
        <c:manualLayout>
          <c:layoutTarget val="inner"/>
          <c:xMode val="edge"/>
          <c:yMode val="edge"/>
          <c:x val="0.161484281051366"/>
          <c:y val="0.30030303030303"/>
          <c:w val="0.619996564164233"/>
          <c:h val="0.561515151515152"/>
        </c:manualLayout>
      </c:layout>
      <c:barChart>
        <c:barDir val="col"/>
        <c:grouping val="clustered"/>
        <c:varyColors val="0"/>
        <c:ser>
          <c:idx val="0"/>
          <c:order val="0"/>
          <c:tx>
            <c:strRef>
              <c:f>'[决算公开附图(模板)仅供参考.xlsx]收、支决算总计变动情况图1'!$C$4</c:f>
              <c:strCache>
                <c:ptCount val="1"/>
                <c:pt idx="0">
                  <c:v>金额</c:v>
                </c:pt>
              </c:strCache>
            </c:strRef>
          </c:tx>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Lbls>
            <c:dLbl>
              <c:idx val="0"/>
              <c:layout>
                <c:manualLayout>
                  <c:x val="-0.00257687682528775"/>
                  <c:y val="0.02727272727272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73063047586325"/>
                  <c:y val="0.1090909090909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'[决算公开附图(模板)仅供参考.xlsx]收、支决算总计变动情况图1'!$B$5:$B$6</c:f>
              <c:strCache>
                <c:ptCount val="2"/>
                <c:pt idx="0">
                  <c:v>2023年</c:v>
                </c:pt>
                <c:pt idx="1">
                  <c:v>2024年</c:v>
                </c:pt>
              </c:strCache>
            </c:strRef>
          </c:cat>
          <c:val>
            <c:numRef>
              <c:f>'[决算公开附图(模板)仅供参考.xlsx]收、支决算总计变动情况图1'!$C$5:$C$6</c:f>
              <c:numCache>
                <c:formatCode>0.00_ </c:formatCode>
                <c:ptCount val="2"/>
                <c:pt idx="0">
                  <c:v>391.2</c:v>
                </c:pt>
                <c:pt idx="1">
                  <c:v>5401.82</c:v>
                </c:pt>
              </c:numCache>
            </c:numRef>
          </c:val>
        </c:ser>
        <c:dLbls>
          <c:showLegendKey val="0"/>
          <c:showVal val="1"/>
          <c:showCatName val="0"/>
          <c:showSerName val="0"/>
          <c:showPercent val="0"/>
          <c:showBubbleSize val="0"/>
        </c:dLbls>
        <c:gapWidth val="150"/>
        <c:axId val="38242176"/>
        <c:axId val="41234816"/>
      </c:barChart>
      <c:catAx>
        <c:axId val="382421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41234816"/>
        <c:crosses val="autoZero"/>
        <c:auto val="1"/>
        <c:lblAlgn val="ctr"/>
        <c:lblOffset val="100"/>
        <c:noMultiLvlLbl val="0"/>
      </c:catAx>
      <c:valAx>
        <c:axId val="41234816"/>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38242176"/>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t>2024</a:t>
            </a:r>
            <a:r>
              <a:rPr lang="zh-CN"/>
              <a:t>年收入决算结构图</a:t>
            </a:r>
            <a:endParaRPr lang="zh-CN"/>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'[决算公开附图(模板)仅供参考.xlsx]收入决算结构图2'!$B$6</c:f>
              <c:strCache>
                <c:ptCount val="1"/>
                <c:pt idx="0">
                  <c:v>占比</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'[决算公开附图(模板)仅供参考.xlsx]收入决算结构图2'!$A$7:$A$9</c15:sqref>
                  </c15:fullRef>
                </c:ext>
              </c:extLst>
              <c:f>('[决算公开附图(模板)仅供参考.xlsx]收入决算结构图2'!$A$7,'[决算公开附图(模板)仅供参考.xlsx]收入决算结构图2'!$A$9)</c:f>
              <c:strCache>
                <c:ptCount val="2"/>
                <c:pt idx="0">
                  <c:v>一般公共预算财政拨款收入4937.08万元</c:v>
                </c:pt>
                <c:pt idx="1">
                  <c:v>其他收入259.79万元</c:v>
                </c:pt>
              </c:strCache>
            </c:strRef>
          </c:cat>
          <c:val>
            <c:numRef>
              <c:extLst>
                <c:ext xmlns:c15="http://schemas.microsoft.com/office/drawing/2012/chart" uri="{02D57815-91ED-43cb-92C2-25804820EDAC}">
                  <c15:fullRef>
                    <c15:sqref>收入决算结构图2!$B$7:$B$9</c15:sqref>
                  </c15:fullRef>
                </c:ext>
              </c:extLst>
              <c:f>('[决算公开附图(模板)仅供参考.xlsx]收入决算结构图2'!$B$7,'[决算公开附图(模板)仅供参考.xlsx]收入决算结构图2'!$B$9)</c:f>
              <c:numCache>
                <c:formatCode>0.00%</c:formatCode>
                <c:ptCount val="2"/>
                <c:pt idx="0">
                  <c:v>0.950010294658131</c:v>
                </c:pt>
                <c:pt idx="1">
                  <c:v>0.0499897053418692</c:v>
                </c:pt>
              </c:numCache>
            </c:numRef>
          </c:val>
        </c:ser>
        <c:dLbls>
          <c:showLegendKey val="0"/>
          <c:showVal val="1"/>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t>2024</a:t>
            </a:r>
            <a:r>
              <a:rPr lang="zh-CN"/>
              <a:t>年支出决算结构图</a:t>
            </a:r>
            <a:endParaRPr lang="zh-CN"/>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'[决算公开附图(模板)仅供参考.xlsx]支出决算结构图3'!$B$9</c:f>
              <c:strCache>
                <c:ptCount val="1"/>
                <c:pt idx="0">
                  <c:v>占比</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'[决算公开附图(模板)仅供参考.xlsx]支出决算结构图3'!$A$10:$A$11</c:f>
              <c:strCache>
                <c:ptCount val="2"/>
                <c:pt idx="0">
                  <c:v>基本支出3948.66万元</c:v>
                </c:pt>
                <c:pt idx="1">
                  <c:v>项目支出1453.16万元</c:v>
                </c:pt>
              </c:strCache>
            </c:strRef>
          </c:cat>
          <c:val>
            <c:numRef>
              <c:f>'[决算公开附图(模板)仅供参考.xlsx]支出决算结构图3'!$B$10:$B$11</c:f>
              <c:numCache>
                <c:formatCode>0.00%</c:formatCode>
                <c:ptCount val="2"/>
                <c:pt idx="0">
                  <c:v>0.730986963652991</c:v>
                </c:pt>
                <c:pt idx="1">
                  <c:v>0.269013036347009</c:v>
                </c:pt>
              </c:numCache>
            </c:numRef>
          </c:val>
        </c:ser>
        <c:dLbls>
          <c:showLegendKey val="0"/>
          <c:showVal val="1"/>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ltLang="zh-CN"/>
              <a:t>2024</a:t>
            </a:r>
            <a:r>
              <a:rPr lang="zh-CN" altLang="en-US"/>
              <a:t>年收、支决算总计变动情况图</a:t>
            </a:r>
            <a:endParaRPr lang="zh-CN" altLang="en-US"/>
          </a:p>
        </c:rich>
      </c:tx>
      <c:layout>
        <c:manualLayout>
          <c:xMode val="edge"/>
          <c:yMode val="edge"/>
          <c:x val="0.11560804907413"/>
          <c:y val="0.00892325996430696"/>
        </c:manualLayout>
      </c:layout>
      <c:overlay val="0"/>
    </c:title>
    <c:autoTitleDeleted val="0"/>
    <c:plotArea>
      <c:layout>
        <c:manualLayout>
          <c:layoutTarget val="inner"/>
          <c:xMode val="edge"/>
          <c:yMode val="edge"/>
          <c:x val="0.147532643717144"/>
          <c:y val="0.286436644854253"/>
          <c:w val="0.642021366796676"/>
          <c:h val="0.557108863771565"/>
        </c:manualLayout>
      </c:layout>
      <c:barChart>
        <c:barDir val="col"/>
        <c:grouping val="clustered"/>
        <c:varyColors val="0"/>
        <c:ser>
          <c:idx val="0"/>
          <c:order val="0"/>
          <c:tx>
            <c:strRef>
              <c:f>'[决算公开附图(模板)仅供参考.xlsx]财政拨款收、支决算总计变动情况图4'!$C$4</c:f>
              <c:strCache>
                <c:ptCount val="1"/>
                <c:pt idx="0">
                  <c:v>金额</c:v>
                </c:pt>
              </c:strCache>
            </c:strRef>
          </c:tx>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Lbls>
            <c:dLbl>
              <c:idx val="0"/>
              <c:layout>
                <c:manualLayout>
                  <c:x val="-0.00508733254197049"/>
                  <c:y val="0.013384889946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54366627098525"/>
                  <c:y val="0.102617489589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'[决算公开附图(模板)仅供参考.xlsx]财政拨款收、支决算总计变动情况图4'!$B$5:$B$6</c:f>
              <c:strCache>
                <c:ptCount val="2"/>
                <c:pt idx="0">
                  <c:v>2023年</c:v>
                </c:pt>
                <c:pt idx="1">
                  <c:v>2024年</c:v>
                </c:pt>
              </c:strCache>
            </c:strRef>
          </c:cat>
          <c:val>
            <c:numRef>
              <c:f>'[决算公开附图(模板)仅供参考.xlsx]财政拨款收、支决算总计变动情况图4'!$C$5:$C$6</c:f>
              <c:numCache>
                <c:formatCode>0.00_ </c:formatCode>
                <c:ptCount val="2"/>
                <c:pt idx="0">
                  <c:v>391.2</c:v>
                </c:pt>
                <c:pt idx="1">
                  <c:v>5142.03</c:v>
                </c:pt>
              </c:numCache>
            </c:numRef>
          </c:val>
        </c:ser>
        <c:dLbls>
          <c:showLegendKey val="0"/>
          <c:showVal val="1"/>
          <c:showCatName val="0"/>
          <c:showSerName val="0"/>
          <c:showPercent val="0"/>
          <c:showBubbleSize val="0"/>
        </c:dLbls>
        <c:gapWidth val="150"/>
        <c:axId val="75184768"/>
        <c:axId val="75224960"/>
      </c:barChart>
      <c:catAx>
        <c:axId val="7518476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75224960"/>
        <c:crosses val="autoZero"/>
        <c:auto val="1"/>
        <c:lblAlgn val="ctr"/>
        <c:lblOffset val="100"/>
        <c:noMultiLvlLbl val="0"/>
      </c:catAx>
      <c:valAx>
        <c:axId val="75224960"/>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75184768"/>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ltLang="zh-CN"/>
              <a:t>2024</a:t>
            </a:r>
            <a:r>
              <a:rPr lang="zh-CN" altLang="en-US"/>
              <a:t>年一般公共预算收、支决算总计变动情况图</a:t>
            </a:r>
            <a:endParaRPr lang="zh-CN" altLang="en-US"/>
          </a:p>
        </c:rich>
      </c:tx>
      <c:layout>
        <c:manualLayout>
          <c:xMode val="edge"/>
          <c:yMode val="edge"/>
          <c:x val="0.136409650750801"/>
          <c:y val="0.0175489909330214"/>
        </c:manualLayout>
      </c:layout>
      <c:overlay val="0"/>
    </c:title>
    <c:autoTitleDeleted val="0"/>
    <c:plotArea>
      <c:layout>
        <c:manualLayout>
          <c:layoutTarget val="inner"/>
          <c:xMode val="edge"/>
          <c:yMode val="edge"/>
          <c:x val="0.149316686350599"/>
          <c:y val="0.315881836794384"/>
          <c:w val="0.64383330521343"/>
          <c:h val="0.530272009359462"/>
        </c:manualLayout>
      </c:layout>
      <c:barChart>
        <c:barDir val="col"/>
        <c:grouping val="clustered"/>
        <c:varyColors val="0"/>
        <c:ser>
          <c:idx val="0"/>
          <c:order val="0"/>
          <c:tx>
            <c:strRef>
              <c:f>'[决算公开附图(模板)仅供参考.xlsx]一般公共预算财政拨款收、支决算总计变动情况图5'!$C$4</c:f>
              <c:strCache>
                <c:ptCount val="1"/>
                <c:pt idx="0">
                  <c:v>金额</c:v>
                </c:pt>
              </c:strCache>
            </c:strRef>
          </c:tx>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Lbls>
            <c:dLbl>
              <c:idx val="0"/>
              <c:layout>
                <c:manualLayout>
                  <c:x val="0.00506158258815586"/>
                  <c:y val="0.0043872477332548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3278218322929"/>
                      <c:h val="0.10412401286926"/>
                    </c:manualLayout>
                  </c15:layout>
                </c:ext>
              </c:extLst>
            </c:dLbl>
            <c:dLbl>
              <c:idx val="1"/>
              <c:layout>
                <c:manualLayout>
                  <c:x val="0.00253079129407795"/>
                  <c:y val="0.1272301842644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'[决算公开附图(模板)仅供参考.xlsx]一般公共预算财政拨款收、支决算总计变动情况图5'!$B$5:$B$6</c:f>
              <c:strCache>
                <c:ptCount val="2"/>
                <c:pt idx="0">
                  <c:v>2023年</c:v>
                </c:pt>
                <c:pt idx="1">
                  <c:v>2024年</c:v>
                </c:pt>
              </c:strCache>
            </c:strRef>
          </c:cat>
          <c:val>
            <c:numRef>
              <c:f>'[决算公开附图(模板)仅供参考.xlsx]一般公共预算财政拨款收、支决算总计变动情况图5'!$C$5:$C$6</c:f>
              <c:numCache>
                <c:formatCode>0.00_ </c:formatCode>
                <c:ptCount val="2"/>
                <c:pt idx="0">
                  <c:v>391.2</c:v>
                </c:pt>
                <c:pt idx="1">
                  <c:v>5142.03</c:v>
                </c:pt>
              </c:numCache>
            </c:numRef>
          </c:val>
        </c:ser>
        <c:dLbls>
          <c:showLegendKey val="0"/>
          <c:showVal val="1"/>
          <c:showCatName val="0"/>
          <c:showSerName val="0"/>
          <c:showPercent val="0"/>
          <c:showBubbleSize val="0"/>
        </c:dLbls>
        <c:gapWidth val="150"/>
        <c:axId val="75233536"/>
        <c:axId val="154669824"/>
      </c:barChart>
      <c:catAx>
        <c:axId val="752335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154669824"/>
        <c:crosses val="autoZero"/>
        <c:auto val="1"/>
        <c:lblAlgn val="ctr"/>
        <c:lblOffset val="100"/>
        <c:noMultiLvlLbl val="0"/>
      </c:catAx>
      <c:valAx>
        <c:axId val="154669824"/>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75233536"/>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t>2024</a:t>
            </a:r>
            <a:r>
              <a:rPr lang="zh-CN"/>
              <a:t>年一般公共预算</a:t>
            </a:r>
            <a:r>
              <a:rPr lang="zh-CN" altLang="en-US"/>
              <a:t>财政拨款支出决算</a:t>
            </a:r>
            <a:r>
              <a:rPr lang="zh-CN"/>
              <a:t>结构图</a:t>
            </a:r>
            <a:endParaRPr lang="zh-CN"/>
          </a:p>
        </c:rich>
      </c:tx>
      <c:layout>
        <c:manualLayout>
          <c:xMode val="edge"/>
          <c:yMode val="edge"/>
          <c:x val="0.126716452553085"/>
          <c:y val="0.0123220744822186"/>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76249913933973"/>
          <c:y val="0.426180074075178"/>
          <c:w val="0.512335852225021"/>
          <c:h val="0.471062001227747"/>
        </c:manualLayout>
      </c:layout>
      <c:pie3DChart>
        <c:varyColors val="1"/>
        <c:ser>
          <c:idx val="0"/>
          <c:order val="0"/>
          <c:explosion val="0"/>
          <c:dPt>
            <c:idx val="0"/>
            <c:bubble3D val="0"/>
          </c:dPt>
          <c:dPt>
            <c:idx val="1"/>
            <c:bubble3D val="0"/>
          </c:dPt>
          <c:dPt>
            <c:idx val="2"/>
            <c:bubble3D val="0"/>
          </c:dPt>
          <c:dPt>
            <c:idx val="3"/>
            <c:bubble3D val="0"/>
          </c:dPt>
          <c:dLbls>
            <c:dLbl>
              <c:idx val="0"/>
              <c:layout>
                <c:manualLayout>
                  <c:x val="-0.0202586186753156"/>
                  <c:y val="-0.14555378797697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69297561021205"/>
                  <c:y val="-0.04927013787495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3380642387481"/>
                  <c:y val="-0.1636842123372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82195781907914"/>
                  <c:y val="-0.069060773480662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'[决算公开附图(模板)仅供参考.xlsx]一般公共预算财政拨款支出决算结构图6'!$M$8:$M$15</c15:sqref>
                  </c15:fullRef>
                </c:ext>
              </c:extLst>
              <c:f>('[决算公开附图(模板)仅供参考.xlsx]一般公共预算财政拨款支出决算结构图6'!$M$9:$M$11,'[决算公开附图(模板)仅供参考.xlsx]一般公共预算财政拨款支出决算结构图6'!$M$15)</c:f>
              <c:strCache>
                <c:ptCount val="4"/>
                <c:pt idx="0">
                  <c:v>社会保障和就业支出516.13万元</c:v>
                </c:pt>
                <c:pt idx="1">
                  <c:v>卫生健康支出97.99万元</c:v>
                </c:pt>
                <c:pt idx="2">
                  <c:v>城乡社区支出4250.45万元</c:v>
                </c:pt>
                <c:pt idx="3">
                  <c:v>住房保障支出277.49万元</c:v>
                </c:pt>
              </c:strCache>
            </c:strRef>
          </c:cat>
          <c:val>
            <c:numRef>
              <c:extLst>
                <c:ext xmlns:c15="http://schemas.microsoft.com/office/drawing/2012/chart" uri="{02D57815-91ED-43cb-92C2-25804820EDAC}">
                  <c15:fullRef>
                    <c15:sqref>一般公共预算财政拨款支出决算结构图6!$N$8:$N$15</c15:sqref>
                  </c15:fullRef>
                </c:ext>
              </c:extLst>
              <c:f>('[决算公开附图(模板)仅供参考.xlsx]一般公共预算财政拨款支出决算结构图6'!$N$9:$N$11,'[决算公开附图(模板)仅供参考.xlsx]一般公共预算财政拨款支出决算结构图6'!$N$15)</c:f>
              <c:numCache>
                <c:formatCode>0.00%</c:formatCode>
                <c:ptCount val="4"/>
                <c:pt idx="0">
                  <c:v>0.100374754717495</c:v>
                </c:pt>
                <c:pt idx="1">
                  <c:v>0.0190566760598441</c:v>
                </c:pt>
                <c:pt idx="2">
                  <c:v>0.826609335223637</c:v>
                </c:pt>
                <c:pt idx="3">
                  <c:v>0.0539592339990237</c:v>
                </c:pt>
              </c:numCache>
            </c:numRef>
          </c:val>
        </c:ser>
        <c:dLbls>
          <c:showLegendKey val="0"/>
          <c:showVal val="1"/>
          <c:showCatName val="0"/>
          <c:showSerName val="0"/>
          <c:showPercent val="0"/>
          <c:showBubbleSize val="0"/>
        </c:dLbls>
        <c:extLst>
          <c:ext xmlns:c15="http://schemas.microsoft.com/office/drawing/2012/chart" uri="{02D57815-91ED-43cb-92C2-25804820EDAC}">
            <c15:filteredPieSeries>
              <c15:ser>
                <c:idx val="1"/>
                <c:order val="1"/>
                <c:explosion val="0"/>
                <c:dPt>
                  <c:idx val="0"/>
                  <c:bubble3D val="0"/>
                </c:dPt>
                <c:dPt>
                  <c:idx val="1"/>
                  <c:bubble3D val="0"/>
                </c:dPt>
                <c:dPt>
                  <c:idx val="2"/>
                  <c:bubble3D val="0"/>
                </c:dPt>
                <c:dPt>
                  <c:idx val="3"/>
                  <c:bubble3D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uri="{02D57815-91ED-43cb-92C2-25804820EDAC}">
                        <c15:fullRef>
                          <c15:sqref>'[决算公开附图(模板)仅供参考.xlsx]一般公共预算财政拨款支出决算结构图6'!$M$8:$M$15</c15:sqref>
                        </c15:fullRef>
                        <c15:formulaRef>
                          <c15:sqref>('[决算公开附图(模板)仅供参考.xlsx]一般公共预算财政拨款支出决算结构图6'!$M$9:$M$11,'[决算公开附图(模板)仅供参考.xlsx]一般公共预算财政拨款支出决算结构图6'!$M$15)</c15:sqref>
                        </c15:formulaRef>
                      </c:ext>
                    </c:extLst>
                    <c:strCache>
                      <c:ptCount val="4"/>
                      <c:pt idx="0">
                        <c:v>社会保障和就业支出516.13万元</c:v>
                      </c:pt>
                      <c:pt idx="1">
                        <c:v>卫生健康支出97.99万元</c:v>
                      </c:pt>
                      <c:pt idx="2">
                        <c:v>城乡社区支出4250.45万元</c:v>
                      </c:pt>
                      <c:pt idx="3">
                        <c:v>住房保障支出277.49万元</c:v>
                      </c:pt>
                    </c:strCache>
                  </c:strRef>
                </c:cat>
                <c:val>
                  <c:numRef>
                    <c:extLst>
                      <c:ext uri="{02D57815-91ED-43cb-92C2-25804820EDAC}">
                        <c15:fullRef>
                          <c15:sqref>一般公共预算财政拨款支出决算结构图6!$O$8:$O$15</c15:sqref>
                        </c15:fullRef>
                        <c15:formulaRef>
                          <c15:sqref>{516.13,97.99,4250.45,277.46}</c15:sqref>
                        </c15:formulaRef>
                      </c:ext>
                    </c:extLst>
                    <c:numCache>
                      <c:formatCode>General</c:formatCode>
                      <c:ptCount val="4"/>
                      <c:pt idx="0">
                        <c:v>516.13</c:v>
                      </c:pt>
                      <c:pt idx="1">
                        <c:v>97.99</c:v>
                      </c:pt>
                      <c:pt idx="2">
                        <c:v>4250.45</c:v>
                      </c:pt>
                      <c:pt idx="3">
                        <c:v>277.46</c:v>
                      </c:pt>
                    </c:numCache>
                  </c:numRef>
                </c:val>
              </c15:ser>
            </c15:filteredPieSeries>
          </c:ext>
        </c:extLst>
      </c:pie3DChart>
    </c:plotArea>
    <c:legend>
      <c:legendPos val="r"/>
      <c:layout>
        <c:manualLayout>
          <c:xMode val="edge"/>
          <c:yMode val="edge"/>
          <c:x val="0.647019311502939"/>
          <c:y val="0.332412523020258"/>
          <c:w val="0.332829554995802"/>
          <c:h val="0.640270104358502"/>
        </c:manualLayout>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lang="zh-CN">
          <a:solidFill>
            <a:schemeClr val="dk1"/>
          </a:solidFill>
          <a:latin typeface="+mn-lt"/>
          <a:ea typeface="+mn-ea"/>
          <a:cs typeface="+mn-cs"/>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ltLang="zh-CN"/>
              <a:t>2024</a:t>
            </a:r>
            <a:r>
              <a:rPr lang="zh-CN" altLang="en-US"/>
              <a:t>年“三公”经费财政拨款支出结构图</a:t>
            </a:r>
            <a:endParaRPr lang="zh-CN" altLang="en-US"/>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'[决算公开附图(模板)仅供参考.xlsx]“三公”经费财政拨款支出结构图7'!$B$6</c:f>
              <c:strCache>
                <c:ptCount val="1"/>
                <c:pt idx="0">
                  <c:v>占比</c:v>
                </c:pt>
              </c:strCache>
            </c:strRef>
          </c:tx>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'[决算公开附图(模板)仅供参考.xlsx]“三公”经费财政拨款支出结构图7'!$A$7:$A$11</c15:sqref>
                  </c15:fullRef>
                </c:ext>
              </c:extLst>
              <c:f>'[决算公开附图(模板)仅供参考.xlsx]“三公”经费财政拨款支出结构图7'!$A$7:$A$9</c:f>
              <c:strCache>
                <c:ptCount val="3"/>
                <c:pt idx="0">
                  <c:v>因公出国（境）费支出决算0万元</c:v>
                </c:pt>
                <c:pt idx="1">
                  <c:v>公务用车购置及运行维护费支出决算74.6万元</c:v>
                </c:pt>
                <c:pt idx="2">
                  <c:v>公务接待费支出决算0万元</c:v>
                </c:pt>
              </c:strCache>
            </c:strRef>
          </c:cat>
          <c:val>
            <c:numRef>
              <c:extLst>
                <c:ext xmlns:c15="http://schemas.microsoft.com/office/drawing/2012/chart" uri="{02D57815-91ED-43cb-92C2-25804820EDAC}">
                  <c15:fullRef>
                    <c15:sqref>“三公”经费财政拨款支出结构图7!$B$7:$B$11</c15:sqref>
                  </c15:fullRef>
                </c:ext>
              </c:extLst>
              <c:f>'[决算公开附图(模板)仅供参考.xlsx]“三公”经费财政拨款支出结构图7'!$B$7:$B$9</c:f>
              <c:numCache>
                <c:formatCode>0.00%</c:formatCode>
                <c:ptCount val="3"/>
                <c:pt idx="0">
                  <c:v>0</c:v>
                </c:pt>
                <c:pt idx="1">
                  <c:v>1</c:v>
                </c:pt>
                <c:pt idx="2">
                  <c:v>0</c:v>
                </c:pt>
              </c:numCache>
            </c:numRef>
          </c:val>
        </c:ser>
        <c:dLbls>
          <c:showLegendKey val="0"/>
          <c:showVal val="1"/>
          <c:showCatName val="0"/>
          <c:showSerName val="0"/>
          <c:showPercent val="0"/>
          <c:showBubbleSize val="0"/>
        </c:dLbls>
      </c:pie3DChart>
    </c:plotArea>
    <c:legend>
      <c:legendPos val="r"/>
      <c:layout>
        <c:manualLayout>
          <c:xMode val="edge"/>
          <c:yMode val="edge"/>
          <c:x val="0.655218855218855"/>
          <c:y val="0.310717502251576"/>
          <c:w val="0.324579124579125"/>
          <c:h val="0.652957069948964"/>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44</Pages>
  <Words>13910</Words>
  <Characters>14794</Characters>
  <Lines>25</Lines>
  <Paragraphs>34</Paragraphs>
  <TotalTime>5</TotalTime>
  <ScaleCrop>false</ScaleCrop>
  <LinksUpToDate>false</LinksUpToDate>
  <CharactersWithSpaces>15068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leshan</cp:lastModifiedBy>
  <cp:lastPrinted>2025-08-06T17:34:00Z</cp:lastPrinted>
  <dcterms:modified xsi:type="dcterms:W3CDTF">2025-11-05T01:40:15Z</dcterms:modified>
  <dc:title>四川省***</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7D7DC6DB45C7450B9956169B097F724C_13</vt:lpwstr>
  </property>
  <property fmtid="{D5CDD505-2E9C-101B-9397-08002B2CF9AE}" pid="4" name="KSOTemplateDocerSaveRecord">
    <vt:lpwstr>eyJoZGlkIjoiNjE3NjdjZmJjYzMwZDY1ODYxY2FmNWFiODMwOGNhNzUiLCJ1c2VySWQiOiIyODg5NzY3MjEifQ==</vt:lpwstr>
  </property>
</Properties>
</file>